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drawings/drawing1.xml" ContentType="application/vnd.openxmlformats-officedocument.drawingml.chartshapes+xml"/>
  <Override PartName="/word/charts/chart9.xml" ContentType="application/vnd.openxmlformats-officedocument.drawingml.chart+xml"/>
  <Override PartName="/word/drawings/drawing2.xml" ContentType="application/vnd.openxmlformats-officedocument.drawingml.chartshapes+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theme/themeOverride1.xml" ContentType="application/vnd.openxmlformats-officedocument.themeOverride+xml"/>
  <Override PartName="/word/charts/chart16.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24F310" w14:textId="77777777" w:rsidR="00614438" w:rsidRPr="00614438" w:rsidRDefault="00614438" w:rsidP="00614438">
      <w:pPr>
        <w:jc w:val="both"/>
        <w:rPr>
          <w:rFonts w:ascii="Times New Roman" w:hAnsi="Times New Roman" w:cs="Times New Roman"/>
          <w:sz w:val="24"/>
          <w:szCs w:val="24"/>
        </w:rPr>
      </w:pPr>
      <w:bookmarkStart w:id="0" w:name="_Ref5085995"/>
      <w:bookmarkStart w:id="1" w:name="_Ref5085992"/>
      <w:bookmarkStart w:id="2" w:name="_Toc9794154"/>
      <w:bookmarkStart w:id="3" w:name="_Toc15039535"/>
    </w:p>
    <w:p w14:paraId="238D689B" w14:textId="77777777" w:rsidR="00614438" w:rsidRPr="00614438" w:rsidRDefault="00614438" w:rsidP="00614438">
      <w:pPr>
        <w:jc w:val="both"/>
        <w:rPr>
          <w:rFonts w:ascii="Times New Roman" w:hAnsi="Times New Roman" w:cs="Times New Roman"/>
          <w:sz w:val="24"/>
          <w:szCs w:val="24"/>
          <w:lang w:val="en-GB"/>
        </w:rPr>
      </w:pPr>
    </w:p>
    <w:bookmarkEnd w:id="0"/>
    <w:bookmarkEnd w:id="1"/>
    <w:bookmarkEnd w:id="2"/>
    <w:bookmarkEnd w:id="3"/>
    <w:p w14:paraId="02F2DA34" w14:textId="77777777" w:rsidR="00614438" w:rsidRPr="00013008" w:rsidRDefault="00614438" w:rsidP="00614438">
      <w:pPr>
        <w:ind w:firstLine="720"/>
        <w:jc w:val="both"/>
        <w:rPr>
          <w:rFonts w:ascii="Times New Roman" w:hAnsi="Times New Roman" w:cs="Times New Roman"/>
          <w:sz w:val="24"/>
          <w:szCs w:val="24"/>
          <w:lang w:val="en-GB"/>
        </w:rPr>
      </w:pPr>
      <w:r w:rsidRPr="00013008">
        <w:rPr>
          <w:rFonts w:ascii="Times New Roman" w:hAnsi="Times New Roman" w:cs="Times New Roman"/>
          <w:sz w:val="24"/>
          <w:szCs w:val="24"/>
          <w:lang w:val="en-GB"/>
        </w:rPr>
        <w:t>Based on Article 8a paragraph 3 of the Law on Energy ("Official Gazette of the RS", no. 145/14, 95/18 – as amended, 40/21, 35/23 - as amended and 62/23), and in connection with the Agreement on the establishment of the Energy Community between the European Community and the Republic of Albania, the Republic of Bulgaria, Bosnia and Herzegovina, the Republic of Croatia, the Former Yugoslav Republic of Macedonia, the Republic of Montenegro, Romania, the Republic of Serbia and the United Nations Interim Mission in Kosovo in accordance with Security Council Resolution 1244 of the United Nations ("Official Gazette of the RS", number 62/06) and Article 50 of the Law on the Planning System of the Republic of Serbia ("Official Gazette of the RS", number 30/18),</w:t>
      </w:r>
    </w:p>
    <w:p w14:paraId="39A9B2D7" w14:textId="77777777" w:rsidR="00614438" w:rsidRPr="00013008" w:rsidRDefault="00614438" w:rsidP="00614438">
      <w:pPr>
        <w:jc w:val="both"/>
        <w:rPr>
          <w:rFonts w:ascii="Times New Roman" w:hAnsi="Times New Roman" w:cs="Times New Roman"/>
          <w:sz w:val="24"/>
          <w:szCs w:val="24"/>
          <w:lang w:val="en-GB"/>
        </w:rPr>
      </w:pPr>
    </w:p>
    <w:p w14:paraId="3E3EB38E" w14:textId="77777777" w:rsidR="00614438" w:rsidRPr="00013008" w:rsidRDefault="00614438" w:rsidP="00614438">
      <w:pPr>
        <w:jc w:val="both"/>
        <w:rPr>
          <w:rFonts w:ascii="Times New Roman" w:hAnsi="Times New Roman" w:cs="Times New Roman"/>
          <w:sz w:val="24"/>
          <w:szCs w:val="24"/>
          <w:lang w:val="en-GB"/>
        </w:rPr>
      </w:pPr>
      <w:r w:rsidRPr="00013008">
        <w:rPr>
          <w:rFonts w:ascii="Times New Roman" w:hAnsi="Times New Roman" w:cs="Times New Roman"/>
          <w:sz w:val="24"/>
          <w:szCs w:val="24"/>
          <w:lang w:val="en-GB"/>
        </w:rPr>
        <w:t>The government has adopted</w:t>
      </w:r>
    </w:p>
    <w:p w14:paraId="067B2A14" w14:textId="77777777" w:rsidR="00614438" w:rsidRPr="00614438" w:rsidRDefault="00614438" w:rsidP="00614438">
      <w:pPr>
        <w:jc w:val="both"/>
        <w:rPr>
          <w:rFonts w:ascii="Times New Roman" w:hAnsi="Times New Roman" w:cs="Times New Roman"/>
          <w:sz w:val="24"/>
          <w:szCs w:val="24"/>
          <w:lang w:val="en-GB"/>
        </w:rPr>
      </w:pPr>
    </w:p>
    <w:p w14:paraId="3E09EC6D" w14:textId="77777777" w:rsidR="00614438" w:rsidRPr="00013008" w:rsidRDefault="00614438" w:rsidP="00614438">
      <w:pPr>
        <w:jc w:val="center"/>
        <w:rPr>
          <w:rFonts w:ascii="Times New Roman" w:hAnsi="Times New Roman" w:cs="Times New Roman"/>
          <w:b/>
          <w:bCs/>
          <w:sz w:val="24"/>
          <w:szCs w:val="24"/>
          <w:lang w:val="en-GB"/>
        </w:rPr>
      </w:pPr>
      <w:bookmarkStart w:id="4" w:name="_Hlk174159552"/>
      <w:r w:rsidRPr="00013008">
        <w:rPr>
          <w:rFonts w:ascii="Times New Roman" w:hAnsi="Times New Roman" w:cs="Times New Roman"/>
          <w:b/>
          <w:bCs/>
          <w:sz w:val="24"/>
          <w:szCs w:val="24"/>
          <w:lang w:val="en-GB"/>
        </w:rPr>
        <w:t>INTEGRATED NATIONAL ENERGY AND CLIMATE PLAN</w:t>
      </w:r>
      <w:r w:rsidRPr="00013008">
        <w:rPr>
          <w:rFonts w:ascii="Times New Roman" w:hAnsi="Times New Roman" w:cs="Times New Roman"/>
          <w:b/>
          <w:bCs/>
          <w:sz w:val="24"/>
          <w:szCs w:val="24"/>
          <w:lang w:val="en-GB"/>
        </w:rPr>
        <w:br/>
        <w:t>OF THE REPUBLIC OF SERBIA</w:t>
      </w:r>
    </w:p>
    <w:p w14:paraId="1DBFDD0E" w14:textId="77777777" w:rsidR="00614438" w:rsidRPr="00614438" w:rsidRDefault="00614438" w:rsidP="00614438">
      <w:pPr>
        <w:jc w:val="center"/>
        <w:rPr>
          <w:rFonts w:ascii="Times New Roman" w:hAnsi="Times New Roman" w:cs="Times New Roman"/>
          <w:b/>
          <w:bCs/>
          <w:sz w:val="24"/>
          <w:szCs w:val="24"/>
          <w:lang w:val="en-GB"/>
        </w:rPr>
      </w:pPr>
      <w:r w:rsidRPr="00013008">
        <w:rPr>
          <w:rFonts w:ascii="Times New Roman" w:hAnsi="Times New Roman" w:cs="Times New Roman"/>
          <w:b/>
          <w:bCs/>
          <w:sz w:val="24"/>
          <w:szCs w:val="24"/>
          <w:lang w:val="en-GB"/>
        </w:rPr>
        <w:t>FOR THE PERIOD UP TO 2030 WITH A VISION TO 2050</w:t>
      </w:r>
    </w:p>
    <w:p w14:paraId="64901230" w14:textId="77777777" w:rsidR="00614438" w:rsidRPr="00614438" w:rsidRDefault="00614438" w:rsidP="00614438">
      <w:pPr>
        <w:jc w:val="center"/>
        <w:rPr>
          <w:rFonts w:ascii="Times New Roman" w:hAnsi="Times New Roman" w:cs="Times New Roman"/>
          <w:sz w:val="24"/>
          <w:szCs w:val="24"/>
          <w:lang w:val="en-GB"/>
        </w:rPr>
      </w:pPr>
    </w:p>
    <w:bookmarkEnd w:id="4"/>
    <w:p w14:paraId="0616ACCF" w14:textId="77777777" w:rsidR="00614438" w:rsidRPr="00013008" w:rsidRDefault="00614438" w:rsidP="00614438">
      <w:pPr>
        <w:jc w:val="center"/>
        <w:rPr>
          <w:rFonts w:ascii="Times New Roman" w:hAnsi="Times New Roman" w:cs="Times New Roman"/>
          <w:sz w:val="24"/>
          <w:szCs w:val="24"/>
          <w:lang w:val="en-GB"/>
        </w:rPr>
      </w:pPr>
    </w:p>
    <w:p w14:paraId="2EF02DDC" w14:textId="77777777" w:rsidR="00614438" w:rsidRPr="00013008" w:rsidRDefault="00614438" w:rsidP="00614438">
      <w:pPr>
        <w:jc w:val="center"/>
        <w:rPr>
          <w:rFonts w:ascii="Times New Roman" w:hAnsi="Times New Roman" w:cs="Times New Roman"/>
          <w:sz w:val="24"/>
          <w:szCs w:val="24"/>
          <w:lang w:val="en-GB"/>
        </w:rPr>
      </w:pPr>
      <w:r w:rsidRPr="00614438">
        <w:rPr>
          <w:rFonts w:ascii="Times New Roman" w:hAnsi="Times New Roman" w:cs="Times New Roman"/>
          <w:sz w:val="24"/>
          <w:szCs w:val="24"/>
          <w:lang w:val="en-GB"/>
        </w:rPr>
        <w:t>SECTION A: NATIONAL PLAN</w:t>
      </w:r>
    </w:p>
    <w:p w14:paraId="4F1C0E4A" w14:textId="77777777" w:rsidR="00614438" w:rsidRPr="00614438" w:rsidRDefault="00614438" w:rsidP="00614438">
      <w:pPr>
        <w:jc w:val="center"/>
        <w:rPr>
          <w:rFonts w:ascii="Times New Roman" w:hAnsi="Times New Roman" w:cs="Times New Roman"/>
          <w:sz w:val="24"/>
          <w:szCs w:val="24"/>
          <w:lang w:val="en-GB"/>
        </w:rPr>
      </w:pPr>
      <w:r w:rsidRPr="00013008">
        <w:rPr>
          <w:rFonts w:ascii="Times New Roman" w:hAnsi="Times New Roman" w:cs="Times New Roman"/>
          <w:sz w:val="24"/>
          <w:szCs w:val="24"/>
          <w:lang w:val="en-GB"/>
        </w:rPr>
        <w:t xml:space="preserve">1. </w:t>
      </w:r>
      <w:bookmarkStart w:id="5" w:name="_Toc79772541"/>
      <w:bookmarkStart w:id="6" w:name="_Toc118991760"/>
      <w:bookmarkStart w:id="7" w:name="_Toc153545030"/>
      <w:r w:rsidRPr="00013008">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OVERVIEW AND PROCESS FOR ESTABLISHING THE PLAN</w:t>
      </w:r>
      <w:bookmarkEnd w:id="5"/>
      <w:bookmarkEnd w:id="6"/>
      <w:bookmarkEnd w:id="7"/>
    </w:p>
    <w:p w14:paraId="025CFDA9" w14:textId="77777777" w:rsidR="00614438" w:rsidRPr="00614438" w:rsidRDefault="00614438" w:rsidP="00614438">
      <w:pPr>
        <w:jc w:val="center"/>
        <w:rPr>
          <w:rFonts w:ascii="Times New Roman" w:hAnsi="Times New Roman" w:cs="Times New Roman"/>
          <w:sz w:val="24"/>
          <w:szCs w:val="24"/>
          <w:lang w:val="en-GB"/>
        </w:rPr>
      </w:pPr>
      <w:bookmarkStart w:id="8" w:name="_Toc79772542"/>
      <w:bookmarkStart w:id="9" w:name="_Toc118991761"/>
      <w:bookmarkStart w:id="10" w:name="_Toc153545031"/>
      <w:r w:rsidRPr="00013008">
        <w:rPr>
          <w:rFonts w:ascii="Times New Roman" w:hAnsi="Times New Roman" w:cs="Times New Roman"/>
          <w:sz w:val="24"/>
          <w:szCs w:val="24"/>
          <w:lang w:val="en-GB"/>
        </w:rPr>
        <w:t xml:space="preserve">1.1 </w:t>
      </w:r>
      <w:r w:rsidRPr="00614438">
        <w:rPr>
          <w:rFonts w:ascii="Times New Roman" w:hAnsi="Times New Roman" w:cs="Times New Roman"/>
          <w:sz w:val="24"/>
          <w:szCs w:val="24"/>
          <w:lang w:val="en-GB"/>
        </w:rPr>
        <w:t>Executive Summary (overview/scope of the plan)</w:t>
      </w:r>
      <w:bookmarkEnd w:id="8"/>
      <w:bookmarkEnd w:id="9"/>
      <w:bookmarkEnd w:id="10"/>
    </w:p>
    <w:p w14:paraId="447BE887" w14:textId="77777777" w:rsidR="00614438" w:rsidRPr="00614438" w:rsidRDefault="00614438" w:rsidP="00614438">
      <w:pPr>
        <w:jc w:val="center"/>
        <w:rPr>
          <w:rFonts w:ascii="Times New Roman" w:hAnsi="Times New Roman" w:cs="Times New Roman"/>
          <w:sz w:val="24"/>
          <w:szCs w:val="24"/>
          <w:lang w:val="en-GB"/>
        </w:rPr>
      </w:pPr>
      <w:r w:rsidRPr="00013008">
        <w:rPr>
          <w:rFonts w:ascii="Times New Roman" w:hAnsi="Times New Roman" w:cs="Times New Roman"/>
          <w:sz w:val="24"/>
          <w:szCs w:val="24"/>
          <w:lang w:val="en-GB"/>
        </w:rPr>
        <w:t xml:space="preserve">1.1.1 </w:t>
      </w:r>
      <w:r w:rsidRPr="00614438">
        <w:rPr>
          <w:rFonts w:ascii="Times New Roman" w:hAnsi="Times New Roman" w:cs="Times New Roman"/>
          <w:sz w:val="24"/>
          <w:szCs w:val="24"/>
          <w:lang w:val="en-GB"/>
        </w:rPr>
        <w:t>Political, economic, environmental, and social context of the plan</w:t>
      </w:r>
    </w:p>
    <w:p w14:paraId="60945C5C" w14:textId="77777777" w:rsidR="00614438" w:rsidRPr="00614438" w:rsidRDefault="00614438" w:rsidP="00067BD7">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March 2012, the European Council granted the Republic of Serbia candidate country status, while the decision of the European Council from June 2013 launched accession negotiations with the Republic of Serbia. In 2014, the Berlin Process was launched, as an initiative aiming at stepping up regional cooperation in the Western Balkans region and aiding the integration of countries into the European Union (EU). By gradually harmonizing national legal framework with the EU acquis, the Republic of Serbia performed numerous legislative alignments in the areas of climate change, environment and energy.</w:t>
      </w:r>
    </w:p>
    <w:p w14:paraId="36A813AF" w14:textId="77777777" w:rsidR="00614438" w:rsidRPr="00614438" w:rsidRDefault="00614438" w:rsidP="00067BD7">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Due to the need to establish the global framework to avoid dangerous climate change by limiting global warming to well below 2°C and the pursuing efforts to limit it to 1.5°C, the multilateral climate change process was initiated in 2015. Thus, at the </w:t>
      </w:r>
      <w:r w:rsidR="00013008" w:rsidRPr="00013008">
        <w:rPr>
          <w:rFonts w:ascii="Times New Roman" w:hAnsi="Times New Roman" w:cs="Times New Roman"/>
          <w:sz w:val="24"/>
          <w:szCs w:val="24"/>
          <w:lang w:val="en-GB"/>
        </w:rPr>
        <w:t>UN</w:t>
      </w:r>
      <w:r w:rsidRPr="00614438">
        <w:rPr>
          <w:rFonts w:ascii="Times New Roman" w:hAnsi="Times New Roman" w:cs="Times New Roman"/>
          <w:sz w:val="24"/>
          <w:szCs w:val="24"/>
          <w:lang w:val="en-GB"/>
        </w:rPr>
        <w:t xml:space="preserve"> </w:t>
      </w:r>
      <w:r w:rsidR="00013008" w:rsidRPr="00013008">
        <w:rPr>
          <w:rFonts w:ascii="Times New Roman" w:hAnsi="Times New Roman" w:cs="Times New Roman"/>
          <w:sz w:val="24"/>
          <w:szCs w:val="24"/>
          <w:lang w:val="en-GB"/>
        </w:rPr>
        <w:t>C</w:t>
      </w:r>
      <w:r w:rsidRPr="00614438">
        <w:rPr>
          <w:rFonts w:ascii="Times New Roman" w:hAnsi="Times New Roman" w:cs="Times New Roman"/>
          <w:sz w:val="24"/>
          <w:szCs w:val="24"/>
          <w:lang w:val="en-GB"/>
        </w:rPr>
        <w:t xml:space="preserve">limate </w:t>
      </w:r>
      <w:r w:rsidR="00013008" w:rsidRPr="00013008">
        <w:rPr>
          <w:rFonts w:ascii="Times New Roman" w:hAnsi="Times New Roman" w:cs="Times New Roman"/>
          <w:sz w:val="24"/>
          <w:szCs w:val="24"/>
          <w:lang w:val="en-GB"/>
        </w:rPr>
        <w:t>C</w:t>
      </w:r>
      <w:r w:rsidRPr="00614438">
        <w:rPr>
          <w:rFonts w:ascii="Times New Roman" w:hAnsi="Times New Roman" w:cs="Times New Roman"/>
          <w:sz w:val="24"/>
          <w:szCs w:val="24"/>
          <w:lang w:val="en-GB"/>
        </w:rPr>
        <w:t xml:space="preserve">onference (COP21), the Paris Agreement was adopted as a first-ever universal legally binding international treaty on climate change. Prior to the COP21, the Republic of Serbia had submitted Intended National Determined Contribution (INDC) to the United Nations Framework for Convention on Climate Change (UNFCCC), declaring the country’s contribution to the global efforts for greenhouse gas (GHG) emissions reduction through: “GHG emission reduction by 9,8% until 2030 compared to base-year (1990) emissions“. Following that, the Republic of Serbia ratified the Paris Agreement in 2017. Second National Determined Contribution (NDC) </w:t>
      </w:r>
      <w:r w:rsidR="00013008">
        <w:rPr>
          <w:rFonts w:ascii="Times New Roman" w:hAnsi="Times New Roman" w:cs="Times New Roman"/>
          <w:sz w:val="24"/>
          <w:szCs w:val="24"/>
          <w:lang w:val="en-GB"/>
        </w:rPr>
        <w:t xml:space="preserve">for 2021-2030 </w:t>
      </w:r>
      <w:r w:rsidRPr="00614438">
        <w:rPr>
          <w:rFonts w:ascii="Times New Roman" w:hAnsi="Times New Roman" w:cs="Times New Roman"/>
          <w:sz w:val="24"/>
          <w:szCs w:val="24"/>
          <w:lang w:val="en-GB"/>
        </w:rPr>
        <w:t xml:space="preserve">was submitted in August 2022, </w:t>
      </w:r>
      <w:r w:rsidR="00013008">
        <w:rPr>
          <w:rFonts w:ascii="Times New Roman" w:hAnsi="Times New Roman" w:cs="Times New Roman"/>
          <w:sz w:val="24"/>
          <w:szCs w:val="24"/>
          <w:lang w:val="en-GB"/>
        </w:rPr>
        <w:t xml:space="preserve">to </w:t>
      </w:r>
      <w:r w:rsidR="00013008" w:rsidRPr="00013008">
        <w:rPr>
          <w:rFonts w:ascii="Times New Roman" w:hAnsi="Times New Roman" w:cs="Times New Roman"/>
          <w:sz w:val="24"/>
          <w:szCs w:val="24"/>
          <w:lang w:val="en-GB"/>
        </w:rPr>
        <w:lastRenderedPageBreak/>
        <w:t xml:space="preserve">the Secretariat of the United Nations Framework Convention on Climate Change </w:t>
      </w:r>
      <w:r w:rsidRPr="00614438">
        <w:rPr>
          <w:rFonts w:ascii="Times New Roman" w:hAnsi="Times New Roman" w:cs="Times New Roman"/>
          <w:sz w:val="24"/>
          <w:szCs w:val="24"/>
          <w:lang w:val="en-GB"/>
        </w:rPr>
        <w:t xml:space="preserve">defining the reduction of 13.2% compared to 2010 level i.e. 33,3% compared to 1990 by 2030 without </w:t>
      </w:r>
      <w:r w:rsidR="00013008" w:rsidRPr="008A6A62">
        <w:rPr>
          <w:rFonts w:ascii="Times New Roman" w:hAnsi="Times New Roman" w:cs="Times New Roman"/>
          <w:sz w:val="24"/>
          <w:szCs w:val="24"/>
        </w:rPr>
        <w:t>Land Use, Land Use Change and Forestry</w:t>
      </w:r>
      <w:r w:rsidR="00013008" w:rsidRPr="00614438">
        <w:rPr>
          <w:rFonts w:ascii="Times New Roman" w:hAnsi="Times New Roman" w:cs="Times New Roman"/>
          <w:sz w:val="24"/>
          <w:szCs w:val="24"/>
          <w:lang w:val="en-GB"/>
        </w:rPr>
        <w:t xml:space="preserve"> </w:t>
      </w:r>
      <w:r w:rsidR="00013008">
        <w:rPr>
          <w:rFonts w:ascii="Times New Roman" w:hAnsi="Times New Roman" w:cs="Times New Roman"/>
          <w:sz w:val="24"/>
          <w:szCs w:val="24"/>
          <w:lang w:val="en-GB"/>
        </w:rPr>
        <w:t>(</w:t>
      </w:r>
      <w:r w:rsidRPr="00614438">
        <w:rPr>
          <w:rFonts w:ascii="Times New Roman" w:hAnsi="Times New Roman" w:cs="Times New Roman"/>
          <w:sz w:val="24"/>
          <w:szCs w:val="24"/>
          <w:lang w:val="en-GB"/>
        </w:rPr>
        <w:t>LULUCF</w:t>
      </w:r>
      <w:r w:rsidR="00013008">
        <w:rPr>
          <w:rFonts w:ascii="Times New Roman" w:hAnsi="Times New Roman" w:cs="Times New Roman"/>
          <w:sz w:val="24"/>
          <w:szCs w:val="24"/>
          <w:lang w:val="en-GB"/>
        </w:rPr>
        <w:t>)</w:t>
      </w:r>
      <w:r w:rsidRPr="00614438">
        <w:rPr>
          <w:rFonts w:ascii="Times New Roman" w:hAnsi="Times New Roman" w:cs="Times New Roman"/>
          <w:sz w:val="24"/>
          <w:szCs w:val="24"/>
          <w:lang w:val="en-GB"/>
        </w:rPr>
        <w:t>.</w:t>
      </w:r>
    </w:p>
    <w:p w14:paraId="6907E761" w14:textId="77777777" w:rsidR="00614438" w:rsidRPr="00614438" w:rsidRDefault="00614438" w:rsidP="00013008">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November 2020, the Republic of Serbia signed the Sofia Declaration on the Green Agenda for the Western Balkans at the Western Balkans Summit under the framework of the Berlin Process initiative and committed to work towards the 2050 target of a carbon-neutral continent together with the European Union. At the beginning of 2021, the Republic of Serbia introduced the reforms of the national legal framework regarding energy and climate change, as the starting point for the energy transition process towards climate neutral development. A more complete harmonisation has been made with the regulations of the Third Energy Package of the EU energy legislation and certain provisions of the EU package Clean Energy for All Europeans. The Republic of Serbia adopted a new legislative package consisting of Amendments to Law of Energy</w:t>
      </w:r>
      <w:r w:rsidR="00013008">
        <w:rPr>
          <w:rFonts w:ascii="Times New Roman" w:hAnsi="Times New Roman" w:cs="Times New Roman"/>
          <w:sz w:val="24"/>
          <w:szCs w:val="24"/>
          <w:lang w:val="en-GB"/>
        </w:rPr>
        <w:t xml:space="preserve"> (Official Gazette of RS, no. 40/21)</w:t>
      </w:r>
      <w:r w:rsidRPr="00614438">
        <w:rPr>
          <w:rFonts w:ascii="Times New Roman" w:hAnsi="Times New Roman" w:cs="Times New Roman"/>
          <w:sz w:val="24"/>
          <w:szCs w:val="24"/>
          <w:lang w:val="en-GB"/>
        </w:rPr>
        <w:t>, Law on Energy Efficiency and Rational Use of Energy</w:t>
      </w:r>
      <w:r w:rsidR="00013008">
        <w:rPr>
          <w:rFonts w:ascii="Times New Roman" w:hAnsi="Times New Roman" w:cs="Times New Roman"/>
          <w:sz w:val="24"/>
          <w:szCs w:val="24"/>
          <w:lang w:val="en-GB"/>
        </w:rPr>
        <w:t xml:space="preserve"> (Official Gazette of RS, no. 40/21) (Law on Use of RES)</w:t>
      </w:r>
      <w:r w:rsidRPr="00614438">
        <w:rPr>
          <w:rFonts w:ascii="Times New Roman" w:hAnsi="Times New Roman" w:cs="Times New Roman"/>
          <w:sz w:val="24"/>
          <w:szCs w:val="24"/>
          <w:lang w:val="en-GB"/>
        </w:rPr>
        <w:t>, Amendments to Law on Use of RES</w:t>
      </w:r>
      <w:r w:rsidR="00414D55">
        <w:rPr>
          <w:rFonts w:ascii="Times New Roman" w:hAnsi="Times New Roman" w:cs="Times New Roman"/>
          <w:sz w:val="24"/>
          <w:szCs w:val="24"/>
          <w:lang w:val="en-GB"/>
        </w:rPr>
        <w:t xml:space="preserve"> (Official Gazette of RS, no. 35/23)</w:t>
      </w:r>
      <w:r w:rsidRPr="00614438">
        <w:rPr>
          <w:rFonts w:ascii="Times New Roman" w:hAnsi="Times New Roman" w:cs="Times New Roman"/>
          <w:sz w:val="24"/>
          <w:szCs w:val="24"/>
          <w:lang w:val="en-GB"/>
        </w:rPr>
        <w:t>, Amendments to Law on Mining and Geological Research</w:t>
      </w:r>
      <w:r w:rsidR="00414D55">
        <w:rPr>
          <w:rFonts w:ascii="Times New Roman" w:hAnsi="Times New Roman" w:cs="Times New Roman"/>
          <w:sz w:val="24"/>
          <w:szCs w:val="24"/>
          <w:lang w:val="en-GB"/>
        </w:rPr>
        <w:t xml:space="preserve"> (Official Gazette of RS, no. 40/21)</w:t>
      </w:r>
      <w:r w:rsidRPr="00614438">
        <w:rPr>
          <w:rFonts w:ascii="Times New Roman" w:hAnsi="Times New Roman" w:cs="Times New Roman"/>
          <w:sz w:val="24"/>
          <w:szCs w:val="24"/>
          <w:lang w:val="en-GB"/>
        </w:rPr>
        <w:t>, as well as the Law on Climate Change</w:t>
      </w:r>
      <w:r w:rsidR="00414D55">
        <w:rPr>
          <w:rFonts w:ascii="Times New Roman" w:hAnsi="Times New Roman" w:cs="Times New Roman"/>
          <w:sz w:val="24"/>
          <w:szCs w:val="24"/>
          <w:lang w:val="en-GB"/>
        </w:rPr>
        <w:t xml:space="preserve"> (Official Gazette of RS, no. 26/21)</w:t>
      </w:r>
      <w:r w:rsidRPr="00614438">
        <w:rPr>
          <w:rFonts w:ascii="Times New Roman" w:hAnsi="Times New Roman" w:cs="Times New Roman"/>
          <w:sz w:val="24"/>
          <w:szCs w:val="24"/>
          <w:lang w:val="en-GB"/>
        </w:rPr>
        <w:t>.</w:t>
      </w:r>
    </w:p>
    <w:p w14:paraId="6F446707" w14:textId="77777777" w:rsidR="00614438" w:rsidRPr="00614438" w:rsidRDefault="00614438" w:rsidP="00E66ECF">
      <w:pPr>
        <w:ind w:firstLine="720"/>
        <w:jc w:val="both"/>
        <w:rPr>
          <w:rFonts w:ascii="Times New Roman" w:hAnsi="Times New Roman" w:cs="Times New Roman"/>
          <w:sz w:val="24"/>
          <w:szCs w:val="24"/>
          <w:lang w:val="da-DK"/>
        </w:rPr>
      </w:pPr>
      <w:r w:rsidRPr="00614438">
        <w:rPr>
          <w:rFonts w:ascii="Times New Roman" w:hAnsi="Times New Roman" w:cs="Times New Roman"/>
          <w:sz w:val="24"/>
          <w:szCs w:val="24"/>
          <w:lang w:val="en-GB"/>
        </w:rPr>
        <w:t>Support of Serbia’s obligations under the Paris Agreement represents the first goal of the Low Carbon Development Strategy of the Republic of Serbia set for the period 2023-2030 with projections until 2050</w:t>
      </w:r>
      <w:r w:rsidR="00414D55">
        <w:rPr>
          <w:rFonts w:ascii="Times New Roman" w:hAnsi="Times New Roman" w:cs="Times New Roman"/>
          <w:sz w:val="24"/>
          <w:szCs w:val="24"/>
          <w:lang w:val="en-GB"/>
        </w:rPr>
        <w:t xml:space="preserve"> (Official Gazette of RS, no. 46/23) (</w:t>
      </w:r>
      <w:r w:rsidR="00414D55" w:rsidRPr="00614438">
        <w:rPr>
          <w:rFonts w:ascii="Times New Roman" w:hAnsi="Times New Roman" w:cs="Times New Roman"/>
          <w:sz w:val="24"/>
          <w:szCs w:val="24"/>
          <w:lang w:val="en-GB"/>
        </w:rPr>
        <w:t>Low Carbon Development Strategy</w:t>
      </w:r>
      <w:r w:rsidR="00414D55">
        <w:rPr>
          <w:rFonts w:ascii="Times New Roman" w:hAnsi="Times New Roman" w:cs="Times New Roman"/>
          <w:sz w:val="24"/>
          <w:szCs w:val="24"/>
          <w:lang w:val="en-GB"/>
        </w:rPr>
        <w:t>)</w:t>
      </w:r>
      <w:r w:rsidRPr="00614438">
        <w:rPr>
          <w:rFonts w:ascii="Times New Roman" w:hAnsi="Times New Roman" w:cs="Times New Roman"/>
          <w:sz w:val="24"/>
          <w:szCs w:val="24"/>
          <w:lang w:val="en-GB"/>
        </w:rPr>
        <w:t>, which is adopted based on L</w:t>
      </w:r>
      <w:r w:rsidR="00414D55">
        <w:rPr>
          <w:rFonts w:ascii="Times New Roman" w:hAnsi="Times New Roman" w:cs="Times New Roman"/>
          <w:sz w:val="24"/>
          <w:szCs w:val="24"/>
          <w:lang w:val="en-GB"/>
        </w:rPr>
        <w:t>a</w:t>
      </w:r>
      <w:r w:rsidRPr="00614438">
        <w:rPr>
          <w:rFonts w:ascii="Times New Roman" w:hAnsi="Times New Roman" w:cs="Times New Roman"/>
          <w:sz w:val="24"/>
          <w:szCs w:val="24"/>
          <w:lang w:val="en-GB"/>
        </w:rPr>
        <w:t xml:space="preserve">w on Climate Change with the goal of determining strategic directions of action and public policy of reducing GHG emissions at the level of the entire economy. </w:t>
      </w:r>
      <w:r w:rsidR="00414D55" w:rsidRPr="00414D55">
        <w:rPr>
          <w:rFonts w:ascii="Times New Roman" w:hAnsi="Times New Roman" w:cs="Times New Roman"/>
          <w:sz w:val="24"/>
          <w:szCs w:val="24"/>
          <w:lang w:val="en-GB"/>
        </w:rPr>
        <w:t>For this reason, the L</w:t>
      </w:r>
      <w:r w:rsidR="00414D55">
        <w:rPr>
          <w:rFonts w:ascii="Times New Roman" w:hAnsi="Times New Roman" w:cs="Times New Roman"/>
          <w:sz w:val="24"/>
          <w:szCs w:val="24"/>
          <w:lang w:val="en-GB"/>
        </w:rPr>
        <w:t>o</w:t>
      </w:r>
      <w:r w:rsidR="00414D55" w:rsidRPr="00414D55">
        <w:rPr>
          <w:rFonts w:ascii="Times New Roman" w:hAnsi="Times New Roman" w:cs="Times New Roman"/>
          <w:sz w:val="24"/>
          <w:szCs w:val="24"/>
          <w:lang w:val="en-GB"/>
        </w:rPr>
        <w:t>w Carbon Development Strategy served as the basis for the revision of the 2022 NDC</w:t>
      </w:r>
      <w:r w:rsidR="00414D55">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 xml:space="preserve">Presenting possibilities and recommendations for alignment of GHG emissions with the levels in the EU is the second goal of the </w:t>
      </w:r>
      <w:r w:rsidR="00414D55">
        <w:rPr>
          <w:rFonts w:ascii="Times New Roman" w:hAnsi="Times New Roman" w:cs="Times New Roman"/>
          <w:sz w:val="24"/>
          <w:szCs w:val="24"/>
          <w:lang w:val="en-GB"/>
        </w:rPr>
        <w:t xml:space="preserve">Low Carbon Development </w:t>
      </w:r>
      <w:r w:rsidRPr="00614438">
        <w:rPr>
          <w:rFonts w:ascii="Times New Roman" w:hAnsi="Times New Roman" w:cs="Times New Roman"/>
          <w:sz w:val="24"/>
          <w:szCs w:val="24"/>
          <w:lang w:val="en-GB"/>
        </w:rPr>
        <w:t xml:space="preserve">Strategy. Activities for the implementation of actions and achievement of the </w:t>
      </w:r>
      <w:r w:rsidR="00414D55">
        <w:rPr>
          <w:rFonts w:ascii="Times New Roman" w:hAnsi="Times New Roman" w:cs="Times New Roman"/>
          <w:sz w:val="24"/>
          <w:szCs w:val="24"/>
          <w:lang w:val="en-GB"/>
        </w:rPr>
        <w:t xml:space="preserve">Low Carbon Development </w:t>
      </w:r>
      <w:r w:rsidRPr="00614438">
        <w:rPr>
          <w:rFonts w:ascii="Times New Roman" w:hAnsi="Times New Roman" w:cs="Times New Roman"/>
          <w:sz w:val="24"/>
          <w:szCs w:val="24"/>
          <w:lang w:val="en-GB"/>
        </w:rPr>
        <w:t xml:space="preserve">Strategy’s objectives will be defined in the Action plan for the implementation of the Low Carbon Development Strategy for the period 2024-2030, as well as in the </w:t>
      </w:r>
      <w:r w:rsidR="00E66ECF">
        <w:rPr>
          <w:rFonts w:ascii="Times New Roman" w:hAnsi="Times New Roman" w:cs="Times New Roman"/>
          <w:sz w:val="24"/>
          <w:szCs w:val="24"/>
          <w:lang w:val="en-GB"/>
        </w:rPr>
        <w:t>Integrated National Energy and Climate Plan of the Republic of Serbia for the Period up to 2030 with a Vision to 2050 (</w:t>
      </w:r>
      <w:r w:rsidRPr="00614438">
        <w:rPr>
          <w:rFonts w:ascii="Times New Roman" w:hAnsi="Times New Roman" w:cs="Times New Roman"/>
          <w:sz w:val="24"/>
          <w:szCs w:val="24"/>
          <w:lang w:val="en-GB"/>
        </w:rPr>
        <w:t>INECP</w:t>
      </w:r>
      <w:r w:rsidR="00E66ECF">
        <w:rPr>
          <w:rFonts w:ascii="Times New Roman" w:hAnsi="Times New Roman" w:cs="Times New Roman"/>
          <w:sz w:val="24"/>
          <w:szCs w:val="24"/>
          <w:lang w:val="en-GB"/>
        </w:rPr>
        <w:t>) and other relevant public policy documents</w:t>
      </w:r>
      <w:r w:rsidRPr="00614438">
        <w:rPr>
          <w:rFonts w:ascii="Times New Roman" w:hAnsi="Times New Roman" w:cs="Times New Roman"/>
          <w:sz w:val="24"/>
          <w:szCs w:val="24"/>
          <w:lang w:val="en-GB"/>
        </w:rPr>
        <w:t>.</w:t>
      </w:r>
    </w:p>
    <w:p w14:paraId="2E315BE0" w14:textId="77777777" w:rsidR="00614438" w:rsidRPr="00614438" w:rsidRDefault="00F261A6" w:rsidP="00F261A6">
      <w:pPr>
        <w:ind w:firstLine="720"/>
        <w:jc w:val="both"/>
        <w:rPr>
          <w:rFonts w:ascii="Times New Roman" w:hAnsi="Times New Roman" w:cs="Times New Roman"/>
          <w:sz w:val="24"/>
          <w:szCs w:val="24"/>
          <w:lang w:val="en-GB"/>
        </w:rPr>
      </w:pPr>
      <w:r w:rsidRPr="00F261A6">
        <w:rPr>
          <w:rFonts w:ascii="Times New Roman" w:hAnsi="Times New Roman" w:cs="Times New Roman"/>
          <w:sz w:val="24"/>
          <w:szCs w:val="24"/>
          <w:lang w:val="en-GB"/>
        </w:rPr>
        <w:t>In 2021, the Ministerial Council of the Energy Community adopted Decision 2021/14/MC-EnC, which included Regulation (EU) 2018/1999 in the legal acquis of the Energy Community and adopted amendments to Annex I of the Agreement.</w:t>
      </w:r>
      <w:r>
        <w:rPr>
          <w:rFonts w:ascii="Times New Roman" w:hAnsi="Times New Roman" w:cs="Times New Roman"/>
          <w:sz w:val="24"/>
          <w:szCs w:val="24"/>
          <w:lang w:val="en-GB"/>
        </w:rPr>
        <w:t xml:space="preserve"> </w:t>
      </w:r>
      <w:r w:rsidR="00614438" w:rsidRPr="00614438">
        <w:rPr>
          <w:rFonts w:ascii="Times New Roman" w:hAnsi="Times New Roman" w:cs="Times New Roman"/>
          <w:sz w:val="24"/>
          <w:szCs w:val="24"/>
          <w:lang w:val="en-GB"/>
        </w:rPr>
        <w:t>At the Berlin Process Western Balkans Summit 2022, Serbia signed a joint Declaration on Energy Security and Green Transition in the Western Balkans which emphasizes the commitment to improving regional cooperation in the process of clean energy transition in line with Paris Agreement and the European Green Deal. At the 20th Ministerial Council of the Energy Community meeting in 2022, where Serbia participated, the Decision amending Decision 2021/14/MC-EnC has been adopted, including a set of ambitious 2030 targets for GHG emissions reduction, energy efficiency and increased RES share.</w:t>
      </w:r>
    </w:p>
    <w:p w14:paraId="369E5C3E" w14:textId="77777777" w:rsidR="00614438" w:rsidRPr="00614438" w:rsidRDefault="00F261A6" w:rsidP="00F261A6">
      <w:pPr>
        <w:ind w:firstLine="720"/>
        <w:jc w:val="both"/>
        <w:rPr>
          <w:rFonts w:ascii="Times New Roman" w:hAnsi="Times New Roman" w:cs="Times New Roman"/>
          <w:sz w:val="24"/>
          <w:szCs w:val="24"/>
          <w:lang w:val="da-DK"/>
        </w:rPr>
      </w:pPr>
      <w:r w:rsidRPr="00F261A6">
        <w:rPr>
          <w:rFonts w:ascii="Times New Roman" w:hAnsi="Times New Roman" w:cs="Times New Roman"/>
          <w:sz w:val="24"/>
          <w:szCs w:val="24"/>
          <w:lang w:val="en-GB"/>
        </w:rPr>
        <w:t>Finally, it is important to point out that the Ministerial Council of the Energy Community adopted decisions 2022/02/MC-EnC, 2022/03/MC-EnC, 2023/02/MC-EnC and 2023/03/MC-EnC in December 2022</w:t>
      </w:r>
      <w:r>
        <w:rPr>
          <w:rFonts w:ascii="Times New Roman" w:hAnsi="Times New Roman" w:cs="Times New Roman"/>
          <w:sz w:val="24"/>
          <w:szCs w:val="24"/>
          <w:lang w:val="en-GB"/>
        </w:rPr>
        <w:t xml:space="preserve">, also </w:t>
      </w:r>
      <w:r w:rsidRPr="00F261A6">
        <w:rPr>
          <w:rFonts w:ascii="Times New Roman" w:hAnsi="Times New Roman" w:cs="Times New Roman"/>
          <w:sz w:val="24"/>
          <w:szCs w:val="24"/>
          <w:lang w:val="en-GB"/>
        </w:rPr>
        <w:t>adopt</w:t>
      </w:r>
      <w:r>
        <w:rPr>
          <w:rFonts w:ascii="Times New Roman" w:hAnsi="Times New Roman" w:cs="Times New Roman"/>
          <w:sz w:val="24"/>
          <w:szCs w:val="24"/>
          <w:lang w:val="en-GB"/>
        </w:rPr>
        <w:t>ing</w:t>
      </w:r>
      <w:r w:rsidRPr="00F261A6">
        <w:rPr>
          <w:rFonts w:ascii="Times New Roman" w:hAnsi="Times New Roman" w:cs="Times New Roman"/>
          <w:sz w:val="24"/>
          <w:szCs w:val="24"/>
          <w:lang w:val="en-GB"/>
        </w:rPr>
        <w:t xml:space="preserve"> amendments to Annex I of the Treaty Establish</w:t>
      </w:r>
      <w:r>
        <w:rPr>
          <w:rFonts w:ascii="Times New Roman" w:hAnsi="Times New Roman" w:cs="Times New Roman"/>
          <w:sz w:val="24"/>
          <w:szCs w:val="24"/>
          <w:lang w:val="en-GB"/>
        </w:rPr>
        <w:t>ing</w:t>
      </w:r>
      <w:r w:rsidRPr="00F261A6">
        <w:rPr>
          <w:rFonts w:ascii="Times New Roman" w:hAnsi="Times New Roman" w:cs="Times New Roman"/>
          <w:sz w:val="24"/>
          <w:szCs w:val="24"/>
          <w:lang w:val="en-GB"/>
        </w:rPr>
        <w:t xml:space="preserve"> the Energy Community and thereby introduced the following </w:t>
      </w:r>
      <w:r>
        <w:rPr>
          <w:rFonts w:ascii="Times New Roman" w:hAnsi="Times New Roman" w:cs="Times New Roman"/>
          <w:sz w:val="24"/>
          <w:szCs w:val="24"/>
          <w:lang w:val="en-GB"/>
        </w:rPr>
        <w:t>legislation</w:t>
      </w:r>
      <w:r w:rsidRPr="00F261A6">
        <w:rPr>
          <w:rFonts w:ascii="Times New Roman" w:hAnsi="Times New Roman" w:cs="Times New Roman"/>
          <w:sz w:val="24"/>
          <w:szCs w:val="24"/>
          <w:lang w:val="en-GB"/>
        </w:rPr>
        <w:t xml:space="preserve"> into the body of regulations of the Energy Community</w:t>
      </w:r>
      <w:r>
        <w:rPr>
          <w:rFonts w:ascii="Times New Roman" w:hAnsi="Times New Roman" w:cs="Times New Roman"/>
          <w:sz w:val="24"/>
          <w:szCs w:val="24"/>
          <w:lang w:val="en-GB"/>
        </w:rPr>
        <w:t xml:space="preserve"> acquis</w:t>
      </w:r>
      <w:r w:rsidR="00614438" w:rsidRPr="00614438">
        <w:rPr>
          <w:rFonts w:ascii="Times New Roman" w:hAnsi="Times New Roman" w:cs="Times New Roman"/>
          <w:sz w:val="24"/>
          <w:szCs w:val="24"/>
        </w:rPr>
        <w:t>:</w:t>
      </w:r>
      <w:r w:rsidR="00614438" w:rsidRPr="00614438">
        <w:rPr>
          <w:rFonts w:ascii="Times New Roman" w:hAnsi="Times New Roman" w:cs="Times New Roman"/>
          <w:sz w:val="24"/>
          <w:szCs w:val="24"/>
          <w:lang w:val="en-GB"/>
        </w:rPr>
        <w:t xml:space="preserve"> Directive (EU) 2018/2001, Directive (EU) 2018/2002, Regulation (EU) 2018/1999, Delegated Regulation (EU) 2020/1044, Implementing Regulation (EU) 2020/1208, as well as Regulation (EU) 2019/942, Regulation (EU) 2019/943, Regulation (EU) 2015/1222, Regulation (EU) 6/1719, Regulation (EU) 2017/2195, Regulation (EU) 2017/2196, Regulation (EU) 2017/1485</w:t>
      </w:r>
      <w:r>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Regulation (EU) 20</w:t>
      </w:r>
      <w:r>
        <w:rPr>
          <w:rFonts w:ascii="Times New Roman" w:hAnsi="Times New Roman" w:cs="Times New Roman"/>
          <w:sz w:val="24"/>
          <w:szCs w:val="24"/>
          <w:lang w:val="en-GB"/>
        </w:rPr>
        <w:t>22</w:t>
      </w:r>
      <w:r w:rsidRPr="00614438">
        <w:rPr>
          <w:rFonts w:ascii="Times New Roman" w:hAnsi="Times New Roman" w:cs="Times New Roman"/>
          <w:sz w:val="24"/>
          <w:szCs w:val="24"/>
          <w:lang w:val="en-GB"/>
        </w:rPr>
        <w:t>/8</w:t>
      </w:r>
      <w:r>
        <w:rPr>
          <w:rFonts w:ascii="Times New Roman" w:hAnsi="Times New Roman" w:cs="Times New Roman"/>
          <w:sz w:val="24"/>
          <w:szCs w:val="24"/>
          <w:lang w:val="en-GB"/>
        </w:rPr>
        <w:t>69</w:t>
      </w:r>
      <w:r w:rsidR="00614438" w:rsidRPr="00614438">
        <w:rPr>
          <w:rFonts w:ascii="Times New Roman" w:hAnsi="Times New Roman" w:cs="Times New Roman"/>
          <w:sz w:val="24"/>
          <w:szCs w:val="24"/>
          <w:lang w:val="da-DK"/>
        </w:rPr>
        <w:t>.</w:t>
      </w:r>
    </w:p>
    <w:p w14:paraId="74459561" w14:textId="77777777" w:rsidR="00614438" w:rsidRPr="00614438" w:rsidRDefault="00614438" w:rsidP="00F261A6">
      <w:pPr>
        <w:ind w:firstLine="360"/>
        <w:jc w:val="both"/>
        <w:rPr>
          <w:rFonts w:ascii="Times New Roman" w:hAnsi="Times New Roman" w:cs="Times New Roman"/>
          <w:sz w:val="24"/>
          <w:szCs w:val="24"/>
          <w:lang w:val="da-DK"/>
        </w:rPr>
      </w:pPr>
      <w:r w:rsidRPr="00614438">
        <w:rPr>
          <w:rFonts w:ascii="Times New Roman" w:hAnsi="Times New Roman" w:cs="Times New Roman"/>
          <w:sz w:val="24"/>
          <w:szCs w:val="24"/>
          <w:lang w:val="da-DK"/>
        </w:rPr>
        <w:lastRenderedPageBreak/>
        <w:t>The quantitative analysis of the scenario projections for the impact assessment of the policies and measures which was performed in the process of developing the INECP of the Republic of Serbia, a suite of three modelling tools was used:</w:t>
      </w:r>
    </w:p>
    <w:p w14:paraId="2C80A8CB" w14:textId="77777777" w:rsidR="00614438" w:rsidRPr="00F261A6" w:rsidRDefault="00614438" w:rsidP="00485CA7">
      <w:pPr>
        <w:pStyle w:val="ListParagraph"/>
        <w:numPr>
          <w:ilvl w:val="0"/>
          <w:numId w:val="259"/>
        </w:numPr>
        <w:jc w:val="both"/>
        <w:rPr>
          <w:rFonts w:ascii="Times New Roman" w:hAnsi="Times New Roman" w:cs="Times New Roman"/>
          <w:sz w:val="24"/>
          <w:szCs w:val="24"/>
          <w:lang w:val="da-DK"/>
        </w:rPr>
      </w:pPr>
      <w:r w:rsidRPr="00F261A6">
        <w:rPr>
          <w:rFonts w:ascii="Times New Roman" w:hAnsi="Times New Roman" w:cs="Times New Roman"/>
          <w:sz w:val="24"/>
          <w:szCs w:val="24"/>
          <w:lang w:val="da-DK"/>
        </w:rPr>
        <w:t>the Serbian Energy Modelling System (SEMS), based on the TIMES framework, covering the development of the whole of the energy system,</w:t>
      </w:r>
    </w:p>
    <w:p w14:paraId="5ED845A4" w14:textId="77777777" w:rsidR="00614438" w:rsidRPr="00F261A6" w:rsidRDefault="00614438" w:rsidP="00485CA7">
      <w:pPr>
        <w:pStyle w:val="ListParagraph"/>
        <w:numPr>
          <w:ilvl w:val="0"/>
          <w:numId w:val="259"/>
        </w:numPr>
        <w:jc w:val="both"/>
        <w:rPr>
          <w:rFonts w:ascii="Times New Roman" w:hAnsi="Times New Roman" w:cs="Times New Roman"/>
          <w:sz w:val="24"/>
          <w:szCs w:val="24"/>
          <w:lang w:val="da-DK"/>
        </w:rPr>
      </w:pPr>
      <w:r w:rsidRPr="00F261A6">
        <w:rPr>
          <w:rFonts w:ascii="Times New Roman" w:hAnsi="Times New Roman" w:cs="Times New Roman"/>
          <w:sz w:val="24"/>
          <w:szCs w:val="24"/>
          <w:lang w:val="da-DK"/>
        </w:rPr>
        <w:t>a macro-economic analysis tool based on the Mitigation, Adaptation and New Technologies Applied General Equilibrium (MANAGE) Model, and</w:t>
      </w:r>
    </w:p>
    <w:p w14:paraId="29F492E0" w14:textId="77777777" w:rsidR="00614438" w:rsidRPr="00F261A6" w:rsidRDefault="00614438" w:rsidP="00485CA7">
      <w:pPr>
        <w:pStyle w:val="ListParagraph"/>
        <w:numPr>
          <w:ilvl w:val="0"/>
          <w:numId w:val="259"/>
        </w:numPr>
        <w:jc w:val="both"/>
        <w:rPr>
          <w:rFonts w:ascii="Times New Roman" w:hAnsi="Times New Roman" w:cs="Times New Roman"/>
          <w:sz w:val="24"/>
          <w:szCs w:val="24"/>
          <w:lang w:val="da-DK"/>
        </w:rPr>
      </w:pPr>
      <w:r w:rsidRPr="00F261A6">
        <w:rPr>
          <w:rFonts w:ascii="Times New Roman" w:hAnsi="Times New Roman" w:cs="Times New Roman"/>
          <w:sz w:val="24"/>
          <w:szCs w:val="24"/>
          <w:lang w:val="da-DK"/>
        </w:rPr>
        <w:t>a High-RES penetration power system analysis tool based on the ANTARES software.</w:t>
      </w:r>
    </w:p>
    <w:p w14:paraId="26B35D3D" w14:textId="77777777" w:rsidR="00614438" w:rsidRDefault="00614438" w:rsidP="00614438">
      <w:pPr>
        <w:jc w:val="both"/>
        <w:rPr>
          <w:rFonts w:ascii="Times New Roman" w:hAnsi="Times New Roman" w:cs="Times New Roman"/>
          <w:sz w:val="24"/>
          <w:szCs w:val="24"/>
          <w:lang w:val="da-DK"/>
        </w:rPr>
      </w:pPr>
      <w:r w:rsidRPr="00614438">
        <w:rPr>
          <w:rFonts w:ascii="Times New Roman" w:hAnsi="Times New Roman" w:cs="Times New Roman"/>
          <w:sz w:val="24"/>
          <w:szCs w:val="24"/>
          <w:lang w:val="da-DK"/>
        </w:rPr>
        <w:t>Details on the modelling suite implementation are given in Annex III</w:t>
      </w:r>
      <w:r w:rsidR="00CB3BDA">
        <w:rPr>
          <w:rFonts w:ascii="Times New Roman" w:hAnsi="Times New Roman" w:cs="Times New Roman"/>
          <w:sz w:val="24"/>
          <w:szCs w:val="24"/>
          <w:lang w:val="da-DK"/>
        </w:rPr>
        <w:t>: Q</w:t>
      </w:r>
      <w:r w:rsidR="00CB3BDA" w:rsidRPr="00614438">
        <w:rPr>
          <w:rFonts w:ascii="Times New Roman" w:hAnsi="Times New Roman" w:cs="Times New Roman"/>
          <w:sz w:val="24"/>
          <w:szCs w:val="24"/>
          <w:lang w:val="da-DK"/>
        </w:rPr>
        <w:t xml:space="preserve">uantitative </w:t>
      </w:r>
      <w:r w:rsidR="00CB3BDA">
        <w:rPr>
          <w:rFonts w:ascii="Times New Roman" w:hAnsi="Times New Roman" w:cs="Times New Roman"/>
          <w:sz w:val="24"/>
          <w:szCs w:val="24"/>
          <w:lang w:val="da-DK"/>
        </w:rPr>
        <w:t>A</w:t>
      </w:r>
      <w:r w:rsidR="00CB3BDA" w:rsidRPr="00614438">
        <w:rPr>
          <w:rFonts w:ascii="Times New Roman" w:hAnsi="Times New Roman" w:cs="Times New Roman"/>
          <w:sz w:val="24"/>
          <w:szCs w:val="24"/>
          <w:lang w:val="da-DK"/>
        </w:rPr>
        <w:t>nalysis</w:t>
      </w:r>
      <w:r w:rsidR="00CB3BDA">
        <w:rPr>
          <w:rFonts w:ascii="Times New Roman" w:hAnsi="Times New Roman" w:cs="Times New Roman"/>
          <w:sz w:val="24"/>
          <w:szCs w:val="24"/>
          <w:lang w:val="da-DK"/>
        </w:rPr>
        <w:t xml:space="preserve"> Tools. </w:t>
      </w:r>
    </w:p>
    <w:p w14:paraId="4A0CBA09" w14:textId="77777777" w:rsidR="00CB3BDA" w:rsidRPr="00614438" w:rsidRDefault="00CB3BDA" w:rsidP="00614438">
      <w:pPr>
        <w:jc w:val="both"/>
        <w:rPr>
          <w:rFonts w:ascii="Times New Roman" w:hAnsi="Times New Roman" w:cs="Times New Roman"/>
          <w:sz w:val="24"/>
          <w:szCs w:val="24"/>
          <w:lang w:val="da-DK"/>
        </w:rPr>
      </w:pPr>
    </w:p>
    <w:p w14:paraId="6549D30B" w14:textId="77777777" w:rsidR="00614438" w:rsidRPr="00614438" w:rsidRDefault="00CB3BDA" w:rsidP="00CB3BDA">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1.1.2 </w:t>
      </w:r>
      <w:r w:rsidR="00614438" w:rsidRPr="00614438">
        <w:rPr>
          <w:rFonts w:ascii="Times New Roman" w:hAnsi="Times New Roman" w:cs="Times New Roman"/>
          <w:sz w:val="24"/>
          <w:szCs w:val="24"/>
          <w:lang w:val="en-GB"/>
        </w:rPr>
        <w:t>Strategy relating to the five dimensions of the Energy Union</w:t>
      </w:r>
    </w:p>
    <w:p w14:paraId="5C323CCA" w14:textId="77777777" w:rsidR="00614438" w:rsidRPr="00614438" w:rsidRDefault="00614438" w:rsidP="00CB3BD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INECP has to take a holistic approach and address the five dimensions in an integrated way, as per provisions of the Rulebook on the detailed content and guidelines for determining the national goals of the Integrated National Energy and Climate Plan, the method of its preparation and reporting on its implementation</w:t>
      </w:r>
      <w:r w:rsidR="00CB3BDA">
        <w:rPr>
          <w:rFonts w:ascii="Times New Roman" w:hAnsi="Times New Roman" w:cs="Times New Roman"/>
          <w:sz w:val="24"/>
          <w:szCs w:val="24"/>
          <w:lang w:val="en-GB"/>
        </w:rPr>
        <w:t xml:space="preserve"> (Official Gazette of RS, no. 49/22)</w:t>
      </w:r>
      <w:r w:rsidRPr="00614438">
        <w:rPr>
          <w:rFonts w:ascii="Times New Roman" w:hAnsi="Times New Roman" w:cs="Times New Roman"/>
          <w:sz w:val="24"/>
          <w:szCs w:val="24"/>
          <w:lang w:val="en-GB"/>
        </w:rPr>
        <w:t>:</w:t>
      </w:r>
    </w:p>
    <w:p w14:paraId="0E52EB86" w14:textId="77777777" w:rsidR="00614438" w:rsidRPr="00CB3BDA" w:rsidRDefault="00614438" w:rsidP="00485CA7">
      <w:pPr>
        <w:pStyle w:val="ListParagraph"/>
        <w:numPr>
          <w:ilvl w:val="0"/>
          <w:numId w:val="260"/>
        </w:numPr>
        <w:jc w:val="both"/>
        <w:rPr>
          <w:rFonts w:ascii="Times New Roman" w:hAnsi="Times New Roman" w:cs="Times New Roman"/>
          <w:sz w:val="24"/>
          <w:szCs w:val="24"/>
        </w:rPr>
      </w:pPr>
      <w:r w:rsidRPr="00CB3BDA">
        <w:rPr>
          <w:rFonts w:ascii="Times New Roman" w:hAnsi="Times New Roman" w:cs="Times New Roman"/>
          <w:sz w:val="24"/>
          <w:szCs w:val="24"/>
        </w:rPr>
        <w:t>Decarbonisation presents specific area regarding the aim to present the country’s commitment towards the climate action and decarbonising the economy, with specific focus on the increased use of renewable energy sources and reduction of carbon footprint.</w:t>
      </w:r>
    </w:p>
    <w:p w14:paraId="1E223ADD" w14:textId="77777777" w:rsidR="00614438" w:rsidRPr="00614438" w:rsidRDefault="00614438" w:rsidP="001D7898">
      <w:pPr>
        <w:numPr>
          <w:ilvl w:val="0"/>
          <w:numId w:val="7"/>
        </w:numPr>
        <w:jc w:val="both"/>
        <w:rPr>
          <w:rFonts w:ascii="Times New Roman" w:hAnsi="Times New Roman" w:cs="Times New Roman"/>
          <w:sz w:val="24"/>
          <w:szCs w:val="24"/>
        </w:rPr>
      </w:pPr>
      <w:r w:rsidRPr="00614438">
        <w:rPr>
          <w:rFonts w:ascii="Times New Roman" w:hAnsi="Times New Roman" w:cs="Times New Roman"/>
          <w:sz w:val="24"/>
          <w:szCs w:val="24"/>
        </w:rPr>
        <w:t>Greenhouse Gas (GHG) Emissions presents specific sub-area regarding the aim to present the country’s commitment towards reduction of energy-related and non-energy-related emissions.</w:t>
      </w:r>
    </w:p>
    <w:p w14:paraId="2238F931" w14:textId="77777777" w:rsidR="00614438" w:rsidRPr="00614438" w:rsidRDefault="00614438" w:rsidP="001D7898">
      <w:pPr>
        <w:numPr>
          <w:ilvl w:val="0"/>
          <w:numId w:val="7"/>
        </w:numPr>
        <w:jc w:val="both"/>
        <w:rPr>
          <w:rFonts w:ascii="Times New Roman" w:hAnsi="Times New Roman" w:cs="Times New Roman"/>
          <w:sz w:val="24"/>
          <w:szCs w:val="24"/>
        </w:rPr>
      </w:pPr>
      <w:r w:rsidRPr="00614438">
        <w:rPr>
          <w:rFonts w:ascii="Times New Roman" w:hAnsi="Times New Roman" w:cs="Times New Roman"/>
          <w:sz w:val="24"/>
          <w:szCs w:val="24"/>
        </w:rPr>
        <w:t>Renewable Energy Sources (RES) presents specific sub-area regarding the aim to present the country’s commitment towards boosting the deployment of renewables by keeping up with increasing energy consumption and addressing the transformation issue of the existing energy system in terms of technology transition.</w:t>
      </w:r>
    </w:p>
    <w:p w14:paraId="7EBC9C85" w14:textId="77777777" w:rsidR="00614438" w:rsidRDefault="00614438" w:rsidP="00485CA7">
      <w:pPr>
        <w:pStyle w:val="ListParagraph"/>
        <w:numPr>
          <w:ilvl w:val="0"/>
          <w:numId w:val="260"/>
        </w:numPr>
        <w:jc w:val="both"/>
        <w:rPr>
          <w:rFonts w:ascii="Times New Roman" w:hAnsi="Times New Roman" w:cs="Times New Roman"/>
          <w:sz w:val="24"/>
          <w:szCs w:val="24"/>
        </w:rPr>
      </w:pPr>
      <w:r w:rsidRPr="00CB3BDA">
        <w:rPr>
          <w:rFonts w:ascii="Times New Roman" w:hAnsi="Times New Roman" w:cs="Times New Roman"/>
          <w:sz w:val="24"/>
          <w:szCs w:val="24"/>
        </w:rPr>
        <w:t>Energy Efficiency presents specific sub-area regarding the aim to present the country’s commitment towards increased energy efficiency across all sectors, with emphasis on industrial, transport, construction, and agriculture sectors.</w:t>
      </w:r>
    </w:p>
    <w:p w14:paraId="24CDA4B6" w14:textId="77777777" w:rsidR="00CB3BDA" w:rsidRPr="00CB3BDA" w:rsidRDefault="00CB3BDA" w:rsidP="00714A81">
      <w:pPr>
        <w:pStyle w:val="ListParagraph"/>
        <w:jc w:val="both"/>
        <w:rPr>
          <w:rFonts w:ascii="Times New Roman" w:hAnsi="Times New Roman" w:cs="Times New Roman"/>
          <w:sz w:val="24"/>
          <w:szCs w:val="24"/>
        </w:rPr>
      </w:pPr>
    </w:p>
    <w:p w14:paraId="0034A07B" w14:textId="77777777" w:rsidR="00714A81" w:rsidRDefault="00614438" w:rsidP="00485CA7">
      <w:pPr>
        <w:pStyle w:val="ListParagraph"/>
        <w:numPr>
          <w:ilvl w:val="0"/>
          <w:numId w:val="260"/>
        </w:numPr>
        <w:spacing w:before="240"/>
        <w:jc w:val="both"/>
        <w:rPr>
          <w:rFonts w:ascii="Times New Roman" w:hAnsi="Times New Roman" w:cs="Times New Roman"/>
          <w:sz w:val="24"/>
          <w:szCs w:val="24"/>
        </w:rPr>
      </w:pPr>
      <w:r w:rsidRPr="00CB3BDA">
        <w:rPr>
          <w:rFonts w:ascii="Times New Roman" w:hAnsi="Times New Roman" w:cs="Times New Roman"/>
          <w:sz w:val="24"/>
          <w:szCs w:val="24"/>
        </w:rPr>
        <w:t>Energy Security presents specific area regarding the aim to present the country’s commitment towards diversifying sources of energy and ensuring security of supply through solidarity and cooperation between EU and Energy Community (EnC) countries.</w:t>
      </w:r>
    </w:p>
    <w:p w14:paraId="7DFD314C" w14:textId="77777777" w:rsidR="00714A81" w:rsidRPr="00714A81" w:rsidRDefault="00714A81" w:rsidP="00714A81">
      <w:pPr>
        <w:pStyle w:val="ListParagraph"/>
        <w:rPr>
          <w:rFonts w:ascii="Times New Roman" w:hAnsi="Times New Roman" w:cs="Times New Roman"/>
          <w:sz w:val="24"/>
          <w:szCs w:val="24"/>
        </w:rPr>
      </w:pPr>
    </w:p>
    <w:p w14:paraId="75592DAA" w14:textId="77777777" w:rsidR="00614438" w:rsidRDefault="00614438" w:rsidP="00485CA7">
      <w:pPr>
        <w:pStyle w:val="ListParagraph"/>
        <w:numPr>
          <w:ilvl w:val="0"/>
          <w:numId w:val="260"/>
        </w:numPr>
        <w:spacing w:before="240"/>
        <w:jc w:val="both"/>
        <w:rPr>
          <w:rFonts w:ascii="Times New Roman" w:hAnsi="Times New Roman" w:cs="Times New Roman"/>
          <w:sz w:val="24"/>
          <w:szCs w:val="24"/>
        </w:rPr>
      </w:pPr>
      <w:r w:rsidRPr="00CB3BDA">
        <w:rPr>
          <w:rFonts w:ascii="Times New Roman" w:hAnsi="Times New Roman" w:cs="Times New Roman"/>
          <w:sz w:val="24"/>
          <w:szCs w:val="24"/>
        </w:rPr>
        <w:t>Internal Energy Market presents specific area regarding the aim to present the country’s commitment towards creation of fully integrated and functional market, enabling the free flow of energy through the Energy Community and European Union by the adequate infrastructure and without technical or regulatory barriers.</w:t>
      </w:r>
    </w:p>
    <w:p w14:paraId="7939C120" w14:textId="77777777" w:rsidR="00714A81" w:rsidRPr="00714A81" w:rsidRDefault="00714A81" w:rsidP="00714A81">
      <w:pPr>
        <w:pStyle w:val="ListParagraph"/>
        <w:rPr>
          <w:rFonts w:ascii="Times New Roman" w:hAnsi="Times New Roman" w:cs="Times New Roman"/>
          <w:sz w:val="24"/>
          <w:szCs w:val="24"/>
        </w:rPr>
      </w:pPr>
    </w:p>
    <w:p w14:paraId="37B2D7E5" w14:textId="77777777" w:rsidR="00614438" w:rsidRPr="00714A81" w:rsidRDefault="00614438" w:rsidP="00485CA7">
      <w:pPr>
        <w:pStyle w:val="ListParagraph"/>
        <w:numPr>
          <w:ilvl w:val="0"/>
          <w:numId w:val="260"/>
        </w:numPr>
        <w:jc w:val="both"/>
        <w:rPr>
          <w:rFonts w:ascii="Times New Roman" w:hAnsi="Times New Roman" w:cs="Times New Roman"/>
          <w:sz w:val="24"/>
          <w:szCs w:val="24"/>
        </w:rPr>
      </w:pPr>
      <w:r w:rsidRPr="00714A81">
        <w:rPr>
          <w:rFonts w:ascii="Times New Roman" w:hAnsi="Times New Roman" w:cs="Times New Roman"/>
          <w:sz w:val="24"/>
          <w:szCs w:val="24"/>
        </w:rPr>
        <w:t>Research, Innovation and Competitiveness presents specific area regarding the aim to present the country’s commitment towards supporting breakthroughs in low-carbon and clean energy technologies.</w:t>
      </w:r>
    </w:p>
    <w:p w14:paraId="63113BFD" w14:textId="77777777" w:rsidR="00614438" w:rsidRDefault="00614438" w:rsidP="00714A81">
      <w:pPr>
        <w:ind w:firstLine="360"/>
        <w:jc w:val="both"/>
        <w:rPr>
          <w:rFonts w:ascii="Times New Roman" w:hAnsi="Times New Roman" w:cs="Times New Roman"/>
          <w:sz w:val="24"/>
          <w:szCs w:val="24"/>
        </w:rPr>
      </w:pPr>
      <w:r w:rsidRPr="00614438">
        <w:rPr>
          <w:rFonts w:ascii="Times New Roman" w:hAnsi="Times New Roman" w:cs="Times New Roman"/>
          <w:sz w:val="24"/>
          <w:szCs w:val="24"/>
        </w:rPr>
        <w:t xml:space="preserve">Strategic policy within the decarbonisation dimension includes definition of the national targets regarding the decarbonisation with the focus on the greenhouse gas (GHG) emissions reduction and share of energy from renewable sources in gross final consumption of energy. Based on the current </w:t>
      </w:r>
      <w:r w:rsidRPr="00614438">
        <w:rPr>
          <w:rFonts w:ascii="Times New Roman" w:hAnsi="Times New Roman" w:cs="Times New Roman"/>
          <w:sz w:val="24"/>
          <w:szCs w:val="24"/>
        </w:rPr>
        <w:lastRenderedPageBreak/>
        <w:t xml:space="preserve">situation, planned policy measures in the energy field, which generates about 80% of GHG emissions in the Republic of Serbia, will have a major contribution to decarbonisation process. Serbia’s Nationally Determined Contribution </w:t>
      </w:r>
      <w:r w:rsidR="0004542F">
        <w:rPr>
          <w:rFonts w:ascii="Times New Roman" w:hAnsi="Times New Roman" w:cs="Times New Roman"/>
          <w:sz w:val="24"/>
          <w:szCs w:val="24"/>
        </w:rPr>
        <w:t xml:space="preserve">for the period 2021-2030 </w:t>
      </w:r>
      <w:r w:rsidRPr="00614438">
        <w:rPr>
          <w:rFonts w:ascii="Times New Roman" w:hAnsi="Times New Roman" w:cs="Times New Roman"/>
          <w:sz w:val="24"/>
          <w:szCs w:val="24"/>
        </w:rPr>
        <w:t xml:space="preserve">to the Paris Agreement is submitted to UNFCCC and National Emission Reduction Plan </w:t>
      </w:r>
      <w:r w:rsidR="0004542F" w:rsidRPr="0004542F">
        <w:rPr>
          <w:rFonts w:ascii="Times New Roman" w:hAnsi="Times New Roman" w:cs="Times New Roman"/>
          <w:sz w:val="24"/>
          <w:szCs w:val="24"/>
        </w:rPr>
        <w:t xml:space="preserve">of the main pollutants originating from old large combustion plants </w:t>
      </w:r>
      <w:r w:rsidRPr="00614438">
        <w:rPr>
          <w:rFonts w:ascii="Times New Roman" w:hAnsi="Times New Roman" w:cs="Times New Roman"/>
          <w:sz w:val="24"/>
          <w:szCs w:val="24"/>
        </w:rPr>
        <w:t>shall be implemented in practice for sulphur dioxide, nitrogen oxide</w:t>
      </w:r>
      <w:r w:rsidR="0004542F">
        <w:rPr>
          <w:rFonts w:ascii="Times New Roman" w:hAnsi="Times New Roman" w:cs="Times New Roman"/>
          <w:sz w:val="24"/>
          <w:szCs w:val="24"/>
        </w:rPr>
        <w:t>s</w:t>
      </w:r>
      <w:r w:rsidRPr="00614438">
        <w:rPr>
          <w:rFonts w:ascii="Times New Roman" w:hAnsi="Times New Roman" w:cs="Times New Roman"/>
          <w:sz w:val="24"/>
          <w:szCs w:val="24"/>
        </w:rPr>
        <w:t xml:space="preserve"> and industrial dust. The majority of the policy measures are intended for the energy sector such as promotion of renewable energy sources and energy efficiency, </w:t>
      </w:r>
      <w:r w:rsidR="0004542F">
        <w:rPr>
          <w:rFonts w:ascii="Times New Roman" w:hAnsi="Times New Roman" w:cs="Times New Roman"/>
          <w:sz w:val="24"/>
          <w:szCs w:val="24"/>
        </w:rPr>
        <w:t>and the</w:t>
      </w:r>
      <w:r w:rsidRPr="00614438">
        <w:rPr>
          <w:rFonts w:ascii="Times New Roman" w:hAnsi="Times New Roman" w:cs="Times New Roman"/>
          <w:sz w:val="24"/>
          <w:szCs w:val="24"/>
        </w:rPr>
        <w:t xml:space="preserve"> implementation </w:t>
      </w:r>
      <w:r w:rsidR="0004542F">
        <w:rPr>
          <w:rFonts w:ascii="Times New Roman" w:hAnsi="Times New Roman" w:cs="Times New Roman"/>
          <w:sz w:val="24"/>
          <w:szCs w:val="24"/>
        </w:rPr>
        <w:t xml:space="preserve">of these measures </w:t>
      </w:r>
      <w:r w:rsidRPr="00614438">
        <w:rPr>
          <w:rFonts w:ascii="Times New Roman" w:hAnsi="Times New Roman" w:cs="Times New Roman"/>
          <w:sz w:val="24"/>
          <w:szCs w:val="24"/>
        </w:rPr>
        <w:t>will lead to overall GHG emissions reduction.</w:t>
      </w:r>
    </w:p>
    <w:p w14:paraId="273743E9" w14:textId="77777777" w:rsidR="00614438" w:rsidRPr="00614438" w:rsidRDefault="00614438" w:rsidP="0004542F">
      <w:pPr>
        <w:ind w:firstLine="360"/>
        <w:jc w:val="both"/>
        <w:rPr>
          <w:rFonts w:ascii="Times New Roman" w:hAnsi="Times New Roman" w:cs="Times New Roman"/>
          <w:sz w:val="24"/>
          <w:szCs w:val="24"/>
        </w:rPr>
      </w:pPr>
      <w:r w:rsidRPr="00614438">
        <w:rPr>
          <w:rFonts w:ascii="Times New Roman" w:hAnsi="Times New Roman" w:cs="Times New Roman"/>
          <w:sz w:val="24"/>
          <w:szCs w:val="24"/>
        </w:rPr>
        <w:t xml:space="preserve">Definition of the national targets regarding the energy efficiency dimension focuses on the improvement of energy efficiency </w:t>
      </w:r>
      <w:r w:rsidR="0004542F">
        <w:rPr>
          <w:rFonts w:ascii="Times New Roman" w:hAnsi="Times New Roman" w:cs="Times New Roman"/>
          <w:sz w:val="24"/>
          <w:szCs w:val="24"/>
        </w:rPr>
        <w:t xml:space="preserve">which </w:t>
      </w:r>
      <w:r w:rsidRPr="00614438">
        <w:rPr>
          <w:rFonts w:ascii="Times New Roman" w:hAnsi="Times New Roman" w:cs="Times New Roman"/>
          <w:sz w:val="24"/>
          <w:szCs w:val="24"/>
        </w:rPr>
        <w:t>can be expressed either through primary or final energy consumption, primary or final energy savings, or through energy intensity, as well as through the cumulative amount of end-use energy savings. It is important to provide indicative milestones of the long-term strategy for the renovation of the national stock of residential and non-residential buildings, both public and private, the roadmap with domestically established measurable progress indicators, an evidence-based estimate of expected energy savings and wider benefits, and the total floor area to be renovated or equivalent annual energy savings in accordance with long-term strategy for renovation of national stock of residential and non-residential buildings.</w:t>
      </w:r>
    </w:p>
    <w:p w14:paraId="0E3503CF" w14:textId="77777777" w:rsidR="00614438" w:rsidRPr="00614438" w:rsidRDefault="00614438" w:rsidP="0004542F">
      <w:pPr>
        <w:ind w:firstLine="360"/>
        <w:jc w:val="both"/>
        <w:rPr>
          <w:rFonts w:ascii="Times New Roman" w:hAnsi="Times New Roman" w:cs="Times New Roman"/>
          <w:sz w:val="24"/>
          <w:szCs w:val="24"/>
        </w:rPr>
      </w:pPr>
      <w:r w:rsidRPr="00614438">
        <w:rPr>
          <w:rFonts w:ascii="Times New Roman" w:hAnsi="Times New Roman" w:cs="Times New Roman"/>
          <w:sz w:val="24"/>
          <w:szCs w:val="24"/>
        </w:rPr>
        <w:t xml:space="preserve">In the building sector a well-balanced mixture of policy measures, financing, fiscal and regulatory measures, will be implemented in order to support the energy renovation of the building stock and to attain the specified renovation rate. Financial support is necessary to be provided for fostering the energy upgrade of the residential and non-residential buildings. Furthermore, the most cost-effective individual heating and cooling technologies will be promoted through specialised instruments. </w:t>
      </w:r>
      <w:r w:rsidR="0004542F">
        <w:rPr>
          <w:rFonts w:ascii="Times New Roman" w:hAnsi="Times New Roman" w:cs="Times New Roman"/>
          <w:sz w:val="24"/>
          <w:szCs w:val="24"/>
        </w:rPr>
        <w:t>In</w:t>
      </w:r>
      <w:r w:rsidRPr="00614438">
        <w:rPr>
          <w:rFonts w:ascii="Times New Roman" w:hAnsi="Times New Roman" w:cs="Times New Roman"/>
          <w:sz w:val="24"/>
          <w:szCs w:val="24"/>
        </w:rPr>
        <w:t xml:space="preserve"> the case of the non-residential buildings, the planned programs will focus on measures for energy efficiency improvements taking into consideration their energy saving potential and economic effects. In the transport sector, the main instrument of support will be the provision of tax incentives for the purchase of energy-efficient vehicles in passenger and freight transport, as well as the extension of public transport infrastructure and infrastructure for promoted types of alternative fuels. Energy efficiency projects in the industrial sector will be implemented through targeted support schemes through various financial and fiscal instruments, applying the best available technologies and by establishing energy-efficient industrial-business zones. Specialized financial incentives will be applied in the agricultural sector to improve the energy efficiency of agricultural machinery and infrastructure, to promote the production and exploitation of biomass and other RES, and to provide advisory services to farmers.</w:t>
      </w:r>
    </w:p>
    <w:p w14:paraId="22DFDE96" w14:textId="77777777" w:rsidR="00614438" w:rsidRPr="00614438" w:rsidRDefault="00614438" w:rsidP="0004542F">
      <w:pPr>
        <w:ind w:firstLine="360"/>
        <w:jc w:val="both"/>
        <w:rPr>
          <w:rFonts w:ascii="Times New Roman" w:hAnsi="Times New Roman" w:cs="Times New Roman"/>
          <w:sz w:val="24"/>
          <w:szCs w:val="24"/>
        </w:rPr>
      </w:pPr>
      <w:r w:rsidRPr="00614438">
        <w:rPr>
          <w:rFonts w:ascii="Times New Roman" w:hAnsi="Times New Roman" w:cs="Times New Roman"/>
          <w:sz w:val="24"/>
          <w:szCs w:val="24"/>
        </w:rPr>
        <w:t>The energy security dimension aims to define national targets related to increasing the diversification of energy sources and supply from third countries</w:t>
      </w:r>
      <w:r w:rsidR="0004542F">
        <w:rPr>
          <w:rFonts w:ascii="Times New Roman" w:hAnsi="Times New Roman" w:cs="Times New Roman"/>
          <w:sz w:val="24"/>
          <w:szCs w:val="24"/>
        </w:rPr>
        <w:t>,</w:t>
      </w:r>
      <w:r w:rsidRPr="00614438">
        <w:rPr>
          <w:rFonts w:ascii="Times New Roman" w:hAnsi="Times New Roman" w:cs="Times New Roman"/>
          <w:sz w:val="24"/>
          <w:szCs w:val="24"/>
        </w:rPr>
        <w:t xml:space="preserve"> the purpose of which may be to reduce energy import dependency, increas</w:t>
      </w:r>
      <w:r w:rsidR="00FF7D30">
        <w:rPr>
          <w:rFonts w:ascii="Times New Roman" w:hAnsi="Times New Roman" w:cs="Times New Roman"/>
          <w:sz w:val="24"/>
          <w:szCs w:val="24"/>
        </w:rPr>
        <w:t>e</w:t>
      </w:r>
      <w:r w:rsidRPr="00614438">
        <w:rPr>
          <w:rFonts w:ascii="Times New Roman" w:hAnsi="Times New Roman" w:cs="Times New Roman"/>
          <w:sz w:val="24"/>
          <w:szCs w:val="24"/>
        </w:rPr>
        <w:t xml:space="preserve"> the flexibility of the national energy system and address </w:t>
      </w:r>
      <w:r w:rsidR="00FF7D30">
        <w:rPr>
          <w:rFonts w:ascii="Times New Roman" w:hAnsi="Times New Roman" w:cs="Times New Roman"/>
          <w:sz w:val="24"/>
          <w:szCs w:val="24"/>
        </w:rPr>
        <w:t xml:space="preserve">a </w:t>
      </w:r>
      <w:r w:rsidRPr="00614438">
        <w:rPr>
          <w:rFonts w:ascii="Times New Roman" w:hAnsi="Times New Roman" w:cs="Times New Roman"/>
          <w:sz w:val="24"/>
          <w:szCs w:val="24"/>
        </w:rPr>
        <w:t>constrained or interrupted supply of an energy source for the purpose of improving the resilience of regional and national energy systems. Based on the current situation, diversification of sources of natural gas supply is of utmost importance. Another component is the upgrade of existing storage capacities or construction of new. Diversification of energy sources is addressed also in other dimensions such as promotion of RES production alternatives and assurance of security of supply through higher interconnections and fostering of market integration.</w:t>
      </w:r>
    </w:p>
    <w:p w14:paraId="016AF7CA" w14:textId="77777777" w:rsidR="00614438" w:rsidRPr="00614438" w:rsidRDefault="00614438" w:rsidP="00FF7D30">
      <w:pPr>
        <w:ind w:firstLine="360"/>
        <w:jc w:val="both"/>
        <w:rPr>
          <w:rFonts w:ascii="Times New Roman" w:hAnsi="Times New Roman" w:cs="Times New Roman"/>
          <w:sz w:val="24"/>
          <w:szCs w:val="24"/>
        </w:rPr>
      </w:pPr>
      <w:r w:rsidRPr="00614438">
        <w:rPr>
          <w:rFonts w:ascii="Times New Roman" w:hAnsi="Times New Roman" w:cs="Times New Roman"/>
          <w:sz w:val="24"/>
          <w:szCs w:val="24"/>
        </w:rPr>
        <w:t xml:space="preserve">Concerning internal energy market, Serbia shall strive </w:t>
      </w:r>
      <w:r w:rsidR="00FF7D30">
        <w:rPr>
          <w:rFonts w:ascii="Times New Roman" w:hAnsi="Times New Roman" w:cs="Times New Roman"/>
          <w:sz w:val="24"/>
          <w:szCs w:val="24"/>
        </w:rPr>
        <w:t xml:space="preserve">to achieve a certain </w:t>
      </w:r>
      <w:r w:rsidRPr="00614438">
        <w:rPr>
          <w:rFonts w:ascii="Times New Roman" w:hAnsi="Times New Roman" w:cs="Times New Roman"/>
          <w:sz w:val="24"/>
          <w:szCs w:val="24"/>
        </w:rPr>
        <w:t xml:space="preserve">level of </w:t>
      </w:r>
      <w:r w:rsidR="00FF7D30">
        <w:rPr>
          <w:rFonts w:ascii="Times New Roman" w:hAnsi="Times New Roman" w:cs="Times New Roman"/>
          <w:sz w:val="24"/>
          <w:szCs w:val="24"/>
        </w:rPr>
        <w:t xml:space="preserve">regional </w:t>
      </w:r>
      <w:r w:rsidRPr="00614438">
        <w:rPr>
          <w:rFonts w:ascii="Times New Roman" w:hAnsi="Times New Roman" w:cs="Times New Roman"/>
          <w:sz w:val="24"/>
          <w:szCs w:val="24"/>
        </w:rPr>
        <w:t xml:space="preserve">electricity interconnectivity, key electricity and gas transmission infrastructure projects, modernisation projects and main infrastructure projects envisaged other than Projects of Common Interest (PCIs). Furthermore, national objectives related to other aspects of the internal energy market </w:t>
      </w:r>
      <w:r w:rsidRPr="00614438">
        <w:rPr>
          <w:rFonts w:ascii="Times New Roman" w:hAnsi="Times New Roman" w:cs="Times New Roman"/>
          <w:sz w:val="24"/>
          <w:szCs w:val="24"/>
        </w:rPr>
        <w:lastRenderedPageBreak/>
        <w:t>such as increasing system flexibility, in particular related to the promotion of competitively determined electricity prices in line with relevant sectoral law, market integration and coupling, aimed at increasing the tradeable capacity of existing interconnectors, smart grids, aggregation, demand response, storage, distributed generation, mechanisms for dispatching, re-dispatching and curtailment, and real-time price signals. The country will ensure achievement of national objectives with regard to electricity system adequacy, as well as for the flexibility of the energy system with integration of renewable energy production, while maintaining a low level of energy poverty and developing a program for vulnerable costumers.</w:t>
      </w:r>
    </w:p>
    <w:p w14:paraId="7FB0A4F2" w14:textId="77777777" w:rsidR="00614438" w:rsidRDefault="00614438" w:rsidP="00FF7D30">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terms of research, innovation and competitiveness dimension, definition of the targets regarding the energy security has to focus on national objectives and funding targets for public and private research and innovation, as well as national 2050 objectives related to the promotion of clean energy technologies. Within research and innovation, an indicative number of proposed policy measures is provided to: increase the number of innovative start-ups, high-tech and intensive sectors in line with the Strategy for Smart Specialisation, improve effectiveness of research by placing an emphasis on results and providing incentives, develop skills that boost the commercial viability and to support the cooperation between research institutes and businesses in the technology transfer and exploitation of research results. Total expenditures for research and development activities in 2020 amounted to 0.91% of Gross Domestic Product (GDP). The Republic of Serbia shall strive for research and innovation </w:t>
      </w:r>
      <w:r w:rsidR="00FF7D30">
        <w:rPr>
          <w:rFonts w:ascii="Times New Roman" w:hAnsi="Times New Roman" w:cs="Times New Roman"/>
          <w:sz w:val="24"/>
          <w:szCs w:val="24"/>
          <w:lang w:val="en-GB"/>
        </w:rPr>
        <w:t xml:space="preserve">to be recognized </w:t>
      </w:r>
      <w:r w:rsidRPr="00614438">
        <w:rPr>
          <w:rFonts w:ascii="Times New Roman" w:hAnsi="Times New Roman" w:cs="Times New Roman"/>
          <w:sz w:val="24"/>
          <w:szCs w:val="24"/>
          <w:lang w:val="en-GB"/>
        </w:rPr>
        <w:t xml:space="preserve">as an opportunity to enhance the competitiveness of its national economy, </w:t>
      </w:r>
      <w:r w:rsidR="00FF7D30">
        <w:rPr>
          <w:rFonts w:ascii="Times New Roman" w:hAnsi="Times New Roman" w:cs="Times New Roman"/>
          <w:sz w:val="24"/>
          <w:szCs w:val="24"/>
          <w:lang w:val="en-GB"/>
        </w:rPr>
        <w:t>thus being</w:t>
      </w:r>
      <w:r w:rsidRPr="00614438">
        <w:rPr>
          <w:rFonts w:ascii="Times New Roman" w:hAnsi="Times New Roman" w:cs="Times New Roman"/>
          <w:sz w:val="24"/>
          <w:szCs w:val="24"/>
          <w:lang w:val="en-GB"/>
        </w:rPr>
        <w:t xml:space="preserve"> a driver for economic growth and job creation.</w:t>
      </w:r>
    </w:p>
    <w:p w14:paraId="36B4CA55" w14:textId="77777777" w:rsidR="00FF7D30" w:rsidRPr="00614438" w:rsidRDefault="00FF7D30" w:rsidP="00FF7D30">
      <w:pPr>
        <w:ind w:firstLine="360"/>
        <w:jc w:val="both"/>
        <w:rPr>
          <w:rFonts w:ascii="Times New Roman" w:hAnsi="Times New Roman" w:cs="Times New Roman"/>
          <w:sz w:val="24"/>
          <w:szCs w:val="24"/>
          <w:lang w:val="en-GB"/>
        </w:rPr>
      </w:pPr>
    </w:p>
    <w:p w14:paraId="50C2EBFB" w14:textId="77777777" w:rsidR="00614438" w:rsidRPr="00614438" w:rsidRDefault="00FF7D30" w:rsidP="00FF7D30">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1.1.3 </w:t>
      </w:r>
      <w:r w:rsidR="00614438" w:rsidRPr="00614438">
        <w:rPr>
          <w:rFonts w:ascii="Times New Roman" w:hAnsi="Times New Roman" w:cs="Times New Roman"/>
          <w:sz w:val="24"/>
          <w:szCs w:val="24"/>
          <w:lang w:val="en-GB"/>
        </w:rPr>
        <w:t>Key objectives and priorities of the plan</w:t>
      </w:r>
    </w:p>
    <w:p w14:paraId="60E3D280" w14:textId="77777777" w:rsidR="00614438" w:rsidRPr="00614438" w:rsidRDefault="00614438" w:rsidP="00C75849">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main pillars of the INECP comprise an increased penetration of RES in Serbia’s energy mix along with targeted energy efficiency measures aiming to reduce the final energy consumption by increasing energy performance. This clean energy transition pathway tends to enhance the country’s energy security, </w:t>
      </w:r>
      <w:r w:rsidR="00C75849">
        <w:rPr>
          <w:rFonts w:ascii="Times New Roman" w:hAnsi="Times New Roman" w:cs="Times New Roman"/>
          <w:sz w:val="24"/>
          <w:szCs w:val="24"/>
          <w:lang w:val="en-GB"/>
        </w:rPr>
        <w:t xml:space="preserve">to </w:t>
      </w:r>
      <w:r w:rsidRPr="00614438">
        <w:rPr>
          <w:rFonts w:ascii="Times New Roman" w:hAnsi="Times New Roman" w:cs="Times New Roman"/>
          <w:sz w:val="24"/>
          <w:szCs w:val="24"/>
          <w:lang w:val="en-GB"/>
        </w:rPr>
        <w:t>safeguard its energy dependency while ensuring a realistic reduction of lignite use, contributing to a meaningful reduction of the GHG emissions by 2030.</w:t>
      </w:r>
    </w:p>
    <w:p w14:paraId="1F0F5BEF" w14:textId="77777777" w:rsidR="00614438" w:rsidRPr="00614438" w:rsidRDefault="00614438" w:rsidP="00C75849">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increased penetration of RES will constitute one of the most important objectives of the INECP for the Republic of Serbia reaching 33.6% share in the gross final energy consumption. RES will be considered as the major domestic source of electricity production with a share reaching 45% of the gross final electricity consumption in 2030 achieved mainly through the most cost-effective exploitation of the available potential for the case of wind and photovoltaic energy.</w:t>
      </w:r>
    </w:p>
    <w:p w14:paraId="2B4694BA" w14:textId="77777777" w:rsidR="00614438" w:rsidRPr="00614438" w:rsidRDefault="00614438" w:rsidP="00C75849">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efficient and regionally integrated operation of the new day-ahead electricity market, including the importance of merging the regional electricity market with the European electricity market, the simplification and acceleration of the licensing procedure, the digitization of the energy system, the enhancement and expansion of the existing electricity grid and its interconnections, the market uptake of energy storage, distributed RE and demand response resources as well as the gradual electrification and the energy coupling of final consumption sectors are considered as prerequisites for the maximum penetration of RES.</w:t>
      </w:r>
    </w:p>
    <w:p w14:paraId="4DC46030" w14:textId="77777777" w:rsidR="00614438" w:rsidRPr="00614438" w:rsidRDefault="00614438" w:rsidP="0093039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increased interest of investors in Wind and PV installations, which is evident by the large number of applications, will ensure that the required new capacities will be installed by 2030 and the increase of the share from 30% in 2021 to 45% in 2030 can be achieved.</w:t>
      </w:r>
    </w:p>
    <w:p w14:paraId="01AAE942" w14:textId="77777777" w:rsidR="00614438" w:rsidRPr="00614438" w:rsidRDefault="00614438" w:rsidP="0093039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Another priority is the promotion of electromobility, which will rely considerably on the electricity production by RES, while considerable energy savings will be delivered contributing </w:t>
      </w:r>
      <w:r w:rsidRPr="00614438">
        <w:rPr>
          <w:rFonts w:ascii="Times New Roman" w:hAnsi="Times New Roman" w:cs="Times New Roman"/>
          <w:sz w:val="24"/>
          <w:szCs w:val="24"/>
          <w:lang w:val="en-GB"/>
        </w:rPr>
        <w:lastRenderedPageBreak/>
        <w:t>simultaneously to the attainment of the energy efficiency targets. Finally, the further exploitation of RES for the coverage of the thermal and cooling needs in buildings, the penetration of RES distributed technologies for electricity production and the promotion of advanced biofuels in transport sector consist additional priorities within the framework of the INECP for the further deployment of RES.</w:t>
      </w:r>
    </w:p>
    <w:p w14:paraId="14C337F6" w14:textId="77777777" w:rsidR="00614438" w:rsidRPr="00614438" w:rsidRDefault="00614438" w:rsidP="0093039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addition, the promotion of energy efficiency comprises a fundamental priority highlighting the necessity of implementing policies and measures that in turn demonstrate the most economically and socially effective approach for all </w:t>
      </w:r>
      <w:r w:rsidR="00930392">
        <w:rPr>
          <w:rFonts w:ascii="Times New Roman" w:hAnsi="Times New Roman" w:cs="Times New Roman"/>
          <w:sz w:val="24"/>
          <w:szCs w:val="24"/>
          <w:lang w:val="en-GB"/>
        </w:rPr>
        <w:t>forms of final energy consumption (FEC)</w:t>
      </w:r>
      <w:r w:rsidRPr="00614438">
        <w:rPr>
          <w:rFonts w:ascii="Times New Roman" w:hAnsi="Times New Roman" w:cs="Times New Roman"/>
          <w:sz w:val="24"/>
          <w:szCs w:val="24"/>
          <w:lang w:val="en-GB"/>
        </w:rPr>
        <w:t xml:space="preserve">. The </w:t>
      </w:r>
      <w:r w:rsidR="00930392">
        <w:rPr>
          <w:rFonts w:ascii="Times New Roman" w:hAnsi="Times New Roman" w:cs="Times New Roman"/>
          <w:sz w:val="24"/>
          <w:szCs w:val="24"/>
          <w:lang w:val="en-GB"/>
        </w:rPr>
        <w:t>FEC</w:t>
      </w:r>
      <w:r w:rsidRPr="00614438">
        <w:rPr>
          <w:rFonts w:ascii="Times New Roman" w:hAnsi="Times New Roman" w:cs="Times New Roman"/>
          <w:sz w:val="24"/>
          <w:szCs w:val="24"/>
          <w:lang w:val="en-GB"/>
        </w:rPr>
        <w:t xml:space="preserve"> in 2030 will amount to at most 9.6 Mtoe, while </w:t>
      </w:r>
      <w:bookmarkStart w:id="11" w:name="_Hlk137198414"/>
      <w:r w:rsidRPr="00614438">
        <w:rPr>
          <w:rFonts w:ascii="Times New Roman" w:hAnsi="Times New Roman" w:cs="Times New Roman"/>
          <w:sz w:val="24"/>
          <w:szCs w:val="24"/>
          <w:lang w:val="en-GB"/>
        </w:rPr>
        <w:t>the primary energy consumption will be equal to at most 14.68 Mtoe in 2030</w:t>
      </w:r>
      <w:bookmarkEnd w:id="11"/>
      <w:r w:rsidRPr="00614438">
        <w:rPr>
          <w:rFonts w:ascii="Times New Roman" w:hAnsi="Times New Roman" w:cs="Times New Roman"/>
          <w:sz w:val="24"/>
          <w:szCs w:val="24"/>
          <w:lang w:val="en-GB"/>
        </w:rPr>
        <w:t>. It should be noted that the improvement of the energy efficiency delivers additional multiple benefits, such as the reduction of the GHG emissions, the reduction of the energy costs, the improvement of the comfort conditions in buildings, the increase of the value added and employment</w:t>
      </w:r>
      <w:r w:rsidR="00930392">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the improvement of businesses’ competitiveness, </w:t>
      </w:r>
      <w:r w:rsidR="00930392">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reduction of poverty and increase in the value of housing stock.</w:t>
      </w:r>
    </w:p>
    <w:p w14:paraId="20468794" w14:textId="77777777" w:rsidR="00614438" w:rsidRPr="00614438" w:rsidRDefault="00614438" w:rsidP="0093039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renovation of buildings will contribute meaningfully to the fulfilment of the energy efficiency targets. Targeted policies and measures will be initiated to foster a renovation rate equal to 1% approximately on annual basis for the case of the residential buildings (according to the provisions of the </w:t>
      </w:r>
      <w:r w:rsidR="00930392" w:rsidRPr="00614438">
        <w:rPr>
          <w:rFonts w:ascii="Times New Roman" w:hAnsi="Times New Roman" w:cs="Times New Roman"/>
          <w:sz w:val="24"/>
          <w:szCs w:val="24"/>
          <w:lang w:val="en-GB"/>
        </w:rPr>
        <w:t>Long-Term</w:t>
      </w:r>
      <w:r w:rsidRPr="00614438">
        <w:rPr>
          <w:rFonts w:ascii="Times New Roman" w:hAnsi="Times New Roman" w:cs="Times New Roman"/>
          <w:sz w:val="24"/>
          <w:szCs w:val="24"/>
          <w:lang w:val="en-GB"/>
        </w:rPr>
        <w:t xml:space="preserve"> Buildings Renovation Strategy</w:t>
      </w:r>
      <w:r w:rsidR="00930392">
        <w:rPr>
          <w:rFonts w:ascii="Times New Roman" w:hAnsi="Times New Roman" w:cs="Times New Roman"/>
          <w:sz w:val="24"/>
          <w:szCs w:val="24"/>
          <w:lang w:val="en-GB"/>
        </w:rPr>
        <w:t xml:space="preserve"> (Official Gazette of RS 27/22)</w:t>
      </w:r>
      <w:r w:rsidRPr="00614438">
        <w:rPr>
          <w:rFonts w:ascii="Times New Roman" w:hAnsi="Times New Roman" w:cs="Times New Roman"/>
          <w:sz w:val="24"/>
          <w:szCs w:val="24"/>
          <w:lang w:val="en-GB"/>
        </w:rPr>
        <w:t>), 3% for the public buildings and 2.3% for the other non-residential buildings. Similarly, policies and measures are foreseen also for the industrial and transport sectors focusing on the promotion of the most cost-effective technologies and vehicles respectively.</w:t>
      </w:r>
    </w:p>
    <w:p w14:paraId="4CCBED84" w14:textId="77777777" w:rsidR="00614438" w:rsidRPr="00614438" w:rsidRDefault="00614438" w:rsidP="0093039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Emphasis will be </w:t>
      </w:r>
      <w:r w:rsidR="006B77F4">
        <w:rPr>
          <w:rFonts w:ascii="Times New Roman" w:hAnsi="Times New Roman" w:cs="Times New Roman"/>
          <w:sz w:val="24"/>
          <w:szCs w:val="24"/>
          <w:lang w:val="en-GB"/>
        </w:rPr>
        <w:t>put</w:t>
      </w:r>
      <w:r w:rsidRPr="00614438">
        <w:rPr>
          <w:rFonts w:ascii="Times New Roman" w:hAnsi="Times New Roman" w:cs="Times New Roman"/>
          <w:sz w:val="24"/>
          <w:szCs w:val="24"/>
          <w:lang w:val="en-GB"/>
        </w:rPr>
        <w:t xml:space="preserve"> on the optimal use of available public and own financial sources ensuring the maximization of the triggered benefits to the final consumers taking due consideration the specificities of each category of final consumers and of the characteristics of the energy sector.</w:t>
      </w:r>
    </w:p>
    <w:p w14:paraId="4663B5FF" w14:textId="77777777" w:rsidR="00614438" w:rsidRPr="00614438" w:rsidRDefault="00614438" w:rsidP="006B77F4">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Another essential objective within the framework of the INECP is the ambitious, </w:t>
      </w:r>
      <w:r w:rsidR="006B77F4">
        <w:rPr>
          <w:rFonts w:ascii="Times New Roman" w:hAnsi="Times New Roman" w:cs="Times New Roman"/>
          <w:sz w:val="24"/>
          <w:szCs w:val="24"/>
          <w:lang w:val="en-GB"/>
        </w:rPr>
        <w:t>but also</w:t>
      </w:r>
      <w:r w:rsidRPr="00614438">
        <w:rPr>
          <w:rFonts w:ascii="Times New Roman" w:hAnsi="Times New Roman" w:cs="Times New Roman"/>
          <w:sz w:val="24"/>
          <w:szCs w:val="24"/>
          <w:lang w:val="en-GB"/>
        </w:rPr>
        <w:t xml:space="preserve"> realistic programme for reducing the share of lignite in electricity production, i.e., lignite phase-out, by up to 25% in 2030 compared to 2019. The lignite phase-out in the Republic of Serbia will be implemented with targeted initiatives including the adoption of integrated programmes for supporting the lignite-producing areas and ensuring the smooth transition to the post-lignite era.</w:t>
      </w:r>
    </w:p>
    <w:p w14:paraId="7A49D7B1" w14:textId="77777777" w:rsidR="00614438" w:rsidRPr="00614438" w:rsidRDefault="00614438" w:rsidP="006B77F4">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All the specified objectives of the INECP will consequently contribute to the meaningful reduction of the GHG emissions by 2030 attaining a GHG emission reduction equal to 13.2% compared to 2010 level i.e. 33.3% compared to 1990 by 2030 (excluding land use, land use change and forestry). The target for the overall emissions reduction for 2030 is 40.3% compared to the 1990 levels (including LULUCF)</w:t>
      </w:r>
      <w:r w:rsidR="006B77F4">
        <w:rPr>
          <w:rFonts w:ascii="Times New Roman" w:hAnsi="Times New Roman" w:cs="Times New Roman"/>
          <w:sz w:val="24"/>
          <w:szCs w:val="24"/>
          <w:lang w:val="en-GB"/>
        </w:rPr>
        <w:t xml:space="preserve"> </w:t>
      </w:r>
      <w:r w:rsidR="006B77F4" w:rsidRPr="006B77F4">
        <w:rPr>
          <w:rFonts w:ascii="Times New Roman" w:hAnsi="Times New Roman" w:cs="Times New Roman"/>
          <w:sz w:val="24"/>
          <w:szCs w:val="24"/>
          <w:lang w:val="en-GB"/>
        </w:rPr>
        <w:t>and the goal defined in this way was adopted during the 20th meeting of the Ministerial Council of the Energy Community in 2022 as part of the Decision on Amendments to Decision 2021/14/MC-EnC</w:t>
      </w:r>
      <w:r w:rsidRPr="00614438">
        <w:rPr>
          <w:rFonts w:ascii="Times New Roman" w:hAnsi="Times New Roman" w:cs="Times New Roman"/>
          <w:sz w:val="24"/>
          <w:szCs w:val="24"/>
          <w:lang w:val="en-GB"/>
        </w:rPr>
        <w:t>. Generally</w:t>
      </w:r>
      <w:r w:rsidR="006B77F4">
        <w:rPr>
          <w:rFonts w:ascii="Times New Roman" w:hAnsi="Times New Roman" w:cs="Times New Roman"/>
          <w:sz w:val="24"/>
          <w:szCs w:val="24"/>
          <w:lang w:val="en-GB"/>
        </w:rPr>
        <w:t xml:space="preserve"> speaking</w:t>
      </w:r>
      <w:r w:rsidRPr="00614438">
        <w:rPr>
          <w:rFonts w:ascii="Times New Roman" w:hAnsi="Times New Roman" w:cs="Times New Roman"/>
          <w:sz w:val="24"/>
          <w:szCs w:val="24"/>
          <w:lang w:val="en-GB"/>
        </w:rPr>
        <w:t>, the Republic of Serbia has decided to support the transition towards a climate neutral economy in order to improve the competitiveness of the economy, to increase the employment, to strengthen the role of consumers and to improve the overall operational framework of competitive energy markets increasing the social welfare.</w:t>
      </w:r>
    </w:p>
    <w:p w14:paraId="7DE49C41" w14:textId="77777777" w:rsidR="00614438" w:rsidRPr="00614438" w:rsidRDefault="00614438" w:rsidP="006B77F4">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this context, additional national objectives are also being developed, taking into consideration the existing potential, the technical specificities and the qualitative characteristics of the energy sector and economy</w:t>
      </w:r>
      <w:r w:rsidR="006E5419">
        <w:rPr>
          <w:rFonts w:ascii="Times New Roman" w:hAnsi="Times New Roman" w:cs="Times New Roman"/>
          <w:sz w:val="24"/>
          <w:szCs w:val="24"/>
          <w:lang w:val="en-GB"/>
        </w:rPr>
        <w:t xml:space="preserve"> of the Republic of Serbia</w:t>
      </w:r>
      <w:r w:rsidRPr="00614438">
        <w:rPr>
          <w:rFonts w:ascii="Times New Roman" w:hAnsi="Times New Roman" w:cs="Times New Roman"/>
          <w:sz w:val="24"/>
          <w:szCs w:val="24"/>
          <w:lang w:val="en-GB"/>
        </w:rPr>
        <w:t>.</w:t>
      </w:r>
    </w:p>
    <w:p w14:paraId="464B6CAA" w14:textId="77777777" w:rsidR="00614438" w:rsidRPr="00614438" w:rsidRDefault="006E5419" w:rsidP="006E5419">
      <w:pPr>
        <w:ind w:firstLine="720"/>
        <w:jc w:val="both"/>
        <w:rPr>
          <w:rFonts w:ascii="Times New Roman" w:hAnsi="Times New Roman" w:cs="Times New Roman"/>
          <w:sz w:val="24"/>
          <w:szCs w:val="24"/>
          <w:lang w:val="en-GB"/>
        </w:rPr>
      </w:pPr>
      <w:r>
        <w:rPr>
          <w:rFonts w:ascii="Times New Roman" w:hAnsi="Times New Roman" w:cs="Times New Roman"/>
          <w:sz w:val="24"/>
          <w:szCs w:val="24"/>
          <w:lang w:val="en-GB"/>
        </w:rPr>
        <w:t>The</w:t>
      </w:r>
      <w:r w:rsidR="00614438" w:rsidRPr="00614438">
        <w:rPr>
          <w:rFonts w:ascii="Times New Roman" w:hAnsi="Times New Roman" w:cs="Times New Roman"/>
          <w:sz w:val="24"/>
          <w:szCs w:val="24"/>
          <w:lang w:val="en-GB"/>
        </w:rPr>
        <w:t xml:space="preserve"> following qualitative objectives have been determined:</w:t>
      </w:r>
    </w:p>
    <w:p w14:paraId="569483C2" w14:textId="77777777" w:rsidR="00614438" w:rsidRPr="006E5419" w:rsidRDefault="006E5419" w:rsidP="00485CA7">
      <w:pPr>
        <w:pStyle w:val="ListParagraph"/>
        <w:numPr>
          <w:ilvl w:val="0"/>
          <w:numId w:val="261"/>
        </w:numPr>
        <w:jc w:val="both"/>
        <w:rPr>
          <w:rFonts w:ascii="Times New Roman" w:hAnsi="Times New Roman" w:cs="Times New Roman"/>
          <w:sz w:val="24"/>
          <w:szCs w:val="24"/>
        </w:rPr>
      </w:pPr>
      <w:r>
        <w:rPr>
          <w:rFonts w:ascii="Times New Roman" w:hAnsi="Times New Roman" w:cs="Times New Roman"/>
          <w:sz w:val="24"/>
          <w:szCs w:val="24"/>
        </w:rPr>
        <w:t>To s</w:t>
      </w:r>
      <w:r w:rsidR="00614438" w:rsidRPr="006E5419">
        <w:rPr>
          <w:rFonts w:ascii="Times New Roman" w:hAnsi="Times New Roman" w:cs="Times New Roman"/>
          <w:sz w:val="24"/>
          <w:szCs w:val="24"/>
        </w:rPr>
        <w:t>trengthen interconnectivity and security of energy supply</w:t>
      </w:r>
      <w:r>
        <w:rPr>
          <w:rFonts w:ascii="Times New Roman" w:hAnsi="Times New Roman" w:cs="Times New Roman"/>
          <w:sz w:val="24"/>
          <w:szCs w:val="24"/>
        </w:rPr>
        <w:t>;</w:t>
      </w:r>
    </w:p>
    <w:p w14:paraId="1A8F86B1" w14:textId="77777777" w:rsidR="00614438" w:rsidRPr="006E5419" w:rsidRDefault="006E5419" w:rsidP="00485CA7">
      <w:pPr>
        <w:pStyle w:val="ListParagraph"/>
        <w:numPr>
          <w:ilvl w:val="0"/>
          <w:numId w:val="261"/>
        </w:numPr>
        <w:jc w:val="both"/>
        <w:rPr>
          <w:rFonts w:ascii="Times New Roman" w:hAnsi="Times New Roman" w:cs="Times New Roman"/>
          <w:sz w:val="24"/>
          <w:szCs w:val="24"/>
        </w:rPr>
      </w:pPr>
      <w:r>
        <w:rPr>
          <w:rFonts w:ascii="Times New Roman" w:hAnsi="Times New Roman" w:cs="Times New Roman"/>
          <w:sz w:val="24"/>
          <w:szCs w:val="24"/>
        </w:rPr>
        <w:t>To l</w:t>
      </w:r>
      <w:r w:rsidR="00614438" w:rsidRPr="006E5419">
        <w:rPr>
          <w:rFonts w:ascii="Times New Roman" w:hAnsi="Times New Roman" w:cs="Times New Roman"/>
          <w:sz w:val="24"/>
          <w:szCs w:val="24"/>
        </w:rPr>
        <w:t>iberalize and increase competitiveness of the energy markets</w:t>
      </w:r>
      <w:r>
        <w:rPr>
          <w:rFonts w:ascii="Times New Roman" w:hAnsi="Times New Roman" w:cs="Times New Roman"/>
          <w:sz w:val="24"/>
          <w:szCs w:val="24"/>
        </w:rPr>
        <w:t>;</w:t>
      </w:r>
    </w:p>
    <w:p w14:paraId="0F2EE648" w14:textId="77777777" w:rsidR="00614438" w:rsidRPr="006E5419" w:rsidRDefault="006E5419" w:rsidP="00485CA7">
      <w:pPr>
        <w:pStyle w:val="ListParagraph"/>
        <w:numPr>
          <w:ilvl w:val="0"/>
          <w:numId w:val="261"/>
        </w:numPr>
        <w:jc w:val="both"/>
        <w:rPr>
          <w:rFonts w:ascii="Times New Roman" w:hAnsi="Times New Roman" w:cs="Times New Roman"/>
          <w:sz w:val="24"/>
          <w:szCs w:val="24"/>
        </w:rPr>
      </w:pPr>
      <w:r>
        <w:rPr>
          <w:rFonts w:ascii="Times New Roman" w:hAnsi="Times New Roman" w:cs="Times New Roman"/>
          <w:sz w:val="24"/>
          <w:szCs w:val="24"/>
        </w:rPr>
        <w:lastRenderedPageBreak/>
        <w:t>To f</w:t>
      </w:r>
      <w:r w:rsidR="00614438" w:rsidRPr="006E5419">
        <w:rPr>
          <w:rFonts w:ascii="Times New Roman" w:hAnsi="Times New Roman" w:cs="Times New Roman"/>
          <w:sz w:val="24"/>
          <w:szCs w:val="24"/>
        </w:rPr>
        <w:t>acilitate the optimal development and operation of the energy system and energy infrastructures</w:t>
      </w:r>
      <w:r>
        <w:rPr>
          <w:rFonts w:ascii="Times New Roman" w:hAnsi="Times New Roman" w:cs="Times New Roman"/>
          <w:sz w:val="24"/>
          <w:szCs w:val="24"/>
        </w:rPr>
        <w:t>;</w:t>
      </w:r>
    </w:p>
    <w:p w14:paraId="1545118E" w14:textId="77777777" w:rsidR="00614438" w:rsidRPr="006E5419" w:rsidRDefault="006E5419" w:rsidP="00485CA7">
      <w:pPr>
        <w:pStyle w:val="ListParagraph"/>
        <w:numPr>
          <w:ilvl w:val="0"/>
          <w:numId w:val="261"/>
        </w:numPr>
        <w:jc w:val="both"/>
        <w:rPr>
          <w:rFonts w:ascii="Times New Roman" w:hAnsi="Times New Roman" w:cs="Times New Roman"/>
          <w:sz w:val="24"/>
          <w:szCs w:val="24"/>
        </w:rPr>
      </w:pPr>
      <w:r>
        <w:rPr>
          <w:rFonts w:ascii="Times New Roman" w:hAnsi="Times New Roman" w:cs="Times New Roman"/>
          <w:sz w:val="24"/>
          <w:szCs w:val="24"/>
        </w:rPr>
        <w:t>To p</w:t>
      </w:r>
      <w:r w:rsidR="00614438" w:rsidRPr="006E5419">
        <w:rPr>
          <w:rFonts w:ascii="Times New Roman" w:hAnsi="Times New Roman" w:cs="Times New Roman"/>
          <w:sz w:val="24"/>
          <w:szCs w:val="24"/>
        </w:rPr>
        <w:t>rotect and strengthen the role of consumers</w:t>
      </w:r>
      <w:r>
        <w:rPr>
          <w:rFonts w:ascii="Times New Roman" w:hAnsi="Times New Roman" w:cs="Times New Roman"/>
          <w:sz w:val="24"/>
          <w:szCs w:val="24"/>
        </w:rPr>
        <w:t>;</w:t>
      </w:r>
    </w:p>
    <w:p w14:paraId="15BF2D4F" w14:textId="77777777" w:rsidR="00614438" w:rsidRPr="006E5419" w:rsidRDefault="006E5419" w:rsidP="00485CA7">
      <w:pPr>
        <w:pStyle w:val="ListParagraph"/>
        <w:numPr>
          <w:ilvl w:val="0"/>
          <w:numId w:val="261"/>
        </w:numPr>
        <w:jc w:val="both"/>
        <w:rPr>
          <w:rFonts w:ascii="Times New Roman" w:hAnsi="Times New Roman" w:cs="Times New Roman"/>
          <w:sz w:val="24"/>
          <w:szCs w:val="24"/>
        </w:rPr>
      </w:pPr>
      <w:r>
        <w:rPr>
          <w:rFonts w:ascii="Times New Roman" w:hAnsi="Times New Roman" w:cs="Times New Roman"/>
          <w:sz w:val="24"/>
          <w:szCs w:val="24"/>
        </w:rPr>
        <w:t>To a</w:t>
      </w:r>
      <w:r w:rsidR="00614438" w:rsidRPr="006E5419">
        <w:rPr>
          <w:rFonts w:ascii="Times New Roman" w:hAnsi="Times New Roman" w:cs="Times New Roman"/>
          <w:sz w:val="24"/>
          <w:szCs w:val="24"/>
        </w:rPr>
        <w:t>lter the current consumption patterns and promote energy-efficient and low-emission fuels in end-users</w:t>
      </w:r>
      <w:r>
        <w:rPr>
          <w:rFonts w:ascii="Times New Roman" w:hAnsi="Times New Roman" w:cs="Times New Roman"/>
          <w:sz w:val="24"/>
          <w:szCs w:val="24"/>
        </w:rPr>
        <w:t>;</w:t>
      </w:r>
    </w:p>
    <w:p w14:paraId="6239F66E" w14:textId="77777777" w:rsidR="00614438" w:rsidRPr="006E5419" w:rsidRDefault="006E5419" w:rsidP="00485CA7">
      <w:pPr>
        <w:pStyle w:val="ListParagraph"/>
        <w:numPr>
          <w:ilvl w:val="0"/>
          <w:numId w:val="261"/>
        </w:numPr>
        <w:jc w:val="both"/>
        <w:rPr>
          <w:rFonts w:ascii="Times New Roman" w:hAnsi="Times New Roman" w:cs="Times New Roman"/>
          <w:sz w:val="24"/>
          <w:szCs w:val="24"/>
        </w:rPr>
      </w:pPr>
      <w:r>
        <w:rPr>
          <w:rFonts w:ascii="Times New Roman" w:hAnsi="Times New Roman" w:cs="Times New Roman"/>
          <w:sz w:val="24"/>
          <w:szCs w:val="24"/>
        </w:rPr>
        <w:t>To s</w:t>
      </w:r>
      <w:r w:rsidR="00614438" w:rsidRPr="006E5419">
        <w:rPr>
          <w:rFonts w:ascii="Times New Roman" w:hAnsi="Times New Roman" w:cs="Times New Roman"/>
          <w:sz w:val="24"/>
          <w:szCs w:val="24"/>
        </w:rPr>
        <w:t>trengthen the competitiveness of the national economy</w:t>
      </w:r>
      <w:r>
        <w:rPr>
          <w:rFonts w:ascii="Times New Roman" w:hAnsi="Times New Roman" w:cs="Times New Roman"/>
          <w:sz w:val="24"/>
          <w:szCs w:val="24"/>
        </w:rPr>
        <w:t>;</w:t>
      </w:r>
    </w:p>
    <w:p w14:paraId="64AFC5C8" w14:textId="77777777" w:rsidR="00614438" w:rsidRPr="006E5419" w:rsidRDefault="006E5419" w:rsidP="00485CA7">
      <w:pPr>
        <w:pStyle w:val="ListParagraph"/>
        <w:numPr>
          <w:ilvl w:val="0"/>
          <w:numId w:val="261"/>
        </w:numPr>
        <w:jc w:val="both"/>
        <w:rPr>
          <w:rFonts w:ascii="Times New Roman" w:hAnsi="Times New Roman" w:cs="Times New Roman"/>
          <w:sz w:val="24"/>
          <w:szCs w:val="24"/>
        </w:rPr>
      </w:pPr>
      <w:r>
        <w:rPr>
          <w:rFonts w:ascii="Times New Roman" w:hAnsi="Times New Roman" w:cs="Times New Roman"/>
          <w:sz w:val="24"/>
          <w:szCs w:val="24"/>
        </w:rPr>
        <w:t>To p</w:t>
      </w:r>
      <w:r w:rsidR="00614438" w:rsidRPr="006E5419">
        <w:rPr>
          <w:rFonts w:ascii="Times New Roman" w:hAnsi="Times New Roman" w:cs="Times New Roman"/>
          <w:sz w:val="24"/>
          <w:szCs w:val="24"/>
        </w:rPr>
        <w:t>romote the research and innovation in environmental and energy issues</w:t>
      </w:r>
      <w:r>
        <w:rPr>
          <w:rFonts w:ascii="Times New Roman" w:hAnsi="Times New Roman" w:cs="Times New Roman"/>
          <w:sz w:val="24"/>
          <w:szCs w:val="24"/>
        </w:rPr>
        <w:t>.</w:t>
      </w:r>
    </w:p>
    <w:p w14:paraId="4643721B" w14:textId="77777777" w:rsidR="00614438" w:rsidRPr="00614438" w:rsidRDefault="00614438" w:rsidP="006E5419">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It should be noted that the mobilization of significant investment funds</w:t>
      </w:r>
      <w:r w:rsidR="009C7166">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both from own resources </w:t>
      </w:r>
      <w:r w:rsidR="009C7166">
        <w:rPr>
          <w:rFonts w:ascii="Times New Roman" w:hAnsi="Times New Roman" w:cs="Times New Roman"/>
          <w:sz w:val="24"/>
          <w:szCs w:val="24"/>
          <w:lang w:val="en-GB"/>
        </w:rPr>
        <w:t xml:space="preserve">as well as from </w:t>
      </w:r>
      <w:r w:rsidRPr="00614438">
        <w:rPr>
          <w:rFonts w:ascii="Times New Roman" w:hAnsi="Times New Roman" w:cs="Times New Roman"/>
          <w:sz w:val="24"/>
          <w:szCs w:val="24"/>
          <w:lang w:val="en-GB"/>
        </w:rPr>
        <w:t>public funds</w:t>
      </w:r>
      <w:r w:rsidR="009C7166">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and the combination of specialized financing mechanisms is considered as a prerequisite for the achievement of the established targets allowing the cost- and time-effective implementation of the foreseen policies and measures.</w:t>
      </w:r>
    </w:p>
    <w:p w14:paraId="247D5798" w14:textId="77777777" w:rsidR="00614438" w:rsidRPr="00614438" w:rsidRDefault="009C7166" w:rsidP="009C7166">
      <w:pPr>
        <w:jc w:val="center"/>
        <w:rPr>
          <w:rFonts w:ascii="Times New Roman" w:hAnsi="Times New Roman" w:cs="Times New Roman"/>
          <w:sz w:val="24"/>
          <w:szCs w:val="24"/>
          <w:lang w:val="en-GB"/>
        </w:rPr>
      </w:pPr>
      <w:bookmarkStart w:id="12" w:name="_Toc79772543"/>
      <w:bookmarkStart w:id="13" w:name="_Toc118991762"/>
      <w:bookmarkStart w:id="14" w:name="_Toc153545032"/>
      <w:r>
        <w:rPr>
          <w:rFonts w:ascii="Times New Roman" w:hAnsi="Times New Roman" w:cs="Times New Roman"/>
          <w:sz w:val="24"/>
          <w:szCs w:val="24"/>
          <w:lang w:val="en-GB"/>
        </w:rPr>
        <w:t xml:space="preserve">1.2. </w:t>
      </w:r>
      <w:r w:rsidR="00614438" w:rsidRPr="00614438">
        <w:rPr>
          <w:rFonts w:ascii="Times New Roman" w:hAnsi="Times New Roman" w:cs="Times New Roman"/>
          <w:sz w:val="24"/>
          <w:szCs w:val="24"/>
          <w:lang w:val="en-GB"/>
        </w:rPr>
        <w:t>Overview of current policy situation</w:t>
      </w:r>
      <w:bookmarkEnd w:id="12"/>
      <w:bookmarkEnd w:id="13"/>
      <w:bookmarkEnd w:id="14"/>
    </w:p>
    <w:p w14:paraId="77961744" w14:textId="77777777" w:rsidR="00614438" w:rsidRPr="009C7166" w:rsidRDefault="00614438" w:rsidP="00485CA7">
      <w:pPr>
        <w:pStyle w:val="ListParagraph"/>
        <w:numPr>
          <w:ilvl w:val="2"/>
          <w:numId w:val="262"/>
        </w:numPr>
        <w:jc w:val="center"/>
        <w:rPr>
          <w:rFonts w:ascii="Times New Roman" w:hAnsi="Times New Roman" w:cs="Times New Roman"/>
          <w:sz w:val="24"/>
          <w:szCs w:val="24"/>
          <w:lang w:val="en-GB"/>
        </w:rPr>
      </w:pPr>
      <w:r w:rsidRPr="009C7166">
        <w:rPr>
          <w:rFonts w:ascii="Times New Roman" w:hAnsi="Times New Roman" w:cs="Times New Roman"/>
          <w:sz w:val="24"/>
          <w:szCs w:val="24"/>
          <w:lang w:val="en-GB"/>
        </w:rPr>
        <w:t>National and Union energy system and policy context of the national plan</w:t>
      </w:r>
    </w:p>
    <w:p w14:paraId="54077C9F" w14:textId="77777777" w:rsidR="00614438" w:rsidRPr="00614438" w:rsidRDefault="00614438" w:rsidP="009C716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this section an overview of the current energy system and policy context in the country is presented. Due to the effect of the COVID-19 epidemic on the economic growth, consumption of energy and other energy related indicators, </w:t>
      </w:r>
      <w:r w:rsidR="009C7166">
        <w:rPr>
          <w:rFonts w:ascii="Times New Roman" w:hAnsi="Times New Roman" w:cs="Times New Roman"/>
          <w:sz w:val="24"/>
          <w:szCs w:val="24"/>
          <w:lang w:val="en-GB"/>
        </w:rPr>
        <w:t>the year</w:t>
      </w:r>
      <w:r w:rsidRPr="00614438">
        <w:rPr>
          <w:rFonts w:ascii="Times New Roman" w:hAnsi="Times New Roman" w:cs="Times New Roman"/>
          <w:sz w:val="24"/>
          <w:szCs w:val="24"/>
          <w:lang w:val="en-GB"/>
        </w:rPr>
        <w:t xml:space="preserve"> 2019 is taken as a reference to avoid any misinterpretation of the results and comparison between the countries. Moreover, selected neighbouring countries from Energy Community and European Union (Albania, Bosnia and Herzegovina, Bulgaria, Croatia, Montenegro and North Macedonia) and EU average values are used for comparison purposes, which should provide a better understanding of Serbia’s current state in relation to other countries.</w:t>
      </w:r>
    </w:p>
    <w:p w14:paraId="3E44AF69" w14:textId="77777777" w:rsidR="00614438" w:rsidRPr="00614438" w:rsidRDefault="00614438" w:rsidP="009C716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population of the Republic of Serbia is estimated at 6.964 million people in 2019, which sets Serbia in the second place among the selected 7 countries used for comparison purposes in this section (see </w:t>
      </w:r>
      <w:r w:rsidR="00FA29EF">
        <w:fldChar w:fldCharType="begin"/>
      </w:r>
      <w:r w:rsidR="00FA29EF">
        <w:instrText xml:space="preserve"> REF _Ref153544018 \h  \* MERGEFORMAT </w:instrText>
      </w:r>
      <w:r w:rsidR="00FA29EF">
        <w:fldChar w:fldCharType="separate"/>
      </w:r>
      <w:r w:rsidRPr="00614438">
        <w:rPr>
          <w:rFonts w:ascii="Times New Roman" w:hAnsi="Times New Roman" w:cs="Times New Roman"/>
          <w:sz w:val="24"/>
          <w:szCs w:val="24"/>
          <w:lang w:val="en-GB"/>
        </w:rPr>
        <w:t>Figure 1.1</w:t>
      </w:r>
      <w:r w:rsidR="00FA29EF">
        <w:fldChar w:fldCharType="end"/>
      </w:r>
      <w:r w:rsidRPr="00614438">
        <w:rPr>
          <w:rFonts w:ascii="Times New Roman" w:hAnsi="Times New Roman" w:cs="Times New Roman"/>
          <w:sz w:val="24"/>
          <w:szCs w:val="24"/>
          <w:lang w:val="en-GB"/>
        </w:rPr>
        <w:t xml:space="preserve">). In terms of the real GDP growth, it was 4.3% in 2019 which is the highest growth compared to the GDP growth of other countries (see </w:t>
      </w:r>
      <w:r w:rsidR="00FA29EF">
        <w:fldChar w:fldCharType="begin"/>
      </w:r>
      <w:r w:rsidR="00FA29EF">
        <w:instrText xml:space="preserve"> REF _Ref79074637 \h  \* MERGEFORMAT </w:instrText>
      </w:r>
      <w:r w:rsidR="00FA29EF">
        <w:fldChar w:fldCharType="separate"/>
      </w:r>
      <w:r w:rsidRPr="00614438">
        <w:rPr>
          <w:rFonts w:ascii="Times New Roman" w:hAnsi="Times New Roman" w:cs="Times New Roman"/>
          <w:sz w:val="24"/>
          <w:szCs w:val="24"/>
          <w:lang w:val="en-GB"/>
        </w:rPr>
        <w:t>Figure 1.2</w:t>
      </w:r>
      <w:r w:rsidR="00FA29EF">
        <w:fldChar w:fldCharType="end"/>
      </w:r>
      <w:r w:rsidRPr="00614438">
        <w:rPr>
          <w:rFonts w:ascii="Times New Roman" w:hAnsi="Times New Roman" w:cs="Times New Roman"/>
          <w:sz w:val="24"/>
          <w:szCs w:val="24"/>
          <w:lang w:val="en-GB"/>
        </w:rPr>
        <w:t>). The capital investments proposed with the set of policies and measures presented in this INECP in Chapter 3 should be also taken into account as the opportunity for setting an additional value to the GDP and supporting the process for country’s economic growth.</w:t>
      </w:r>
    </w:p>
    <w:p w14:paraId="6C0A2C34" w14:textId="77777777" w:rsidR="00614438" w:rsidRPr="00614438" w:rsidRDefault="00614438" w:rsidP="00614438">
      <w:pPr>
        <w:jc w:val="both"/>
        <w:rPr>
          <w:rFonts w:ascii="Times New Roman" w:hAnsi="Times New Roman" w:cs="Times New Roman"/>
          <w:sz w:val="24"/>
          <w:szCs w:val="24"/>
          <w:lang w:val="en-GB"/>
        </w:rPr>
      </w:pPr>
      <w:bookmarkStart w:id="15" w:name="_heading=h.2s8eyo1"/>
      <w:bookmarkStart w:id="16" w:name="_Ref153544018"/>
      <w:bookmarkStart w:id="17" w:name="_Toc154575192"/>
      <w:bookmarkEnd w:id="15"/>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bookmarkEnd w:id="16"/>
      <w:r w:rsidRPr="00614438">
        <w:rPr>
          <w:rFonts w:ascii="Times New Roman" w:hAnsi="Times New Roman" w:cs="Times New Roman"/>
          <w:sz w:val="24"/>
          <w:szCs w:val="24"/>
        </w:rPr>
        <w:t>: Population in 2019, in million (source: Eurostat)</w:t>
      </w:r>
      <w:bookmarkEnd w:id="17"/>
    </w:p>
    <w:p w14:paraId="5D4EB7A8"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359D015E" wp14:editId="634A3E73">
            <wp:extent cx="3600450" cy="2514600"/>
            <wp:effectExtent l="0" t="0" r="0" b="0"/>
            <wp:docPr id="56040913"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600450" cy="2514600"/>
                    </a:xfrm>
                    <a:prstGeom prst="rect">
                      <a:avLst/>
                    </a:prstGeom>
                    <a:noFill/>
                    <a:ln>
                      <a:noFill/>
                    </a:ln>
                  </pic:spPr>
                </pic:pic>
              </a:graphicData>
            </a:graphic>
          </wp:inline>
        </w:drawing>
      </w:r>
    </w:p>
    <w:p w14:paraId="2FE8901C" w14:textId="77777777" w:rsidR="00614438" w:rsidRPr="00614438" w:rsidRDefault="00614438" w:rsidP="00614438">
      <w:pPr>
        <w:jc w:val="both"/>
        <w:rPr>
          <w:rFonts w:ascii="Times New Roman" w:hAnsi="Times New Roman" w:cs="Times New Roman"/>
          <w:sz w:val="24"/>
          <w:szCs w:val="24"/>
          <w:lang w:val="en-GB"/>
        </w:rPr>
      </w:pPr>
      <w:bookmarkStart w:id="18" w:name="_Ref79074637"/>
      <w:bookmarkStart w:id="19" w:name="_Toc79772571"/>
      <w:bookmarkStart w:id="20" w:name="_Toc118992256"/>
      <w:bookmarkStart w:id="21" w:name="_Toc154575193"/>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w:t>
      </w:r>
      <w:r w:rsidR="00C83251" w:rsidRPr="00614438">
        <w:rPr>
          <w:rFonts w:ascii="Times New Roman" w:hAnsi="Times New Roman" w:cs="Times New Roman"/>
          <w:sz w:val="24"/>
          <w:szCs w:val="24"/>
        </w:rPr>
        <w:fldChar w:fldCharType="end"/>
      </w:r>
      <w:bookmarkEnd w:id="18"/>
      <w:r w:rsidRPr="00614438">
        <w:rPr>
          <w:rFonts w:ascii="Times New Roman" w:hAnsi="Times New Roman" w:cs="Times New Roman"/>
          <w:sz w:val="24"/>
          <w:szCs w:val="24"/>
        </w:rPr>
        <w:t>: Real GDP growth rate in 2019, in % (source: Eurostat)</w:t>
      </w:r>
      <w:bookmarkEnd w:id="19"/>
      <w:bookmarkEnd w:id="20"/>
      <w:bookmarkEnd w:id="21"/>
    </w:p>
    <w:p w14:paraId="07ED411E"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lastRenderedPageBreak/>
        <w:drawing>
          <wp:inline distT="0" distB="0" distL="0" distR="0" wp14:anchorId="324AB0AC" wp14:editId="766889BA">
            <wp:extent cx="3600450" cy="2533650"/>
            <wp:effectExtent l="0" t="0" r="0" b="0"/>
            <wp:docPr id="30407046"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231222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00450" cy="2533650"/>
                    </a:xfrm>
                    <a:prstGeom prst="rect">
                      <a:avLst/>
                    </a:prstGeom>
                    <a:noFill/>
                    <a:ln>
                      <a:noFill/>
                    </a:ln>
                  </pic:spPr>
                </pic:pic>
              </a:graphicData>
            </a:graphic>
          </wp:inline>
        </w:drawing>
      </w:r>
    </w:p>
    <w:p w14:paraId="33E7BF31" w14:textId="77777777" w:rsidR="00614438" w:rsidRPr="00614438" w:rsidRDefault="00614438" w:rsidP="009C716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long-term unemployment rate in Serbia is at the level of 5.5% in 2019 and </w:t>
      </w:r>
      <w:r w:rsidR="009C7166">
        <w:rPr>
          <w:rFonts w:ascii="Times New Roman" w:hAnsi="Times New Roman" w:cs="Times New Roman"/>
          <w:sz w:val="24"/>
          <w:szCs w:val="24"/>
          <w:lang w:val="en-GB"/>
        </w:rPr>
        <w:t xml:space="preserve">since then has been </w:t>
      </w:r>
      <w:r w:rsidRPr="00614438">
        <w:rPr>
          <w:rFonts w:ascii="Times New Roman" w:hAnsi="Times New Roman" w:cs="Times New Roman"/>
          <w:sz w:val="24"/>
          <w:szCs w:val="24"/>
          <w:lang w:val="en-GB"/>
        </w:rPr>
        <w:t>continuously decreas</w:t>
      </w:r>
      <w:r w:rsidR="009C7166">
        <w:rPr>
          <w:rFonts w:ascii="Times New Roman" w:hAnsi="Times New Roman" w:cs="Times New Roman"/>
          <w:sz w:val="24"/>
          <w:szCs w:val="24"/>
          <w:lang w:val="en-GB"/>
        </w:rPr>
        <w:t>ing</w:t>
      </w:r>
      <w:r w:rsidRPr="00614438">
        <w:rPr>
          <w:rFonts w:ascii="Times New Roman" w:hAnsi="Times New Roman" w:cs="Times New Roman"/>
          <w:sz w:val="24"/>
          <w:szCs w:val="24"/>
          <w:lang w:val="en-GB"/>
        </w:rPr>
        <w:t xml:space="preserve">. In comparison to the selected countries (see </w:t>
      </w:r>
      <w:r w:rsidR="00FA29EF">
        <w:fldChar w:fldCharType="begin"/>
      </w:r>
      <w:r w:rsidR="00FA29EF">
        <w:instrText xml:space="preserve"> REF _Ref153460912 \h  \* MERGEFORMAT </w:instrText>
      </w:r>
      <w:r w:rsidR="00FA29EF">
        <w:fldChar w:fldCharType="separate"/>
      </w:r>
      <w:r w:rsidRPr="00614438">
        <w:rPr>
          <w:rFonts w:ascii="Times New Roman" w:hAnsi="Times New Roman" w:cs="Times New Roman"/>
          <w:sz w:val="24"/>
          <w:szCs w:val="24"/>
          <w:lang w:val="en-GB"/>
        </w:rPr>
        <w:t>Figure 1.3</w:t>
      </w:r>
      <w:r w:rsidR="00FA29EF">
        <w:fldChar w:fldCharType="end"/>
      </w:r>
      <w:r w:rsidRPr="00614438">
        <w:rPr>
          <w:rFonts w:ascii="Times New Roman" w:hAnsi="Times New Roman" w:cs="Times New Roman"/>
          <w:sz w:val="24"/>
          <w:szCs w:val="24"/>
          <w:lang w:val="en-GB"/>
        </w:rPr>
        <w:t>), Serbia has the third smallest long-term unemployment rate, closer to the EU countries, while all other countries are above 12%.</w:t>
      </w:r>
    </w:p>
    <w:p w14:paraId="5C9E837B" w14:textId="77777777" w:rsidR="00614438" w:rsidRPr="00614438" w:rsidRDefault="00614438" w:rsidP="00614438">
      <w:pPr>
        <w:jc w:val="both"/>
        <w:rPr>
          <w:rFonts w:ascii="Times New Roman" w:hAnsi="Times New Roman" w:cs="Times New Roman"/>
          <w:sz w:val="24"/>
          <w:szCs w:val="24"/>
          <w:lang w:val="en-GB"/>
        </w:rPr>
      </w:pPr>
      <w:bookmarkStart w:id="22" w:name="_Ref153460912"/>
      <w:bookmarkStart w:id="23" w:name="_Toc154575194"/>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w:t>
      </w:r>
      <w:r w:rsidR="00C83251" w:rsidRPr="00614438">
        <w:rPr>
          <w:rFonts w:ascii="Times New Roman" w:hAnsi="Times New Roman" w:cs="Times New Roman"/>
          <w:sz w:val="24"/>
          <w:szCs w:val="24"/>
        </w:rPr>
        <w:fldChar w:fldCharType="end"/>
      </w:r>
      <w:bookmarkEnd w:id="22"/>
      <w:r w:rsidRPr="00614438">
        <w:rPr>
          <w:rFonts w:ascii="Times New Roman" w:hAnsi="Times New Roman" w:cs="Times New Roman"/>
          <w:sz w:val="24"/>
          <w:szCs w:val="24"/>
        </w:rPr>
        <w:t>: Long-term unemployment rate in 2019, in % (source: Eurostat)</w:t>
      </w:r>
      <w:bookmarkEnd w:id="23"/>
    </w:p>
    <w:p w14:paraId="4826E6DE"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23789D35" wp14:editId="6533BED0">
            <wp:extent cx="3600450" cy="2533650"/>
            <wp:effectExtent l="0" t="0" r="0" b="0"/>
            <wp:docPr id="255041030"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11812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00450" cy="2533650"/>
                    </a:xfrm>
                    <a:prstGeom prst="rect">
                      <a:avLst/>
                    </a:prstGeom>
                    <a:noFill/>
                    <a:ln>
                      <a:noFill/>
                    </a:ln>
                  </pic:spPr>
                </pic:pic>
              </a:graphicData>
            </a:graphic>
          </wp:inline>
        </w:drawing>
      </w:r>
    </w:p>
    <w:p w14:paraId="17739CAE" w14:textId="77777777" w:rsidR="00614438" w:rsidRPr="00614438" w:rsidRDefault="00614438" w:rsidP="009C716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primary energy consumption </w:t>
      </w:r>
      <w:r w:rsidR="009C7166">
        <w:rPr>
          <w:rFonts w:ascii="Times New Roman" w:hAnsi="Times New Roman" w:cs="Times New Roman"/>
          <w:sz w:val="24"/>
          <w:szCs w:val="24"/>
          <w:lang w:val="en-GB"/>
        </w:rPr>
        <w:t xml:space="preserve">per capita </w:t>
      </w:r>
      <w:r w:rsidRPr="00614438">
        <w:rPr>
          <w:rFonts w:ascii="Times New Roman" w:hAnsi="Times New Roman" w:cs="Times New Roman"/>
          <w:sz w:val="24"/>
          <w:szCs w:val="24"/>
          <w:lang w:val="en-GB"/>
        </w:rPr>
        <w:t>in Serbia is around 2.12 toe</w:t>
      </w:r>
      <w:r w:rsidR="009C7166">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capita, meaning that in average each citizen in Serbia consumes 24.6 MWh, which is 30% lower than the EU 27 average (see </w:t>
      </w:r>
      <w:r w:rsidR="00FA29EF">
        <w:fldChar w:fldCharType="begin"/>
      </w:r>
      <w:r w:rsidR="00FA29EF">
        <w:instrText xml:space="preserve"> REF _Ref79148148 \h  \* MERGEFORMAT </w:instrText>
      </w:r>
      <w:r w:rsidR="00FA29EF">
        <w:fldChar w:fldCharType="separate"/>
      </w:r>
      <w:r w:rsidRPr="00614438">
        <w:rPr>
          <w:rFonts w:ascii="Times New Roman" w:hAnsi="Times New Roman" w:cs="Times New Roman"/>
          <w:sz w:val="24"/>
          <w:szCs w:val="24"/>
          <w:lang w:val="en-GB"/>
        </w:rPr>
        <w:t>Figure 1.4</w:t>
      </w:r>
      <w:r w:rsidR="00FA29EF">
        <w:fldChar w:fldCharType="end"/>
      </w:r>
      <w:r w:rsidRPr="00614438">
        <w:rPr>
          <w:rFonts w:ascii="Times New Roman" w:hAnsi="Times New Roman" w:cs="Times New Roman"/>
          <w:sz w:val="24"/>
          <w:szCs w:val="24"/>
          <w:lang w:val="en-GB"/>
        </w:rPr>
        <w:t xml:space="preserve">). All observed countries, except Bulgaria, have a lower consumption per capita than Serbia. One of the key factors for that is due to the fact that 66.4% of electricity production in Serbia came from lignite-based power plants in 2019 and thermal/lignite power plants require higher primary energy in comparison to other generation mix. For example, in Albania most of the electricity is generated from </w:t>
      </w:r>
      <w:r w:rsidR="009C7166" w:rsidRPr="00614438">
        <w:rPr>
          <w:rFonts w:ascii="Times New Roman" w:hAnsi="Times New Roman" w:cs="Times New Roman"/>
          <w:sz w:val="24"/>
          <w:szCs w:val="24"/>
          <w:lang w:val="en-GB"/>
        </w:rPr>
        <w:t>hydropower</w:t>
      </w:r>
      <w:r w:rsidRPr="00614438">
        <w:rPr>
          <w:rFonts w:ascii="Times New Roman" w:hAnsi="Times New Roman" w:cs="Times New Roman"/>
          <w:sz w:val="24"/>
          <w:szCs w:val="24"/>
          <w:lang w:val="en-GB"/>
        </w:rPr>
        <w:t xml:space="preserve"> plants leading to lower primary energy consumption.</w:t>
      </w:r>
    </w:p>
    <w:p w14:paraId="494E845F" w14:textId="77777777" w:rsidR="00614438" w:rsidRPr="00614438" w:rsidRDefault="00614438" w:rsidP="00614438">
      <w:pPr>
        <w:jc w:val="both"/>
        <w:rPr>
          <w:rFonts w:ascii="Times New Roman" w:hAnsi="Times New Roman" w:cs="Times New Roman"/>
          <w:sz w:val="24"/>
          <w:szCs w:val="24"/>
        </w:rPr>
      </w:pPr>
      <w:bookmarkStart w:id="24" w:name="_Ref79148148"/>
      <w:bookmarkStart w:id="25" w:name="_Toc79772573"/>
      <w:bookmarkStart w:id="26" w:name="_Toc118992258"/>
      <w:bookmarkStart w:id="27" w:name="_Toc154575195"/>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bookmarkEnd w:id="24"/>
      <w:r w:rsidRPr="00614438">
        <w:rPr>
          <w:rFonts w:ascii="Times New Roman" w:hAnsi="Times New Roman" w:cs="Times New Roman"/>
          <w:sz w:val="24"/>
          <w:szCs w:val="24"/>
        </w:rPr>
        <w:t>: Primary energy consumption per capita in 2019, in toe/capita (source: Eurostat)</w:t>
      </w:r>
      <w:bookmarkEnd w:id="25"/>
      <w:bookmarkEnd w:id="26"/>
      <w:bookmarkEnd w:id="27"/>
    </w:p>
    <w:p w14:paraId="6438FD16"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 xml:space="preserve"> </w:t>
      </w:r>
      <w:r w:rsidRPr="00013008">
        <w:rPr>
          <w:rFonts w:ascii="Times New Roman" w:hAnsi="Times New Roman" w:cs="Times New Roman"/>
          <w:noProof/>
          <w:sz w:val="24"/>
          <w:szCs w:val="24"/>
          <w:lang w:val="en-GB" w:eastAsia="en-GB"/>
        </w:rPr>
        <w:drawing>
          <wp:inline distT="0" distB="0" distL="0" distR="0" wp14:anchorId="0D2C131F" wp14:editId="6EE652C4">
            <wp:extent cx="3600450" cy="2533650"/>
            <wp:effectExtent l="0" t="0" r="0" b="0"/>
            <wp:docPr id="522344368"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0046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00450" cy="2533650"/>
                    </a:xfrm>
                    <a:prstGeom prst="rect">
                      <a:avLst/>
                    </a:prstGeom>
                    <a:noFill/>
                    <a:ln>
                      <a:noFill/>
                    </a:ln>
                  </pic:spPr>
                </pic:pic>
              </a:graphicData>
            </a:graphic>
          </wp:inline>
        </w:drawing>
      </w:r>
    </w:p>
    <w:p w14:paraId="79522741" w14:textId="77777777" w:rsidR="00614438" w:rsidRPr="00614438" w:rsidRDefault="00614438" w:rsidP="009C716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CO2 emissions</w:t>
      </w:r>
    </w:p>
    <w:p w14:paraId="5FB8E8E4" w14:textId="77777777" w:rsidR="00614438" w:rsidRPr="00614438" w:rsidRDefault="00614438" w:rsidP="009C716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Serbia each citizen is responsible for 7.8 t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-eq (see </w:t>
      </w:r>
      <w:r w:rsidR="00FA29EF">
        <w:fldChar w:fldCharType="begin"/>
      </w:r>
      <w:r w:rsidR="00FA29EF">
        <w:instrText xml:space="preserve"> REF _Ref153544077 \h  \* MERGEFORMAT </w:instrText>
      </w:r>
      <w:r w:rsidR="00FA29EF">
        <w:fldChar w:fldCharType="separate"/>
      </w:r>
      <w:r w:rsidRPr="00614438">
        <w:rPr>
          <w:rFonts w:ascii="Times New Roman" w:hAnsi="Times New Roman" w:cs="Times New Roman"/>
          <w:sz w:val="24"/>
          <w:szCs w:val="24"/>
          <w:lang w:val="en-GB"/>
        </w:rPr>
        <w:t>Figure 1.5</w:t>
      </w:r>
      <w:r w:rsidR="00FA29EF">
        <w:fldChar w:fldCharType="end"/>
      </w:r>
      <w:r w:rsidRPr="00614438">
        <w:rPr>
          <w:rFonts w:ascii="Times New Roman" w:hAnsi="Times New Roman" w:cs="Times New Roman"/>
          <w:sz w:val="24"/>
          <w:szCs w:val="24"/>
          <w:lang w:val="en-GB"/>
        </w:rPr>
        <w:t xml:space="preserve">) </w:t>
      </w:r>
      <w:r w:rsidR="003E55E5">
        <w:rPr>
          <w:rFonts w:ascii="Times New Roman" w:hAnsi="Times New Roman" w:cs="Times New Roman"/>
          <w:sz w:val="24"/>
          <w:szCs w:val="24"/>
          <w:lang w:val="en-GB"/>
        </w:rPr>
        <w:t>which</w:t>
      </w:r>
      <w:r w:rsidRPr="00614438">
        <w:rPr>
          <w:rFonts w:ascii="Times New Roman" w:hAnsi="Times New Roman" w:cs="Times New Roman"/>
          <w:sz w:val="24"/>
          <w:szCs w:val="24"/>
          <w:lang w:val="en-GB"/>
        </w:rPr>
        <w:t xml:space="preserve"> is the highest value compared to the selected neighbouring countries and slightly lower than the EU 27 average. </w:t>
      </w:r>
      <w:r w:rsidR="003E55E5">
        <w:rPr>
          <w:rFonts w:ascii="Times New Roman" w:hAnsi="Times New Roman" w:cs="Times New Roman"/>
          <w:sz w:val="24"/>
          <w:szCs w:val="24"/>
          <w:lang w:val="en-GB"/>
        </w:rPr>
        <w:t>A l</w:t>
      </w:r>
      <w:r w:rsidRPr="00614438">
        <w:rPr>
          <w:rFonts w:ascii="Times New Roman" w:hAnsi="Times New Roman" w:cs="Times New Roman"/>
          <w:sz w:val="24"/>
          <w:szCs w:val="24"/>
          <w:lang w:val="en-GB"/>
        </w:rPr>
        <w:t>ower value can be seen in the case of Albania</w:t>
      </w:r>
      <w:r w:rsidR="003E55E5">
        <w:rPr>
          <w:rFonts w:ascii="Times New Roman" w:hAnsi="Times New Roman" w:cs="Times New Roman"/>
          <w:sz w:val="24"/>
          <w:szCs w:val="24"/>
          <w:lang w:val="en-GB"/>
        </w:rPr>
        <w:t>, since</w:t>
      </w:r>
      <w:r w:rsidRPr="00614438">
        <w:rPr>
          <w:rFonts w:ascii="Times New Roman" w:hAnsi="Times New Roman" w:cs="Times New Roman"/>
          <w:sz w:val="24"/>
          <w:szCs w:val="24"/>
          <w:lang w:val="en-GB"/>
        </w:rPr>
        <w:t xml:space="preserve"> </w:t>
      </w:r>
      <w:r w:rsidR="003E55E5">
        <w:rPr>
          <w:rFonts w:ascii="Times New Roman" w:hAnsi="Times New Roman" w:cs="Times New Roman"/>
          <w:sz w:val="24"/>
          <w:szCs w:val="24"/>
          <w:lang w:val="en-GB"/>
        </w:rPr>
        <w:t xml:space="preserve">the Republic of Albania </w:t>
      </w:r>
      <w:r w:rsidRPr="00614438">
        <w:rPr>
          <w:rFonts w:ascii="Times New Roman" w:hAnsi="Times New Roman" w:cs="Times New Roman"/>
          <w:sz w:val="24"/>
          <w:szCs w:val="24"/>
          <w:lang w:val="en-GB"/>
        </w:rPr>
        <w:t>produces most of its electricity from hydro</w:t>
      </w:r>
      <w:r w:rsidR="003E55E5">
        <w:rPr>
          <w:rFonts w:ascii="Times New Roman" w:hAnsi="Times New Roman" w:cs="Times New Roman"/>
          <w:sz w:val="24"/>
          <w:szCs w:val="24"/>
          <w:lang w:val="en-GB"/>
        </w:rPr>
        <w:t>power</w:t>
      </w:r>
      <w:r w:rsidRPr="00614438">
        <w:rPr>
          <w:rFonts w:ascii="Times New Roman" w:hAnsi="Times New Roman" w:cs="Times New Roman"/>
          <w:sz w:val="24"/>
          <w:szCs w:val="24"/>
          <w:lang w:val="en-GB"/>
        </w:rPr>
        <w:t>.</w:t>
      </w:r>
    </w:p>
    <w:p w14:paraId="53CB4B78" w14:textId="77777777" w:rsidR="00614438" w:rsidRPr="00614438" w:rsidRDefault="00614438" w:rsidP="00614438">
      <w:pPr>
        <w:jc w:val="both"/>
        <w:rPr>
          <w:rFonts w:ascii="Times New Roman" w:hAnsi="Times New Roman" w:cs="Times New Roman"/>
          <w:sz w:val="24"/>
          <w:szCs w:val="24"/>
          <w:lang w:val="en-GB"/>
        </w:rPr>
      </w:pPr>
      <w:bookmarkStart w:id="28" w:name="_Ref153544077"/>
      <w:bookmarkStart w:id="29" w:name="_Toc154575196"/>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bookmarkEnd w:id="28"/>
      <w:r w:rsidRPr="00614438">
        <w:rPr>
          <w:rFonts w:ascii="Times New Roman" w:hAnsi="Times New Roman" w:cs="Times New Roman"/>
          <w:sz w:val="24"/>
          <w:szCs w:val="24"/>
        </w:rPr>
        <w:t>: CO2-eq emissions per capita for 2019, in million tonnes of CO2 (Source: Global Carbon Project)</w:t>
      </w:r>
      <w:bookmarkEnd w:id="29"/>
    </w:p>
    <w:p w14:paraId="391B0FDD"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1502267C" wp14:editId="0E8B3180">
            <wp:extent cx="3600450" cy="2514600"/>
            <wp:effectExtent l="0" t="0" r="0" b="0"/>
            <wp:docPr id="178376727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00450" cy="2514600"/>
                    </a:xfrm>
                    <a:prstGeom prst="rect">
                      <a:avLst/>
                    </a:prstGeom>
                    <a:noFill/>
                    <a:ln>
                      <a:noFill/>
                    </a:ln>
                  </pic:spPr>
                </pic:pic>
              </a:graphicData>
            </a:graphic>
          </wp:inline>
        </w:drawing>
      </w:r>
    </w:p>
    <w:p w14:paraId="5E3C5FE2" w14:textId="77777777" w:rsidR="00614438" w:rsidRPr="00614438" w:rsidRDefault="00614438" w:rsidP="003E55E5">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Decarbonisation - Renewable energy sources</w:t>
      </w:r>
    </w:p>
    <w:p w14:paraId="4D374FB2" w14:textId="77777777" w:rsidR="00614438" w:rsidRPr="00614438" w:rsidRDefault="00614438" w:rsidP="003E55E5">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2019, </w:t>
      </w:r>
      <w:r w:rsidR="001674BA">
        <w:rPr>
          <w:rFonts w:ascii="Times New Roman" w:hAnsi="Times New Roman" w:cs="Times New Roman"/>
          <w:sz w:val="24"/>
          <w:szCs w:val="24"/>
          <w:lang w:val="en-GB"/>
        </w:rPr>
        <w:t>RESs</w:t>
      </w:r>
      <w:r w:rsidRPr="00614438">
        <w:rPr>
          <w:rFonts w:ascii="Times New Roman" w:hAnsi="Times New Roman" w:cs="Times New Roman"/>
          <w:sz w:val="24"/>
          <w:szCs w:val="24"/>
          <w:lang w:val="en-GB"/>
        </w:rPr>
        <w:t xml:space="preserve"> in Serbia reached 21.4 % in gross final energy consumption, </w:t>
      </w:r>
      <w:r w:rsidR="001674BA">
        <w:rPr>
          <w:rFonts w:ascii="Times New Roman" w:hAnsi="Times New Roman" w:cs="Times New Roman"/>
          <w:sz w:val="24"/>
          <w:szCs w:val="24"/>
          <w:lang w:val="en-GB"/>
        </w:rPr>
        <w:t>respectively</w:t>
      </w:r>
      <w:r w:rsidRPr="00614438">
        <w:rPr>
          <w:rFonts w:ascii="Times New Roman" w:hAnsi="Times New Roman" w:cs="Times New Roman"/>
          <w:sz w:val="24"/>
          <w:szCs w:val="24"/>
          <w:lang w:val="en-GB"/>
        </w:rPr>
        <w:t xml:space="preserve"> 26.3%, following a statistic revision of energy balance in 2020. This share is higher than the level of the RES share in EU (see </w:t>
      </w:r>
      <w:r w:rsidR="00FA29EF">
        <w:fldChar w:fldCharType="begin"/>
      </w:r>
      <w:r w:rsidR="00FA29EF">
        <w:instrText xml:space="preserve"> REF _Ref79579379 \h  \* MERGEFORMAT </w:instrText>
      </w:r>
      <w:r w:rsidR="00FA29EF">
        <w:fldChar w:fldCharType="separate"/>
      </w:r>
      <w:r w:rsidRPr="00614438">
        <w:rPr>
          <w:rFonts w:ascii="Times New Roman" w:hAnsi="Times New Roman" w:cs="Times New Roman"/>
          <w:sz w:val="24"/>
          <w:szCs w:val="24"/>
          <w:lang w:val="en-GB"/>
        </w:rPr>
        <w:t>Figure 1.6</w:t>
      </w:r>
      <w:r w:rsidR="00FA29EF">
        <w:fldChar w:fldCharType="end"/>
      </w:r>
      <w:r w:rsidRPr="00614438">
        <w:rPr>
          <w:rFonts w:ascii="Times New Roman" w:hAnsi="Times New Roman" w:cs="Times New Roman"/>
          <w:sz w:val="24"/>
          <w:szCs w:val="24"/>
          <w:lang w:val="en-GB"/>
        </w:rPr>
        <w:t>). However, in comparison to the other countries, Serbia has the second lowest share of RES following North Macedonia. The RES target for Serbia is set at 27% in 2020, according to Decision D/2018/2/MC-EnC of the Energy Community Ministerial Council. Although renewable energy capacities are increasing, RES share trend is countered due to rising energy consumption in the recent years.</w:t>
      </w:r>
    </w:p>
    <w:p w14:paraId="5DF93D66" w14:textId="77777777" w:rsidR="00614438" w:rsidRPr="00614438" w:rsidRDefault="00614438" w:rsidP="00614438">
      <w:pPr>
        <w:jc w:val="both"/>
        <w:rPr>
          <w:rFonts w:ascii="Times New Roman" w:hAnsi="Times New Roman" w:cs="Times New Roman"/>
          <w:sz w:val="24"/>
          <w:szCs w:val="24"/>
          <w:lang w:val="en-GB"/>
        </w:rPr>
      </w:pPr>
    </w:p>
    <w:p w14:paraId="3DB554D0" w14:textId="77777777" w:rsidR="00614438" w:rsidRPr="00614438" w:rsidRDefault="00614438" w:rsidP="00614438">
      <w:pPr>
        <w:jc w:val="both"/>
        <w:rPr>
          <w:rFonts w:ascii="Times New Roman" w:hAnsi="Times New Roman" w:cs="Times New Roman"/>
          <w:sz w:val="24"/>
          <w:szCs w:val="24"/>
          <w:lang w:val="en-GB"/>
        </w:rPr>
      </w:pPr>
      <w:bookmarkStart w:id="30" w:name="_Ref79579379"/>
      <w:bookmarkStart w:id="31" w:name="_Toc79772575"/>
      <w:bookmarkStart w:id="32" w:name="_Toc118992260"/>
      <w:bookmarkStart w:id="33" w:name="_Toc154575197"/>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6</w:t>
      </w:r>
      <w:r w:rsidR="00C83251" w:rsidRPr="00614438">
        <w:rPr>
          <w:rFonts w:ascii="Times New Roman" w:hAnsi="Times New Roman" w:cs="Times New Roman"/>
          <w:sz w:val="24"/>
          <w:szCs w:val="24"/>
        </w:rPr>
        <w:fldChar w:fldCharType="end"/>
      </w:r>
      <w:bookmarkEnd w:id="30"/>
      <w:r w:rsidRPr="00614438">
        <w:rPr>
          <w:rFonts w:ascii="Times New Roman" w:hAnsi="Times New Roman" w:cs="Times New Roman"/>
          <w:sz w:val="24"/>
          <w:szCs w:val="24"/>
        </w:rPr>
        <w:t>: Share of RES in gross final energy consumption for 2019, in % (source: Eurostat)</w:t>
      </w:r>
      <w:bookmarkEnd w:id="31"/>
      <w:bookmarkEnd w:id="32"/>
      <w:bookmarkEnd w:id="33"/>
    </w:p>
    <w:p w14:paraId="70837279"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lastRenderedPageBreak/>
        <w:drawing>
          <wp:inline distT="0" distB="0" distL="0" distR="0" wp14:anchorId="0CF6B5CC" wp14:editId="6FA912B9">
            <wp:extent cx="3600450" cy="2514600"/>
            <wp:effectExtent l="0" t="0" r="0" b="0"/>
            <wp:docPr id="124720122"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00450" cy="2514600"/>
                    </a:xfrm>
                    <a:prstGeom prst="rect">
                      <a:avLst/>
                    </a:prstGeom>
                    <a:noFill/>
                    <a:ln>
                      <a:noFill/>
                    </a:ln>
                  </pic:spPr>
                </pic:pic>
              </a:graphicData>
            </a:graphic>
          </wp:inline>
        </w:drawing>
      </w:r>
    </w:p>
    <w:p w14:paraId="7DCB6DA9" w14:textId="77777777" w:rsidR="00614438" w:rsidRPr="00614438" w:rsidRDefault="00614438" w:rsidP="001674B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RES share in Serbia’s electricity production has been stable over the past decade. More specifically, the RES share in electricity production for 2019 is 30.1% (see </w:t>
      </w:r>
      <w:r w:rsidR="00FA29EF">
        <w:fldChar w:fldCharType="begin"/>
      </w:r>
      <w:r w:rsidR="00FA29EF">
        <w:instrText xml:space="preserve"> REF _Ref79583347 \h  \* MERGEFORMAT </w:instrText>
      </w:r>
      <w:r w:rsidR="00FA29EF">
        <w:fldChar w:fldCharType="separate"/>
      </w:r>
      <w:r w:rsidRPr="00614438">
        <w:rPr>
          <w:rFonts w:ascii="Times New Roman" w:hAnsi="Times New Roman" w:cs="Times New Roman"/>
          <w:sz w:val="24"/>
          <w:szCs w:val="24"/>
          <w:lang w:val="en-GB"/>
        </w:rPr>
        <w:t>Figure 1.7</w:t>
      </w:r>
      <w:r w:rsidR="00FA29EF">
        <w:fldChar w:fldCharType="end"/>
      </w:r>
      <w:r w:rsidRPr="00614438">
        <w:rPr>
          <w:rFonts w:ascii="Times New Roman" w:hAnsi="Times New Roman" w:cs="Times New Roman"/>
          <w:sz w:val="24"/>
          <w:szCs w:val="24"/>
          <w:lang w:val="en-GB"/>
        </w:rPr>
        <w:t xml:space="preserve">), which is 4.5% lower than the EU 27. In comparison to the other countries, </w:t>
      </w:r>
      <w:r w:rsidR="001674BA">
        <w:rPr>
          <w:rFonts w:ascii="Times New Roman" w:hAnsi="Times New Roman" w:cs="Times New Roman"/>
          <w:sz w:val="24"/>
          <w:szCs w:val="24"/>
          <w:lang w:val="en-GB"/>
        </w:rPr>
        <w:t xml:space="preserve">the Republic of </w:t>
      </w:r>
      <w:r w:rsidRPr="00614438">
        <w:rPr>
          <w:rFonts w:ascii="Times New Roman" w:hAnsi="Times New Roman" w:cs="Times New Roman"/>
          <w:sz w:val="24"/>
          <w:szCs w:val="24"/>
          <w:lang w:val="en-GB"/>
        </w:rPr>
        <w:t xml:space="preserve">Serbia has a higher share only </w:t>
      </w:r>
      <w:r w:rsidR="001674BA">
        <w:rPr>
          <w:rFonts w:ascii="Times New Roman" w:hAnsi="Times New Roman" w:cs="Times New Roman"/>
          <w:sz w:val="24"/>
          <w:szCs w:val="24"/>
          <w:lang w:val="en-GB"/>
        </w:rPr>
        <w:t>compared to the Republic of</w:t>
      </w:r>
      <w:r w:rsidRPr="00614438">
        <w:rPr>
          <w:rFonts w:ascii="Times New Roman" w:hAnsi="Times New Roman" w:cs="Times New Roman"/>
          <w:sz w:val="24"/>
          <w:szCs w:val="24"/>
          <w:lang w:val="en-GB"/>
        </w:rPr>
        <w:t xml:space="preserve"> Bulgaria and North Macedonia, whereas the remaining countries have a significantly higher share due to their installed capacity mix.</w:t>
      </w:r>
    </w:p>
    <w:p w14:paraId="003AE735" w14:textId="77777777" w:rsidR="00614438" w:rsidRPr="00614438" w:rsidRDefault="00614438" w:rsidP="00614438">
      <w:pPr>
        <w:jc w:val="both"/>
        <w:rPr>
          <w:rFonts w:ascii="Times New Roman" w:hAnsi="Times New Roman" w:cs="Times New Roman"/>
          <w:sz w:val="24"/>
          <w:szCs w:val="24"/>
          <w:lang w:val="en-GB"/>
        </w:rPr>
      </w:pPr>
      <w:bookmarkStart w:id="34" w:name="_Ref79583347"/>
      <w:bookmarkStart w:id="35" w:name="_Toc79772576"/>
      <w:bookmarkStart w:id="36" w:name="_Toc118992261"/>
      <w:bookmarkStart w:id="37" w:name="_Toc154575198"/>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7</w:t>
      </w:r>
      <w:r w:rsidR="00C83251" w:rsidRPr="00614438">
        <w:rPr>
          <w:rFonts w:ascii="Times New Roman" w:hAnsi="Times New Roman" w:cs="Times New Roman"/>
          <w:sz w:val="24"/>
          <w:szCs w:val="24"/>
        </w:rPr>
        <w:fldChar w:fldCharType="end"/>
      </w:r>
      <w:bookmarkEnd w:id="34"/>
      <w:r w:rsidRPr="00614438">
        <w:rPr>
          <w:rFonts w:ascii="Times New Roman" w:hAnsi="Times New Roman" w:cs="Times New Roman"/>
          <w:sz w:val="24"/>
          <w:szCs w:val="24"/>
        </w:rPr>
        <w:t>: RES share in electricity production for 2019, in % (source: Eurostat)</w:t>
      </w:r>
      <w:bookmarkEnd w:id="35"/>
      <w:bookmarkEnd w:id="36"/>
      <w:bookmarkEnd w:id="37"/>
    </w:p>
    <w:p w14:paraId="6EC484A3"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44402537" wp14:editId="6BE078EF">
            <wp:extent cx="3581400" cy="2514600"/>
            <wp:effectExtent l="0" t="0" r="0" b="0"/>
            <wp:docPr id="1462317726"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81400" cy="2514600"/>
                    </a:xfrm>
                    <a:prstGeom prst="rect">
                      <a:avLst/>
                    </a:prstGeom>
                    <a:noFill/>
                    <a:ln>
                      <a:noFill/>
                    </a:ln>
                  </pic:spPr>
                </pic:pic>
              </a:graphicData>
            </a:graphic>
          </wp:inline>
        </w:drawing>
      </w:r>
    </w:p>
    <w:p w14:paraId="04215DC0" w14:textId="77777777" w:rsidR="00614438" w:rsidRPr="00614438" w:rsidRDefault="00614438" w:rsidP="001674B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Energy Efficiency</w:t>
      </w:r>
    </w:p>
    <w:p w14:paraId="0F164C45" w14:textId="77777777" w:rsidR="00614438" w:rsidRPr="00614438" w:rsidRDefault="00614438" w:rsidP="001674B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primary energy consumption for 2019 relative to 2005 is shown in </w:t>
      </w:r>
      <w:r w:rsidR="00FA29EF">
        <w:fldChar w:fldCharType="begin"/>
      </w:r>
      <w:r w:rsidR="00FA29EF">
        <w:instrText xml:space="preserve"> REF _Ref79762971 \h  \* MERGEFORMAT </w:instrText>
      </w:r>
      <w:r w:rsidR="00FA29EF">
        <w:fldChar w:fldCharType="separate"/>
      </w:r>
      <w:r w:rsidRPr="00614438">
        <w:rPr>
          <w:rFonts w:ascii="Times New Roman" w:hAnsi="Times New Roman" w:cs="Times New Roman"/>
          <w:sz w:val="24"/>
          <w:szCs w:val="24"/>
          <w:lang w:val="en-GB"/>
        </w:rPr>
        <w:t>Figure 1.8</w:t>
      </w:r>
      <w:r w:rsidR="00FA29EF">
        <w:fldChar w:fldCharType="end"/>
      </w:r>
      <w:r w:rsidRPr="00614438">
        <w:rPr>
          <w:rFonts w:ascii="Times New Roman" w:hAnsi="Times New Roman" w:cs="Times New Roman"/>
          <w:sz w:val="24"/>
          <w:szCs w:val="24"/>
          <w:lang w:val="en-GB"/>
        </w:rPr>
        <w:t>. According to the available data, Serbia has managed to decrease its consumption by 6.7%, which is the third lowest value among the selected countries. In comparison to the EU 27, Serbia is lagging by 4.2%. All the countries except Albania and Montenegro have a negative trend of primary energy consumption.</w:t>
      </w:r>
    </w:p>
    <w:p w14:paraId="6578AB69" w14:textId="77777777" w:rsidR="00614438" w:rsidRPr="00614438" w:rsidRDefault="00614438" w:rsidP="00614438">
      <w:pPr>
        <w:jc w:val="both"/>
        <w:rPr>
          <w:rFonts w:ascii="Times New Roman" w:hAnsi="Times New Roman" w:cs="Times New Roman"/>
          <w:sz w:val="24"/>
          <w:szCs w:val="24"/>
          <w:lang w:val="en-GB"/>
        </w:rPr>
      </w:pPr>
    </w:p>
    <w:p w14:paraId="6154CBC3" w14:textId="77777777" w:rsidR="00614438" w:rsidRPr="00614438" w:rsidRDefault="00614438" w:rsidP="00614438">
      <w:pPr>
        <w:jc w:val="both"/>
        <w:rPr>
          <w:rFonts w:ascii="Times New Roman" w:hAnsi="Times New Roman" w:cs="Times New Roman"/>
          <w:sz w:val="24"/>
          <w:szCs w:val="24"/>
        </w:rPr>
      </w:pPr>
      <w:bookmarkStart w:id="38" w:name="_Ref79762971"/>
      <w:bookmarkStart w:id="39" w:name="_Toc79772577"/>
      <w:bookmarkStart w:id="40" w:name="_Toc118992262"/>
      <w:bookmarkStart w:id="41" w:name="_Toc154575199"/>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8</w:t>
      </w:r>
      <w:r w:rsidR="00C83251" w:rsidRPr="00614438">
        <w:rPr>
          <w:rFonts w:ascii="Times New Roman" w:hAnsi="Times New Roman" w:cs="Times New Roman"/>
          <w:sz w:val="24"/>
          <w:szCs w:val="24"/>
        </w:rPr>
        <w:fldChar w:fldCharType="end"/>
      </w:r>
      <w:bookmarkEnd w:id="38"/>
      <w:r w:rsidRPr="00614438">
        <w:rPr>
          <w:rFonts w:ascii="Times New Roman" w:hAnsi="Times New Roman" w:cs="Times New Roman"/>
          <w:sz w:val="24"/>
          <w:szCs w:val="24"/>
        </w:rPr>
        <w:t>: Primary energy consumption for 2019 relative to 2005, in % (source: Eurostat)</w:t>
      </w:r>
      <w:bookmarkEnd w:id="39"/>
      <w:bookmarkEnd w:id="40"/>
      <w:bookmarkEnd w:id="41"/>
    </w:p>
    <w:p w14:paraId="0D19D1E8"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 xml:space="preserve"> </w:t>
      </w:r>
      <w:r w:rsidRPr="00013008">
        <w:rPr>
          <w:rFonts w:ascii="Times New Roman" w:hAnsi="Times New Roman" w:cs="Times New Roman"/>
          <w:noProof/>
          <w:sz w:val="24"/>
          <w:szCs w:val="24"/>
          <w:lang w:val="en-GB" w:eastAsia="en-GB"/>
        </w:rPr>
        <w:drawing>
          <wp:inline distT="0" distB="0" distL="0" distR="0" wp14:anchorId="1D8C4D61" wp14:editId="2A815316">
            <wp:extent cx="3438525" cy="2533650"/>
            <wp:effectExtent l="0" t="0" r="9525" b="0"/>
            <wp:docPr id="1749450055"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39090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38525" cy="2533650"/>
                    </a:xfrm>
                    <a:prstGeom prst="rect">
                      <a:avLst/>
                    </a:prstGeom>
                    <a:noFill/>
                    <a:ln>
                      <a:noFill/>
                    </a:ln>
                  </pic:spPr>
                </pic:pic>
              </a:graphicData>
            </a:graphic>
          </wp:inline>
        </w:drawing>
      </w:r>
    </w:p>
    <w:p w14:paraId="3296717F" w14:textId="77777777" w:rsidR="00614438" w:rsidRPr="00614438" w:rsidRDefault="00614438" w:rsidP="001674B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Households in Serbia consumed 411 kgoe on average in 2019, which is 25% lower than the EU 27 average. The final energy consumption in households per capita in Serbia is the third highest in comparison to the other countries (see </w:t>
      </w:r>
      <w:r w:rsidR="00FA29EF">
        <w:fldChar w:fldCharType="begin"/>
      </w:r>
      <w:r w:rsidR="00FA29EF">
        <w:instrText xml:space="preserve"> REF _Ref79763508 \h  \* MERGEFORMAT </w:instrText>
      </w:r>
      <w:r w:rsidR="00FA29EF">
        <w:fldChar w:fldCharType="separate"/>
      </w:r>
      <w:r w:rsidRPr="00614438">
        <w:rPr>
          <w:rFonts w:ascii="Times New Roman" w:hAnsi="Times New Roman" w:cs="Times New Roman"/>
          <w:sz w:val="24"/>
          <w:szCs w:val="24"/>
          <w:lang w:val="en-GB"/>
        </w:rPr>
        <w:t>Figure 1.9</w:t>
      </w:r>
      <w:r w:rsidR="00FA29EF">
        <w:fldChar w:fldCharType="end"/>
      </w:r>
      <w:r w:rsidRPr="00614438">
        <w:rPr>
          <w:rFonts w:ascii="Times New Roman" w:hAnsi="Times New Roman" w:cs="Times New Roman"/>
          <w:sz w:val="24"/>
          <w:szCs w:val="24"/>
          <w:lang w:val="en-GB"/>
        </w:rPr>
        <w:t>).</w:t>
      </w:r>
    </w:p>
    <w:p w14:paraId="508CE22A" w14:textId="77777777" w:rsidR="00614438" w:rsidRPr="00614438" w:rsidRDefault="00614438" w:rsidP="00614438">
      <w:pPr>
        <w:jc w:val="both"/>
        <w:rPr>
          <w:rFonts w:ascii="Times New Roman" w:hAnsi="Times New Roman" w:cs="Times New Roman"/>
          <w:sz w:val="24"/>
          <w:szCs w:val="24"/>
          <w:lang w:val="en-GB"/>
        </w:rPr>
      </w:pPr>
      <w:bookmarkStart w:id="42" w:name="_Ref79763508"/>
      <w:bookmarkStart w:id="43" w:name="_Toc79772578"/>
      <w:bookmarkStart w:id="44" w:name="_Toc118992263"/>
      <w:bookmarkStart w:id="45" w:name="_Toc154575200"/>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9</w:t>
      </w:r>
      <w:r w:rsidR="00C83251" w:rsidRPr="00614438">
        <w:rPr>
          <w:rFonts w:ascii="Times New Roman" w:hAnsi="Times New Roman" w:cs="Times New Roman"/>
          <w:sz w:val="24"/>
          <w:szCs w:val="24"/>
        </w:rPr>
        <w:fldChar w:fldCharType="end"/>
      </w:r>
      <w:bookmarkEnd w:id="42"/>
      <w:r w:rsidRPr="00614438">
        <w:rPr>
          <w:rFonts w:ascii="Times New Roman" w:hAnsi="Times New Roman" w:cs="Times New Roman"/>
          <w:sz w:val="24"/>
          <w:szCs w:val="24"/>
        </w:rPr>
        <w:t>: Final energy consumption in households per capita for 2019, in kgoe (source: Eurostat)</w:t>
      </w:r>
      <w:bookmarkEnd w:id="43"/>
      <w:bookmarkEnd w:id="44"/>
      <w:bookmarkEnd w:id="45"/>
    </w:p>
    <w:p w14:paraId="47CD349B"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3E5D4C75" wp14:editId="1C4AF9B3">
            <wp:extent cx="3581400" cy="2514600"/>
            <wp:effectExtent l="0" t="0" r="0" b="0"/>
            <wp:docPr id="1661401912"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81400" cy="2514600"/>
                    </a:xfrm>
                    <a:prstGeom prst="rect">
                      <a:avLst/>
                    </a:prstGeom>
                    <a:noFill/>
                    <a:ln>
                      <a:noFill/>
                    </a:ln>
                  </pic:spPr>
                </pic:pic>
              </a:graphicData>
            </a:graphic>
          </wp:inline>
        </w:drawing>
      </w:r>
    </w:p>
    <w:p w14:paraId="266805DD" w14:textId="77777777" w:rsidR="00614438" w:rsidRPr="00614438" w:rsidRDefault="00614438" w:rsidP="001674B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Energy productivity indicator is used to represent the economic output that is produced per unit of gross available energy. The gross available energy represents the quantity of energy products necessary to meet all the demand of entities in Serbia is presented in </w:t>
      </w:r>
      <w:r w:rsidR="00FA29EF">
        <w:fldChar w:fldCharType="begin"/>
      </w:r>
      <w:r w:rsidR="00FA29EF">
        <w:instrText xml:space="preserve"> REF _Ref79763697 \h  \* MERGEFORMAT </w:instrText>
      </w:r>
      <w:r w:rsidR="00FA29EF">
        <w:fldChar w:fldCharType="separate"/>
      </w:r>
      <w:r w:rsidRPr="00614438">
        <w:rPr>
          <w:rFonts w:ascii="Times New Roman" w:hAnsi="Times New Roman" w:cs="Times New Roman"/>
          <w:sz w:val="24"/>
          <w:szCs w:val="24"/>
          <w:lang w:val="en-GB"/>
        </w:rPr>
        <w:t>Figure 1.10</w:t>
      </w:r>
      <w:r w:rsidR="00FA29EF">
        <w:fldChar w:fldCharType="end"/>
      </w:r>
      <w:r w:rsidRPr="00614438">
        <w:rPr>
          <w:rFonts w:ascii="Times New Roman" w:hAnsi="Times New Roman" w:cs="Times New Roman"/>
          <w:sz w:val="24"/>
          <w:szCs w:val="24"/>
          <w:lang w:val="en-GB"/>
        </w:rPr>
        <w:t>.</w:t>
      </w:r>
    </w:p>
    <w:p w14:paraId="7FB5A3CE" w14:textId="77777777" w:rsidR="00614438" w:rsidRPr="00614438" w:rsidRDefault="00614438" w:rsidP="00614438">
      <w:pPr>
        <w:jc w:val="both"/>
        <w:rPr>
          <w:rFonts w:ascii="Times New Roman" w:hAnsi="Times New Roman" w:cs="Times New Roman"/>
          <w:sz w:val="24"/>
          <w:szCs w:val="24"/>
        </w:rPr>
      </w:pPr>
      <w:bookmarkStart w:id="46" w:name="_Ref79763697"/>
      <w:bookmarkStart w:id="47" w:name="_Toc79772579"/>
      <w:bookmarkStart w:id="48" w:name="_Toc118992264"/>
      <w:bookmarkStart w:id="49" w:name="_Toc154575201"/>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10</w:t>
      </w:r>
      <w:r w:rsidR="00C83251" w:rsidRPr="00614438">
        <w:rPr>
          <w:rFonts w:ascii="Times New Roman" w:hAnsi="Times New Roman" w:cs="Times New Roman"/>
          <w:sz w:val="24"/>
          <w:szCs w:val="24"/>
        </w:rPr>
        <w:fldChar w:fldCharType="end"/>
      </w:r>
      <w:bookmarkEnd w:id="46"/>
      <w:r w:rsidRPr="00614438">
        <w:rPr>
          <w:rFonts w:ascii="Times New Roman" w:hAnsi="Times New Roman" w:cs="Times New Roman"/>
          <w:sz w:val="24"/>
          <w:szCs w:val="24"/>
        </w:rPr>
        <w:t>: Energy productivity for 2019, in EUR/kgoe (source: Eurostat)</w:t>
      </w:r>
      <w:bookmarkEnd w:id="47"/>
      <w:bookmarkEnd w:id="48"/>
      <w:bookmarkEnd w:id="49"/>
    </w:p>
    <w:p w14:paraId="765A22B3"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lastRenderedPageBreak/>
        <w:drawing>
          <wp:inline distT="0" distB="0" distL="0" distR="0" wp14:anchorId="035A0FAA" wp14:editId="311792BF">
            <wp:extent cx="3581400" cy="2514600"/>
            <wp:effectExtent l="0" t="0" r="0" b="0"/>
            <wp:docPr id="1821046071"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81400" cy="2514600"/>
                    </a:xfrm>
                    <a:prstGeom prst="rect">
                      <a:avLst/>
                    </a:prstGeom>
                    <a:noFill/>
                    <a:ln>
                      <a:noFill/>
                    </a:ln>
                  </pic:spPr>
                </pic:pic>
              </a:graphicData>
            </a:graphic>
          </wp:inline>
        </w:drawing>
      </w:r>
    </w:p>
    <w:p w14:paraId="7AF21972" w14:textId="77777777" w:rsidR="00614438" w:rsidRPr="00614438" w:rsidRDefault="00614438" w:rsidP="001674B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Energy Security</w:t>
      </w:r>
    </w:p>
    <w:p w14:paraId="34C72453" w14:textId="77777777" w:rsidR="00614438" w:rsidRPr="00614438" w:rsidRDefault="00614438" w:rsidP="001674B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energy security of supply in Serbia, measured using as import dependency (</w:t>
      </w:r>
      <w:r w:rsidR="00FA29EF">
        <w:fldChar w:fldCharType="begin"/>
      </w:r>
      <w:r w:rsidR="00FA29EF">
        <w:instrText xml:space="preserve"> REF _Ref79764005 \h  \* MERGEFORMAT </w:instrText>
      </w:r>
      <w:r w:rsidR="00FA29EF">
        <w:fldChar w:fldCharType="separate"/>
      </w:r>
      <w:r w:rsidRPr="00614438">
        <w:rPr>
          <w:rFonts w:ascii="Times New Roman" w:hAnsi="Times New Roman" w:cs="Times New Roman"/>
          <w:sz w:val="24"/>
          <w:szCs w:val="24"/>
          <w:lang w:val="en-GB"/>
        </w:rPr>
        <w:t>Figure 1.11</w:t>
      </w:r>
      <w:r w:rsidR="00FA29EF">
        <w:fldChar w:fldCharType="end"/>
      </w:r>
      <w:r w:rsidRPr="00614438">
        <w:rPr>
          <w:rFonts w:ascii="Times New Roman" w:hAnsi="Times New Roman" w:cs="Times New Roman"/>
          <w:sz w:val="24"/>
          <w:szCs w:val="24"/>
          <w:lang w:val="en-GB"/>
        </w:rPr>
        <w:t xml:space="preserve">), scores high with 35.6% and shows a very good performance compared to the EU 27 for 2019. Countries such as </w:t>
      </w:r>
      <w:r w:rsidR="004F757F">
        <w:rPr>
          <w:rFonts w:ascii="Times New Roman" w:hAnsi="Times New Roman" w:cs="Times New Roman"/>
          <w:sz w:val="24"/>
          <w:szCs w:val="24"/>
          <w:lang w:val="en-GB"/>
        </w:rPr>
        <w:t xml:space="preserve">the Republic of  </w:t>
      </w:r>
      <w:r w:rsidRPr="00614438">
        <w:rPr>
          <w:rFonts w:ascii="Times New Roman" w:hAnsi="Times New Roman" w:cs="Times New Roman"/>
          <w:sz w:val="24"/>
          <w:szCs w:val="24"/>
          <w:lang w:val="en-GB"/>
        </w:rPr>
        <w:t>Albania, Montenegro and Bosnia and Herzegovina are around 30% of import dependency, whereas, on the other side, Croatia and North Macedonia score higher than 55%.</w:t>
      </w:r>
    </w:p>
    <w:p w14:paraId="56C94C02" w14:textId="77777777" w:rsidR="00614438" w:rsidRPr="00614438" w:rsidRDefault="00614438" w:rsidP="00614438">
      <w:pPr>
        <w:jc w:val="both"/>
        <w:rPr>
          <w:rFonts w:ascii="Times New Roman" w:hAnsi="Times New Roman" w:cs="Times New Roman"/>
          <w:sz w:val="24"/>
          <w:szCs w:val="24"/>
          <w:lang w:val="en-GB"/>
        </w:rPr>
      </w:pPr>
      <w:bookmarkStart w:id="50" w:name="_Ref79764005"/>
      <w:bookmarkStart w:id="51" w:name="_Toc79772580"/>
      <w:bookmarkStart w:id="52" w:name="_Toc118992265"/>
      <w:bookmarkStart w:id="53" w:name="_Toc154575202"/>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11</w:t>
      </w:r>
      <w:r w:rsidR="00C83251" w:rsidRPr="00614438">
        <w:rPr>
          <w:rFonts w:ascii="Times New Roman" w:hAnsi="Times New Roman" w:cs="Times New Roman"/>
          <w:sz w:val="24"/>
          <w:szCs w:val="24"/>
        </w:rPr>
        <w:fldChar w:fldCharType="end"/>
      </w:r>
      <w:bookmarkEnd w:id="50"/>
      <w:r w:rsidRPr="00614438">
        <w:rPr>
          <w:rFonts w:ascii="Times New Roman" w:hAnsi="Times New Roman" w:cs="Times New Roman"/>
          <w:sz w:val="24"/>
          <w:szCs w:val="24"/>
        </w:rPr>
        <w:t>: Import dependence for 2019, in % (source: Eurostat)</w:t>
      </w:r>
      <w:bookmarkEnd w:id="51"/>
      <w:bookmarkEnd w:id="52"/>
      <w:bookmarkEnd w:id="53"/>
    </w:p>
    <w:p w14:paraId="0375C9FD"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706586BF" wp14:editId="01EF33AB">
            <wp:extent cx="3581400" cy="2514600"/>
            <wp:effectExtent l="0" t="0" r="0" b="0"/>
            <wp:docPr id="298595009"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81400" cy="2514600"/>
                    </a:xfrm>
                    <a:prstGeom prst="rect">
                      <a:avLst/>
                    </a:prstGeom>
                    <a:noFill/>
                    <a:ln>
                      <a:noFill/>
                    </a:ln>
                  </pic:spPr>
                </pic:pic>
              </a:graphicData>
            </a:graphic>
          </wp:inline>
        </w:drawing>
      </w:r>
    </w:p>
    <w:p w14:paraId="58D2998B" w14:textId="77777777" w:rsidR="00614438" w:rsidRPr="00614438" w:rsidRDefault="00614438" w:rsidP="004F757F">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Internal Energy Market</w:t>
      </w:r>
    </w:p>
    <w:p w14:paraId="225950E6" w14:textId="77777777" w:rsidR="00614438" w:rsidRPr="00614438" w:rsidRDefault="00614438" w:rsidP="004F757F">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One of the indicators for the level of energy poverty can be reflected through the ability of people to keep their homes warm. When it comes to the development of the internal energy market, this indicator is very important and should be taken into account. As can be seen in </w:t>
      </w:r>
      <w:r w:rsidR="00FA29EF">
        <w:fldChar w:fldCharType="begin"/>
      </w:r>
      <w:r w:rsidR="00FA29EF">
        <w:instrText xml:space="preserve"> REF _Ref79764793 \h  \* MERGEFORMAT </w:instrText>
      </w:r>
      <w:r w:rsidR="00FA29EF">
        <w:fldChar w:fldCharType="separate"/>
      </w:r>
      <w:r w:rsidRPr="00614438">
        <w:rPr>
          <w:rFonts w:ascii="Times New Roman" w:hAnsi="Times New Roman" w:cs="Times New Roman"/>
          <w:sz w:val="24"/>
          <w:szCs w:val="24"/>
          <w:lang w:val="en-GB"/>
        </w:rPr>
        <w:t>Figure 1.12</w:t>
      </w:r>
      <w:r w:rsidR="00FA29EF">
        <w:fldChar w:fldCharType="end"/>
      </w:r>
      <w:r w:rsidRPr="00614438">
        <w:rPr>
          <w:rFonts w:ascii="Times New Roman" w:hAnsi="Times New Roman" w:cs="Times New Roman"/>
          <w:sz w:val="24"/>
          <w:szCs w:val="24"/>
          <w:lang w:val="en-GB"/>
        </w:rPr>
        <w:t xml:space="preserve">, around 10% of the population in Serbia cannot maintain their houses warm and this </w:t>
      </w:r>
      <w:r w:rsidR="004F757F">
        <w:rPr>
          <w:rFonts w:ascii="Times New Roman" w:hAnsi="Times New Roman" w:cs="Times New Roman"/>
          <w:sz w:val="24"/>
          <w:szCs w:val="24"/>
          <w:lang w:val="en-GB"/>
        </w:rPr>
        <w:t xml:space="preserve">places the Republic of Serbia on the </w:t>
      </w:r>
      <w:r w:rsidRPr="00614438">
        <w:rPr>
          <w:rFonts w:ascii="Times New Roman" w:hAnsi="Times New Roman" w:cs="Times New Roman"/>
          <w:sz w:val="24"/>
          <w:szCs w:val="24"/>
          <w:lang w:val="en-GB"/>
        </w:rPr>
        <w:t>second</w:t>
      </w:r>
      <w:r w:rsidR="004F757F">
        <w:rPr>
          <w:rFonts w:ascii="Times New Roman" w:hAnsi="Times New Roman" w:cs="Times New Roman"/>
          <w:sz w:val="24"/>
          <w:szCs w:val="24"/>
          <w:lang w:val="en-GB"/>
        </w:rPr>
        <w:t xml:space="preserve"> places </w:t>
      </w:r>
      <w:r w:rsidRPr="00614438">
        <w:rPr>
          <w:rFonts w:ascii="Times New Roman" w:hAnsi="Times New Roman" w:cs="Times New Roman"/>
          <w:sz w:val="24"/>
          <w:szCs w:val="24"/>
          <w:lang w:val="en-GB"/>
        </w:rPr>
        <w:t>in comparison to the selected countries. The situation in the EU 27 is a bit better with 6.9%.</w:t>
      </w:r>
    </w:p>
    <w:p w14:paraId="57815481" w14:textId="77777777" w:rsidR="00614438" w:rsidRPr="00614438" w:rsidRDefault="00614438" w:rsidP="00614438">
      <w:pPr>
        <w:jc w:val="both"/>
        <w:rPr>
          <w:rFonts w:ascii="Times New Roman" w:hAnsi="Times New Roman" w:cs="Times New Roman"/>
          <w:sz w:val="24"/>
          <w:szCs w:val="24"/>
          <w:lang w:val="en-GB"/>
        </w:rPr>
      </w:pPr>
      <w:bookmarkStart w:id="54" w:name="_Ref79764793"/>
      <w:bookmarkStart w:id="55" w:name="_Toc79772581"/>
      <w:bookmarkStart w:id="56" w:name="_Toc118992266"/>
      <w:bookmarkStart w:id="57" w:name="_Toc154575203"/>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12</w:t>
      </w:r>
      <w:r w:rsidR="00C83251" w:rsidRPr="00614438">
        <w:rPr>
          <w:rFonts w:ascii="Times New Roman" w:hAnsi="Times New Roman" w:cs="Times New Roman"/>
          <w:sz w:val="24"/>
          <w:szCs w:val="24"/>
        </w:rPr>
        <w:fldChar w:fldCharType="end"/>
      </w:r>
      <w:bookmarkEnd w:id="54"/>
      <w:r w:rsidRPr="00614438">
        <w:rPr>
          <w:rFonts w:ascii="Times New Roman" w:hAnsi="Times New Roman" w:cs="Times New Roman"/>
          <w:sz w:val="24"/>
          <w:szCs w:val="24"/>
        </w:rPr>
        <w:t>: Population unable to keep home adequately warm for 2019, in % (source: Eurostat)</w:t>
      </w:r>
      <w:bookmarkEnd w:id="55"/>
      <w:bookmarkEnd w:id="56"/>
      <w:bookmarkEnd w:id="57"/>
    </w:p>
    <w:p w14:paraId="1793C79C"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lastRenderedPageBreak/>
        <w:drawing>
          <wp:inline distT="0" distB="0" distL="0" distR="0" wp14:anchorId="509DD859" wp14:editId="5281B523">
            <wp:extent cx="3581400" cy="2514600"/>
            <wp:effectExtent l="0" t="0" r="0" b="0"/>
            <wp:docPr id="1048157105"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81400" cy="2514600"/>
                    </a:xfrm>
                    <a:prstGeom prst="rect">
                      <a:avLst/>
                    </a:prstGeom>
                    <a:noFill/>
                    <a:ln>
                      <a:noFill/>
                    </a:ln>
                  </pic:spPr>
                </pic:pic>
              </a:graphicData>
            </a:graphic>
          </wp:inline>
        </w:drawing>
      </w:r>
    </w:p>
    <w:p w14:paraId="1B5D70FC" w14:textId="77777777" w:rsidR="00614438" w:rsidRPr="00614438" w:rsidRDefault="00614438" w:rsidP="004F757F">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Research, Innovation and Competitiveness</w:t>
      </w:r>
    </w:p>
    <w:p w14:paraId="6AC427B2" w14:textId="77777777" w:rsidR="00614438" w:rsidRPr="00614438" w:rsidRDefault="00614438" w:rsidP="004F757F">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terms of the Research and Development allocation of funds in the gross domestic expenditure, Serbia allocated 0.89% in 2019 (see </w:t>
      </w:r>
      <w:r w:rsidR="00FA29EF">
        <w:fldChar w:fldCharType="begin"/>
      </w:r>
      <w:r w:rsidR="00FA29EF">
        <w:instrText xml:space="preserve"> REF _Ref79765493 \h  \* MERGEFORMAT </w:instrText>
      </w:r>
      <w:r w:rsidR="00FA29EF">
        <w:fldChar w:fldCharType="separate"/>
      </w:r>
      <w:r w:rsidRPr="00614438">
        <w:rPr>
          <w:rFonts w:ascii="Times New Roman" w:hAnsi="Times New Roman" w:cs="Times New Roman"/>
          <w:sz w:val="24"/>
          <w:szCs w:val="24"/>
          <w:lang w:val="en-GB"/>
        </w:rPr>
        <w:t>Figure 1.13</w:t>
      </w:r>
      <w:r w:rsidR="00FA29EF">
        <w:fldChar w:fldCharType="end"/>
      </w:r>
      <w:r w:rsidRPr="00614438">
        <w:rPr>
          <w:rFonts w:ascii="Times New Roman" w:hAnsi="Times New Roman" w:cs="Times New Roman"/>
          <w:sz w:val="24"/>
          <w:szCs w:val="24"/>
          <w:lang w:val="en-GB"/>
        </w:rPr>
        <w:t xml:space="preserve">); an allocation which is surpassed only </w:t>
      </w:r>
      <w:r w:rsidR="004F757F">
        <w:rPr>
          <w:rFonts w:ascii="Times New Roman" w:hAnsi="Times New Roman" w:cs="Times New Roman"/>
          <w:sz w:val="24"/>
          <w:szCs w:val="24"/>
          <w:lang w:val="en-GB"/>
        </w:rPr>
        <w:t>by</w:t>
      </w:r>
      <w:r w:rsidRPr="00614438">
        <w:rPr>
          <w:rFonts w:ascii="Times New Roman" w:hAnsi="Times New Roman" w:cs="Times New Roman"/>
          <w:sz w:val="24"/>
          <w:szCs w:val="24"/>
          <w:lang w:val="en-GB"/>
        </w:rPr>
        <w:t xml:space="preserve"> Croatia. Serbia allocates two times less funds than the EU 27 average, which stands at 2.2% for 2019.</w:t>
      </w:r>
    </w:p>
    <w:p w14:paraId="0233C1B1" w14:textId="77777777" w:rsidR="00614438" w:rsidRPr="00614438" w:rsidRDefault="00614438" w:rsidP="00614438">
      <w:pPr>
        <w:jc w:val="both"/>
        <w:rPr>
          <w:rFonts w:ascii="Times New Roman" w:hAnsi="Times New Roman" w:cs="Times New Roman"/>
          <w:sz w:val="24"/>
          <w:szCs w:val="24"/>
          <w:lang w:val="en-GB"/>
        </w:rPr>
      </w:pPr>
      <w:bookmarkStart w:id="58" w:name="_Ref79765493"/>
      <w:bookmarkStart w:id="59" w:name="_Toc79772582"/>
      <w:bookmarkStart w:id="60" w:name="_Toc118992267"/>
      <w:bookmarkStart w:id="61" w:name="_Toc154575204"/>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13</w:t>
      </w:r>
      <w:r w:rsidR="00C83251" w:rsidRPr="00614438">
        <w:rPr>
          <w:rFonts w:ascii="Times New Roman" w:hAnsi="Times New Roman" w:cs="Times New Roman"/>
          <w:sz w:val="24"/>
          <w:szCs w:val="24"/>
        </w:rPr>
        <w:fldChar w:fldCharType="end"/>
      </w:r>
      <w:bookmarkEnd w:id="58"/>
      <w:r w:rsidRPr="00614438">
        <w:rPr>
          <w:rFonts w:ascii="Times New Roman" w:hAnsi="Times New Roman" w:cs="Times New Roman"/>
          <w:sz w:val="24"/>
          <w:szCs w:val="24"/>
        </w:rPr>
        <w:t>: Gross domestic expenditure on R&amp;D for 2019, in % (source: Eurostat)</w:t>
      </w:r>
      <w:bookmarkEnd w:id="59"/>
      <w:bookmarkEnd w:id="60"/>
      <w:bookmarkEnd w:id="61"/>
    </w:p>
    <w:p w14:paraId="169A57AE"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550ED249" wp14:editId="34A61ACE">
            <wp:extent cx="3581400" cy="2514600"/>
            <wp:effectExtent l="0" t="0" r="0" b="0"/>
            <wp:docPr id="742677064"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81400" cy="2514600"/>
                    </a:xfrm>
                    <a:prstGeom prst="rect">
                      <a:avLst/>
                    </a:prstGeom>
                    <a:noFill/>
                    <a:ln>
                      <a:noFill/>
                    </a:ln>
                  </pic:spPr>
                </pic:pic>
              </a:graphicData>
            </a:graphic>
          </wp:inline>
        </w:drawing>
      </w:r>
    </w:p>
    <w:p w14:paraId="3A22606A" w14:textId="77777777" w:rsidR="00614438" w:rsidRPr="004F757F" w:rsidRDefault="00614438" w:rsidP="00485CA7">
      <w:pPr>
        <w:pStyle w:val="ListParagraph"/>
        <w:numPr>
          <w:ilvl w:val="2"/>
          <w:numId w:val="262"/>
        </w:numPr>
        <w:jc w:val="center"/>
        <w:rPr>
          <w:rFonts w:ascii="Times New Roman" w:hAnsi="Times New Roman" w:cs="Times New Roman"/>
          <w:sz w:val="24"/>
          <w:szCs w:val="24"/>
          <w:lang w:val="en-GB"/>
        </w:rPr>
      </w:pPr>
      <w:r w:rsidRPr="004F757F">
        <w:rPr>
          <w:rFonts w:ascii="Times New Roman" w:hAnsi="Times New Roman" w:cs="Times New Roman"/>
          <w:sz w:val="24"/>
          <w:szCs w:val="24"/>
          <w:lang w:val="en-GB"/>
        </w:rPr>
        <w:t>Current energy and climate policies and measures relating to the five dimensions of the Energy Union</w:t>
      </w:r>
    </w:p>
    <w:p w14:paraId="53D9A7CF" w14:textId="77777777" w:rsidR="00614438" w:rsidRPr="00614438" w:rsidRDefault="00614438" w:rsidP="004F757F">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Decarbonisation – GHG Emissions</w:t>
      </w:r>
    </w:p>
    <w:p w14:paraId="6007A037" w14:textId="77777777" w:rsidR="00614438" w:rsidRPr="00614438" w:rsidRDefault="00614438" w:rsidP="004F757F">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decarbonization dimension is articulated in two key axes, i.e. reduction of emissions and renewable energy sources. The Law on Environmental Protection</w:t>
      </w:r>
      <w:r w:rsidR="004F757F">
        <w:rPr>
          <w:rFonts w:ascii="Times New Roman" w:hAnsi="Times New Roman" w:cs="Times New Roman"/>
          <w:sz w:val="24"/>
          <w:szCs w:val="24"/>
          <w:lang w:val="en-GB"/>
        </w:rPr>
        <w:t xml:space="preserve"> (the Official Gazette of RS, no. </w:t>
      </w:r>
      <w:r w:rsidR="004F757F" w:rsidRPr="00F10D1E">
        <w:rPr>
          <w:rFonts w:ascii="Times New Roman" w:hAnsi="Times New Roman" w:cs="Times New Roman"/>
          <w:sz w:val="24"/>
          <w:szCs w:val="24"/>
        </w:rPr>
        <w:t xml:space="preserve">135/04, 36/09, 36/09, 72/09, 43/11, 14/16, 76/18 </w:t>
      </w:r>
      <w:r w:rsidR="004F757F">
        <w:rPr>
          <w:rFonts w:ascii="Times New Roman" w:hAnsi="Times New Roman" w:cs="Times New Roman"/>
          <w:sz w:val="24"/>
          <w:szCs w:val="24"/>
        </w:rPr>
        <w:t>and</w:t>
      </w:r>
      <w:r w:rsidR="004F757F" w:rsidRPr="00F10D1E">
        <w:rPr>
          <w:rFonts w:ascii="Times New Roman" w:hAnsi="Times New Roman" w:cs="Times New Roman"/>
          <w:sz w:val="24"/>
          <w:szCs w:val="24"/>
        </w:rPr>
        <w:t xml:space="preserve"> 95/18</w:t>
      </w:r>
      <w:r w:rsidR="004F757F">
        <w:rPr>
          <w:rFonts w:ascii="Times New Roman" w:hAnsi="Times New Roman" w:cs="Times New Roman"/>
          <w:sz w:val="24"/>
          <w:szCs w:val="24"/>
          <w:lang w:val="en-GB"/>
        </w:rPr>
        <w:t>)</w:t>
      </w:r>
      <w:r w:rsidR="004F757F" w:rsidRPr="00614438">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presents the main legislative basis regarding the environmental issues, while the Law on Climate Change</w:t>
      </w:r>
      <w:r w:rsidR="004F757F">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 xml:space="preserve">deals </w:t>
      </w:r>
      <w:r w:rsidR="004F757F">
        <w:rPr>
          <w:rFonts w:ascii="Times New Roman" w:hAnsi="Times New Roman" w:cs="Times New Roman"/>
          <w:sz w:val="24"/>
          <w:szCs w:val="24"/>
          <w:lang w:val="en-GB"/>
        </w:rPr>
        <w:t xml:space="preserve">exclusively </w:t>
      </w:r>
      <w:r w:rsidRPr="00614438">
        <w:rPr>
          <w:rFonts w:ascii="Times New Roman" w:hAnsi="Times New Roman" w:cs="Times New Roman"/>
          <w:sz w:val="24"/>
          <w:szCs w:val="24"/>
          <w:lang w:val="en-GB"/>
        </w:rPr>
        <w:t>with the climate change issues. Through the implementation of the Law on Climate Change, that applies to the emissions of carbon dioxide (</w:t>
      </w:r>
      <w:r w:rsidR="004F757F" w:rsidRPr="00F10D1E">
        <w:rPr>
          <w:rFonts w:ascii="Times New Roman" w:hAnsi="Times New Roman" w:cs="Times New Roman"/>
          <w:sz w:val="24"/>
          <w:szCs w:val="24"/>
        </w:rPr>
        <w:t>CO</w:t>
      </w:r>
      <w:r w:rsidR="004F757F" w:rsidRPr="00F10D1E">
        <w:rPr>
          <w:rFonts w:ascii="Times New Roman" w:hAnsi="Times New Roman" w:cs="Times New Roman"/>
          <w:sz w:val="24"/>
          <w:szCs w:val="24"/>
          <w:vertAlign w:val="subscript"/>
        </w:rPr>
        <w:t>2</w:t>
      </w:r>
      <w:r w:rsidRPr="00614438">
        <w:rPr>
          <w:rFonts w:ascii="Times New Roman" w:hAnsi="Times New Roman" w:cs="Times New Roman"/>
          <w:sz w:val="24"/>
          <w:szCs w:val="24"/>
          <w:lang w:val="en-GB"/>
        </w:rPr>
        <w:t>), methane (</w:t>
      </w:r>
      <w:r w:rsidR="004F757F" w:rsidRPr="00F10D1E">
        <w:rPr>
          <w:rFonts w:ascii="Times New Roman" w:hAnsi="Times New Roman" w:cs="Times New Roman"/>
          <w:sz w:val="24"/>
          <w:szCs w:val="24"/>
        </w:rPr>
        <w:t>CH</w:t>
      </w:r>
      <w:r w:rsidR="004F757F" w:rsidRPr="00F10D1E">
        <w:rPr>
          <w:rFonts w:ascii="Times New Roman" w:hAnsi="Times New Roman" w:cs="Times New Roman"/>
          <w:sz w:val="24"/>
          <w:szCs w:val="24"/>
          <w:vertAlign w:val="subscript"/>
        </w:rPr>
        <w:t>4</w:t>
      </w:r>
      <w:r w:rsidRPr="00614438">
        <w:rPr>
          <w:rFonts w:ascii="Times New Roman" w:hAnsi="Times New Roman" w:cs="Times New Roman"/>
          <w:sz w:val="24"/>
          <w:szCs w:val="24"/>
          <w:lang w:val="en-GB"/>
        </w:rPr>
        <w:t>), nitrous oxide (</w:t>
      </w:r>
      <w:r w:rsidR="004F757F" w:rsidRPr="00F10D1E">
        <w:rPr>
          <w:rFonts w:ascii="Times New Roman" w:hAnsi="Times New Roman" w:cs="Times New Roman"/>
          <w:sz w:val="24"/>
          <w:szCs w:val="24"/>
        </w:rPr>
        <w:t>N</w:t>
      </w:r>
      <w:r w:rsidR="004F757F" w:rsidRPr="00F10D1E">
        <w:rPr>
          <w:rFonts w:ascii="Times New Roman" w:hAnsi="Times New Roman" w:cs="Times New Roman"/>
          <w:sz w:val="24"/>
          <w:szCs w:val="24"/>
          <w:vertAlign w:val="subscript"/>
        </w:rPr>
        <w:t>2</w:t>
      </w:r>
      <w:r w:rsidR="004F757F" w:rsidRPr="00F10D1E">
        <w:rPr>
          <w:rFonts w:ascii="Times New Roman" w:hAnsi="Times New Roman" w:cs="Times New Roman"/>
          <w:sz w:val="24"/>
          <w:szCs w:val="24"/>
        </w:rPr>
        <w:t>O</w:t>
      </w:r>
      <w:r w:rsidRPr="00614438">
        <w:rPr>
          <w:rFonts w:ascii="Times New Roman" w:hAnsi="Times New Roman" w:cs="Times New Roman"/>
          <w:sz w:val="24"/>
          <w:szCs w:val="24"/>
          <w:lang w:val="en-GB"/>
        </w:rPr>
        <w:t>), fluorocarbons (HFCs), perfluorocarbons (PFCs), sulphur hexafluoride (</w:t>
      </w:r>
      <w:r w:rsidR="004F757F" w:rsidRPr="00F10D1E">
        <w:rPr>
          <w:rFonts w:ascii="Times New Roman" w:hAnsi="Times New Roman" w:cs="Times New Roman"/>
          <w:sz w:val="24"/>
          <w:szCs w:val="24"/>
        </w:rPr>
        <w:t>SF</w:t>
      </w:r>
      <w:r w:rsidR="004F757F" w:rsidRPr="00F10D1E">
        <w:rPr>
          <w:rFonts w:ascii="Times New Roman" w:hAnsi="Times New Roman" w:cs="Times New Roman"/>
          <w:sz w:val="24"/>
          <w:szCs w:val="24"/>
          <w:vertAlign w:val="subscript"/>
        </w:rPr>
        <w:t>6</w:t>
      </w:r>
      <w:r w:rsidRPr="00614438">
        <w:rPr>
          <w:rFonts w:ascii="Times New Roman" w:hAnsi="Times New Roman" w:cs="Times New Roman"/>
          <w:sz w:val="24"/>
          <w:szCs w:val="24"/>
          <w:lang w:val="en-GB"/>
        </w:rPr>
        <w:t>) and nitrogen trifluoride (</w:t>
      </w:r>
      <w:r w:rsidR="004F757F" w:rsidRPr="00F10D1E">
        <w:rPr>
          <w:rFonts w:ascii="Times New Roman" w:hAnsi="Times New Roman" w:cs="Times New Roman"/>
          <w:sz w:val="24"/>
          <w:szCs w:val="24"/>
        </w:rPr>
        <w:t>NF</w:t>
      </w:r>
      <w:r w:rsidR="004F757F" w:rsidRPr="00F10D1E">
        <w:rPr>
          <w:rFonts w:ascii="Times New Roman" w:hAnsi="Times New Roman" w:cs="Times New Roman"/>
          <w:sz w:val="24"/>
          <w:szCs w:val="24"/>
          <w:vertAlign w:val="subscript"/>
        </w:rPr>
        <w:t>3</w:t>
      </w:r>
      <w:r w:rsidRPr="00614438">
        <w:rPr>
          <w:rFonts w:ascii="Times New Roman" w:hAnsi="Times New Roman" w:cs="Times New Roman"/>
          <w:sz w:val="24"/>
          <w:szCs w:val="24"/>
          <w:lang w:val="en-GB"/>
        </w:rPr>
        <w:t xml:space="preserve">), the Republic of Serbia should establish a system for reducing greenhouse gas emissions and ensure adaptation to changed climate conditions. Also, in 2010, the Law on Meteorological and Hydrological Activities </w:t>
      </w:r>
      <w:r w:rsidRPr="00614438">
        <w:rPr>
          <w:rFonts w:ascii="Times New Roman" w:hAnsi="Times New Roman" w:cs="Times New Roman"/>
          <w:sz w:val="24"/>
          <w:szCs w:val="24"/>
          <w:lang w:val="en-GB"/>
        </w:rPr>
        <w:lastRenderedPageBreak/>
        <w:t>was adopted, which regulated the issues of systematic meteorological and hydrological measurements and observations, monitoring and research of the state and changes in weather, climate, water resources and the regime of surface and underground water, solar radiation, energy potential of the sun, wind and water on the territory of the Republic of Serbia, which is of importance for planning the development on the use of hydropower, solar and wind energy as the basic types of RES</w:t>
      </w:r>
      <w:r w:rsidR="004F757F">
        <w:rPr>
          <w:rFonts w:ascii="Times New Roman" w:hAnsi="Times New Roman" w:cs="Times New Roman"/>
          <w:sz w:val="24"/>
          <w:szCs w:val="24"/>
          <w:lang w:val="en-GB"/>
        </w:rPr>
        <w:t>.</w:t>
      </w:r>
    </w:p>
    <w:p w14:paraId="1F9A4D07" w14:textId="77777777" w:rsidR="00614438" w:rsidRPr="00614438" w:rsidRDefault="00614438" w:rsidP="004F757F">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Regarding the emissions, </w:t>
      </w:r>
      <w:r w:rsidR="00426CC0">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Republic of Serbia adopted </w:t>
      </w:r>
      <w:r w:rsidR="00426CC0">
        <w:rPr>
          <w:rFonts w:ascii="Times New Roman" w:hAnsi="Times New Roman" w:cs="Times New Roman"/>
          <w:sz w:val="24"/>
          <w:szCs w:val="24"/>
          <w:lang w:val="en-GB"/>
        </w:rPr>
        <w:t xml:space="preserve">in 2020 </w:t>
      </w:r>
      <w:r w:rsidRPr="00614438">
        <w:rPr>
          <w:rFonts w:ascii="Times New Roman" w:hAnsi="Times New Roman" w:cs="Times New Roman"/>
          <w:sz w:val="24"/>
          <w:szCs w:val="24"/>
          <w:lang w:val="en-GB"/>
        </w:rPr>
        <w:t xml:space="preserve">the National Emission Reduction Plan </w:t>
      </w:r>
      <w:r w:rsidR="00426CC0" w:rsidRPr="00426CC0">
        <w:rPr>
          <w:rFonts w:ascii="Times New Roman" w:hAnsi="Times New Roman" w:cs="Times New Roman"/>
          <w:sz w:val="24"/>
          <w:szCs w:val="24"/>
          <w:lang w:val="en-GB"/>
        </w:rPr>
        <w:t>of the main pollutants originating from old large combustion plants ("Official Gazette of the RS", n</w:t>
      </w:r>
      <w:r w:rsidR="00426CC0">
        <w:rPr>
          <w:rFonts w:ascii="Times New Roman" w:hAnsi="Times New Roman" w:cs="Times New Roman"/>
          <w:sz w:val="24"/>
          <w:szCs w:val="24"/>
          <w:lang w:val="en-GB"/>
        </w:rPr>
        <w:t>o.</w:t>
      </w:r>
      <w:r w:rsidR="00426CC0" w:rsidRPr="00426CC0">
        <w:rPr>
          <w:rFonts w:ascii="Times New Roman" w:hAnsi="Times New Roman" w:cs="Times New Roman"/>
          <w:sz w:val="24"/>
          <w:szCs w:val="24"/>
          <w:lang w:val="en-GB"/>
        </w:rPr>
        <w:t xml:space="preserve"> 10/20),</w:t>
      </w:r>
      <w:r w:rsidRPr="00614438">
        <w:rPr>
          <w:rFonts w:ascii="Times New Roman" w:hAnsi="Times New Roman" w:cs="Times New Roman"/>
          <w:sz w:val="24"/>
          <w:szCs w:val="24"/>
          <w:lang w:val="en-GB"/>
        </w:rPr>
        <w:t xml:space="preserve"> </w:t>
      </w:r>
      <w:r w:rsidR="00426CC0">
        <w:rPr>
          <w:rFonts w:ascii="Times New Roman" w:hAnsi="Times New Roman" w:cs="Times New Roman"/>
          <w:sz w:val="24"/>
          <w:szCs w:val="24"/>
          <w:lang w:val="en-GB"/>
        </w:rPr>
        <w:t>which i</w:t>
      </w:r>
      <w:r w:rsidRPr="00614438">
        <w:rPr>
          <w:rFonts w:ascii="Times New Roman" w:hAnsi="Times New Roman" w:cs="Times New Roman"/>
          <w:sz w:val="24"/>
          <w:szCs w:val="24"/>
          <w:lang w:val="en-GB"/>
        </w:rPr>
        <w:t xml:space="preserve">s an important step towards the emissions reduction from large combustion plants and </w:t>
      </w:r>
      <w:r w:rsidR="00426CC0">
        <w:rPr>
          <w:rFonts w:ascii="Times New Roman" w:hAnsi="Times New Roman" w:cs="Times New Roman"/>
          <w:sz w:val="24"/>
          <w:szCs w:val="24"/>
          <w:lang w:val="en-GB"/>
        </w:rPr>
        <w:t xml:space="preserve">it </w:t>
      </w:r>
      <w:r w:rsidRPr="00614438">
        <w:rPr>
          <w:rFonts w:ascii="Times New Roman" w:hAnsi="Times New Roman" w:cs="Times New Roman"/>
          <w:sz w:val="24"/>
          <w:szCs w:val="24"/>
          <w:lang w:val="en-GB"/>
        </w:rPr>
        <w:t xml:space="preserve">showed the country’s commitment to become harmonized with the EU acquis in the areas of climate change, environment and energy. </w:t>
      </w:r>
      <w:r w:rsidR="00426CC0">
        <w:rPr>
          <w:rFonts w:ascii="Times New Roman" w:hAnsi="Times New Roman" w:cs="Times New Roman"/>
          <w:sz w:val="24"/>
          <w:szCs w:val="24"/>
          <w:lang w:val="en-GB"/>
        </w:rPr>
        <w:t>On the other hand</w:t>
      </w:r>
      <w:r w:rsidRPr="00614438">
        <w:rPr>
          <w:rFonts w:ascii="Times New Roman" w:hAnsi="Times New Roman" w:cs="Times New Roman"/>
          <w:sz w:val="24"/>
          <w:szCs w:val="24"/>
          <w:lang w:val="en-GB"/>
        </w:rPr>
        <w:t>, the Initial National Communication (INC) of the Republic of Serbia, as well as the Second National</w:t>
      </w:r>
      <w:r w:rsidR="00426CC0">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 xml:space="preserve">Communication (SNC) and the First Biennial </w:t>
      </w:r>
      <w:r w:rsidR="00426CC0">
        <w:rPr>
          <w:rFonts w:ascii="Times New Roman" w:hAnsi="Times New Roman" w:cs="Times New Roman"/>
          <w:sz w:val="24"/>
          <w:szCs w:val="24"/>
          <w:lang w:val="en-GB"/>
        </w:rPr>
        <w:t xml:space="preserve">Update </w:t>
      </w:r>
      <w:r w:rsidRPr="00614438">
        <w:rPr>
          <w:rFonts w:ascii="Times New Roman" w:hAnsi="Times New Roman" w:cs="Times New Roman"/>
          <w:sz w:val="24"/>
          <w:szCs w:val="24"/>
          <w:lang w:val="en-GB"/>
        </w:rPr>
        <w:t xml:space="preserve">Report (FBUR), represent important national reporting documents </w:t>
      </w:r>
      <w:r w:rsidR="00426CC0">
        <w:rPr>
          <w:rFonts w:ascii="Times New Roman" w:hAnsi="Times New Roman" w:cs="Times New Roman"/>
          <w:sz w:val="24"/>
          <w:szCs w:val="24"/>
          <w:lang w:val="en-GB"/>
        </w:rPr>
        <w:t>of reporting to the Secretariat of</w:t>
      </w:r>
      <w:r w:rsidRPr="00614438">
        <w:rPr>
          <w:rFonts w:ascii="Times New Roman" w:hAnsi="Times New Roman" w:cs="Times New Roman"/>
          <w:sz w:val="24"/>
          <w:szCs w:val="24"/>
          <w:lang w:val="en-GB"/>
        </w:rPr>
        <w:t xml:space="preserve"> UNFCCC and a basis for future actions, research, and policies in the area of climate change, national capacity building and improvement of knowledge and sustainable development of the country. In order to fulfil the UNFCCC reporting requirements, Serbia submitted its First National Communication (</w:t>
      </w:r>
      <w:r w:rsidR="00426CC0">
        <w:rPr>
          <w:rFonts w:ascii="Times New Roman" w:hAnsi="Times New Roman" w:cs="Times New Roman"/>
          <w:sz w:val="24"/>
          <w:szCs w:val="24"/>
          <w:lang w:val="en-GB"/>
        </w:rPr>
        <w:t>1</w:t>
      </w:r>
      <w:r w:rsidRPr="00614438">
        <w:rPr>
          <w:rFonts w:ascii="Times New Roman" w:hAnsi="Times New Roman" w:cs="Times New Roman"/>
          <w:sz w:val="24"/>
          <w:szCs w:val="24"/>
          <w:lang w:val="en-GB"/>
        </w:rPr>
        <w:t>NC) in 2010, First Biennial Update Report (</w:t>
      </w:r>
      <w:r w:rsidR="00426CC0">
        <w:rPr>
          <w:rFonts w:ascii="Times New Roman" w:hAnsi="Times New Roman" w:cs="Times New Roman"/>
          <w:sz w:val="24"/>
          <w:szCs w:val="24"/>
          <w:lang w:val="en-GB"/>
        </w:rPr>
        <w:t>1</w:t>
      </w:r>
      <w:r w:rsidRPr="00614438">
        <w:rPr>
          <w:rFonts w:ascii="Times New Roman" w:hAnsi="Times New Roman" w:cs="Times New Roman"/>
          <w:sz w:val="24"/>
          <w:szCs w:val="24"/>
          <w:lang w:val="en-GB"/>
        </w:rPr>
        <w:t>BUR) in 2016 and Second National Communication (</w:t>
      </w:r>
      <w:r w:rsidR="00426CC0">
        <w:rPr>
          <w:rFonts w:ascii="Times New Roman" w:hAnsi="Times New Roman" w:cs="Times New Roman"/>
          <w:sz w:val="24"/>
          <w:szCs w:val="24"/>
          <w:lang w:val="en-GB"/>
        </w:rPr>
        <w:t>2</w:t>
      </w:r>
      <w:r w:rsidRPr="00614438">
        <w:rPr>
          <w:rFonts w:ascii="Times New Roman" w:hAnsi="Times New Roman" w:cs="Times New Roman"/>
          <w:sz w:val="24"/>
          <w:szCs w:val="24"/>
          <w:lang w:val="en-GB"/>
        </w:rPr>
        <w:t>NC) in 2017</w:t>
      </w:r>
      <w:r w:rsidR="00426CC0">
        <w:rPr>
          <w:rFonts w:ascii="Times New Roman" w:hAnsi="Times New Roman" w:cs="Times New Roman"/>
          <w:sz w:val="24"/>
          <w:szCs w:val="24"/>
          <w:lang w:val="en-GB"/>
        </w:rPr>
        <w:t>, as well as</w:t>
      </w:r>
      <w:r w:rsidRPr="00614438">
        <w:rPr>
          <w:rFonts w:ascii="Times New Roman" w:hAnsi="Times New Roman" w:cs="Times New Roman"/>
          <w:sz w:val="24"/>
          <w:szCs w:val="24"/>
          <w:lang w:val="en-GB"/>
        </w:rPr>
        <w:t xml:space="preserve"> </w:t>
      </w:r>
      <w:r w:rsidR="00426CC0">
        <w:rPr>
          <w:rFonts w:ascii="Times New Roman" w:hAnsi="Times New Roman" w:cs="Times New Roman"/>
          <w:sz w:val="24"/>
          <w:szCs w:val="24"/>
          <w:lang w:val="en-GB"/>
        </w:rPr>
        <w:t>the</w:t>
      </w:r>
      <w:r w:rsidRPr="00614438">
        <w:rPr>
          <w:rFonts w:ascii="Times New Roman" w:hAnsi="Times New Roman" w:cs="Times New Roman"/>
          <w:sz w:val="24"/>
          <w:szCs w:val="24"/>
          <w:lang w:val="en-GB"/>
        </w:rPr>
        <w:t xml:space="preserve"> Second Biennial Update Report (</w:t>
      </w:r>
      <w:r w:rsidR="00426CC0">
        <w:rPr>
          <w:rFonts w:ascii="Times New Roman" w:hAnsi="Times New Roman" w:cs="Times New Roman"/>
          <w:sz w:val="24"/>
          <w:szCs w:val="24"/>
          <w:lang w:val="en-GB"/>
        </w:rPr>
        <w:t>2</w:t>
      </w:r>
      <w:r w:rsidRPr="00614438">
        <w:rPr>
          <w:rFonts w:ascii="Times New Roman" w:hAnsi="Times New Roman" w:cs="Times New Roman"/>
          <w:sz w:val="24"/>
          <w:szCs w:val="24"/>
          <w:lang w:val="en-GB"/>
        </w:rPr>
        <w:t>BUR) and Third National Communication (</w:t>
      </w:r>
      <w:r w:rsidR="00426CC0">
        <w:rPr>
          <w:rFonts w:ascii="Times New Roman" w:hAnsi="Times New Roman" w:cs="Times New Roman"/>
          <w:sz w:val="24"/>
          <w:szCs w:val="24"/>
          <w:lang w:val="en-GB"/>
        </w:rPr>
        <w:t>3</w:t>
      </w:r>
      <w:r w:rsidRPr="00614438">
        <w:rPr>
          <w:rFonts w:ascii="Times New Roman" w:hAnsi="Times New Roman" w:cs="Times New Roman"/>
          <w:sz w:val="24"/>
          <w:szCs w:val="24"/>
          <w:lang w:val="en-GB"/>
        </w:rPr>
        <w:t>NC)</w:t>
      </w:r>
      <w:r w:rsidR="00BE0314">
        <w:rPr>
          <w:rFonts w:ascii="Times New Roman" w:hAnsi="Times New Roman" w:cs="Times New Roman"/>
          <w:sz w:val="24"/>
          <w:szCs w:val="24"/>
          <w:lang w:val="en-GB"/>
        </w:rPr>
        <w:t xml:space="preserve">. According to the Paris Agreement, </w:t>
      </w:r>
      <w:r w:rsidR="00BE0314" w:rsidRPr="00BE0314">
        <w:rPr>
          <w:rFonts w:ascii="Times New Roman" w:hAnsi="Times New Roman" w:cs="Times New Roman"/>
          <w:sz w:val="24"/>
          <w:szCs w:val="24"/>
          <w:lang w:val="en-GB"/>
        </w:rPr>
        <w:t>the preparation of the First Biennial Report on Transparency, i.e. the Fourth National Report a</w:t>
      </w:r>
      <w:r w:rsidR="00BE0314">
        <w:rPr>
          <w:rFonts w:ascii="Times New Roman" w:hAnsi="Times New Roman" w:cs="Times New Roman"/>
          <w:sz w:val="24"/>
          <w:szCs w:val="24"/>
          <w:lang w:val="en-GB"/>
        </w:rPr>
        <w:t>s well as</w:t>
      </w:r>
      <w:r w:rsidR="00BE0314" w:rsidRPr="00BE0314">
        <w:rPr>
          <w:rFonts w:ascii="Times New Roman" w:hAnsi="Times New Roman" w:cs="Times New Roman"/>
          <w:sz w:val="24"/>
          <w:szCs w:val="24"/>
          <w:lang w:val="en-GB"/>
        </w:rPr>
        <w:t xml:space="preserve"> the Second Biennial Report on Transparency</w:t>
      </w:r>
      <w:r w:rsidR="00BE0314">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are currently ongoing.</w:t>
      </w:r>
    </w:p>
    <w:p w14:paraId="7D89C05C" w14:textId="77777777" w:rsidR="00614438" w:rsidRPr="00614438" w:rsidRDefault="00BE0314" w:rsidP="00BE0314">
      <w:pPr>
        <w:ind w:firstLine="720"/>
        <w:jc w:val="both"/>
        <w:rPr>
          <w:rFonts w:ascii="Times New Roman" w:hAnsi="Times New Roman" w:cs="Times New Roman"/>
          <w:sz w:val="24"/>
          <w:szCs w:val="24"/>
          <w:lang w:val="en-GB"/>
        </w:rPr>
      </w:pPr>
      <w:r w:rsidRPr="00BE0314">
        <w:rPr>
          <w:rFonts w:ascii="Times New Roman" w:hAnsi="Times New Roman" w:cs="Times New Roman"/>
          <w:sz w:val="24"/>
          <w:szCs w:val="24"/>
          <w:lang w:val="en-GB"/>
        </w:rPr>
        <w:t xml:space="preserve">The low-carbon development strategy of the Republic of Serbia for the period 2023-2030, with projections until 2050, is the first public policy document in the field of climate change and </w:t>
      </w:r>
      <w:r>
        <w:rPr>
          <w:rFonts w:ascii="Times New Roman" w:hAnsi="Times New Roman" w:cs="Times New Roman"/>
          <w:sz w:val="24"/>
          <w:szCs w:val="24"/>
          <w:lang w:val="en-GB"/>
        </w:rPr>
        <w:t xml:space="preserve">it </w:t>
      </w:r>
      <w:r w:rsidRPr="00BE0314">
        <w:rPr>
          <w:rFonts w:ascii="Times New Roman" w:hAnsi="Times New Roman" w:cs="Times New Roman"/>
          <w:sz w:val="24"/>
          <w:szCs w:val="24"/>
          <w:lang w:val="en-GB"/>
        </w:rPr>
        <w:t>defines the goals of reducing greenhouse gas emissions at the level of the entire economy in accordance with the requirements of the UN Framework Convention on Climate Change and the Paris Agreement, as well as relevant EU climate legislation. The strategy of the industrial policy of the Republic of Serbia from 2021 to 2030 ("Official Gazette of RS", n</w:t>
      </w:r>
      <w:r>
        <w:rPr>
          <w:rFonts w:ascii="Times New Roman" w:hAnsi="Times New Roman" w:cs="Times New Roman"/>
          <w:sz w:val="24"/>
          <w:szCs w:val="24"/>
          <w:lang w:val="en-GB"/>
        </w:rPr>
        <w:t>o.</w:t>
      </w:r>
      <w:r w:rsidRPr="00BE0314">
        <w:rPr>
          <w:rFonts w:ascii="Times New Roman" w:hAnsi="Times New Roman" w:cs="Times New Roman"/>
          <w:sz w:val="24"/>
          <w:szCs w:val="24"/>
          <w:lang w:val="en-GB"/>
        </w:rPr>
        <w:t xml:space="preserve"> 35/20) represents a comprehensive reform step in the field of industrial development, which is one of the six key elements identified in the field of industrial development of the EU.</w:t>
      </w:r>
      <w:r>
        <w:rPr>
          <w:rFonts w:ascii="Times New Roman" w:hAnsi="Times New Roman" w:cs="Times New Roman"/>
          <w:sz w:val="24"/>
          <w:szCs w:val="24"/>
          <w:lang w:val="en-GB"/>
        </w:rPr>
        <w:t xml:space="preserve"> </w:t>
      </w:r>
    </w:p>
    <w:p w14:paraId="28A579D1" w14:textId="77777777" w:rsidR="00614438" w:rsidRPr="00614438" w:rsidRDefault="00614438" w:rsidP="00BE0314">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Another important document is the Strategy for Cleaner Production in the Republic of Serbia</w:t>
      </w:r>
      <w:r w:rsidR="00BE0314">
        <w:rPr>
          <w:rFonts w:ascii="Times New Roman" w:hAnsi="Times New Roman" w:cs="Times New Roman"/>
          <w:sz w:val="24"/>
          <w:szCs w:val="24"/>
          <w:lang w:val="en-GB"/>
        </w:rPr>
        <w:t xml:space="preserve"> </w:t>
      </w:r>
      <w:r w:rsidR="00BE0314" w:rsidRPr="00BE0314">
        <w:rPr>
          <w:rFonts w:ascii="Times New Roman" w:hAnsi="Times New Roman" w:cs="Times New Roman"/>
          <w:sz w:val="24"/>
          <w:szCs w:val="24"/>
          <w:lang w:val="en-GB"/>
        </w:rPr>
        <w:t>("Official Gazette of RS", n</w:t>
      </w:r>
      <w:r w:rsidR="00BE0314">
        <w:rPr>
          <w:rFonts w:ascii="Times New Roman" w:hAnsi="Times New Roman" w:cs="Times New Roman"/>
          <w:sz w:val="24"/>
          <w:szCs w:val="24"/>
          <w:lang w:val="en-GB"/>
        </w:rPr>
        <w:t>o.</w:t>
      </w:r>
      <w:r w:rsidR="00BE0314" w:rsidRPr="00BE0314">
        <w:rPr>
          <w:rFonts w:ascii="Times New Roman" w:hAnsi="Times New Roman" w:cs="Times New Roman"/>
          <w:sz w:val="24"/>
          <w:szCs w:val="24"/>
          <w:lang w:val="en-GB"/>
        </w:rPr>
        <w:t xml:space="preserve"> </w:t>
      </w:r>
      <w:r w:rsidR="00BE0314">
        <w:rPr>
          <w:rFonts w:ascii="Times New Roman" w:hAnsi="Times New Roman" w:cs="Times New Roman"/>
          <w:sz w:val="24"/>
          <w:szCs w:val="24"/>
          <w:lang w:val="en-GB"/>
        </w:rPr>
        <w:t>17</w:t>
      </w:r>
      <w:r w:rsidR="00BE0314" w:rsidRPr="00BE0314">
        <w:rPr>
          <w:rFonts w:ascii="Times New Roman" w:hAnsi="Times New Roman" w:cs="Times New Roman"/>
          <w:sz w:val="24"/>
          <w:szCs w:val="24"/>
          <w:lang w:val="en-GB"/>
        </w:rPr>
        <w:t>/0</w:t>
      </w:r>
      <w:r w:rsidR="00BE0314">
        <w:rPr>
          <w:rFonts w:ascii="Times New Roman" w:hAnsi="Times New Roman" w:cs="Times New Roman"/>
          <w:sz w:val="24"/>
          <w:szCs w:val="24"/>
          <w:lang w:val="en-GB"/>
        </w:rPr>
        <w:t>9</w:t>
      </w:r>
      <w:r w:rsidR="00BE0314" w:rsidRPr="00BE0314">
        <w:rPr>
          <w:rFonts w:ascii="Times New Roman" w:hAnsi="Times New Roman" w:cs="Times New Roman"/>
          <w:sz w:val="24"/>
          <w:szCs w:val="24"/>
          <w:lang w:val="en-GB"/>
        </w:rPr>
        <w:t>)</w:t>
      </w:r>
      <w:r w:rsidRPr="00614438">
        <w:rPr>
          <w:rFonts w:ascii="Times New Roman" w:hAnsi="Times New Roman" w:cs="Times New Roman"/>
          <w:sz w:val="24"/>
          <w:szCs w:val="24"/>
          <w:lang w:val="en-GB"/>
        </w:rPr>
        <w:t>, which elaborates a concept of sustainable development through encouraging the implementation of cleaner production, increasing energy efficiency and efficiency of natural resources use, as well as through reducing the amount of waste generation.</w:t>
      </w:r>
    </w:p>
    <w:p w14:paraId="6F3F0C15" w14:textId="77777777" w:rsidR="00614438" w:rsidRPr="00614438" w:rsidRDefault="00614438" w:rsidP="00BE0314">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September 2015</w:t>
      </w:r>
      <w:r w:rsidR="00BE0314">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United Nations General Assembly adopted Resolution A/RES/70/1 – Transforming our world: the 2030 Agenda for Sustainable Development. Three dimensions of the 2030 Agenda are economic growth, social inclusion, and environmental protection. It contains 17 Sustainable Development Goals (SDGs) which came into effect in January 2016, some of them </w:t>
      </w:r>
      <w:r w:rsidR="00BE0314">
        <w:rPr>
          <w:rFonts w:ascii="Times New Roman" w:hAnsi="Times New Roman" w:cs="Times New Roman"/>
          <w:sz w:val="24"/>
          <w:szCs w:val="24"/>
          <w:lang w:val="en-GB"/>
        </w:rPr>
        <w:t>being</w:t>
      </w:r>
      <w:r w:rsidRPr="00614438">
        <w:rPr>
          <w:rFonts w:ascii="Times New Roman" w:hAnsi="Times New Roman" w:cs="Times New Roman"/>
          <w:sz w:val="24"/>
          <w:szCs w:val="24"/>
          <w:lang w:val="en-GB"/>
        </w:rPr>
        <w:t xml:space="preserve"> affordable and clean energy, decent work and economic growth, sustainable cities and communities, climate action and others. In December 2015 inter-Ministerial Working Group for the implementation of the 2030 Agenda for Sustainable Development was established with the task of coordinating the work of all Ministries and State institutions. National Strategic Framework was mapped against SDGs in Serbia and the 2030 Agenda document, while progress on the SDGs is measured by relevant national indicators that are produced and collected by Statistical Office of the Republic of Serbia.</w:t>
      </w:r>
    </w:p>
    <w:p w14:paraId="60BF7491" w14:textId="77777777" w:rsidR="00614438" w:rsidRPr="00614438" w:rsidRDefault="00BE0314" w:rsidP="00BE0314">
      <w:pPr>
        <w:ind w:firstLine="720"/>
        <w:jc w:val="both"/>
        <w:rPr>
          <w:rFonts w:ascii="Times New Roman" w:hAnsi="Times New Roman" w:cs="Times New Roman"/>
          <w:sz w:val="24"/>
          <w:szCs w:val="24"/>
          <w:lang w:val="en-GB"/>
        </w:rPr>
      </w:pPr>
      <w:r w:rsidRPr="00BE0314">
        <w:rPr>
          <w:rFonts w:ascii="Times New Roman" w:hAnsi="Times New Roman" w:cs="Times New Roman"/>
          <w:sz w:val="24"/>
          <w:szCs w:val="24"/>
          <w:lang w:val="en-GB"/>
        </w:rPr>
        <w:t xml:space="preserve">At the United Nations conference on climate change held in Glasgow, the Republic of Serbia joined the Global </w:t>
      </w:r>
      <w:r w:rsidR="00866BE9">
        <w:rPr>
          <w:rFonts w:ascii="Times New Roman" w:hAnsi="Times New Roman" w:cs="Times New Roman"/>
          <w:sz w:val="24"/>
          <w:szCs w:val="24"/>
          <w:lang w:val="en-GB"/>
        </w:rPr>
        <w:t>Methane Pledge</w:t>
      </w:r>
      <w:r w:rsidRPr="00BE0314">
        <w:rPr>
          <w:rFonts w:ascii="Times New Roman" w:hAnsi="Times New Roman" w:cs="Times New Roman"/>
          <w:sz w:val="24"/>
          <w:szCs w:val="24"/>
          <w:lang w:val="en-GB"/>
        </w:rPr>
        <w:t xml:space="preserve">. Participants of the </w:t>
      </w:r>
      <w:r w:rsidR="00866BE9">
        <w:rPr>
          <w:rFonts w:ascii="Times New Roman" w:hAnsi="Times New Roman" w:cs="Times New Roman"/>
          <w:sz w:val="24"/>
          <w:szCs w:val="24"/>
          <w:lang w:val="en-GB"/>
        </w:rPr>
        <w:t>Pledge</w:t>
      </w:r>
      <w:r w:rsidRPr="00BE0314">
        <w:rPr>
          <w:rFonts w:ascii="Times New Roman" w:hAnsi="Times New Roman" w:cs="Times New Roman"/>
          <w:sz w:val="24"/>
          <w:szCs w:val="24"/>
          <w:lang w:val="en-GB"/>
        </w:rPr>
        <w:t xml:space="preserve"> have agreed to contribute to the reduction of global anthropogenic methane emissions in all sectors by at least 30% by 2030 compared </w:t>
      </w:r>
      <w:r w:rsidRPr="00BE0314">
        <w:rPr>
          <w:rFonts w:ascii="Times New Roman" w:hAnsi="Times New Roman" w:cs="Times New Roman"/>
          <w:sz w:val="24"/>
          <w:szCs w:val="24"/>
          <w:lang w:val="en-GB"/>
        </w:rPr>
        <w:lastRenderedPageBreak/>
        <w:t xml:space="preserve">to 2020 levels, while respecting the goal of the Paris Agreement to limit the increase in temperature to 1,5 ͦC. The members have committed themselves to take </w:t>
      </w:r>
      <w:r w:rsidR="00866BE9">
        <w:rPr>
          <w:rFonts w:ascii="Times New Roman" w:hAnsi="Times New Roman" w:cs="Times New Roman"/>
          <w:sz w:val="24"/>
          <w:szCs w:val="24"/>
          <w:lang w:val="en-GB"/>
        </w:rPr>
        <w:t xml:space="preserve">domestic </w:t>
      </w:r>
      <w:r w:rsidRPr="00BE0314">
        <w:rPr>
          <w:rFonts w:ascii="Times New Roman" w:hAnsi="Times New Roman" w:cs="Times New Roman"/>
          <w:sz w:val="24"/>
          <w:szCs w:val="24"/>
          <w:lang w:val="en-GB"/>
        </w:rPr>
        <w:t xml:space="preserve">actions to reduce emissions from energy, waste and agriculture sectors by improving standards, technological innovations, incentives and partnerships with farmers. Apart from this, the Republic of Serbia also joined other relevant initiatives and decisions adopted under the auspices of the </w:t>
      </w:r>
      <w:r w:rsidR="00866BE9">
        <w:rPr>
          <w:rFonts w:ascii="Times New Roman" w:hAnsi="Times New Roman" w:cs="Times New Roman"/>
          <w:sz w:val="24"/>
          <w:szCs w:val="24"/>
          <w:lang w:val="en-GB"/>
        </w:rPr>
        <w:t>COP</w:t>
      </w:r>
      <w:r w:rsidRPr="00BE0314">
        <w:rPr>
          <w:rFonts w:ascii="Times New Roman" w:hAnsi="Times New Roman" w:cs="Times New Roman"/>
          <w:sz w:val="24"/>
          <w:szCs w:val="24"/>
          <w:lang w:val="en-GB"/>
        </w:rPr>
        <w:t>, such as the Global Initiative on Renewable Sources and Energy Efficiency, adopted under the auspices of COP 28.</w:t>
      </w:r>
    </w:p>
    <w:p w14:paraId="2BE7D118" w14:textId="77777777" w:rsidR="00614438" w:rsidRPr="00614438" w:rsidRDefault="00614438" w:rsidP="00866BE9">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October 202</w:t>
      </w:r>
      <w:r w:rsidR="00BE0314">
        <w:rPr>
          <w:rFonts w:ascii="Times New Roman" w:hAnsi="Times New Roman" w:cs="Times New Roman"/>
          <w:sz w:val="24"/>
          <w:szCs w:val="24"/>
          <w:lang w:val="en-GB"/>
        </w:rPr>
        <w:t>1</w:t>
      </w:r>
      <w:r w:rsidRPr="00614438">
        <w:rPr>
          <w:rFonts w:ascii="Times New Roman" w:hAnsi="Times New Roman" w:cs="Times New Roman"/>
          <w:sz w:val="24"/>
          <w:szCs w:val="24"/>
          <w:lang w:val="en-GB"/>
        </w:rPr>
        <w:t>, the Joint Declaration of Intent on the “Strategic Cooperation on Climate Action” was signed between the Ministry of European Integration of the Republic of Serbia and the Federal Ministry for Economic Cooperation and Development of the Federal Republic of Germany. The goal of the Climate Partnership is to support the decarbonization process through greater integration of RES and the promotion of energy efficiency, as well as a socially just green transition. A task team was also established with the goal of providing support for the implementation of the Climate Partnership, through enhanced coordination of financial and technical support for development cooperation.</w:t>
      </w:r>
    </w:p>
    <w:p w14:paraId="774D4734" w14:textId="77777777" w:rsidR="00614438" w:rsidRPr="00614438" w:rsidRDefault="00614438" w:rsidP="00866BE9">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Decarbonisation –RES</w:t>
      </w:r>
    </w:p>
    <w:p w14:paraId="6AB18CA6" w14:textId="77777777" w:rsidR="00614438" w:rsidRPr="00614438" w:rsidRDefault="00866BE9" w:rsidP="00866BE9">
      <w:pPr>
        <w:ind w:firstLine="720"/>
        <w:jc w:val="both"/>
        <w:rPr>
          <w:rFonts w:ascii="Times New Roman" w:hAnsi="Times New Roman" w:cs="Times New Roman"/>
          <w:sz w:val="24"/>
          <w:szCs w:val="24"/>
          <w:lang w:val="en-GB"/>
        </w:rPr>
      </w:pPr>
      <w:r>
        <w:rPr>
          <w:rFonts w:ascii="Times New Roman" w:hAnsi="Times New Roman" w:cs="Times New Roman"/>
          <w:sz w:val="24"/>
          <w:szCs w:val="24"/>
          <w:lang w:val="en-GB"/>
        </w:rPr>
        <w:t>The</w:t>
      </w:r>
      <w:r w:rsidR="00614438" w:rsidRPr="00614438">
        <w:rPr>
          <w:rFonts w:ascii="Times New Roman" w:hAnsi="Times New Roman" w:cs="Times New Roman"/>
          <w:sz w:val="24"/>
          <w:szCs w:val="24"/>
          <w:lang w:val="en-GB"/>
        </w:rPr>
        <w:t xml:space="preserve"> Republic of Serbia prepared its first National Renewable Energy Action Plan (</w:t>
      </w:r>
      <w:r>
        <w:rPr>
          <w:rFonts w:ascii="Times New Roman" w:hAnsi="Times New Roman" w:cs="Times New Roman"/>
          <w:sz w:val="24"/>
          <w:szCs w:val="24"/>
          <w:lang w:val="en-GB"/>
        </w:rPr>
        <w:t>Official Gazette of Rs, no. 53/13) (</w:t>
      </w:r>
      <w:r w:rsidR="00614438" w:rsidRPr="00614438">
        <w:rPr>
          <w:rFonts w:ascii="Times New Roman" w:hAnsi="Times New Roman" w:cs="Times New Roman"/>
          <w:sz w:val="24"/>
          <w:szCs w:val="24"/>
          <w:lang w:val="en-GB"/>
        </w:rPr>
        <w:t xml:space="preserve">NREAP), pursuant to the Article 4 of Directive 2009/28/EC that requires the adoption of NREAP, setting out the country’s national targets for the share of energy from renewable sources consumed in transport, electricity and heating and cooling in 2020 and listing adequate measures to be taken to achieve those national overall targets. </w:t>
      </w:r>
      <w:r>
        <w:rPr>
          <w:rFonts w:ascii="Times New Roman" w:hAnsi="Times New Roman" w:cs="Times New Roman"/>
          <w:sz w:val="24"/>
          <w:szCs w:val="24"/>
          <w:lang w:val="en-GB"/>
        </w:rPr>
        <w:t xml:space="preserve">The </w:t>
      </w:r>
      <w:r w:rsidR="00614438" w:rsidRPr="00614438">
        <w:rPr>
          <w:rFonts w:ascii="Times New Roman" w:hAnsi="Times New Roman" w:cs="Times New Roman"/>
          <w:sz w:val="24"/>
          <w:szCs w:val="24"/>
          <w:lang w:val="en-GB"/>
        </w:rPr>
        <w:t xml:space="preserve">Republic of Serbia developed </w:t>
      </w:r>
      <w:r>
        <w:rPr>
          <w:rFonts w:ascii="Times New Roman" w:hAnsi="Times New Roman" w:cs="Times New Roman"/>
          <w:sz w:val="24"/>
          <w:szCs w:val="24"/>
          <w:lang w:val="en-GB"/>
        </w:rPr>
        <w:t xml:space="preserve">its </w:t>
      </w:r>
      <w:r w:rsidR="00614438" w:rsidRPr="00614438">
        <w:rPr>
          <w:rFonts w:ascii="Times New Roman" w:hAnsi="Times New Roman" w:cs="Times New Roman"/>
          <w:sz w:val="24"/>
          <w:szCs w:val="24"/>
          <w:lang w:val="en-GB"/>
        </w:rPr>
        <w:t xml:space="preserve">First Progress Report on promotion and use of energy from renewable energy sources (Progress Report) in 2014, Second Progress Report in 2016, Third Progress Report in 2018 and Fourth Progress Report in 2020, following the requirements of the Article 22 of Directive 2009/28/EC regarding the reporting obligation on renewable energy. The RES share in the Gross Final Energy Consumption (GFEC) was 21.44% in 2019 in comparison to the set target of 27% </w:t>
      </w:r>
      <w:r>
        <w:rPr>
          <w:rFonts w:ascii="Times New Roman" w:hAnsi="Times New Roman" w:cs="Times New Roman"/>
          <w:sz w:val="24"/>
          <w:szCs w:val="24"/>
          <w:lang w:val="en-GB"/>
        </w:rPr>
        <w:t>for</w:t>
      </w:r>
      <w:r w:rsidR="00614438" w:rsidRPr="00614438">
        <w:rPr>
          <w:rFonts w:ascii="Times New Roman" w:hAnsi="Times New Roman" w:cs="Times New Roman"/>
          <w:sz w:val="24"/>
          <w:szCs w:val="24"/>
          <w:lang w:val="en-GB"/>
        </w:rPr>
        <w:t xml:space="preserve"> 2020.</w:t>
      </w:r>
    </w:p>
    <w:p w14:paraId="386DB8C3" w14:textId="77777777" w:rsidR="00614438" w:rsidRPr="00614438" w:rsidRDefault="00614438" w:rsidP="00866BE9">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adoption of the Energy Law in 2014 </w:t>
      </w:r>
      <w:r w:rsidR="00866BE9">
        <w:rPr>
          <w:rFonts w:ascii="Times New Roman" w:hAnsi="Times New Roman" w:cs="Times New Roman"/>
          <w:sz w:val="24"/>
          <w:szCs w:val="24"/>
          <w:lang w:val="en-GB"/>
        </w:rPr>
        <w:t>(Official Gazette of R</w:t>
      </w:r>
      <w:r w:rsidR="00F164A1">
        <w:rPr>
          <w:rFonts w:ascii="Times New Roman" w:hAnsi="Times New Roman" w:cs="Times New Roman"/>
          <w:sz w:val="24"/>
          <w:szCs w:val="24"/>
          <w:lang w:val="en-GB"/>
        </w:rPr>
        <w:t>S</w:t>
      </w:r>
      <w:r w:rsidR="00866BE9">
        <w:rPr>
          <w:rFonts w:ascii="Times New Roman" w:hAnsi="Times New Roman" w:cs="Times New Roman"/>
          <w:sz w:val="24"/>
          <w:szCs w:val="24"/>
          <w:lang w:val="en-GB"/>
        </w:rPr>
        <w:t>, no. 145/14) had the aim to</w:t>
      </w:r>
      <w:r w:rsidRPr="00614438">
        <w:rPr>
          <w:rFonts w:ascii="Times New Roman" w:hAnsi="Times New Roman" w:cs="Times New Roman"/>
          <w:sz w:val="24"/>
          <w:szCs w:val="24"/>
          <w:lang w:val="en-GB"/>
        </w:rPr>
        <w:t xml:space="preserve"> harmonis</w:t>
      </w:r>
      <w:r w:rsidR="00866BE9">
        <w:rPr>
          <w:rFonts w:ascii="Times New Roman" w:hAnsi="Times New Roman" w:cs="Times New Roman"/>
          <w:sz w:val="24"/>
          <w:szCs w:val="24"/>
          <w:lang w:val="en-GB"/>
        </w:rPr>
        <w:t>e</w:t>
      </w:r>
      <w:r w:rsidRPr="00614438">
        <w:rPr>
          <w:rFonts w:ascii="Times New Roman" w:hAnsi="Times New Roman" w:cs="Times New Roman"/>
          <w:sz w:val="24"/>
          <w:szCs w:val="24"/>
          <w:lang w:val="en-GB"/>
        </w:rPr>
        <w:t xml:space="preserve"> the energy legislation of the Republic of Serbia with the Third Energy Package. In 2016, Republic of Serbia adopted a package of secondary legislation governing renewable energy sources and setting out the support scheme for renewable energy. Adoption of the necessary by-laws to allow for a full implementation of incentive measures for the renewable energy source projects consists of the Decree on Conditions and Procedure for Obtaining the Status of a Privileged Power Producer, Preliminary Privileged Power Producer and Producer from Renewable Energy Sources</w:t>
      </w:r>
      <w:r w:rsidR="00866BE9" w:rsidRPr="00866BE9">
        <w:rPr>
          <w:rFonts w:ascii="Times New Roman" w:hAnsi="Times New Roman" w:cs="Times New Roman"/>
          <w:sz w:val="24"/>
          <w:szCs w:val="24"/>
          <w:lang w:val="en-GB"/>
        </w:rPr>
        <w:t xml:space="preserve"> (</w:t>
      </w:r>
      <w:r w:rsidR="00E91706">
        <w:rPr>
          <w:rFonts w:ascii="Times New Roman" w:hAnsi="Times New Roman" w:cs="Times New Roman"/>
          <w:sz w:val="24"/>
          <w:szCs w:val="24"/>
        </w:rPr>
        <w:t>“</w:t>
      </w:r>
      <w:r w:rsidR="00866BE9" w:rsidRPr="00866BE9">
        <w:rPr>
          <w:rFonts w:ascii="Times New Roman" w:hAnsi="Times New Roman" w:cs="Times New Roman"/>
          <w:sz w:val="24"/>
          <w:szCs w:val="24"/>
          <w:lang w:val="en-GB"/>
        </w:rPr>
        <w:t>Official Gazette od RS</w:t>
      </w:r>
      <w:r w:rsidR="00E91706">
        <w:rPr>
          <w:rFonts w:ascii="Times New Roman" w:hAnsi="Times New Roman" w:cs="Times New Roman"/>
          <w:sz w:val="24"/>
          <w:szCs w:val="24"/>
          <w:lang w:val="en-GB"/>
        </w:rPr>
        <w:t>”</w:t>
      </w:r>
      <w:r w:rsidR="00866BE9" w:rsidRPr="00866BE9">
        <w:rPr>
          <w:rFonts w:ascii="Times New Roman" w:hAnsi="Times New Roman" w:cs="Times New Roman"/>
          <w:sz w:val="24"/>
          <w:szCs w:val="24"/>
          <w:lang w:val="en-GB"/>
        </w:rPr>
        <w:t xml:space="preserve">, no. </w:t>
      </w:r>
      <w:r w:rsidR="00866BE9" w:rsidRPr="00866BE9">
        <w:rPr>
          <w:rFonts w:ascii="Times New Roman" w:hAnsi="Times New Roman" w:cs="Times New Roman"/>
          <w:sz w:val="24"/>
          <w:szCs w:val="24"/>
        </w:rPr>
        <w:t xml:space="preserve">56/16, 60/17, 44/18 </w:t>
      </w:r>
      <w:r w:rsidR="00866BE9">
        <w:rPr>
          <w:rFonts w:ascii="Times New Roman" w:hAnsi="Times New Roman" w:cs="Times New Roman"/>
          <w:sz w:val="24"/>
          <w:szCs w:val="24"/>
        </w:rPr>
        <w:t>–</w:t>
      </w:r>
      <w:r w:rsidR="00866BE9" w:rsidRPr="00866BE9">
        <w:rPr>
          <w:rFonts w:ascii="Times New Roman" w:hAnsi="Times New Roman" w:cs="Times New Roman"/>
          <w:sz w:val="24"/>
          <w:szCs w:val="24"/>
        </w:rPr>
        <w:t xml:space="preserve"> </w:t>
      </w:r>
      <w:r w:rsidR="00866BE9">
        <w:rPr>
          <w:rFonts w:ascii="Times New Roman" w:hAnsi="Times New Roman" w:cs="Times New Roman"/>
          <w:sz w:val="24"/>
          <w:szCs w:val="24"/>
        </w:rPr>
        <w:t>as amended</w:t>
      </w:r>
      <w:r w:rsidR="00866BE9" w:rsidRPr="00866BE9">
        <w:rPr>
          <w:rFonts w:ascii="Times New Roman" w:hAnsi="Times New Roman" w:cs="Times New Roman"/>
          <w:sz w:val="24"/>
          <w:szCs w:val="24"/>
        </w:rPr>
        <w:t xml:space="preserve">, 54/19, 112/21 </w:t>
      </w:r>
      <w:r w:rsidR="00866BE9">
        <w:rPr>
          <w:rFonts w:ascii="Times New Roman" w:hAnsi="Times New Roman" w:cs="Times New Roman"/>
          <w:sz w:val="24"/>
          <w:szCs w:val="24"/>
        </w:rPr>
        <w:t>–</w:t>
      </w:r>
      <w:r w:rsidR="00866BE9" w:rsidRPr="00866BE9">
        <w:rPr>
          <w:rFonts w:ascii="Times New Roman" w:hAnsi="Times New Roman" w:cs="Times New Roman"/>
          <w:sz w:val="24"/>
          <w:szCs w:val="24"/>
        </w:rPr>
        <w:t xml:space="preserve"> </w:t>
      </w:r>
      <w:r w:rsidR="00866BE9">
        <w:rPr>
          <w:rFonts w:ascii="Times New Roman" w:hAnsi="Times New Roman" w:cs="Times New Roman"/>
          <w:sz w:val="24"/>
          <w:szCs w:val="24"/>
        </w:rPr>
        <w:t xml:space="preserve">as </w:t>
      </w:r>
      <w:r w:rsidR="00E91706">
        <w:rPr>
          <w:rFonts w:ascii="Times New Roman" w:hAnsi="Times New Roman" w:cs="Times New Roman"/>
          <w:sz w:val="24"/>
          <w:szCs w:val="24"/>
        </w:rPr>
        <w:t>amended</w:t>
      </w:r>
      <w:r w:rsidR="00866BE9" w:rsidRPr="00866BE9">
        <w:rPr>
          <w:rFonts w:ascii="Times New Roman" w:hAnsi="Times New Roman" w:cs="Times New Roman"/>
          <w:sz w:val="24"/>
          <w:szCs w:val="24"/>
          <w:lang w:val="en-GB"/>
        </w:rPr>
        <w:t>)</w:t>
      </w:r>
      <w:r w:rsidRPr="00614438">
        <w:rPr>
          <w:rFonts w:ascii="Times New Roman" w:hAnsi="Times New Roman" w:cs="Times New Roman"/>
          <w:sz w:val="24"/>
          <w:szCs w:val="24"/>
          <w:lang w:val="en-GB"/>
        </w:rPr>
        <w:t>, the Decree on Incentive Measures for Electricity Generation from Renewable Energy Sources and from High-Efficiency Cogeneration of Heat and Power</w:t>
      </w:r>
      <w:r w:rsidR="00E91706">
        <w:rPr>
          <w:rFonts w:ascii="Times New Roman" w:hAnsi="Times New Roman" w:cs="Times New Roman"/>
          <w:sz w:val="24"/>
          <w:szCs w:val="24"/>
          <w:lang w:val="en-GB"/>
        </w:rPr>
        <w:t xml:space="preserve"> </w:t>
      </w:r>
      <w:r w:rsidR="00E91706" w:rsidRPr="00866BE9">
        <w:rPr>
          <w:rFonts w:ascii="Times New Roman" w:hAnsi="Times New Roman" w:cs="Times New Roman"/>
          <w:sz w:val="24"/>
          <w:szCs w:val="24"/>
          <w:lang w:val="en-GB"/>
        </w:rPr>
        <w:t>(</w:t>
      </w:r>
      <w:r w:rsidR="00E91706">
        <w:rPr>
          <w:rFonts w:ascii="Times New Roman" w:hAnsi="Times New Roman" w:cs="Times New Roman"/>
          <w:sz w:val="24"/>
          <w:szCs w:val="24"/>
          <w:lang w:val="en-GB"/>
        </w:rPr>
        <w:t>“</w:t>
      </w:r>
      <w:r w:rsidR="00E91706" w:rsidRPr="00866BE9">
        <w:rPr>
          <w:rFonts w:ascii="Times New Roman" w:hAnsi="Times New Roman" w:cs="Times New Roman"/>
          <w:sz w:val="24"/>
          <w:szCs w:val="24"/>
          <w:lang w:val="en-GB"/>
        </w:rPr>
        <w:t>Official Gazette od RS</w:t>
      </w:r>
      <w:r w:rsidR="00E91706">
        <w:rPr>
          <w:rFonts w:ascii="Times New Roman" w:hAnsi="Times New Roman" w:cs="Times New Roman"/>
          <w:sz w:val="24"/>
          <w:szCs w:val="24"/>
          <w:lang w:val="en-GB"/>
        </w:rPr>
        <w:t>”</w:t>
      </w:r>
      <w:r w:rsidR="00E91706" w:rsidRPr="00866BE9">
        <w:rPr>
          <w:rFonts w:ascii="Times New Roman" w:hAnsi="Times New Roman" w:cs="Times New Roman"/>
          <w:sz w:val="24"/>
          <w:szCs w:val="24"/>
          <w:lang w:val="en-GB"/>
        </w:rPr>
        <w:t xml:space="preserve">, no. </w:t>
      </w:r>
      <w:r w:rsidR="00E91706" w:rsidRPr="00866BE9">
        <w:rPr>
          <w:rFonts w:ascii="Times New Roman" w:hAnsi="Times New Roman" w:cs="Times New Roman"/>
          <w:sz w:val="24"/>
          <w:szCs w:val="24"/>
        </w:rPr>
        <w:t xml:space="preserve">56/16, 60/17, </w:t>
      </w:r>
      <w:r w:rsidR="00E91706">
        <w:rPr>
          <w:rFonts w:ascii="Times New Roman" w:hAnsi="Times New Roman" w:cs="Times New Roman"/>
          <w:sz w:val="24"/>
          <w:szCs w:val="24"/>
        </w:rPr>
        <w:t>91</w:t>
      </w:r>
      <w:r w:rsidR="00E91706" w:rsidRPr="00866BE9">
        <w:rPr>
          <w:rFonts w:ascii="Times New Roman" w:hAnsi="Times New Roman" w:cs="Times New Roman"/>
          <w:sz w:val="24"/>
          <w:szCs w:val="24"/>
        </w:rPr>
        <w:t>/18</w:t>
      </w:r>
      <w:r w:rsidR="00E91706" w:rsidRPr="00866BE9">
        <w:rPr>
          <w:rFonts w:ascii="Times New Roman" w:hAnsi="Times New Roman" w:cs="Times New Roman"/>
          <w:sz w:val="24"/>
          <w:szCs w:val="24"/>
          <w:lang w:val="en-GB"/>
        </w:rPr>
        <w:t>)</w:t>
      </w:r>
      <w:r w:rsidR="00E91706" w:rsidRPr="00614438">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Decree on the Power Purchase Agreement</w:t>
      </w:r>
      <w:r w:rsidR="00E91706">
        <w:rPr>
          <w:rFonts w:ascii="Times New Roman" w:hAnsi="Times New Roman" w:cs="Times New Roman"/>
          <w:sz w:val="24"/>
          <w:szCs w:val="24"/>
          <w:lang w:val="en-GB"/>
        </w:rPr>
        <w:t xml:space="preserve"> </w:t>
      </w:r>
      <w:r w:rsidR="00E91706" w:rsidRPr="00866BE9">
        <w:rPr>
          <w:rFonts w:ascii="Times New Roman" w:hAnsi="Times New Roman" w:cs="Times New Roman"/>
          <w:sz w:val="24"/>
          <w:szCs w:val="24"/>
          <w:lang w:val="en-GB"/>
        </w:rPr>
        <w:t>(</w:t>
      </w:r>
      <w:r w:rsidR="00E91706">
        <w:rPr>
          <w:rFonts w:ascii="Times New Roman" w:hAnsi="Times New Roman" w:cs="Times New Roman"/>
          <w:sz w:val="24"/>
          <w:szCs w:val="24"/>
          <w:lang w:val="en-GB"/>
        </w:rPr>
        <w:t>“</w:t>
      </w:r>
      <w:r w:rsidR="00E91706" w:rsidRPr="00866BE9">
        <w:rPr>
          <w:rFonts w:ascii="Times New Roman" w:hAnsi="Times New Roman" w:cs="Times New Roman"/>
          <w:sz w:val="24"/>
          <w:szCs w:val="24"/>
          <w:lang w:val="en-GB"/>
        </w:rPr>
        <w:t>Official Gazette od RS</w:t>
      </w:r>
      <w:r w:rsidR="00E91706">
        <w:rPr>
          <w:rFonts w:ascii="Times New Roman" w:hAnsi="Times New Roman" w:cs="Times New Roman"/>
          <w:sz w:val="24"/>
          <w:szCs w:val="24"/>
          <w:lang w:val="en-GB"/>
        </w:rPr>
        <w:t>”</w:t>
      </w:r>
      <w:r w:rsidR="00E91706" w:rsidRPr="00866BE9">
        <w:rPr>
          <w:rFonts w:ascii="Times New Roman" w:hAnsi="Times New Roman" w:cs="Times New Roman"/>
          <w:sz w:val="24"/>
          <w:szCs w:val="24"/>
          <w:lang w:val="en-GB"/>
        </w:rPr>
        <w:t xml:space="preserve">, no. </w:t>
      </w:r>
      <w:r w:rsidR="00E91706" w:rsidRPr="00866BE9">
        <w:rPr>
          <w:rFonts w:ascii="Times New Roman" w:hAnsi="Times New Roman" w:cs="Times New Roman"/>
          <w:sz w:val="24"/>
          <w:szCs w:val="24"/>
        </w:rPr>
        <w:t xml:space="preserve">56/16, </w:t>
      </w:r>
      <w:r w:rsidR="00E91706">
        <w:rPr>
          <w:rFonts w:ascii="Times New Roman" w:hAnsi="Times New Roman" w:cs="Times New Roman"/>
          <w:sz w:val="24"/>
          <w:szCs w:val="24"/>
        </w:rPr>
        <w:t>61</w:t>
      </w:r>
      <w:r w:rsidR="00E91706" w:rsidRPr="00866BE9">
        <w:rPr>
          <w:rFonts w:ascii="Times New Roman" w:hAnsi="Times New Roman" w:cs="Times New Roman"/>
          <w:sz w:val="24"/>
          <w:szCs w:val="24"/>
        </w:rPr>
        <w:t xml:space="preserve">/17, </w:t>
      </w:r>
      <w:r w:rsidR="00E91706">
        <w:rPr>
          <w:rFonts w:ascii="Times New Roman" w:hAnsi="Times New Roman" w:cs="Times New Roman"/>
          <w:sz w:val="24"/>
          <w:szCs w:val="24"/>
        </w:rPr>
        <w:t>106</w:t>
      </w:r>
      <w:r w:rsidR="00E91706" w:rsidRPr="00866BE9">
        <w:rPr>
          <w:rFonts w:ascii="Times New Roman" w:hAnsi="Times New Roman" w:cs="Times New Roman"/>
          <w:sz w:val="24"/>
          <w:szCs w:val="24"/>
        </w:rPr>
        <w:t>/</w:t>
      </w:r>
      <w:r w:rsidR="00E91706">
        <w:rPr>
          <w:rFonts w:ascii="Times New Roman" w:hAnsi="Times New Roman" w:cs="Times New Roman"/>
          <w:sz w:val="24"/>
          <w:szCs w:val="24"/>
        </w:rPr>
        <w:t>20</w:t>
      </w:r>
      <w:r w:rsidR="00E91706" w:rsidRPr="00866BE9">
        <w:rPr>
          <w:rFonts w:ascii="Times New Roman" w:hAnsi="Times New Roman" w:cs="Times New Roman"/>
          <w:sz w:val="24"/>
          <w:szCs w:val="24"/>
          <w:lang w:val="en-GB"/>
        </w:rPr>
        <w:t>)</w:t>
      </w:r>
      <w:r w:rsidR="00E91706">
        <w:rPr>
          <w:rFonts w:ascii="Times New Roman" w:hAnsi="Times New Roman" w:cs="Times New Roman"/>
          <w:sz w:val="24"/>
          <w:szCs w:val="24"/>
          <w:lang w:val="en-GB"/>
        </w:rPr>
        <w:t xml:space="preserve"> and</w:t>
      </w:r>
      <w:r w:rsidR="00E91706" w:rsidRPr="00614438">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Decree on compensation for the incentive of privileged producers of electricity</w:t>
      </w:r>
      <w:r w:rsidR="00E91706">
        <w:rPr>
          <w:rFonts w:ascii="Times New Roman" w:hAnsi="Times New Roman" w:cs="Times New Roman"/>
          <w:sz w:val="24"/>
          <w:szCs w:val="24"/>
          <w:lang w:val="en-GB"/>
        </w:rPr>
        <w:t xml:space="preserve"> </w:t>
      </w:r>
      <w:r w:rsidR="00E91706" w:rsidRPr="00866BE9">
        <w:rPr>
          <w:rFonts w:ascii="Times New Roman" w:hAnsi="Times New Roman" w:cs="Times New Roman"/>
          <w:sz w:val="24"/>
          <w:szCs w:val="24"/>
          <w:lang w:val="en-GB"/>
        </w:rPr>
        <w:t>(</w:t>
      </w:r>
      <w:r w:rsidR="00E91706">
        <w:rPr>
          <w:rFonts w:ascii="Times New Roman" w:hAnsi="Times New Roman" w:cs="Times New Roman"/>
          <w:sz w:val="24"/>
          <w:szCs w:val="24"/>
          <w:lang w:val="en-GB"/>
        </w:rPr>
        <w:t>“</w:t>
      </w:r>
      <w:r w:rsidR="00E91706" w:rsidRPr="00866BE9">
        <w:rPr>
          <w:rFonts w:ascii="Times New Roman" w:hAnsi="Times New Roman" w:cs="Times New Roman"/>
          <w:sz w:val="24"/>
          <w:szCs w:val="24"/>
          <w:lang w:val="en-GB"/>
        </w:rPr>
        <w:t>Official Gazette od RS</w:t>
      </w:r>
      <w:r w:rsidR="00E91706">
        <w:rPr>
          <w:rFonts w:ascii="Times New Roman" w:hAnsi="Times New Roman" w:cs="Times New Roman"/>
          <w:sz w:val="24"/>
          <w:szCs w:val="24"/>
          <w:lang w:val="en-GB"/>
        </w:rPr>
        <w:t>”</w:t>
      </w:r>
      <w:r w:rsidR="00E91706" w:rsidRPr="00866BE9">
        <w:rPr>
          <w:rFonts w:ascii="Times New Roman" w:hAnsi="Times New Roman" w:cs="Times New Roman"/>
          <w:sz w:val="24"/>
          <w:szCs w:val="24"/>
          <w:lang w:val="en-GB"/>
        </w:rPr>
        <w:t xml:space="preserve">, no. </w:t>
      </w:r>
      <w:r w:rsidR="00E91706" w:rsidRPr="00866BE9">
        <w:rPr>
          <w:rFonts w:ascii="Times New Roman" w:hAnsi="Times New Roman" w:cs="Times New Roman"/>
          <w:sz w:val="24"/>
          <w:szCs w:val="24"/>
        </w:rPr>
        <w:t>112/</w:t>
      </w:r>
      <w:r w:rsidR="00E91706">
        <w:rPr>
          <w:rFonts w:ascii="Times New Roman" w:hAnsi="Times New Roman" w:cs="Times New Roman"/>
          <w:sz w:val="24"/>
          <w:szCs w:val="24"/>
        </w:rPr>
        <w:t>21)</w:t>
      </w:r>
      <w:r w:rsidRPr="00614438">
        <w:rPr>
          <w:rFonts w:ascii="Times New Roman" w:hAnsi="Times New Roman" w:cs="Times New Roman"/>
          <w:sz w:val="24"/>
          <w:szCs w:val="24"/>
          <w:lang w:val="en-GB"/>
        </w:rPr>
        <w:t>. This set of regulations, known as Power Purchase Agreement (PPA) Package, has fostered further development of the renewable energy capacity. In 2020, the total renewable energy source capacity reached 514.61 MW, out of which 398 MW represents wind capacity. The adoption of the following by-laws completes the regulatory framework for the implementation of incentive measures provided in the Law on the Use of RES: Regulation on the model contract on market premium</w:t>
      </w:r>
      <w:r w:rsidR="00E91706">
        <w:rPr>
          <w:rFonts w:ascii="Times New Roman" w:hAnsi="Times New Roman" w:cs="Times New Roman"/>
          <w:sz w:val="24"/>
          <w:szCs w:val="24"/>
          <w:lang w:val="en-GB"/>
        </w:rPr>
        <w:t xml:space="preserve"> </w:t>
      </w:r>
      <w:r w:rsidR="00E91706" w:rsidRPr="00866BE9">
        <w:rPr>
          <w:rFonts w:ascii="Times New Roman" w:hAnsi="Times New Roman" w:cs="Times New Roman"/>
          <w:sz w:val="24"/>
          <w:szCs w:val="24"/>
          <w:lang w:val="en-GB"/>
        </w:rPr>
        <w:t>(</w:t>
      </w:r>
      <w:r w:rsidR="00E91706">
        <w:rPr>
          <w:rFonts w:ascii="Times New Roman" w:hAnsi="Times New Roman" w:cs="Times New Roman"/>
          <w:sz w:val="24"/>
          <w:szCs w:val="24"/>
          <w:lang w:val="en-GB"/>
        </w:rPr>
        <w:t>“</w:t>
      </w:r>
      <w:r w:rsidR="00E91706" w:rsidRPr="00866BE9">
        <w:rPr>
          <w:rFonts w:ascii="Times New Roman" w:hAnsi="Times New Roman" w:cs="Times New Roman"/>
          <w:sz w:val="24"/>
          <w:szCs w:val="24"/>
          <w:lang w:val="en-GB"/>
        </w:rPr>
        <w:t>Official Gazette od RS</w:t>
      </w:r>
      <w:r w:rsidR="00E91706">
        <w:rPr>
          <w:rFonts w:ascii="Times New Roman" w:hAnsi="Times New Roman" w:cs="Times New Roman"/>
          <w:sz w:val="24"/>
          <w:szCs w:val="24"/>
          <w:lang w:val="en-GB"/>
        </w:rPr>
        <w:t>”</w:t>
      </w:r>
      <w:r w:rsidR="00E91706" w:rsidRPr="00866BE9">
        <w:rPr>
          <w:rFonts w:ascii="Times New Roman" w:hAnsi="Times New Roman" w:cs="Times New Roman"/>
          <w:sz w:val="24"/>
          <w:szCs w:val="24"/>
          <w:lang w:val="en-GB"/>
        </w:rPr>
        <w:t xml:space="preserve">, no. </w:t>
      </w:r>
      <w:r w:rsidR="00E91706" w:rsidRPr="00866BE9">
        <w:rPr>
          <w:rFonts w:ascii="Times New Roman" w:hAnsi="Times New Roman" w:cs="Times New Roman"/>
          <w:sz w:val="24"/>
          <w:szCs w:val="24"/>
        </w:rPr>
        <w:t>112/</w:t>
      </w:r>
      <w:r w:rsidR="00E91706">
        <w:rPr>
          <w:rFonts w:ascii="Times New Roman" w:hAnsi="Times New Roman" w:cs="Times New Roman"/>
          <w:sz w:val="24"/>
          <w:szCs w:val="24"/>
        </w:rPr>
        <w:t>21)</w:t>
      </w:r>
      <w:r w:rsidRPr="00614438">
        <w:rPr>
          <w:rFonts w:ascii="Times New Roman" w:hAnsi="Times New Roman" w:cs="Times New Roman"/>
          <w:sz w:val="24"/>
          <w:szCs w:val="24"/>
          <w:lang w:val="en-GB"/>
        </w:rPr>
        <w:t>, Decree on market premium and feed-in tariff</w:t>
      </w:r>
      <w:r w:rsidR="00E91706">
        <w:rPr>
          <w:rFonts w:ascii="Times New Roman" w:hAnsi="Times New Roman" w:cs="Times New Roman"/>
          <w:sz w:val="24"/>
          <w:szCs w:val="24"/>
          <w:lang w:val="en-GB"/>
        </w:rPr>
        <w:t xml:space="preserve"> </w:t>
      </w:r>
      <w:r w:rsidR="00E91706" w:rsidRPr="00866BE9">
        <w:rPr>
          <w:rFonts w:ascii="Times New Roman" w:hAnsi="Times New Roman" w:cs="Times New Roman"/>
          <w:sz w:val="24"/>
          <w:szCs w:val="24"/>
          <w:lang w:val="en-GB"/>
        </w:rPr>
        <w:t>(</w:t>
      </w:r>
      <w:r w:rsidR="00E91706">
        <w:rPr>
          <w:rFonts w:ascii="Times New Roman" w:hAnsi="Times New Roman" w:cs="Times New Roman"/>
          <w:sz w:val="24"/>
          <w:szCs w:val="24"/>
          <w:lang w:val="en-GB"/>
        </w:rPr>
        <w:t>“</w:t>
      </w:r>
      <w:r w:rsidR="00E91706" w:rsidRPr="00866BE9">
        <w:rPr>
          <w:rFonts w:ascii="Times New Roman" w:hAnsi="Times New Roman" w:cs="Times New Roman"/>
          <w:sz w:val="24"/>
          <w:szCs w:val="24"/>
          <w:lang w:val="en-GB"/>
        </w:rPr>
        <w:t>Official Gazette od RS</w:t>
      </w:r>
      <w:r w:rsidR="00E91706">
        <w:rPr>
          <w:rFonts w:ascii="Times New Roman" w:hAnsi="Times New Roman" w:cs="Times New Roman"/>
          <w:sz w:val="24"/>
          <w:szCs w:val="24"/>
          <w:lang w:val="en-GB"/>
        </w:rPr>
        <w:t>”</w:t>
      </w:r>
      <w:r w:rsidR="00E91706" w:rsidRPr="00866BE9">
        <w:rPr>
          <w:rFonts w:ascii="Times New Roman" w:hAnsi="Times New Roman" w:cs="Times New Roman"/>
          <w:sz w:val="24"/>
          <w:szCs w:val="24"/>
          <w:lang w:val="en-GB"/>
        </w:rPr>
        <w:t xml:space="preserve">, no. </w:t>
      </w:r>
      <w:r w:rsidR="00E91706">
        <w:rPr>
          <w:rFonts w:ascii="Times New Roman" w:hAnsi="Times New Roman" w:cs="Times New Roman"/>
          <w:sz w:val="24"/>
          <w:szCs w:val="24"/>
          <w:lang w:val="en-GB"/>
        </w:rPr>
        <w:t>45</w:t>
      </w:r>
      <w:r w:rsidR="00E91706" w:rsidRPr="00866BE9">
        <w:rPr>
          <w:rFonts w:ascii="Times New Roman" w:hAnsi="Times New Roman" w:cs="Times New Roman"/>
          <w:sz w:val="24"/>
          <w:szCs w:val="24"/>
        </w:rPr>
        <w:t>/</w:t>
      </w:r>
      <w:r w:rsidR="00E91706">
        <w:rPr>
          <w:rFonts w:ascii="Times New Roman" w:hAnsi="Times New Roman" w:cs="Times New Roman"/>
          <w:sz w:val="24"/>
          <w:szCs w:val="24"/>
        </w:rPr>
        <w:t>23)</w:t>
      </w:r>
      <w:r w:rsidR="00E91706">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and Regulation on the assuming of balance responsibility and the model contract on the assuming of balance responsibility</w:t>
      </w:r>
      <w:r w:rsidR="00E91706">
        <w:rPr>
          <w:rFonts w:ascii="Times New Roman" w:hAnsi="Times New Roman" w:cs="Times New Roman"/>
          <w:sz w:val="24"/>
          <w:szCs w:val="24"/>
          <w:lang w:val="en-GB"/>
        </w:rPr>
        <w:t xml:space="preserve"> </w:t>
      </w:r>
      <w:r w:rsidR="00E91706" w:rsidRPr="00866BE9">
        <w:rPr>
          <w:rFonts w:ascii="Times New Roman" w:hAnsi="Times New Roman" w:cs="Times New Roman"/>
          <w:sz w:val="24"/>
          <w:szCs w:val="24"/>
          <w:lang w:val="en-GB"/>
        </w:rPr>
        <w:t>(</w:t>
      </w:r>
      <w:r w:rsidR="00E91706">
        <w:rPr>
          <w:rFonts w:ascii="Times New Roman" w:hAnsi="Times New Roman" w:cs="Times New Roman"/>
          <w:sz w:val="24"/>
          <w:szCs w:val="24"/>
          <w:lang w:val="en-GB"/>
        </w:rPr>
        <w:t>“</w:t>
      </w:r>
      <w:r w:rsidR="00E91706" w:rsidRPr="00866BE9">
        <w:rPr>
          <w:rFonts w:ascii="Times New Roman" w:hAnsi="Times New Roman" w:cs="Times New Roman"/>
          <w:sz w:val="24"/>
          <w:szCs w:val="24"/>
          <w:lang w:val="en-GB"/>
        </w:rPr>
        <w:t>Official Gazette od RS</w:t>
      </w:r>
      <w:r w:rsidR="00E91706">
        <w:rPr>
          <w:rFonts w:ascii="Times New Roman" w:hAnsi="Times New Roman" w:cs="Times New Roman"/>
          <w:sz w:val="24"/>
          <w:szCs w:val="24"/>
          <w:lang w:val="en-GB"/>
        </w:rPr>
        <w:t>”</w:t>
      </w:r>
      <w:r w:rsidR="00E91706" w:rsidRPr="00866BE9">
        <w:rPr>
          <w:rFonts w:ascii="Times New Roman" w:hAnsi="Times New Roman" w:cs="Times New Roman"/>
          <w:sz w:val="24"/>
          <w:szCs w:val="24"/>
          <w:lang w:val="en-GB"/>
        </w:rPr>
        <w:t xml:space="preserve">, no. </w:t>
      </w:r>
      <w:r w:rsidR="00E91706">
        <w:rPr>
          <w:rFonts w:ascii="Times New Roman" w:hAnsi="Times New Roman" w:cs="Times New Roman"/>
          <w:sz w:val="24"/>
          <w:szCs w:val="24"/>
        </w:rPr>
        <w:t>45</w:t>
      </w:r>
      <w:r w:rsidR="00E91706" w:rsidRPr="00866BE9">
        <w:rPr>
          <w:rFonts w:ascii="Times New Roman" w:hAnsi="Times New Roman" w:cs="Times New Roman"/>
          <w:sz w:val="24"/>
          <w:szCs w:val="24"/>
        </w:rPr>
        <w:t>/</w:t>
      </w:r>
      <w:r w:rsidR="00E91706">
        <w:rPr>
          <w:rFonts w:ascii="Times New Roman" w:hAnsi="Times New Roman" w:cs="Times New Roman"/>
          <w:sz w:val="24"/>
          <w:szCs w:val="24"/>
        </w:rPr>
        <w:t>23)</w:t>
      </w:r>
      <w:r w:rsidRPr="00614438">
        <w:rPr>
          <w:rFonts w:ascii="Times New Roman" w:hAnsi="Times New Roman" w:cs="Times New Roman"/>
          <w:sz w:val="24"/>
          <w:szCs w:val="24"/>
          <w:lang w:val="en-GB"/>
        </w:rPr>
        <w:t>.</w:t>
      </w:r>
    </w:p>
    <w:p w14:paraId="6455DF5D" w14:textId="77777777" w:rsidR="00614438" w:rsidRPr="00614438" w:rsidRDefault="00614438" w:rsidP="00E9170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 xml:space="preserve">The Decree on Incentive Measures for the Electricity Generation from Renewable Energy Sources and High-efficiency Cogeneration of Heat and Power was initially valid until the end of 2018, and </w:t>
      </w:r>
      <w:r w:rsidR="00E91706">
        <w:rPr>
          <w:rFonts w:ascii="Times New Roman" w:hAnsi="Times New Roman" w:cs="Times New Roman"/>
          <w:sz w:val="24"/>
          <w:szCs w:val="24"/>
          <w:lang w:val="en-GB"/>
        </w:rPr>
        <w:t xml:space="preserve">it was </w:t>
      </w:r>
      <w:r w:rsidRPr="00614438">
        <w:rPr>
          <w:rFonts w:ascii="Times New Roman" w:hAnsi="Times New Roman" w:cs="Times New Roman"/>
          <w:sz w:val="24"/>
          <w:szCs w:val="24"/>
          <w:lang w:val="en-GB"/>
        </w:rPr>
        <w:t>extended until the end of 2019. Following its expiration on 31 December 2019, the previously applicable feed-in tariff-based incentives are no longer available to power producers that acquired the status of a privileged power producer. Nevertheless, feed-in tariff system remains active for producers already participating it, while for newcomers there will be available either feed-in tariffs or market premiums, depending on the installed capacity. In line with a proposal from the Energy Community Secretariat, the Government of the Republic of Serbia has decided to start the development of an auction-based incentives model and finally defining it in the Law on use of RES.</w:t>
      </w:r>
    </w:p>
    <w:p w14:paraId="4D66DA69" w14:textId="77777777" w:rsidR="00614438" w:rsidRPr="00614438" w:rsidRDefault="00614438" w:rsidP="00E9170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Law on Use of RES envisages the development of a new incentive system for electricity generation from RES in the form of market premiums, but at the same time enables another incentive pricing scheme in the form of limited feed-in-tariff, in the separate quotas and auction processes (right to both forms of incentives is obtained within the auction process). Thus, a much more favourable regulatory framework creating an enabling environment for investments in various-scale electricity generation RES plants from RES of various capacities has been set up, while the fostering progress regarding investments of small capacity is still foreseen through the implementation of the feed</w:t>
      </w:r>
      <w:r w:rsidR="00E91706">
        <w:rPr>
          <w:rFonts w:ascii="Times New Roman" w:hAnsi="Times New Roman" w:cs="Times New Roman"/>
          <w:sz w:val="24"/>
          <w:szCs w:val="24"/>
          <w:lang w:val="en-GB"/>
        </w:rPr>
        <w:t>-</w:t>
      </w:r>
      <w:r w:rsidRPr="00614438">
        <w:rPr>
          <w:rFonts w:ascii="Times New Roman" w:hAnsi="Times New Roman" w:cs="Times New Roman"/>
          <w:sz w:val="24"/>
          <w:szCs w:val="24"/>
          <w:lang w:val="en-GB"/>
        </w:rPr>
        <w:t>in tariff supporting mechanism (projects with installed capacities under 3 MW solar wind and under 0.5 MW for power plants using other RES). Finally, the Law on Use of RES initiated additional market possibilities towards the higher market penetration of RES, such as facilitating the establishment of RES energy communities and providing an opportunity of becoming the prosumer.</w:t>
      </w:r>
    </w:p>
    <w:p w14:paraId="7DD5CFFF" w14:textId="77777777" w:rsidR="00614438" w:rsidRPr="00614438" w:rsidRDefault="00614438" w:rsidP="00E9170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Law on Use of RES defines biofuels as liquid or gaseous fuels for transport produced from biomass, while biomass is defined as the biodegradable part of the product, waste and residues of biological origin from agriculture (including plant and animal material), forestry and related industries, as well as a biodegradable part of industrial and household waste, in accordance with the regulations governing waste management. Furthermore, Law on Energy </w:t>
      </w:r>
      <w:r w:rsidR="00A7290A" w:rsidRPr="00866BE9">
        <w:rPr>
          <w:rFonts w:ascii="Times New Roman" w:hAnsi="Times New Roman" w:cs="Times New Roman"/>
          <w:sz w:val="24"/>
          <w:szCs w:val="24"/>
          <w:lang w:val="en-GB"/>
        </w:rPr>
        <w:t>(</w:t>
      </w:r>
      <w:r w:rsidR="00A7290A">
        <w:rPr>
          <w:rFonts w:ascii="Times New Roman" w:hAnsi="Times New Roman" w:cs="Times New Roman"/>
          <w:sz w:val="24"/>
          <w:szCs w:val="24"/>
          <w:lang w:val="en-GB"/>
        </w:rPr>
        <w:t>“</w:t>
      </w:r>
      <w:r w:rsidR="00A7290A" w:rsidRPr="00866BE9">
        <w:rPr>
          <w:rFonts w:ascii="Times New Roman" w:hAnsi="Times New Roman" w:cs="Times New Roman"/>
          <w:sz w:val="24"/>
          <w:szCs w:val="24"/>
          <w:lang w:val="en-GB"/>
        </w:rPr>
        <w:t>Official Gazette od RS</w:t>
      </w:r>
      <w:r w:rsidR="00A7290A">
        <w:rPr>
          <w:rFonts w:ascii="Times New Roman" w:hAnsi="Times New Roman" w:cs="Times New Roman"/>
          <w:sz w:val="24"/>
          <w:szCs w:val="24"/>
          <w:lang w:val="en-GB"/>
        </w:rPr>
        <w:t>”</w:t>
      </w:r>
      <w:r w:rsidR="00A7290A" w:rsidRPr="00866BE9">
        <w:rPr>
          <w:rFonts w:ascii="Times New Roman" w:hAnsi="Times New Roman" w:cs="Times New Roman"/>
          <w:sz w:val="24"/>
          <w:szCs w:val="24"/>
          <w:lang w:val="en-GB"/>
        </w:rPr>
        <w:t xml:space="preserve">, no. </w:t>
      </w:r>
      <w:r w:rsidR="00A7290A" w:rsidRPr="00866BE9">
        <w:rPr>
          <w:rFonts w:ascii="Times New Roman" w:hAnsi="Times New Roman" w:cs="Times New Roman"/>
          <w:sz w:val="24"/>
          <w:szCs w:val="24"/>
        </w:rPr>
        <w:t>1</w:t>
      </w:r>
      <w:r w:rsidR="00A7290A">
        <w:rPr>
          <w:rFonts w:ascii="Times New Roman" w:hAnsi="Times New Roman" w:cs="Times New Roman"/>
          <w:sz w:val="24"/>
          <w:szCs w:val="24"/>
        </w:rPr>
        <w:t>45</w:t>
      </w:r>
      <w:r w:rsidR="00A7290A" w:rsidRPr="00866BE9">
        <w:rPr>
          <w:rFonts w:ascii="Times New Roman" w:hAnsi="Times New Roman" w:cs="Times New Roman"/>
          <w:sz w:val="24"/>
          <w:szCs w:val="24"/>
        </w:rPr>
        <w:t>/</w:t>
      </w:r>
      <w:r w:rsidR="00A7290A">
        <w:rPr>
          <w:rFonts w:ascii="Times New Roman" w:hAnsi="Times New Roman" w:cs="Times New Roman"/>
          <w:sz w:val="24"/>
          <w:szCs w:val="24"/>
        </w:rPr>
        <w:t>14, 95/28 – as amended, 40/21, 35/23 – as amended and 62/23)</w:t>
      </w:r>
      <w:r w:rsidR="00A7290A" w:rsidRPr="00614438">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also defines the concepts of biomass, biofuels and bioliquids in similar manner. In order to reach the planned share of renewables in the final energy consumption in transport, incentives can be provided to the biofuels producers only for units producing advanced biofuels. For the first time, the use of electricity generated from RES in transport sector is defined.</w:t>
      </w:r>
    </w:p>
    <w:p w14:paraId="0E997262" w14:textId="77777777" w:rsidR="00614438" w:rsidRPr="00614438" w:rsidRDefault="00614438" w:rsidP="00A7290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Furthermore, the status of biofuels, bioliquids and fuels from biomass is defined in the Law on RES. In the case that biofuels, bioliquids and fuels from biomass not produced from waste comply with sustainability criteria and achieve savings in greenhouse gas emissions, the energy generated from respective fuels may be considered as RES in the gross energy consumption used in all forms of transport and subject to incentives in line with Law on RES. The Law on RES prescribes two types of incentives: (i) incentives for use of innovative technologies and new RES</w:t>
      </w:r>
      <w:r w:rsidR="00A7290A">
        <w:rPr>
          <w:rFonts w:ascii="Times New Roman" w:hAnsi="Times New Roman" w:cs="Times New Roman"/>
          <w:sz w:val="24"/>
          <w:szCs w:val="24"/>
          <w:lang w:val="en-GB"/>
        </w:rPr>
        <w:t>, such as</w:t>
      </w:r>
      <w:r w:rsidRPr="00614438">
        <w:rPr>
          <w:rFonts w:ascii="Times New Roman" w:hAnsi="Times New Roman" w:cs="Times New Roman"/>
          <w:sz w:val="24"/>
          <w:szCs w:val="24"/>
          <w:lang w:val="en-GB"/>
        </w:rPr>
        <w:t xml:space="preserve"> renewable hydrogen, and (ii) incentives for the production of biofuels. Renewable hydrogen can be used in the heat and transport sectors, as well as replacement for natural gas.</w:t>
      </w:r>
    </w:p>
    <w:p w14:paraId="2FC5E01C" w14:textId="77777777" w:rsidR="00614438" w:rsidRPr="00614438" w:rsidRDefault="00614438" w:rsidP="00A7290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Directive (EP) 2009/28 which refers to renewable energy sources aiming at the reduction of greenhouse gases, in its segment related to the mandatory content of biofuels in motor fuels</w:t>
      </w:r>
      <w:r w:rsidR="00A7290A">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is implemented in the local legislation as of 2019 since the following documents were adopted: Decree on Biofuel Market Share</w:t>
      </w:r>
      <w:r w:rsidR="00A7290A">
        <w:rPr>
          <w:rFonts w:ascii="Times New Roman" w:hAnsi="Times New Roman" w:cs="Times New Roman"/>
          <w:sz w:val="24"/>
          <w:szCs w:val="24"/>
          <w:lang w:val="en-GB"/>
        </w:rPr>
        <w:t xml:space="preserve"> </w:t>
      </w:r>
      <w:r w:rsidR="00A7290A" w:rsidRPr="00866BE9">
        <w:rPr>
          <w:rFonts w:ascii="Times New Roman" w:hAnsi="Times New Roman" w:cs="Times New Roman"/>
          <w:sz w:val="24"/>
          <w:szCs w:val="24"/>
          <w:lang w:val="en-GB"/>
        </w:rPr>
        <w:t>(</w:t>
      </w:r>
      <w:r w:rsidR="00A7290A">
        <w:rPr>
          <w:rFonts w:ascii="Times New Roman" w:hAnsi="Times New Roman" w:cs="Times New Roman"/>
          <w:sz w:val="24"/>
          <w:szCs w:val="24"/>
          <w:lang w:val="en-GB"/>
        </w:rPr>
        <w:t>“</w:t>
      </w:r>
      <w:r w:rsidR="00A7290A" w:rsidRPr="00866BE9">
        <w:rPr>
          <w:rFonts w:ascii="Times New Roman" w:hAnsi="Times New Roman" w:cs="Times New Roman"/>
          <w:sz w:val="24"/>
          <w:szCs w:val="24"/>
          <w:lang w:val="en-GB"/>
        </w:rPr>
        <w:t>Official Gazette od RS</w:t>
      </w:r>
      <w:r w:rsidR="00A7290A">
        <w:rPr>
          <w:rFonts w:ascii="Times New Roman" w:hAnsi="Times New Roman" w:cs="Times New Roman"/>
          <w:sz w:val="24"/>
          <w:szCs w:val="24"/>
          <w:lang w:val="en-GB"/>
        </w:rPr>
        <w:t>”</w:t>
      </w:r>
      <w:r w:rsidR="00A7290A" w:rsidRPr="00866BE9">
        <w:rPr>
          <w:rFonts w:ascii="Times New Roman" w:hAnsi="Times New Roman" w:cs="Times New Roman"/>
          <w:sz w:val="24"/>
          <w:szCs w:val="24"/>
          <w:lang w:val="en-GB"/>
        </w:rPr>
        <w:t xml:space="preserve">, no. </w:t>
      </w:r>
      <w:r w:rsidR="00A7290A">
        <w:rPr>
          <w:rFonts w:ascii="Times New Roman" w:hAnsi="Times New Roman" w:cs="Times New Roman"/>
          <w:sz w:val="24"/>
          <w:szCs w:val="24"/>
          <w:lang w:val="en-GB"/>
        </w:rPr>
        <w:t>7</w:t>
      </w:r>
      <w:r w:rsidR="00A7290A" w:rsidRPr="00866BE9">
        <w:rPr>
          <w:rFonts w:ascii="Times New Roman" w:hAnsi="Times New Roman" w:cs="Times New Roman"/>
          <w:sz w:val="24"/>
          <w:szCs w:val="24"/>
        </w:rPr>
        <w:t>1/</w:t>
      </w:r>
      <w:r w:rsidR="00A7290A">
        <w:rPr>
          <w:rFonts w:ascii="Times New Roman" w:hAnsi="Times New Roman" w:cs="Times New Roman"/>
          <w:sz w:val="24"/>
          <w:szCs w:val="24"/>
        </w:rPr>
        <w:t>19)</w:t>
      </w:r>
      <w:r w:rsidRPr="00614438">
        <w:rPr>
          <w:rFonts w:ascii="Times New Roman" w:hAnsi="Times New Roman" w:cs="Times New Roman"/>
          <w:sz w:val="24"/>
          <w:szCs w:val="24"/>
          <w:lang w:val="en-GB"/>
        </w:rPr>
        <w:t>, Rulebook on Technical and Other Requirements for Biofuels and Bioliquids</w:t>
      </w:r>
      <w:r w:rsidR="00A7290A">
        <w:rPr>
          <w:rFonts w:ascii="Times New Roman" w:hAnsi="Times New Roman" w:cs="Times New Roman"/>
          <w:sz w:val="24"/>
          <w:szCs w:val="24"/>
          <w:lang w:val="en-GB"/>
        </w:rPr>
        <w:t xml:space="preserve"> </w:t>
      </w:r>
      <w:r w:rsidR="00A7290A" w:rsidRPr="00866BE9">
        <w:rPr>
          <w:rFonts w:ascii="Times New Roman" w:hAnsi="Times New Roman" w:cs="Times New Roman"/>
          <w:sz w:val="24"/>
          <w:szCs w:val="24"/>
          <w:lang w:val="en-GB"/>
        </w:rPr>
        <w:t>(</w:t>
      </w:r>
      <w:r w:rsidR="00A7290A">
        <w:rPr>
          <w:rFonts w:ascii="Times New Roman" w:hAnsi="Times New Roman" w:cs="Times New Roman"/>
          <w:sz w:val="24"/>
          <w:szCs w:val="24"/>
          <w:lang w:val="en-GB"/>
        </w:rPr>
        <w:t>“</w:t>
      </w:r>
      <w:r w:rsidR="00A7290A" w:rsidRPr="00866BE9">
        <w:rPr>
          <w:rFonts w:ascii="Times New Roman" w:hAnsi="Times New Roman" w:cs="Times New Roman"/>
          <w:sz w:val="24"/>
          <w:szCs w:val="24"/>
          <w:lang w:val="en-GB"/>
        </w:rPr>
        <w:t>Official Gazette od RS</w:t>
      </w:r>
      <w:r w:rsidR="00A7290A">
        <w:rPr>
          <w:rFonts w:ascii="Times New Roman" w:hAnsi="Times New Roman" w:cs="Times New Roman"/>
          <w:sz w:val="24"/>
          <w:szCs w:val="24"/>
          <w:lang w:val="en-GB"/>
        </w:rPr>
        <w:t>”</w:t>
      </w:r>
      <w:r w:rsidR="00A7290A" w:rsidRPr="00866BE9">
        <w:rPr>
          <w:rFonts w:ascii="Times New Roman" w:hAnsi="Times New Roman" w:cs="Times New Roman"/>
          <w:sz w:val="24"/>
          <w:szCs w:val="24"/>
          <w:lang w:val="en-GB"/>
        </w:rPr>
        <w:t xml:space="preserve">, no. </w:t>
      </w:r>
      <w:r w:rsidR="00A7290A">
        <w:rPr>
          <w:rFonts w:ascii="Times New Roman" w:hAnsi="Times New Roman" w:cs="Times New Roman"/>
          <w:sz w:val="24"/>
          <w:szCs w:val="24"/>
          <w:lang w:val="en-GB"/>
        </w:rPr>
        <w:t>73</w:t>
      </w:r>
      <w:r w:rsidR="00A7290A" w:rsidRPr="00866BE9">
        <w:rPr>
          <w:rFonts w:ascii="Times New Roman" w:hAnsi="Times New Roman" w:cs="Times New Roman"/>
          <w:sz w:val="24"/>
          <w:szCs w:val="24"/>
        </w:rPr>
        <w:t>/</w:t>
      </w:r>
      <w:r w:rsidR="00A7290A">
        <w:rPr>
          <w:rFonts w:ascii="Times New Roman" w:hAnsi="Times New Roman" w:cs="Times New Roman"/>
          <w:sz w:val="24"/>
          <w:szCs w:val="24"/>
        </w:rPr>
        <w:t>19)</w:t>
      </w:r>
      <w:r w:rsidRPr="00614438">
        <w:rPr>
          <w:rFonts w:ascii="Times New Roman" w:hAnsi="Times New Roman" w:cs="Times New Roman"/>
          <w:sz w:val="24"/>
          <w:szCs w:val="24"/>
          <w:lang w:val="en-GB"/>
        </w:rPr>
        <w:t xml:space="preserve"> and Decree on Biofuels Sustainability Criterion</w:t>
      </w:r>
      <w:r w:rsidR="00A7290A">
        <w:rPr>
          <w:rFonts w:ascii="Times New Roman" w:hAnsi="Times New Roman" w:cs="Times New Roman"/>
          <w:sz w:val="24"/>
          <w:szCs w:val="24"/>
          <w:lang w:val="en-GB"/>
        </w:rPr>
        <w:t xml:space="preserve"> </w:t>
      </w:r>
      <w:r w:rsidR="00A7290A" w:rsidRPr="00866BE9">
        <w:rPr>
          <w:rFonts w:ascii="Times New Roman" w:hAnsi="Times New Roman" w:cs="Times New Roman"/>
          <w:sz w:val="24"/>
          <w:szCs w:val="24"/>
          <w:lang w:val="en-GB"/>
        </w:rPr>
        <w:t>(</w:t>
      </w:r>
      <w:r w:rsidR="00A7290A">
        <w:rPr>
          <w:rFonts w:ascii="Times New Roman" w:hAnsi="Times New Roman" w:cs="Times New Roman"/>
          <w:sz w:val="24"/>
          <w:szCs w:val="24"/>
          <w:lang w:val="en-GB"/>
        </w:rPr>
        <w:t>“</w:t>
      </w:r>
      <w:r w:rsidR="00A7290A" w:rsidRPr="00866BE9">
        <w:rPr>
          <w:rFonts w:ascii="Times New Roman" w:hAnsi="Times New Roman" w:cs="Times New Roman"/>
          <w:sz w:val="24"/>
          <w:szCs w:val="24"/>
          <w:lang w:val="en-GB"/>
        </w:rPr>
        <w:t>Official Gazette od RS</w:t>
      </w:r>
      <w:r w:rsidR="00A7290A">
        <w:rPr>
          <w:rFonts w:ascii="Times New Roman" w:hAnsi="Times New Roman" w:cs="Times New Roman"/>
          <w:sz w:val="24"/>
          <w:szCs w:val="24"/>
          <w:lang w:val="en-GB"/>
        </w:rPr>
        <w:t>”</w:t>
      </w:r>
      <w:r w:rsidR="00A7290A" w:rsidRPr="00866BE9">
        <w:rPr>
          <w:rFonts w:ascii="Times New Roman" w:hAnsi="Times New Roman" w:cs="Times New Roman"/>
          <w:sz w:val="24"/>
          <w:szCs w:val="24"/>
          <w:lang w:val="en-GB"/>
        </w:rPr>
        <w:t xml:space="preserve">, no. </w:t>
      </w:r>
      <w:r w:rsidR="00A7290A">
        <w:rPr>
          <w:rFonts w:ascii="Times New Roman" w:hAnsi="Times New Roman" w:cs="Times New Roman"/>
          <w:sz w:val="24"/>
          <w:szCs w:val="24"/>
          <w:lang w:val="en-GB"/>
        </w:rPr>
        <w:t>89</w:t>
      </w:r>
      <w:r w:rsidR="00A7290A" w:rsidRPr="00866BE9">
        <w:rPr>
          <w:rFonts w:ascii="Times New Roman" w:hAnsi="Times New Roman" w:cs="Times New Roman"/>
          <w:sz w:val="24"/>
          <w:szCs w:val="24"/>
        </w:rPr>
        <w:t>/</w:t>
      </w:r>
      <w:r w:rsidR="00A7290A">
        <w:rPr>
          <w:rFonts w:ascii="Times New Roman" w:hAnsi="Times New Roman" w:cs="Times New Roman"/>
          <w:sz w:val="24"/>
          <w:szCs w:val="24"/>
        </w:rPr>
        <w:t>19)</w:t>
      </w:r>
      <w:r w:rsidRPr="00614438">
        <w:rPr>
          <w:rFonts w:ascii="Times New Roman" w:hAnsi="Times New Roman" w:cs="Times New Roman"/>
          <w:sz w:val="24"/>
          <w:szCs w:val="24"/>
          <w:lang w:val="en-GB"/>
        </w:rPr>
        <w:t xml:space="preserve">. </w:t>
      </w:r>
      <w:r w:rsidR="00A7290A">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Rulebook on Calculation of Renewable Energy Sources Share</w:t>
      </w:r>
      <w:r w:rsidR="00A7290A">
        <w:rPr>
          <w:rFonts w:ascii="Times New Roman" w:hAnsi="Times New Roman" w:cs="Times New Roman"/>
          <w:sz w:val="24"/>
          <w:szCs w:val="24"/>
          <w:lang w:val="en-GB"/>
        </w:rPr>
        <w:t xml:space="preserve"> </w:t>
      </w:r>
      <w:r w:rsidR="00A7290A" w:rsidRPr="00866BE9">
        <w:rPr>
          <w:rFonts w:ascii="Times New Roman" w:hAnsi="Times New Roman" w:cs="Times New Roman"/>
          <w:sz w:val="24"/>
          <w:szCs w:val="24"/>
          <w:lang w:val="en-GB"/>
        </w:rPr>
        <w:t>(</w:t>
      </w:r>
      <w:r w:rsidR="00A7290A">
        <w:rPr>
          <w:rFonts w:ascii="Times New Roman" w:hAnsi="Times New Roman" w:cs="Times New Roman"/>
          <w:sz w:val="24"/>
          <w:szCs w:val="24"/>
          <w:lang w:val="en-GB"/>
        </w:rPr>
        <w:t>“</w:t>
      </w:r>
      <w:r w:rsidR="00A7290A" w:rsidRPr="00866BE9">
        <w:rPr>
          <w:rFonts w:ascii="Times New Roman" w:hAnsi="Times New Roman" w:cs="Times New Roman"/>
          <w:sz w:val="24"/>
          <w:szCs w:val="24"/>
          <w:lang w:val="en-GB"/>
        </w:rPr>
        <w:t>Official Gazette od RS</w:t>
      </w:r>
      <w:r w:rsidR="00A7290A">
        <w:rPr>
          <w:rFonts w:ascii="Times New Roman" w:hAnsi="Times New Roman" w:cs="Times New Roman"/>
          <w:sz w:val="24"/>
          <w:szCs w:val="24"/>
          <w:lang w:val="en-GB"/>
        </w:rPr>
        <w:t>”</w:t>
      </w:r>
      <w:r w:rsidR="00A7290A" w:rsidRPr="00866BE9">
        <w:rPr>
          <w:rFonts w:ascii="Times New Roman" w:hAnsi="Times New Roman" w:cs="Times New Roman"/>
          <w:sz w:val="24"/>
          <w:szCs w:val="24"/>
          <w:lang w:val="en-GB"/>
        </w:rPr>
        <w:t xml:space="preserve">, no. </w:t>
      </w:r>
      <w:r w:rsidR="00A7290A">
        <w:rPr>
          <w:rFonts w:ascii="Times New Roman" w:hAnsi="Times New Roman" w:cs="Times New Roman"/>
          <w:sz w:val="24"/>
          <w:szCs w:val="24"/>
          <w:lang w:val="en-GB"/>
        </w:rPr>
        <w:t>37</w:t>
      </w:r>
      <w:r w:rsidR="00A7290A" w:rsidRPr="00866BE9">
        <w:rPr>
          <w:rFonts w:ascii="Times New Roman" w:hAnsi="Times New Roman" w:cs="Times New Roman"/>
          <w:sz w:val="24"/>
          <w:szCs w:val="24"/>
        </w:rPr>
        <w:t>/</w:t>
      </w:r>
      <w:r w:rsidR="00A7290A">
        <w:rPr>
          <w:rFonts w:ascii="Times New Roman" w:hAnsi="Times New Roman" w:cs="Times New Roman"/>
          <w:sz w:val="24"/>
          <w:szCs w:val="24"/>
        </w:rPr>
        <w:t>20)</w:t>
      </w:r>
      <w:r w:rsidRPr="00614438">
        <w:rPr>
          <w:rFonts w:ascii="Times New Roman" w:hAnsi="Times New Roman" w:cs="Times New Roman"/>
          <w:sz w:val="24"/>
          <w:szCs w:val="24"/>
          <w:lang w:val="en-GB"/>
        </w:rPr>
        <w:t xml:space="preserve"> was adopted in 2020.</w:t>
      </w:r>
    </w:p>
    <w:p w14:paraId="55336916" w14:textId="77777777" w:rsidR="00614438" w:rsidRPr="00614438" w:rsidRDefault="00614438" w:rsidP="00A7290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 xml:space="preserve">Amendments to the Law on Energy from 2021 introduced hydrogen production as motor fuel, and production and mixing of bioliquids. It was specified that there is an energy activity for the trade of oil, oil derivatives, biofuels, bioliquids, compressed natural gas, liquefied natural gas and hydrogen. Hydrogen and liquefied natural gas have been introduced into the extended concept of motor fuels, which makes it possible to trade ecologically acceptable fuels at stations for supplying means of transport, that is, to </w:t>
      </w:r>
      <w:r w:rsidR="00A7290A">
        <w:rPr>
          <w:rFonts w:ascii="Times New Roman" w:hAnsi="Times New Roman" w:cs="Times New Roman"/>
          <w:sz w:val="24"/>
          <w:szCs w:val="24"/>
          <w:lang w:val="en-GB"/>
        </w:rPr>
        <w:t xml:space="preserve">be </w:t>
      </w:r>
      <w:r w:rsidRPr="00614438">
        <w:rPr>
          <w:rFonts w:ascii="Times New Roman" w:hAnsi="Times New Roman" w:cs="Times New Roman"/>
          <w:sz w:val="24"/>
          <w:szCs w:val="24"/>
          <w:lang w:val="en-GB"/>
        </w:rPr>
        <w:t>use</w:t>
      </w:r>
      <w:r w:rsidR="00A7290A">
        <w:rPr>
          <w:rFonts w:ascii="Times New Roman" w:hAnsi="Times New Roman" w:cs="Times New Roman"/>
          <w:sz w:val="24"/>
          <w:szCs w:val="24"/>
          <w:lang w:val="en-GB"/>
        </w:rPr>
        <w:t>d</w:t>
      </w:r>
      <w:r w:rsidRPr="00614438">
        <w:rPr>
          <w:rFonts w:ascii="Times New Roman" w:hAnsi="Times New Roman" w:cs="Times New Roman"/>
          <w:sz w:val="24"/>
          <w:szCs w:val="24"/>
          <w:lang w:val="en-GB"/>
        </w:rPr>
        <w:t xml:space="preserve"> as energy sources in traffic.</w:t>
      </w:r>
    </w:p>
    <w:p w14:paraId="305365CF" w14:textId="77777777" w:rsidR="00614438" w:rsidRPr="00614438" w:rsidRDefault="00614438" w:rsidP="00A7290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Additional incentive measures are prescribed for the use of RES in the heating sector. Energy entities that perform the activity of production, distribution and supply of customers with heat energy can acquire incentive measures if they use highly efficient cogeneration, waste heat or renewable energy sources. Incentive measures in the heat sector are prescribed and provided by the local self-governments.</w:t>
      </w:r>
    </w:p>
    <w:p w14:paraId="0A75707F" w14:textId="77777777" w:rsidR="00614438" w:rsidRPr="00614438" w:rsidRDefault="00614438" w:rsidP="00614438">
      <w:pPr>
        <w:jc w:val="both"/>
        <w:rPr>
          <w:rFonts w:ascii="Times New Roman" w:hAnsi="Times New Roman" w:cs="Times New Roman"/>
          <w:sz w:val="24"/>
          <w:szCs w:val="24"/>
          <w:lang w:val="en-GB"/>
        </w:rPr>
      </w:pPr>
    </w:p>
    <w:p w14:paraId="566977C0" w14:textId="77777777" w:rsidR="00614438" w:rsidRPr="00614438" w:rsidRDefault="00614438" w:rsidP="00A7290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Energy Efficiency</w:t>
      </w:r>
    </w:p>
    <w:p w14:paraId="2723E2C2" w14:textId="77777777" w:rsidR="00614438" w:rsidRPr="00614438" w:rsidRDefault="00614438" w:rsidP="00A7290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Law on Energy Efficiency and Rational Use of Energy</w:t>
      </w:r>
      <w:r w:rsidR="00A7290A">
        <w:rPr>
          <w:rFonts w:ascii="Times New Roman" w:hAnsi="Times New Roman" w:cs="Times New Roman"/>
          <w:sz w:val="24"/>
          <w:szCs w:val="24"/>
          <w:lang w:val="en-GB"/>
        </w:rPr>
        <w:t xml:space="preserve"> </w:t>
      </w:r>
      <w:r w:rsidR="00A7290A" w:rsidRPr="00866BE9">
        <w:rPr>
          <w:rFonts w:ascii="Times New Roman" w:hAnsi="Times New Roman" w:cs="Times New Roman"/>
          <w:sz w:val="24"/>
          <w:szCs w:val="24"/>
          <w:lang w:val="en-GB"/>
        </w:rPr>
        <w:t>(</w:t>
      </w:r>
      <w:r w:rsidR="00A7290A">
        <w:rPr>
          <w:rFonts w:ascii="Times New Roman" w:hAnsi="Times New Roman" w:cs="Times New Roman"/>
          <w:sz w:val="24"/>
          <w:szCs w:val="24"/>
          <w:lang w:val="en-GB"/>
        </w:rPr>
        <w:t>“</w:t>
      </w:r>
      <w:r w:rsidR="00A7290A" w:rsidRPr="00866BE9">
        <w:rPr>
          <w:rFonts w:ascii="Times New Roman" w:hAnsi="Times New Roman" w:cs="Times New Roman"/>
          <w:sz w:val="24"/>
          <w:szCs w:val="24"/>
          <w:lang w:val="en-GB"/>
        </w:rPr>
        <w:t>Official Gazette od RS</w:t>
      </w:r>
      <w:r w:rsidR="00A7290A">
        <w:rPr>
          <w:rFonts w:ascii="Times New Roman" w:hAnsi="Times New Roman" w:cs="Times New Roman"/>
          <w:sz w:val="24"/>
          <w:szCs w:val="24"/>
          <w:lang w:val="en-GB"/>
        </w:rPr>
        <w:t>”</w:t>
      </w:r>
      <w:r w:rsidR="00A7290A" w:rsidRPr="00866BE9">
        <w:rPr>
          <w:rFonts w:ascii="Times New Roman" w:hAnsi="Times New Roman" w:cs="Times New Roman"/>
          <w:sz w:val="24"/>
          <w:szCs w:val="24"/>
          <w:lang w:val="en-GB"/>
        </w:rPr>
        <w:t xml:space="preserve">, no. </w:t>
      </w:r>
      <w:r w:rsidR="00A7290A" w:rsidRPr="00866BE9">
        <w:rPr>
          <w:rFonts w:ascii="Times New Roman" w:hAnsi="Times New Roman" w:cs="Times New Roman"/>
          <w:sz w:val="24"/>
          <w:szCs w:val="24"/>
        </w:rPr>
        <w:t>2</w:t>
      </w:r>
      <w:r w:rsidR="00A7290A">
        <w:rPr>
          <w:rFonts w:ascii="Times New Roman" w:hAnsi="Times New Roman" w:cs="Times New Roman"/>
          <w:sz w:val="24"/>
          <w:szCs w:val="24"/>
        </w:rPr>
        <w:t>5</w:t>
      </w:r>
      <w:r w:rsidR="00A7290A" w:rsidRPr="00866BE9">
        <w:rPr>
          <w:rFonts w:ascii="Times New Roman" w:hAnsi="Times New Roman" w:cs="Times New Roman"/>
          <w:sz w:val="24"/>
          <w:szCs w:val="24"/>
        </w:rPr>
        <w:t>/</w:t>
      </w:r>
      <w:r w:rsidR="00A7290A">
        <w:rPr>
          <w:rFonts w:ascii="Times New Roman" w:hAnsi="Times New Roman" w:cs="Times New Roman"/>
          <w:sz w:val="24"/>
          <w:szCs w:val="24"/>
        </w:rPr>
        <w:t>13)</w:t>
      </w:r>
      <w:r w:rsidRPr="00614438">
        <w:rPr>
          <w:rFonts w:ascii="Times New Roman" w:hAnsi="Times New Roman" w:cs="Times New Roman"/>
          <w:sz w:val="24"/>
          <w:szCs w:val="24"/>
          <w:lang w:val="en-GB"/>
        </w:rPr>
        <w:t xml:space="preserve"> (LEERUE) adopted in 2021, replaced the Law on Efficient Use of Energy </w:t>
      </w:r>
      <w:r w:rsidR="00A7290A" w:rsidRPr="00866BE9">
        <w:rPr>
          <w:rFonts w:ascii="Times New Roman" w:hAnsi="Times New Roman" w:cs="Times New Roman"/>
          <w:sz w:val="24"/>
          <w:szCs w:val="24"/>
          <w:lang w:val="en-GB"/>
        </w:rPr>
        <w:t>(</w:t>
      </w:r>
      <w:r w:rsidR="00A7290A">
        <w:rPr>
          <w:rFonts w:ascii="Times New Roman" w:hAnsi="Times New Roman" w:cs="Times New Roman"/>
          <w:sz w:val="24"/>
          <w:szCs w:val="24"/>
          <w:lang w:val="en-GB"/>
        </w:rPr>
        <w:t>“</w:t>
      </w:r>
      <w:r w:rsidR="00A7290A" w:rsidRPr="00866BE9">
        <w:rPr>
          <w:rFonts w:ascii="Times New Roman" w:hAnsi="Times New Roman" w:cs="Times New Roman"/>
          <w:sz w:val="24"/>
          <w:szCs w:val="24"/>
          <w:lang w:val="en-GB"/>
        </w:rPr>
        <w:t>Official Gazette od RS</w:t>
      </w:r>
      <w:r w:rsidR="00A7290A">
        <w:rPr>
          <w:rFonts w:ascii="Times New Roman" w:hAnsi="Times New Roman" w:cs="Times New Roman"/>
          <w:sz w:val="24"/>
          <w:szCs w:val="24"/>
          <w:lang w:val="en-GB"/>
        </w:rPr>
        <w:t>”</w:t>
      </w:r>
      <w:r w:rsidR="00A7290A" w:rsidRPr="00866BE9">
        <w:rPr>
          <w:rFonts w:ascii="Times New Roman" w:hAnsi="Times New Roman" w:cs="Times New Roman"/>
          <w:sz w:val="24"/>
          <w:szCs w:val="24"/>
          <w:lang w:val="en-GB"/>
        </w:rPr>
        <w:t xml:space="preserve">, no. </w:t>
      </w:r>
      <w:r w:rsidR="00A7290A" w:rsidRPr="00866BE9">
        <w:rPr>
          <w:rFonts w:ascii="Times New Roman" w:hAnsi="Times New Roman" w:cs="Times New Roman"/>
          <w:sz w:val="24"/>
          <w:szCs w:val="24"/>
        </w:rPr>
        <w:t>2</w:t>
      </w:r>
      <w:r w:rsidR="00A7290A">
        <w:rPr>
          <w:rFonts w:ascii="Times New Roman" w:hAnsi="Times New Roman" w:cs="Times New Roman"/>
          <w:sz w:val="24"/>
          <w:szCs w:val="24"/>
        </w:rPr>
        <w:t>5</w:t>
      </w:r>
      <w:r w:rsidR="00A7290A" w:rsidRPr="00866BE9">
        <w:rPr>
          <w:rFonts w:ascii="Times New Roman" w:hAnsi="Times New Roman" w:cs="Times New Roman"/>
          <w:sz w:val="24"/>
          <w:szCs w:val="24"/>
        </w:rPr>
        <w:t>/</w:t>
      </w:r>
      <w:r w:rsidR="00A7290A">
        <w:rPr>
          <w:rFonts w:ascii="Times New Roman" w:hAnsi="Times New Roman" w:cs="Times New Roman"/>
          <w:sz w:val="24"/>
          <w:szCs w:val="24"/>
        </w:rPr>
        <w:t>13)</w:t>
      </w:r>
      <w:r w:rsidR="00A7290A">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(LEUE) which was in force in the period 2013-2021. LEERUE was adopted with the aim of harmonizing with the new regulation in the field of energy efficiency in EU, which was adopted in the meantime, as well as with the aim of improving certain provisions of LEUE. Today, LEERU</w:t>
      </w:r>
      <w:r w:rsidR="00A7290A">
        <w:rPr>
          <w:rFonts w:ascii="Times New Roman" w:hAnsi="Times New Roman" w:cs="Times New Roman"/>
          <w:sz w:val="24"/>
          <w:szCs w:val="24"/>
          <w:lang w:val="en-GB"/>
        </w:rPr>
        <w:t>E</w:t>
      </w:r>
      <w:r w:rsidRPr="00614438">
        <w:rPr>
          <w:rFonts w:ascii="Times New Roman" w:hAnsi="Times New Roman" w:cs="Times New Roman"/>
          <w:sz w:val="24"/>
          <w:szCs w:val="24"/>
          <w:lang w:val="en-GB"/>
        </w:rPr>
        <w:t xml:space="preserve"> presents a key legislative framework for the area of energy efficiency, establishing the terms and conditions for efficient use of energy and energy resources, policy of efficient energy use; energy management system; energy efficiency policy measures: energy use in buildings, in energy activities and with final customers, for energy plants and energy services; energy labelling and requirements concerning eco-design; funding, incentives and other measures in the field. The purpose of this law is creating conditions for efficient energy use and improvement of energy efficiency, which contributes to: energy savings, energy supply security; reduced environmental impact and climate change impact of the energy sector; sustainable use of natural and other resources; increased competitiveness of the economy; improved conditions for economic development and reduction of energy poverty.</w:t>
      </w:r>
    </w:p>
    <w:p w14:paraId="26BEF66F" w14:textId="77777777" w:rsidR="00614438" w:rsidRPr="00614438" w:rsidRDefault="00614438" w:rsidP="00A7290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With the aim of financing energy efficiency, the law created the legal basis for the establishment of Directorate for Financing and Promoting Energy Efficiency and further regulates conditions for contracting of energy services (ESCO).</w:t>
      </w:r>
    </w:p>
    <w:p w14:paraId="0700BE85" w14:textId="77777777" w:rsidR="00614438" w:rsidRPr="00614438" w:rsidRDefault="00614438" w:rsidP="00DD30E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LEERUE is to a great deal compliant with the Energy Efficiency Directive</w:t>
      </w:r>
      <w:r w:rsidR="00DD30E6" w:rsidRPr="00DD30E6">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2012/27/EU</w:t>
      </w:r>
      <w:r w:rsidR="00DD30E6">
        <w:rPr>
          <w:rFonts w:ascii="Times New Roman" w:hAnsi="Times New Roman" w:cs="Times New Roman"/>
          <w:sz w:val="24"/>
          <w:szCs w:val="24"/>
          <w:lang w:val="en-GB"/>
        </w:rPr>
        <w:t xml:space="preserve"> </w:t>
      </w:r>
      <w:r w:rsidR="00DD30E6" w:rsidRPr="00DD30E6">
        <w:rPr>
          <w:rFonts w:ascii="Times New Roman" w:hAnsi="Times New Roman" w:cs="Times New Roman"/>
          <w:sz w:val="24"/>
          <w:szCs w:val="24"/>
          <w:lang w:val="en-GB"/>
        </w:rPr>
        <w:t>(EED)</w:t>
      </w:r>
      <w:r w:rsidR="00DD30E6" w:rsidRPr="00614438">
        <w:rPr>
          <w:rFonts w:ascii="Times New Roman" w:hAnsi="Times New Roman" w:cs="Times New Roman"/>
          <w:sz w:val="24"/>
          <w:szCs w:val="24"/>
          <w:lang w:val="en-GB"/>
        </w:rPr>
        <w:t xml:space="preserve"> </w:t>
      </w:r>
      <w:r w:rsidR="00DD30E6">
        <w:rPr>
          <w:rFonts w:ascii="Times New Roman" w:hAnsi="Times New Roman" w:cs="Times New Roman"/>
          <w:sz w:val="24"/>
          <w:szCs w:val="24"/>
          <w:lang w:val="en-GB"/>
        </w:rPr>
        <w:t xml:space="preserve">(The </w:t>
      </w:r>
      <w:r w:rsidR="00DD30E6" w:rsidRPr="00DD30E6">
        <w:rPr>
          <w:rFonts w:ascii="Times New Roman" w:hAnsi="Times New Roman" w:cs="Times New Roman"/>
          <w:sz w:val="24"/>
          <w:szCs w:val="24"/>
        </w:rPr>
        <w:t>transposition included revisions of EED with Directive 2013/12/ЕU, Directive (EU) 2018/844, Directive (EU) 2018/2002, Regulation (EU) 2018/1999, Delegated Directive of Commission (EU) 2019/826 and Directive (EU) 2019/944</w:t>
      </w:r>
      <w:r w:rsidR="00A7290A" w:rsidRPr="00DD30E6">
        <w:rPr>
          <w:rFonts w:ascii="Times New Roman" w:hAnsi="Times New Roman" w:cs="Times New Roman"/>
          <w:sz w:val="24"/>
          <w:szCs w:val="24"/>
        </w:rPr>
        <w:t>)</w:t>
      </w:r>
      <w:r w:rsidRPr="00614438">
        <w:rPr>
          <w:rFonts w:ascii="Times New Roman" w:hAnsi="Times New Roman" w:cs="Times New Roman"/>
          <w:sz w:val="24"/>
          <w:szCs w:val="24"/>
          <w:lang w:val="en-GB"/>
        </w:rPr>
        <w:t xml:space="preserve"> and compliance is additionally achieved after the adoption of the following by-laws: Decree on the obligations of the guaranteed supplier and on the obligations of the Authorized Contracting Party with regard to financial incentives for high-efficiency cogeneration</w:t>
      </w:r>
      <w:r w:rsidR="00A7290A">
        <w:rPr>
          <w:rFonts w:ascii="Times New Roman" w:hAnsi="Times New Roman" w:cs="Times New Roman"/>
          <w:sz w:val="24"/>
          <w:szCs w:val="24"/>
          <w:lang w:val="en-GB"/>
        </w:rPr>
        <w:t xml:space="preserve"> </w:t>
      </w:r>
      <w:r w:rsidR="00A7290A" w:rsidRPr="00866BE9">
        <w:rPr>
          <w:rFonts w:ascii="Times New Roman" w:hAnsi="Times New Roman" w:cs="Times New Roman"/>
          <w:sz w:val="24"/>
          <w:szCs w:val="24"/>
          <w:lang w:val="en-GB"/>
        </w:rPr>
        <w:t>(</w:t>
      </w:r>
      <w:r w:rsidR="00A7290A">
        <w:rPr>
          <w:rFonts w:ascii="Times New Roman" w:hAnsi="Times New Roman" w:cs="Times New Roman"/>
          <w:sz w:val="24"/>
          <w:szCs w:val="24"/>
          <w:lang w:val="en-GB"/>
        </w:rPr>
        <w:t>“</w:t>
      </w:r>
      <w:r w:rsidR="00A7290A" w:rsidRPr="00866BE9">
        <w:rPr>
          <w:rFonts w:ascii="Times New Roman" w:hAnsi="Times New Roman" w:cs="Times New Roman"/>
          <w:sz w:val="24"/>
          <w:szCs w:val="24"/>
          <w:lang w:val="en-GB"/>
        </w:rPr>
        <w:t>Official Gazette od RS</w:t>
      </w:r>
      <w:r w:rsidR="00A7290A">
        <w:rPr>
          <w:rFonts w:ascii="Times New Roman" w:hAnsi="Times New Roman" w:cs="Times New Roman"/>
          <w:sz w:val="24"/>
          <w:szCs w:val="24"/>
          <w:lang w:val="en-GB"/>
        </w:rPr>
        <w:t>”</w:t>
      </w:r>
      <w:r w:rsidR="00A7290A" w:rsidRPr="00866BE9">
        <w:rPr>
          <w:rFonts w:ascii="Times New Roman" w:hAnsi="Times New Roman" w:cs="Times New Roman"/>
          <w:sz w:val="24"/>
          <w:szCs w:val="24"/>
          <w:lang w:val="en-GB"/>
        </w:rPr>
        <w:t xml:space="preserve">, no. </w:t>
      </w:r>
      <w:r w:rsidR="00DD30E6">
        <w:rPr>
          <w:rFonts w:ascii="Times New Roman" w:hAnsi="Times New Roman" w:cs="Times New Roman"/>
          <w:sz w:val="24"/>
          <w:szCs w:val="24"/>
          <w:lang w:val="en-GB"/>
        </w:rPr>
        <w:t>30</w:t>
      </w:r>
      <w:r w:rsidR="00A7290A" w:rsidRPr="00866BE9">
        <w:rPr>
          <w:rFonts w:ascii="Times New Roman" w:hAnsi="Times New Roman" w:cs="Times New Roman"/>
          <w:sz w:val="24"/>
          <w:szCs w:val="24"/>
        </w:rPr>
        <w:t>/</w:t>
      </w:r>
      <w:r w:rsidR="00A7290A">
        <w:rPr>
          <w:rFonts w:ascii="Times New Roman" w:hAnsi="Times New Roman" w:cs="Times New Roman"/>
          <w:sz w:val="24"/>
          <w:szCs w:val="24"/>
        </w:rPr>
        <w:t>2</w:t>
      </w:r>
      <w:r w:rsidR="00DD30E6">
        <w:rPr>
          <w:rFonts w:ascii="Times New Roman" w:hAnsi="Times New Roman" w:cs="Times New Roman"/>
          <w:sz w:val="24"/>
          <w:szCs w:val="24"/>
        </w:rPr>
        <w:t>2</w:t>
      </w:r>
      <w:r w:rsidR="00A7290A">
        <w:rPr>
          <w:rFonts w:ascii="Times New Roman" w:hAnsi="Times New Roman" w:cs="Times New Roman"/>
          <w:sz w:val="24"/>
          <w:szCs w:val="24"/>
        </w:rPr>
        <w:t>)</w:t>
      </w:r>
      <w:r w:rsidRPr="00614438">
        <w:rPr>
          <w:rFonts w:ascii="Times New Roman" w:hAnsi="Times New Roman" w:cs="Times New Roman"/>
          <w:sz w:val="24"/>
          <w:szCs w:val="24"/>
          <w:lang w:val="en-GB"/>
        </w:rPr>
        <w:t>, Decree on the minimum energy efficiency requirements that must be met by new and reconstructed energy facilities</w:t>
      </w:r>
      <w:r w:rsidR="00A7290A">
        <w:rPr>
          <w:rFonts w:ascii="Times New Roman" w:hAnsi="Times New Roman" w:cs="Times New Roman"/>
          <w:sz w:val="24"/>
          <w:szCs w:val="24"/>
          <w:lang w:val="en-GB"/>
        </w:rPr>
        <w:t xml:space="preserve"> </w:t>
      </w:r>
      <w:r w:rsidR="00A7290A" w:rsidRPr="00866BE9">
        <w:rPr>
          <w:rFonts w:ascii="Times New Roman" w:hAnsi="Times New Roman" w:cs="Times New Roman"/>
          <w:sz w:val="24"/>
          <w:szCs w:val="24"/>
          <w:lang w:val="en-GB"/>
        </w:rPr>
        <w:t>(</w:t>
      </w:r>
      <w:r w:rsidR="00A7290A">
        <w:rPr>
          <w:rFonts w:ascii="Times New Roman" w:hAnsi="Times New Roman" w:cs="Times New Roman"/>
          <w:sz w:val="24"/>
          <w:szCs w:val="24"/>
          <w:lang w:val="en-GB"/>
        </w:rPr>
        <w:t>“</w:t>
      </w:r>
      <w:r w:rsidR="00A7290A" w:rsidRPr="00866BE9">
        <w:rPr>
          <w:rFonts w:ascii="Times New Roman" w:hAnsi="Times New Roman" w:cs="Times New Roman"/>
          <w:sz w:val="24"/>
          <w:szCs w:val="24"/>
          <w:lang w:val="en-GB"/>
        </w:rPr>
        <w:t>Official Gazette od RS</w:t>
      </w:r>
      <w:r w:rsidR="00A7290A">
        <w:rPr>
          <w:rFonts w:ascii="Times New Roman" w:hAnsi="Times New Roman" w:cs="Times New Roman"/>
          <w:sz w:val="24"/>
          <w:szCs w:val="24"/>
          <w:lang w:val="en-GB"/>
        </w:rPr>
        <w:t>”</w:t>
      </w:r>
      <w:r w:rsidR="00A7290A" w:rsidRPr="00866BE9">
        <w:rPr>
          <w:rFonts w:ascii="Times New Roman" w:hAnsi="Times New Roman" w:cs="Times New Roman"/>
          <w:sz w:val="24"/>
          <w:szCs w:val="24"/>
          <w:lang w:val="en-GB"/>
        </w:rPr>
        <w:t xml:space="preserve">, no. </w:t>
      </w:r>
      <w:r w:rsidR="00DD30E6">
        <w:rPr>
          <w:rFonts w:ascii="Times New Roman" w:hAnsi="Times New Roman" w:cs="Times New Roman"/>
          <w:sz w:val="24"/>
          <w:szCs w:val="24"/>
          <w:lang w:val="en-GB"/>
        </w:rPr>
        <w:t>44</w:t>
      </w:r>
      <w:r w:rsidR="00A7290A" w:rsidRPr="00866BE9">
        <w:rPr>
          <w:rFonts w:ascii="Times New Roman" w:hAnsi="Times New Roman" w:cs="Times New Roman"/>
          <w:sz w:val="24"/>
          <w:szCs w:val="24"/>
        </w:rPr>
        <w:t>/</w:t>
      </w:r>
      <w:r w:rsidR="00A7290A">
        <w:rPr>
          <w:rFonts w:ascii="Times New Roman" w:hAnsi="Times New Roman" w:cs="Times New Roman"/>
          <w:sz w:val="24"/>
          <w:szCs w:val="24"/>
        </w:rPr>
        <w:t>2</w:t>
      </w:r>
      <w:r w:rsidR="00DD30E6">
        <w:rPr>
          <w:rFonts w:ascii="Times New Roman" w:hAnsi="Times New Roman" w:cs="Times New Roman"/>
          <w:sz w:val="24"/>
          <w:szCs w:val="24"/>
        </w:rPr>
        <w:t>2</w:t>
      </w:r>
      <w:r w:rsidR="00A7290A">
        <w:rPr>
          <w:rFonts w:ascii="Times New Roman" w:hAnsi="Times New Roman" w:cs="Times New Roman"/>
          <w:sz w:val="24"/>
          <w:szCs w:val="24"/>
        </w:rPr>
        <w:t>)</w:t>
      </w:r>
      <w:r w:rsidRPr="00614438">
        <w:rPr>
          <w:rFonts w:ascii="Times New Roman" w:hAnsi="Times New Roman" w:cs="Times New Roman"/>
          <w:sz w:val="24"/>
          <w:szCs w:val="24"/>
          <w:lang w:val="en-GB"/>
        </w:rPr>
        <w:t>, Decree on the obligors of the energy management system</w:t>
      </w:r>
      <w:r w:rsidR="00A7290A">
        <w:rPr>
          <w:rFonts w:ascii="Times New Roman" w:hAnsi="Times New Roman" w:cs="Times New Roman"/>
          <w:sz w:val="24"/>
          <w:szCs w:val="24"/>
          <w:lang w:val="en-GB"/>
        </w:rPr>
        <w:t xml:space="preserve"> </w:t>
      </w:r>
      <w:r w:rsidR="00A7290A" w:rsidRPr="00866BE9">
        <w:rPr>
          <w:rFonts w:ascii="Times New Roman" w:hAnsi="Times New Roman" w:cs="Times New Roman"/>
          <w:sz w:val="24"/>
          <w:szCs w:val="24"/>
          <w:lang w:val="en-GB"/>
        </w:rPr>
        <w:t>(</w:t>
      </w:r>
      <w:r w:rsidR="00A7290A">
        <w:rPr>
          <w:rFonts w:ascii="Times New Roman" w:hAnsi="Times New Roman" w:cs="Times New Roman"/>
          <w:sz w:val="24"/>
          <w:szCs w:val="24"/>
          <w:lang w:val="en-GB"/>
        </w:rPr>
        <w:t>“</w:t>
      </w:r>
      <w:r w:rsidR="00A7290A" w:rsidRPr="00866BE9">
        <w:rPr>
          <w:rFonts w:ascii="Times New Roman" w:hAnsi="Times New Roman" w:cs="Times New Roman"/>
          <w:sz w:val="24"/>
          <w:szCs w:val="24"/>
          <w:lang w:val="en-GB"/>
        </w:rPr>
        <w:t>Official Gazette od RS</w:t>
      </w:r>
      <w:r w:rsidR="00A7290A">
        <w:rPr>
          <w:rFonts w:ascii="Times New Roman" w:hAnsi="Times New Roman" w:cs="Times New Roman"/>
          <w:sz w:val="24"/>
          <w:szCs w:val="24"/>
          <w:lang w:val="en-GB"/>
        </w:rPr>
        <w:t>”</w:t>
      </w:r>
      <w:r w:rsidR="00A7290A" w:rsidRPr="00866BE9">
        <w:rPr>
          <w:rFonts w:ascii="Times New Roman" w:hAnsi="Times New Roman" w:cs="Times New Roman"/>
          <w:sz w:val="24"/>
          <w:szCs w:val="24"/>
          <w:lang w:val="en-GB"/>
        </w:rPr>
        <w:t xml:space="preserve">, no. </w:t>
      </w:r>
      <w:r w:rsidR="00DD30E6">
        <w:rPr>
          <w:rFonts w:ascii="Times New Roman" w:hAnsi="Times New Roman" w:cs="Times New Roman"/>
          <w:sz w:val="24"/>
          <w:szCs w:val="24"/>
          <w:lang w:val="en-GB"/>
        </w:rPr>
        <w:t>59</w:t>
      </w:r>
      <w:r w:rsidR="00A7290A" w:rsidRPr="00866BE9">
        <w:rPr>
          <w:rFonts w:ascii="Times New Roman" w:hAnsi="Times New Roman" w:cs="Times New Roman"/>
          <w:sz w:val="24"/>
          <w:szCs w:val="24"/>
        </w:rPr>
        <w:t>/</w:t>
      </w:r>
      <w:r w:rsidR="00A7290A">
        <w:rPr>
          <w:rFonts w:ascii="Times New Roman" w:hAnsi="Times New Roman" w:cs="Times New Roman"/>
          <w:sz w:val="24"/>
          <w:szCs w:val="24"/>
        </w:rPr>
        <w:t>2</w:t>
      </w:r>
      <w:r w:rsidR="00DD30E6">
        <w:rPr>
          <w:rFonts w:ascii="Times New Roman" w:hAnsi="Times New Roman" w:cs="Times New Roman"/>
          <w:sz w:val="24"/>
          <w:szCs w:val="24"/>
        </w:rPr>
        <w:t>2</w:t>
      </w:r>
      <w:r w:rsidR="00A7290A">
        <w:rPr>
          <w:rFonts w:ascii="Times New Roman" w:hAnsi="Times New Roman" w:cs="Times New Roman"/>
          <w:sz w:val="24"/>
          <w:szCs w:val="24"/>
        </w:rPr>
        <w:t>)</w:t>
      </w:r>
      <w:r w:rsidRPr="00614438">
        <w:rPr>
          <w:rFonts w:ascii="Times New Roman" w:hAnsi="Times New Roman" w:cs="Times New Roman"/>
          <w:sz w:val="24"/>
          <w:szCs w:val="24"/>
          <w:lang w:val="en-GB"/>
        </w:rPr>
        <w:t>, and Decree on the contract model on the feed-in tariff for the sale of electricity produced in a micro-cogeneration unit or small cogeneration</w:t>
      </w:r>
      <w:r w:rsidR="00A7290A">
        <w:rPr>
          <w:rFonts w:ascii="Times New Roman" w:hAnsi="Times New Roman" w:cs="Times New Roman"/>
          <w:sz w:val="24"/>
          <w:szCs w:val="24"/>
          <w:lang w:val="en-GB"/>
        </w:rPr>
        <w:t xml:space="preserve"> </w:t>
      </w:r>
      <w:r w:rsidR="00A7290A" w:rsidRPr="00866BE9">
        <w:rPr>
          <w:rFonts w:ascii="Times New Roman" w:hAnsi="Times New Roman" w:cs="Times New Roman"/>
          <w:sz w:val="24"/>
          <w:szCs w:val="24"/>
          <w:lang w:val="en-GB"/>
        </w:rPr>
        <w:t>(</w:t>
      </w:r>
      <w:r w:rsidR="00A7290A">
        <w:rPr>
          <w:rFonts w:ascii="Times New Roman" w:hAnsi="Times New Roman" w:cs="Times New Roman"/>
          <w:sz w:val="24"/>
          <w:szCs w:val="24"/>
          <w:lang w:val="en-GB"/>
        </w:rPr>
        <w:t>“</w:t>
      </w:r>
      <w:r w:rsidR="00A7290A" w:rsidRPr="00866BE9">
        <w:rPr>
          <w:rFonts w:ascii="Times New Roman" w:hAnsi="Times New Roman" w:cs="Times New Roman"/>
          <w:sz w:val="24"/>
          <w:szCs w:val="24"/>
          <w:lang w:val="en-GB"/>
        </w:rPr>
        <w:t>Official Gazette od RS</w:t>
      </w:r>
      <w:r w:rsidR="00A7290A">
        <w:rPr>
          <w:rFonts w:ascii="Times New Roman" w:hAnsi="Times New Roman" w:cs="Times New Roman"/>
          <w:sz w:val="24"/>
          <w:szCs w:val="24"/>
          <w:lang w:val="en-GB"/>
        </w:rPr>
        <w:t>”</w:t>
      </w:r>
      <w:r w:rsidR="00A7290A" w:rsidRPr="00866BE9">
        <w:rPr>
          <w:rFonts w:ascii="Times New Roman" w:hAnsi="Times New Roman" w:cs="Times New Roman"/>
          <w:sz w:val="24"/>
          <w:szCs w:val="24"/>
          <w:lang w:val="en-GB"/>
        </w:rPr>
        <w:t xml:space="preserve">, no. </w:t>
      </w:r>
      <w:r w:rsidR="00DD30E6">
        <w:rPr>
          <w:rFonts w:ascii="Times New Roman" w:hAnsi="Times New Roman" w:cs="Times New Roman"/>
          <w:sz w:val="24"/>
          <w:szCs w:val="24"/>
          <w:lang w:val="en-GB"/>
        </w:rPr>
        <w:t>43</w:t>
      </w:r>
      <w:r w:rsidR="00A7290A" w:rsidRPr="00866BE9">
        <w:rPr>
          <w:rFonts w:ascii="Times New Roman" w:hAnsi="Times New Roman" w:cs="Times New Roman"/>
          <w:sz w:val="24"/>
          <w:szCs w:val="24"/>
        </w:rPr>
        <w:t>/</w:t>
      </w:r>
      <w:r w:rsidR="00A7290A">
        <w:rPr>
          <w:rFonts w:ascii="Times New Roman" w:hAnsi="Times New Roman" w:cs="Times New Roman"/>
          <w:sz w:val="24"/>
          <w:szCs w:val="24"/>
        </w:rPr>
        <w:t>2</w:t>
      </w:r>
      <w:r w:rsidR="00DD30E6">
        <w:rPr>
          <w:rFonts w:ascii="Times New Roman" w:hAnsi="Times New Roman" w:cs="Times New Roman"/>
          <w:sz w:val="24"/>
          <w:szCs w:val="24"/>
        </w:rPr>
        <w:t>3</w:t>
      </w:r>
      <w:r w:rsidR="00A7290A">
        <w:rPr>
          <w:rFonts w:ascii="Times New Roman" w:hAnsi="Times New Roman" w:cs="Times New Roman"/>
          <w:sz w:val="24"/>
          <w:szCs w:val="24"/>
        </w:rPr>
        <w:t>)</w:t>
      </w:r>
      <w:r w:rsidRPr="00614438">
        <w:rPr>
          <w:rFonts w:ascii="Times New Roman" w:hAnsi="Times New Roman" w:cs="Times New Roman"/>
          <w:sz w:val="24"/>
          <w:szCs w:val="24"/>
          <w:lang w:val="en-GB"/>
        </w:rPr>
        <w:t xml:space="preserve">. For full compliance </w:t>
      </w:r>
      <w:r w:rsidR="00DD30E6">
        <w:rPr>
          <w:rFonts w:ascii="Times New Roman" w:hAnsi="Times New Roman" w:cs="Times New Roman"/>
          <w:sz w:val="24"/>
          <w:szCs w:val="24"/>
          <w:lang w:val="en-GB"/>
        </w:rPr>
        <w:t xml:space="preserve">one more document is </w:t>
      </w:r>
      <w:r w:rsidRPr="00614438">
        <w:rPr>
          <w:rFonts w:ascii="Times New Roman" w:hAnsi="Times New Roman" w:cs="Times New Roman"/>
          <w:sz w:val="24"/>
          <w:szCs w:val="24"/>
          <w:lang w:val="en-GB"/>
        </w:rPr>
        <w:t xml:space="preserve">missing </w:t>
      </w:r>
      <w:r w:rsidR="00DD30E6">
        <w:rPr>
          <w:rFonts w:ascii="Times New Roman" w:hAnsi="Times New Roman" w:cs="Times New Roman"/>
          <w:sz w:val="24"/>
          <w:szCs w:val="24"/>
          <w:lang w:val="en-GB"/>
        </w:rPr>
        <w:t>regarding the</w:t>
      </w:r>
      <w:r w:rsidRPr="00614438">
        <w:rPr>
          <w:rFonts w:ascii="Times New Roman" w:hAnsi="Times New Roman" w:cs="Times New Roman"/>
          <w:sz w:val="24"/>
          <w:szCs w:val="24"/>
          <w:lang w:val="en-GB"/>
        </w:rPr>
        <w:t xml:space="preserve"> Plan of rehabilitation of CG buildings which should be adopt by Q1 </w:t>
      </w:r>
      <w:r w:rsidR="00DD30E6">
        <w:rPr>
          <w:rFonts w:ascii="Times New Roman" w:hAnsi="Times New Roman" w:cs="Times New Roman"/>
          <w:sz w:val="24"/>
          <w:szCs w:val="24"/>
          <w:lang w:val="en-GB"/>
        </w:rPr>
        <w:t>2024</w:t>
      </w:r>
      <w:r w:rsidRPr="00614438">
        <w:rPr>
          <w:rFonts w:ascii="Times New Roman" w:hAnsi="Times New Roman" w:cs="Times New Roman"/>
          <w:sz w:val="24"/>
          <w:szCs w:val="24"/>
          <w:lang w:val="en-GB"/>
        </w:rPr>
        <w:t xml:space="preserve">. In accordance with these provisions, among other things, it is foreseen that in the period after 2021, the targets in the field of energy efficiency will be defined through </w:t>
      </w:r>
      <w:r w:rsidRPr="00614438">
        <w:rPr>
          <w:rFonts w:ascii="Times New Roman" w:hAnsi="Times New Roman" w:cs="Times New Roman"/>
          <w:sz w:val="24"/>
          <w:szCs w:val="24"/>
          <w:lang w:val="en-GB"/>
        </w:rPr>
        <w:lastRenderedPageBreak/>
        <w:t>INECP, instead of through energy efficiency plans, namely, the indicative target for energy efficiency, the cumulative energy savings target, as well as the energy efficiency target in central government buildings.</w:t>
      </w:r>
    </w:p>
    <w:p w14:paraId="42999EA7" w14:textId="77777777" w:rsidR="00614438" w:rsidRPr="00614438" w:rsidRDefault="00614438" w:rsidP="00DD30E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LEERUE and following bylaw regulation are aligned with the Regulation (ЕU) 2017/1369 establishing a framework for energy efficiency labelling and repealing Directive 2010/30/ЕU and with the Directive 2009/125/ЕC establishing eco-design requirements for the products which affect energy consumption. In addition, LEERUE transposed the part of Directive </w:t>
      </w:r>
      <w:bookmarkStart w:id="62" w:name="_Hlk59990651"/>
      <w:r w:rsidRPr="00614438">
        <w:rPr>
          <w:rFonts w:ascii="Times New Roman" w:hAnsi="Times New Roman" w:cs="Times New Roman"/>
          <w:sz w:val="24"/>
          <w:szCs w:val="24"/>
          <w:lang w:val="en-GB"/>
        </w:rPr>
        <w:t>2010/31/Е</w:t>
      </w:r>
      <w:bookmarkEnd w:id="62"/>
      <w:r w:rsidRPr="00614438">
        <w:rPr>
          <w:rFonts w:ascii="Times New Roman" w:hAnsi="Times New Roman" w:cs="Times New Roman"/>
          <w:sz w:val="24"/>
          <w:szCs w:val="24"/>
          <w:lang w:val="en-GB"/>
        </w:rPr>
        <w:t>U on energy efficiency of buildings into the legal system of the Republic of Serbia, with accompanying amendments, which refer to auditing of heating and air conditioning systems.</w:t>
      </w:r>
    </w:p>
    <w:p w14:paraId="1A683833" w14:textId="77777777" w:rsidR="00614438" w:rsidRPr="00614438" w:rsidRDefault="00614438" w:rsidP="00DD30E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the previous period, the Republic of Serbia has adopted four National Energy Efficiency Action Plans (NEEAPs) for the periods of 2010 – 2012, 2013 – 2015, 2016 – 2018 and 2019 – 2021, respectively. These documents in the previous period set targets for energy efficiency improvements and defined measures for the achievement thereof. The latest Fourth Action Plan for Energy Efficiency (4</w:t>
      </w:r>
      <w:r w:rsidRPr="00614438">
        <w:rPr>
          <w:rFonts w:ascii="Times New Roman" w:hAnsi="Times New Roman" w:cs="Times New Roman"/>
          <w:sz w:val="24"/>
          <w:szCs w:val="24"/>
          <w:vertAlign w:val="superscript"/>
          <w:lang w:val="en-GB"/>
        </w:rPr>
        <w:t>th</w:t>
      </w:r>
      <w:r w:rsidRPr="00614438">
        <w:rPr>
          <w:rFonts w:ascii="Times New Roman" w:hAnsi="Times New Roman" w:cs="Times New Roman"/>
          <w:sz w:val="24"/>
          <w:szCs w:val="24"/>
          <w:lang w:val="en-GB"/>
        </w:rPr>
        <w:t xml:space="preserve"> EEAP) of the Republic of Serbia for the period until 2021 was prepared in accordance with the requirements of</w:t>
      </w:r>
      <w:r w:rsidRPr="00614438">
        <w:rPr>
          <w:rFonts w:ascii="Times New Roman" w:hAnsi="Times New Roman" w:cs="Times New Roman"/>
          <w:sz w:val="24"/>
          <w:szCs w:val="24"/>
        </w:rPr>
        <w:t xml:space="preserve"> adapted</w:t>
      </w:r>
      <w:r w:rsidRPr="00614438">
        <w:rPr>
          <w:rFonts w:ascii="Times New Roman" w:hAnsi="Times New Roman" w:cs="Times New Roman"/>
          <w:sz w:val="24"/>
          <w:szCs w:val="24"/>
          <w:lang w:val="en-GB"/>
        </w:rPr>
        <w:t xml:space="preserve"> Directive 2012/27/EU adopted by the Ministerial Council of the Energy Community.</w:t>
      </w:r>
    </w:p>
    <w:p w14:paraId="2B40B39A" w14:textId="77777777" w:rsidR="00965B95" w:rsidRDefault="00614438" w:rsidP="00B921F9">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LPC</w:t>
      </w:r>
      <w:r w:rsidR="00965B95" w:rsidRPr="00965B95">
        <w:rPr>
          <w:rFonts w:ascii="Times New Roman" w:hAnsi="Times New Roman" w:cs="Times New Roman"/>
          <w:sz w:val="24"/>
          <w:szCs w:val="24"/>
          <w:lang w:val="en-GB"/>
        </w:rPr>
        <w:t xml:space="preserve"> (</w:t>
      </w:r>
      <w:r w:rsidR="00965B95">
        <w:rPr>
          <w:rFonts w:ascii="Times New Roman" w:hAnsi="Times New Roman" w:cs="Times New Roman"/>
          <w:sz w:val="24"/>
          <w:szCs w:val="24"/>
          <w:lang w:val="en-GB"/>
        </w:rPr>
        <w:t>“</w:t>
      </w:r>
      <w:r w:rsidR="00965B95" w:rsidRPr="00965B95">
        <w:rPr>
          <w:rFonts w:ascii="Times New Roman" w:hAnsi="Times New Roman" w:cs="Times New Roman"/>
          <w:sz w:val="24"/>
          <w:szCs w:val="24"/>
        </w:rPr>
        <w:t>Official Gazette of RS</w:t>
      </w:r>
      <w:r w:rsidR="00965B95">
        <w:rPr>
          <w:rFonts w:ascii="Times New Roman" w:hAnsi="Times New Roman" w:cs="Times New Roman"/>
          <w:sz w:val="24"/>
          <w:szCs w:val="24"/>
        </w:rPr>
        <w:t>”</w:t>
      </w:r>
      <w:r w:rsidR="00965B95" w:rsidRPr="00965B95">
        <w:rPr>
          <w:rFonts w:ascii="Times New Roman" w:hAnsi="Times New Roman" w:cs="Times New Roman"/>
          <w:sz w:val="24"/>
          <w:szCs w:val="24"/>
        </w:rPr>
        <w:t xml:space="preserve">, no. 72/09, 81/09 – correction, 64/10 – CC, 24/11, 121/12, 42/13 – CC, 50/13 – CC, 98/13 – CC, 132/14, 145/14, 83/18, 31/19, 37/19 – </w:t>
      </w:r>
      <w:r w:rsidR="00965B95">
        <w:rPr>
          <w:rFonts w:ascii="Times New Roman" w:hAnsi="Times New Roman" w:cs="Times New Roman"/>
          <w:sz w:val="24"/>
          <w:szCs w:val="24"/>
        </w:rPr>
        <w:t>as amended,</w:t>
      </w:r>
      <w:r w:rsidR="00965B95" w:rsidRPr="00965B95">
        <w:rPr>
          <w:rFonts w:ascii="Times New Roman" w:hAnsi="Times New Roman" w:cs="Times New Roman"/>
          <w:sz w:val="24"/>
          <w:szCs w:val="24"/>
        </w:rPr>
        <w:t xml:space="preserve"> 9/20, 52/21, 62/23</w:t>
      </w:r>
      <w:r w:rsidR="00965B95" w:rsidRPr="00965B95">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from 2009 defines the obligation to issue a certificate, i.e. the obligation to design, build, use and maintain a building in a manner that ensures prescribed energy performance. Furthermore, the Law on Amendments to the Law on Planning and Construction (LPC)</w:t>
      </w:r>
      <w:r w:rsidR="00965B95">
        <w:rPr>
          <w:rFonts w:ascii="Times New Roman" w:hAnsi="Times New Roman" w:cs="Times New Roman"/>
          <w:sz w:val="24"/>
          <w:szCs w:val="24"/>
          <w:lang w:val="en-GB"/>
        </w:rPr>
        <w:t xml:space="preserve"> </w:t>
      </w:r>
      <w:r w:rsidR="00965B95" w:rsidRPr="00866BE9">
        <w:rPr>
          <w:rFonts w:ascii="Times New Roman" w:hAnsi="Times New Roman" w:cs="Times New Roman"/>
          <w:sz w:val="24"/>
          <w:szCs w:val="24"/>
          <w:lang w:val="en-GB"/>
        </w:rPr>
        <w:t>(</w:t>
      </w:r>
      <w:r w:rsidR="00965B95">
        <w:rPr>
          <w:rFonts w:ascii="Times New Roman" w:hAnsi="Times New Roman" w:cs="Times New Roman"/>
          <w:sz w:val="24"/>
          <w:szCs w:val="24"/>
          <w:lang w:val="en-GB"/>
        </w:rPr>
        <w:t>“</w:t>
      </w:r>
      <w:r w:rsidR="00965B95" w:rsidRPr="00866BE9">
        <w:rPr>
          <w:rFonts w:ascii="Times New Roman" w:hAnsi="Times New Roman" w:cs="Times New Roman"/>
          <w:sz w:val="24"/>
          <w:szCs w:val="24"/>
          <w:lang w:val="en-GB"/>
        </w:rPr>
        <w:t>Official Gazette od RS</w:t>
      </w:r>
      <w:r w:rsidR="00965B95">
        <w:rPr>
          <w:rFonts w:ascii="Times New Roman" w:hAnsi="Times New Roman" w:cs="Times New Roman"/>
          <w:sz w:val="24"/>
          <w:szCs w:val="24"/>
          <w:lang w:val="en-GB"/>
        </w:rPr>
        <w:t>”</w:t>
      </w:r>
      <w:r w:rsidR="00965B95" w:rsidRPr="00866BE9">
        <w:rPr>
          <w:rFonts w:ascii="Times New Roman" w:hAnsi="Times New Roman" w:cs="Times New Roman"/>
          <w:sz w:val="24"/>
          <w:szCs w:val="24"/>
          <w:lang w:val="en-GB"/>
        </w:rPr>
        <w:t xml:space="preserve">, no. </w:t>
      </w:r>
      <w:r w:rsidR="00965B95">
        <w:rPr>
          <w:rFonts w:ascii="Times New Roman" w:hAnsi="Times New Roman" w:cs="Times New Roman"/>
          <w:sz w:val="24"/>
          <w:szCs w:val="24"/>
          <w:lang w:val="en-GB"/>
        </w:rPr>
        <w:t>83</w:t>
      </w:r>
      <w:r w:rsidR="00965B95" w:rsidRPr="00866BE9">
        <w:rPr>
          <w:rFonts w:ascii="Times New Roman" w:hAnsi="Times New Roman" w:cs="Times New Roman"/>
          <w:sz w:val="24"/>
          <w:szCs w:val="24"/>
        </w:rPr>
        <w:t>/</w:t>
      </w:r>
      <w:r w:rsidR="00965B95">
        <w:rPr>
          <w:rFonts w:ascii="Times New Roman" w:hAnsi="Times New Roman" w:cs="Times New Roman"/>
          <w:sz w:val="24"/>
          <w:szCs w:val="24"/>
        </w:rPr>
        <w:t xml:space="preserve">18) </w:t>
      </w:r>
      <w:r w:rsidRPr="00614438">
        <w:rPr>
          <w:rFonts w:ascii="Times New Roman" w:hAnsi="Times New Roman" w:cs="Times New Roman"/>
          <w:sz w:val="24"/>
          <w:szCs w:val="24"/>
          <w:lang w:val="en-GB"/>
        </w:rPr>
        <w:t>prescrib</w:t>
      </w:r>
      <w:r w:rsidR="00965B95">
        <w:rPr>
          <w:rFonts w:ascii="Times New Roman" w:hAnsi="Times New Roman" w:cs="Times New Roman"/>
          <w:sz w:val="24"/>
          <w:szCs w:val="24"/>
          <w:lang w:val="en-GB"/>
        </w:rPr>
        <w:t>es</w:t>
      </w:r>
      <w:r w:rsidRPr="00614438">
        <w:rPr>
          <w:rFonts w:ascii="Times New Roman" w:hAnsi="Times New Roman" w:cs="Times New Roman"/>
          <w:sz w:val="24"/>
          <w:szCs w:val="24"/>
          <w:lang w:val="en-GB"/>
        </w:rPr>
        <w:t xml:space="preserve"> the obligation to issue certificates on the energy performance of buildings, the so-called energy passports through the Central Register of Energy Passports (CREP), establishing a database of Energy Passports for the territory of the Republic of Serbia, which includes 1</w:t>
      </w:r>
      <w:r w:rsidR="00965B95">
        <w:rPr>
          <w:rFonts w:ascii="Times New Roman" w:hAnsi="Times New Roman" w:cs="Times New Roman"/>
          <w:sz w:val="24"/>
          <w:szCs w:val="24"/>
          <w:lang w:val="en-GB"/>
        </w:rPr>
        <w:t>6</w:t>
      </w:r>
      <w:r w:rsidRPr="00614438">
        <w:rPr>
          <w:rFonts w:ascii="Times New Roman" w:hAnsi="Times New Roman" w:cs="Times New Roman"/>
          <w:sz w:val="24"/>
          <w:szCs w:val="24"/>
          <w:lang w:val="en-GB"/>
        </w:rPr>
        <w:t>.</w:t>
      </w:r>
      <w:r w:rsidR="00965B95">
        <w:rPr>
          <w:rFonts w:ascii="Times New Roman" w:hAnsi="Times New Roman" w:cs="Times New Roman"/>
          <w:sz w:val="24"/>
          <w:szCs w:val="24"/>
          <w:lang w:val="en-GB"/>
        </w:rPr>
        <w:t>02</w:t>
      </w:r>
      <w:r w:rsidRPr="00614438">
        <w:rPr>
          <w:rFonts w:ascii="Times New Roman" w:hAnsi="Times New Roman" w:cs="Times New Roman"/>
          <w:sz w:val="24"/>
          <w:szCs w:val="24"/>
          <w:lang w:val="en-GB"/>
        </w:rPr>
        <w:t xml:space="preserve">7 certificates of energy performance of buildings from 2013 until </w:t>
      </w:r>
      <w:r w:rsidR="00965B95">
        <w:rPr>
          <w:rFonts w:ascii="Times New Roman" w:hAnsi="Times New Roman" w:cs="Times New Roman"/>
          <w:sz w:val="24"/>
          <w:szCs w:val="24"/>
          <w:lang w:val="en-GB"/>
        </w:rPr>
        <w:t>June</w:t>
      </w:r>
      <w:r w:rsidRPr="00614438">
        <w:rPr>
          <w:rFonts w:ascii="Times New Roman" w:hAnsi="Times New Roman" w:cs="Times New Roman"/>
          <w:sz w:val="24"/>
          <w:szCs w:val="24"/>
          <w:lang w:val="en-GB"/>
        </w:rPr>
        <w:t>, 202</w:t>
      </w:r>
      <w:r w:rsidR="00965B95">
        <w:rPr>
          <w:rFonts w:ascii="Times New Roman" w:hAnsi="Times New Roman" w:cs="Times New Roman"/>
          <w:sz w:val="24"/>
          <w:szCs w:val="24"/>
          <w:lang w:val="en-GB"/>
        </w:rPr>
        <w:t>4</w:t>
      </w:r>
      <w:r w:rsidRPr="00614438">
        <w:rPr>
          <w:rFonts w:ascii="Times New Roman" w:hAnsi="Times New Roman" w:cs="Times New Roman"/>
          <w:sz w:val="24"/>
          <w:szCs w:val="24"/>
          <w:lang w:val="en-GB"/>
        </w:rPr>
        <w:t xml:space="preserve">. In addition, amendments to the LPC </w:t>
      </w:r>
      <w:r w:rsidR="00965B95" w:rsidRPr="00866BE9">
        <w:rPr>
          <w:rFonts w:ascii="Times New Roman" w:hAnsi="Times New Roman" w:cs="Times New Roman"/>
          <w:sz w:val="24"/>
          <w:szCs w:val="24"/>
          <w:lang w:val="en-GB"/>
        </w:rPr>
        <w:t>(</w:t>
      </w:r>
      <w:r w:rsidR="00965B95">
        <w:rPr>
          <w:rFonts w:ascii="Times New Roman" w:hAnsi="Times New Roman" w:cs="Times New Roman"/>
          <w:sz w:val="24"/>
          <w:szCs w:val="24"/>
          <w:lang w:val="en-GB"/>
        </w:rPr>
        <w:t>“</w:t>
      </w:r>
      <w:r w:rsidR="00965B95" w:rsidRPr="00866BE9">
        <w:rPr>
          <w:rFonts w:ascii="Times New Roman" w:hAnsi="Times New Roman" w:cs="Times New Roman"/>
          <w:sz w:val="24"/>
          <w:szCs w:val="24"/>
          <w:lang w:val="en-GB"/>
        </w:rPr>
        <w:t>Official Gazette od RS</w:t>
      </w:r>
      <w:r w:rsidR="00965B95">
        <w:rPr>
          <w:rFonts w:ascii="Times New Roman" w:hAnsi="Times New Roman" w:cs="Times New Roman"/>
          <w:sz w:val="24"/>
          <w:szCs w:val="24"/>
          <w:lang w:val="en-GB"/>
        </w:rPr>
        <w:t>”</w:t>
      </w:r>
      <w:r w:rsidR="00965B95" w:rsidRPr="00866BE9">
        <w:rPr>
          <w:rFonts w:ascii="Times New Roman" w:hAnsi="Times New Roman" w:cs="Times New Roman"/>
          <w:sz w:val="24"/>
          <w:szCs w:val="24"/>
          <w:lang w:val="en-GB"/>
        </w:rPr>
        <w:t xml:space="preserve">, no. </w:t>
      </w:r>
      <w:r w:rsidR="00965B95">
        <w:rPr>
          <w:rFonts w:ascii="Times New Roman" w:hAnsi="Times New Roman" w:cs="Times New Roman"/>
          <w:sz w:val="24"/>
          <w:szCs w:val="24"/>
          <w:lang w:val="en-GB"/>
        </w:rPr>
        <w:t>9</w:t>
      </w:r>
      <w:r w:rsidR="00965B95" w:rsidRPr="00866BE9">
        <w:rPr>
          <w:rFonts w:ascii="Times New Roman" w:hAnsi="Times New Roman" w:cs="Times New Roman"/>
          <w:sz w:val="24"/>
          <w:szCs w:val="24"/>
        </w:rPr>
        <w:t>/</w:t>
      </w:r>
      <w:r w:rsidR="00965B95">
        <w:rPr>
          <w:rFonts w:ascii="Times New Roman" w:hAnsi="Times New Roman" w:cs="Times New Roman"/>
          <w:sz w:val="24"/>
          <w:szCs w:val="24"/>
        </w:rPr>
        <w:t>20), adopted</w:t>
      </w:r>
      <w:r w:rsidRPr="00614438">
        <w:rPr>
          <w:rFonts w:ascii="Times New Roman" w:hAnsi="Times New Roman" w:cs="Times New Roman"/>
          <w:sz w:val="24"/>
          <w:szCs w:val="24"/>
          <w:lang w:val="en-GB"/>
        </w:rPr>
        <w:t xml:space="preserve"> in 2020</w:t>
      </w:r>
      <w:r w:rsidR="00965B95">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establish a legal basis for the development and adoption of the Long-Term Strategy for Encouraging Investment in the Renovation of the National Buildings Fund of the Republic of Serbia until 2050</w:t>
      </w:r>
      <w:r w:rsidR="00965B95">
        <w:rPr>
          <w:rFonts w:ascii="Times New Roman" w:hAnsi="Times New Roman" w:cs="Times New Roman"/>
          <w:sz w:val="24"/>
          <w:szCs w:val="24"/>
          <w:lang w:val="en-GB"/>
        </w:rPr>
        <w:t xml:space="preserve"> </w:t>
      </w:r>
      <w:r w:rsidR="00965B95" w:rsidRPr="00866BE9">
        <w:rPr>
          <w:rFonts w:ascii="Times New Roman" w:hAnsi="Times New Roman" w:cs="Times New Roman"/>
          <w:sz w:val="24"/>
          <w:szCs w:val="24"/>
          <w:lang w:val="en-GB"/>
        </w:rPr>
        <w:t>(</w:t>
      </w:r>
      <w:r w:rsidR="00965B95">
        <w:rPr>
          <w:rFonts w:ascii="Times New Roman" w:hAnsi="Times New Roman" w:cs="Times New Roman"/>
          <w:sz w:val="24"/>
          <w:szCs w:val="24"/>
          <w:lang w:val="en-GB"/>
        </w:rPr>
        <w:t>“</w:t>
      </w:r>
      <w:r w:rsidR="00965B95" w:rsidRPr="00866BE9">
        <w:rPr>
          <w:rFonts w:ascii="Times New Roman" w:hAnsi="Times New Roman" w:cs="Times New Roman"/>
          <w:sz w:val="24"/>
          <w:szCs w:val="24"/>
          <w:lang w:val="en-GB"/>
        </w:rPr>
        <w:t>Official Gazette od RS</w:t>
      </w:r>
      <w:r w:rsidR="00965B95">
        <w:rPr>
          <w:rFonts w:ascii="Times New Roman" w:hAnsi="Times New Roman" w:cs="Times New Roman"/>
          <w:sz w:val="24"/>
          <w:szCs w:val="24"/>
          <w:lang w:val="en-GB"/>
        </w:rPr>
        <w:t>”</w:t>
      </w:r>
      <w:r w:rsidR="00965B95" w:rsidRPr="00866BE9">
        <w:rPr>
          <w:rFonts w:ascii="Times New Roman" w:hAnsi="Times New Roman" w:cs="Times New Roman"/>
          <w:sz w:val="24"/>
          <w:szCs w:val="24"/>
          <w:lang w:val="en-GB"/>
        </w:rPr>
        <w:t xml:space="preserve">, no. </w:t>
      </w:r>
      <w:r w:rsidR="00965B95">
        <w:rPr>
          <w:rFonts w:ascii="Times New Roman" w:hAnsi="Times New Roman" w:cs="Times New Roman"/>
          <w:sz w:val="24"/>
          <w:szCs w:val="24"/>
          <w:lang w:val="en-GB"/>
        </w:rPr>
        <w:t>27</w:t>
      </w:r>
      <w:r w:rsidR="00965B95" w:rsidRPr="00866BE9">
        <w:rPr>
          <w:rFonts w:ascii="Times New Roman" w:hAnsi="Times New Roman" w:cs="Times New Roman"/>
          <w:sz w:val="24"/>
          <w:szCs w:val="24"/>
        </w:rPr>
        <w:t>/</w:t>
      </w:r>
      <w:r w:rsidR="00965B95">
        <w:rPr>
          <w:rFonts w:ascii="Times New Roman" w:hAnsi="Times New Roman" w:cs="Times New Roman"/>
          <w:sz w:val="24"/>
          <w:szCs w:val="24"/>
        </w:rPr>
        <w:t>22)</w:t>
      </w:r>
      <w:r w:rsidRPr="00614438">
        <w:rPr>
          <w:rFonts w:ascii="Times New Roman" w:hAnsi="Times New Roman" w:cs="Times New Roman"/>
          <w:sz w:val="24"/>
          <w:szCs w:val="24"/>
          <w:lang w:val="en-GB"/>
        </w:rPr>
        <w:t xml:space="preserve">, which was adopted in the first quarter </w:t>
      </w:r>
      <w:r w:rsidR="00965B95" w:rsidRPr="00614438">
        <w:rPr>
          <w:rFonts w:ascii="Times New Roman" w:hAnsi="Times New Roman" w:cs="Times New Roman"/>
          <w:sz w:val="24"/>
          <w:szCs w:val="24"/>
          <w:lang w:val="en-GB"/>
        </w:rPr>
        <w:t>of</w:t>
      </w:r>
      <w:r w:rsidR="00965B95">
        <w:rPr>
          <w:rFonts w:ascii="Times New Roman" w:hAnsi="Times New Roman" w:cs="Times New Roman"/>
          <w:sz w:val="24"/>
          <w:szCs w:val="24"/>
          <w:lang w:val="en-GB"/>
        </w:rPr>
        <w:t xml:space="preserve"> </w:t>
      </w:r>
      <w:r w:rsidR="00965B95" w:rsidRPr="00614438">
        <w:rPr>
          <w:rFonts w:ascii="Times New Roman" w:hAnsi="Times New Roman" w:cs="Times New Roman"/>
          <w:sz w:val="24"/>
          <w:szCs w:val="24"/>
          <w:lang w:val="en-GB"/>
        </w:rPr>
        <w:t>2022</w:t>
      </w:r>
      <w:r w:rsidRPr="00614438">
        <w:rPr>
          <w:rFonts w:ascii="Times New Roman" w:hAnsi="Times New Roman" w:cs="Times New Roman"/>
          <w:sz w:val="24"/>
          <w:szCs w:val="24"/>
          <w:lang w:val="en-GB"/>
        </w:rPr>
        <w:t xml:space="preserve">. </w:t>
      </w:r>
      <w:r w:rsidR="00965B95" w:rsidRPr="00614438">
        <w:rPr>
          <w:rFonts w:ascii="Times New Roman" w:hAnsi="Times New Roman" w:cs="Times New Roman"/>
          <w:sz w:val="24"/>
          <w:szCs w:val="24"/>
          <w:lang w:val="en-GB"/>
        </w:rPr>
        <w:t>Law on Amendments to the Law on Planning and Construction</w:t>
      </w:r>
      <w:r w:rsidR="00965B95">
        <w:rPr>
          <w:rFonts w:ascii="Times New Roman" w:hAnsi="Times New Roman" w:cs="Times New Roman"/>
          <w:sz w:val="24"/>
          <w:szCs w:val="24"/>
          <w:lang w:val="en-GB"/>
        </w:rPr>
        <w:t xml:space="preserve"> (“Official Gazette of RS, no. 62/23)</w:t>
      </w:r>
      <w:r w:rsidR="00965B95" w:rsidRPr="00614438">
        <w:rPr>
          <w:rFonts w:ascii="Times New Roman" w:hAnsi="Times New Roman" w:cs="Times New Roman"/>
          <w:sz w:val="24"/>
          <w:szCs w:val="24"/>
          <w:lang w:val="en-GB"/>
        </w:rPr>
        <w:t xml:space="preserve">, considerable attention is devoted to the further improvement of energy efficiency: Articles 12 and 13 of the Energy Performance of Buildings Directive 2010/31/EU are directly transposed and </w:t>
      </w:r>
      <w:r w:rsidR="00B921F9">
        <w:rPr>
          <w:rFonts w:ascii="Times New Roman" w:hAnsi="Times New Roman" w:cs="Times New Roman"/>
          <w:sz w:val="24"/>
          <w:szCs w:val="24"/>
          <w:lang w:val="en-GB"/>
        </w:rPr>
        <w:t xml:space="preserve">it is envisaged that the Government adopt </w:t>
      </w:r>
      <w:r w:rsidR="00965B95" w:rsidRPr="00614438">
        <w:rPr>
          <w:rFonts w:ascii="Times New Roman" w:hAnsi="Times New Roman" w:cs="Times New Roman"/>
          <w:sz w:val="24"/>
          <w:szCs w:val="24"/>
          <w:lang w:val="en-GB"/>
        </w:rPr>
        <w:t>the National methodology for calculating the energy characteristics of buildings. Also, the prescri</w:t>
      </w:r>
      <w:r w:rsidR="00B921F9">
        <w:rPr>
          <w:rFonts w:ascii="Times New Roman" w:hAnsi="Times New Roman" w:cs="Times New Roman"/>
          <w:sz w:val="24"/>
          <w:szCs w:val="24"/>
          <w:lang w:val="en-GB"/>
        </w:rPr>
        <w:t>bed</w:t>
      </w:r>
      <w:r w:rsidR="00965B95" w:rsidRPr="00614438">
        <w:rPr>
          <w:rFonts w:ascii="Times New Roman" w:hAnsi="Times New Roman" w:cs="Times New Roman"/>
          <w:sz w:val="24"/>
          <w:szCs w:val="24"/>
          <w:lang w:val="en-GB"/>
        </w:rPr>
        <w:t xml:space="preserve"> validity period of energy passports</w:t>
      </w:r>
      <w:r w:rsidR="00B921F9">
        <w:rPr>
          <w:rFonts w:ascii="Times New Roman" w:hAnsi="Times New Roman" w:cs="Times New Roman"/>
          <w:sz w:val="24"/>
          <w:szCs w:val="24"/>
          <w:lang w:val="en-GB"/>
        </w:rPr>
        <w:t xml:space="preserve"> is set at</w:t>
      </w:r>
      <w:r w:rsidR="00965B95" w:rsidRPr="00614438">
        <w:rPr>
          <w:rFonts w:ascii="Times New Roman" w:hAnsi="Times New Roman" w:cs="Times New Roman"/>
          <w:sz w:val="24"/>
          <w:szCs w:val="24"/>
          <w:lang w:val="en-GB"/>
        </w:rPr>
        <w:t xml:space="preserve"> 10 years, as well as the obligation to attach an energy certificate when certifying a contract on the sale of real estate or concluding a lease contract.</w:t>
      </w:r>
    </w:p>
    <w:p w14:paraId="6C36E1D3" w14:textId="77777777" w:rsidR="00614438" w:rsidRPr="00614438" w:rsidRDefault="00965B95" w:rsidP="00B921F9">
      <w:pPr>
        <w:ind w:firstLine="720"/>
        <w:jc w:val="both"/>
        <w:rPr>
          <w:rFonts w:ascii="Times New Roman" w:hAnsi="Times New Roman" w:cs="Times New Roman"/>
          <w:sz w:val="24"/>
          <w:szCs w:val="24"/>
          <w:lang w:val="en-GB"/>
        </w:rPr>
      </w:pPr>
      <w:r>
        <w:rPr>
          <w:rFonts w:ascii="Times New Roman" w:hAnsi="Times New Roman" w:cs="Times New Roman"/>
          <w:sz w:val="24"/>
          <w:szCs w:val="24"/>
          <w:lang w:val="en-GB"/>
        </w:rPr>
        <w:t>A</w:t>
      </w:r>
      <w:r w:rsidR="00B921F9">
        <w:rPr>
          <w:rFonts w:ascii="Times New Roman" w:hAnsi="Times New Roman" w:cs="Times New Roman"/>
          <w:sz w:val="24"/>
          <w:szCs w:val="24"/>
          <w:lang w:val="en-GB"/>
        </w:rPr>
        <w:t>dditionally, a</w:t>
      </w:r>
      <w:r w:rsidR="00614438" w:rsidRPr="00614438">
        <w:rPr>
          <w:rFonts w:ascii="Times New Roman" w:hAnsi="Times New Roman" w:cs="Times New Roman"/>
          <w:sz w:val="24"/>
          <w:szCs w:val="24"/>
          <w:lang w:val="en-GB"/>
        </w:rPr>
        <w:t>ccording to the Law on Housing and Building Maintenance</w:t>
      </w:r>
      <w:r>
        <w:rPr>
          <w:rFonts w:ascii="Times New Roman" w:hAnsi="Times New Roman" w:cs="Times New Roman"/>
          <w:sz w:val="24"/>
          <w:szCs w:val="24"/>
          <w:lang w:val="en-GB"/>
        </w:rPr>
        <w:t xml:space="preserve"> </w:t>
      </w:r>
      <w:r w:rsidRPr="00866BE9">
        <w:rPr>
          <w:rFonts w:ascii="Times New Roman" w:hAnsi="Times New Roman" w:cs="Times New Roman"/>
          <w:sz w:val="24"/>
          <w:szCs w:val="24"/>
          <w:lang w:val="en-GB"/>
        </w:rPr>
        <w:t>(</w:t>
      </w:r>
      <w:r>
        <w:rPr>
          <w:rFonts w:ascii="Times New Roman" w:hAnsi="Times New Roman" w:cs="Times New Roman"/>
          <w:sz w:val="24"/>
          <w:szCs w:val="24"/>
          <w:lang w:val="en-GB"/>
        </w:rPr>
        <w:t>“</w:t>
      </w:r>
      <w:r w:rsidRPr="00866BE9">
        <w:rPr>
          <w:rFonts w:ascii="Times New Roman" w:hAnsi="Times New Roman" w:cs="Times New Roman"/>
          <w:sz w:val="24"/>
          <w:szCs w:val="24"/>
          <w:lang w:val="en-GB"/>
        </w:rPr>
        <w:t>Official Gazette od RS</w:t>
      </w:r>
      <w:r>
        <w:rPr>
          <w:rFonts w:ascii="Times New Roman" w:hAnsi="Times New Roman" w:cs="Times New Roman"/>
          <w:sz w:val="24"/>
          <w:szCs w:val="24"/>
          <w:lang w:val="en-GB"/>
        </w:rPr>
        <w:t>”</w:t>
      </w:r>
      <w:r w:rsidRPr="00866BE9">
        <w:rPr>
          <w:rFonts w:ascii="Times New Roman" w:hAnsi="Times New Roman" w:cs="Times New Roman"/>
          <w:sz w:val="24"/>
          <w:szCs w:val="24"/>
          <w:lang w:val="en-GB"/>
        </w:rPr>
        <w:t xml:space="preserve">, no. </w:t>
      </w:r>
      <w:r w:rsidR="0006432E">
        <w:rPr>
          <w:rFonts w:ascii="Times New Roman" w:hAnsi="Times New Roman" w:cs="Times New Roman"/>
          <w:sz w:val="24"/>
          <w:szCs w:val="24"/>
          <w:lang w:val="en-GB"/>
        </w:rPr>
        <w:t>1</w:t>
      </w:r>
      <w:r>
        <w:rPr>
          <w:rFonts w:ascii="Times New Roman" w:hAnsi="Times New Roman" w:cs="Times New Roman"/>
          <w:sz w:val="24"/>
          <w:szCs w:val="24"/>
          <w:lang w:val="en-GB"/>
        </w:rPr>
        <w:t>0</w:t>
      </w:r>
      <w:r w:rsidR="0006432E">
        <w:rPr>
          <w:rFonts w:ascii="Times New Roman" w:hAnsi="Times New Roman" w:cs="Times New Roman"/>
          <w:sz w:val="24"/>
          <w:szCs w:val="24"/>
          <w:lang w:val="en-GB"/>
        </w:rPr>
        <w:t>4</w:t>
      </w:r>
      <w:r w:rsidRPr="00866BE9">
        <w:rPr>
          <w:rFonts w:ascii="Times New Roman" w:hAnsi="Times New Roman" w:cs="Times New Roman"/>
          <w:sz w:val="24"/>
          <w:szCs w:val="24"/>
        </w:rPr>
        <w:t>/</w:t>
      </w:r>
      <w:r w:rsidR="0006432E">
        <w:rPr>
          <w:rFonts w:ascii="Times New Roman" w:hAnsi="Times New Roman" w:cs="Times New Roman"/>
          <w:sz w:val="24"/>
          <w:szCs w:val="24"/>
        </w:rPr>
        <w:t>16 and 09/</w:t>
      </w:r>
      <w:r>
        <w:rPr>
          <w:rFonts w:ascii="Times New Roman" w:hAnsi="Times New Roman" w:cs="Times New Roman"/>
          <w:sz w:val="24"/>
          <w:szCs w:val="24"/>
        </w:rPr>
        <w:t>2</w:t>
      </w:r>
      <w:r w:rsidR="0006432E">
        <w:rPr>
          <w:rFonts w:ascii="Times New Roman" w:hAnsi="Times New Roman" w:cs="Times New Roman"/>
          <w:sz w:val="24"/>
          <w:szCs w:val="24"/>
        </w:rPr>
        <w:t>0</w:t>
      </w:r>
      <w:r>
        <w:rPr>
          <w:rFonts w:ascii="Times New Roman" w:hAnsi="Times New Roman" w:cs="Times New Roman"/>
          <w:sz w:val="24"/>
          <w:szCs w:val="24"/>
        </w:rPr>
        <w:t>)</w:t>
      </w:r>
      <w:r w:rsidR="0006432E">
        <w:rPr>
          <w:rFonts w:ascii="Times New Roman" w:hAnsi="Times New Roman" w:cs="Times New Roman"/>
          <w:sz w:val="24"/>
          <w:szCs w:val="24"/>
        </w:rPr>
        <w:t>,</w:t>
      </w:r>
      <w:r w:rsidR="00614438" w:rsidRPr="00614438">
        <w:rPr>
          <w:rFonts w:ascii="Times New Roman" w:hAnsi="Times New Roman" w:cs="Times New Roman"/>
          <w:sz w:val="24"/>
          <w:szCs w:val="24"/>
          <w:lang w:val="en-GB"/>
        </w:rPr>
        <w:t xml:space="preserve"> sustainable housing development constitutes one of the key principles for improving the quality of housing, through the corresponding improvement of energy efficiency. Finally, the Rulebook on energy efficiency of buildings </w:t>
      </w:r>
      <w:r w:rsidRPr="00866BE9">
        <w:rPr>
          <w:rFonts w:ascii="Times New Roman" w:hAnsi="Times New Roman" w:cs="Times New Roman"/>
          <w:sz w:val="24"/>
          <w:szCs w:val="24"/>
          <w:lang w:val="en-GB"/>
        </w:rPr>
        <w:t>(</w:t>
      </w:r>
      <w:r>
        <w:rPr>
          <w:rFonts w:ascii="Times New Roman" w:hAnsi="Times New Roman" w:cs="Times New Roman"/>
          <w:sz w:val="24"/>
          <w:szCs w:val="24"/>
          <w:lang w:val="en-GB"/>
        </w:rPr>
        <w:t>“</w:t>
      </w:r>
      <w:r w:rsidRPr="00866BE9">
        <w:rPr>
          <w:rFonts w:ascii="Times New Roman" w:hAnsi="Times New Roman" w:cs="Times New Roman"/>
          <w:sz w:val="24"/>
          <w:szCs w:val="24"/>
          <w:lang w:val="en-GB"/>
        </w:rPr>
        <w:t>Official Gazette od RS</w:t>
      </w:r>
      <w:r>
        <w:rPr>
          <w:rFonts w:ascii="Times New Roman" w:hAnsi="Times New Roman" w:cs="Times New Roman"/>
          <w:sz w:val="24"/>
          <w:szCs w:val="24"/>
          <w:lang w:val="en-GB"/>
        </w:rPr>
        <w:t>”</w:t>
      </w:r>
      <w:r w:rsidRPr="00866BE9">
        <w:rPr>
          <w:rFonts w:ascii="Times New Roman" w:hAnsi="Times New Roman" w:cs="Times New Roman"/>
          <w:sz w:val="24"/>
          <w:szCs w:val="24"/>
          <w:lang w:val="en-GB"/>
        </w:rPr>
        <w:t xml:space="preserve">, no. </w:t>
      </w:r>
      <w:r w:rsidR="0006432E">
        <w:rPr>
          <w:rFonts w:ascii="Times New Roman" w:hAnsi="Times New Roman" w:cs="Times New Roman"/>
          <w:sz w:val="24"/>
          <w:szCs w:val="24"/>
          <w:lang w:val="en-GB"/>
        </w:rPr>
        <w:t>61</w:t>
      </w:r>
      <w:r w:rsidRPr="00866BE9">
        <w:rPr>
          <w:rFonts w:ascii="Times New Roman" w:hAnsi="Times New Roman" w:cs="Times New Roman"/>
          <w:sz w:val="24"/>
          <w:szCs w:val="24"/>
        </w:rPr>
        <w:t>/</w:t>
      </w:r>
      <w:r w:rsidR="0006432E">
        <w:rPr>
          <w:rFonts w:ascii="Times New Roman" w:hAnsi="Times New Roman" w:cs="Times New Roman"/>
          <w:sz w:val="24"/>
          <w:szCs w:val="24"/>
        </w:rPr>
        <w:t>11</w:t>
      </w:r>
      <w:r>
        <w:rPr>
          <w:rFonts w:ascii="Times New Roman" w:hAnsi="Times New Roman" w:cs="Times New Roman"/>
          <w:sz w:val="24"/>
          <w:szCs w:val="24"/>
        </w:rPr>
        <w:t xml:space="preserve">) </w:t>
      </w:r>
      <w:r w:rsidR="00614438" w:rsidRPr="00614438">
        <w:rPr>
          <w:rFonts w:ascii="Times New Roman" w:hAnsi="Times New Roman" w:cs="Times New Roman"/>
          <w:sz w:val="24"/>
          <w:szCs w:val="24"/>
          <w:lang w:val="en-GB"/>
        </w:rPr>
        <w:t>regulates technical requirements, as well as the Rulebook on conditions, content and manner of issuing energy performance certificates for buildings</w:t>
      </w:r>
      <w:r>
        <w:rPr>
          <w:rFonts w:ascii="Times New Roman" w:hAnsi="Times New Roman" w:cs="Times New Roman"/>
          <w:sz w:val="24"/>
          <w:szCs w:val="24"/>
          <w:lang w:val="en-GB"/>
        </w:rPr>
        <w:t xml:space="preserve"> </w:t>
      </w:r>
      <w:r w:rsidRPr="00866BE9">
        <w:rPr>
          <w:rFonts w:ascii="Times New Roman" w:hAnsi="Times New Roman" w:cs="Times New Roman"/>
          <w:sz w:val="24"/>
          <w:szCs w:val="24"/>
          <w:lang w:val="en-GB"/>
        </w:rPr>
        <w:t>(</w:t>
      </w:r>
      <w:r>
        <w:rPr>
          <w:rFonts w:ascii="Times New Roman" w:hAnsi="Times New Roman" w:cs="Times New Roman"/>
          <w:sz w:val="24"/>
          <w:szCs w:val="24"/>
          <w:lang w:val="en-GB"/>
        </w:rPr>
        <w:t>“</w:t>
      </w:r>
      <w:r w:rsidRPr="00866BE9">
        <w:rPr>
          <w:rFonts w:ascii="Times New Roman" w:hAnsi="Times New Roman" w:cs="Times New Roman"/>
          <w:sz w:val="24"/>
          <w:szCs w:val="24"/>
          <w:lang w:val="en-GB"/>
        </w:rPr>
        <w:t>Official Gazette od RS</w:t>
      </w:r>
      <w:r>
        <w:rPr>
          <w:rFonts w:ascii="Times New Roman" w:hAnsi="Times New Roman" w:cs="Times New Roman"/>
          <w:sz w:val="24"/>
          <w:szCs w:val="24"/>
          <w:lang w:val="en-GB"/>
        </w:rPr>
        <w:t>”</w:t>
      </w:r>
      <w:r w:rsidRPr="00866BE9">
        <w:rPr>
          <w:rFonts w:ascii="Times New Roman" w:hAnsi="Times New Roman" w:cs="Times New Roman"/>
          <w:sz w:val="24"/>
          <w:szCs w:val="24"/>
          <w:lang w:val="en-GB"/>
        </w:rPr>
        <w:t xml:space="preserve">, no. </w:t>
      </w:r>
      <w:r w:rsidR="0006432E">
        <w:rPr>
          <w:rFonts w:ascii="Times New Roman" w:hAnsi="Times New Roman" w:cs="Times New Roman"/>
          <w:sz w:val="24"/>
          <w:szCs w:val="24"/>
          <w:lang w:val="en-GB"/>
        </w:rPr>
        <w:t>69</w:t>
      </w:r>
      <w:r w:rsidRPr="00866BE9">
        <w:rPr>
          <w:rFonts w:ascii="Times New Roman" w:hAnsi="Times New Roman" w:cs="Times New Roman"/>
          <w:sz w:val="24"/>
          <w:szCs w:val="24"/>
        </w:rPr>
        <w:t>/</w:t>
      </w:r>
      <w:r w:rsidR="0006432E">
        <w:rPr>
          <w:rFonts w:ascii="Times New Roman" w:hAnsi="Times New Roman" w:cs="Times New Roman"/>
          <w:sz w:val="24"/>
          <w:szCs w:val="24"/>
        </w:rPr>
        <w:t>1</w:t>
      </w:r>
      <w:r>
        <w:rPr>
          <w:rFonts w:ascii="Times New Roman" w:hAnsi="Times New Roman" w:cs="Times New Roman"/>
          <w:sz w:val="24"/>
          <w:szCs w:val="24"/>
        </w:rPr>
        <w:t>2</w:t>
      </w:r>
      <w:r w:rsidR="0006432E">
        <w:rPr>
          <w:rFonts w:ascii="Times New Roman" w:hAnsi="Times New Roman" w:cs="Times New Roman"/>
          <w:sz w:val="24"/>
          <w:szCs w:val="24"/>
        </w:rPr>
        <w:t>, 44/18 – as amended and 111/22</w:t>
      </w:r>
      <w:r>
        <w:rPr>
          <w:rFonts w:ascii="Times New Roman" w:hAnsi="Times New Roman" w:cs="Times New Roman"/>
          <w:sz w:val="24"/>
          <w:szCs w:val="24"/>
        </w:rPr>
        <w:t>)</w:t>
      </w:r>
      <w:r w:rsidR="00614438" w:rsidRPr="00614438">
        <w:rPr>
          <w:rFonts w:ascii="Times New Roman" w:hAnsi="Times New Roman" w:cs="Times New Roman"/>
          <w:sz w:val="24"/>
          <w:szCs w:val="24"/>
          <w:lang w:val="en-GB"/>
        </w:rPr>
        <w:t xml:space="preserve">.  </w:t>
      </w:r>
    </w:p>
    <w:p w14:paraId="1082556A" w14:textId="77777777" w:rsidR="00614438" w:rsidRPr="00614438" w:rsidRDefault="00614438" w:rsidP="002A1DC5">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Law on Public Procurement </w:t>
      </w:r>
      <w:r w:rsidR="0006432E" w:rsidRPr="00866BE9">
        <w:rPr>
          <w:rFonts w:ascii="Times New Roman" w:hAnsi="Times New Roman" w:cs="Times New Roman"/>
          <w:sz w:val="24"/>
          <w:szCs w:val="24"/>
          <w:lang w:val="en-GB"/>
        </w:rPr>
        <w:t>(</w:t>
      </w:r>
      <w:r w:rsidR="0006432E">
        <w:rPr>
          <w:rFonts w:ascii="Times New Roman" w:hAnsi="Times New Roman" w:cs="Times New Roman"/>
          <w:sz w:val="24"/>
          <w:szCs w:val="24"/>
          <w:lang w:val="en-GB"/>
        </w:rPr>
        <w:t>“</w:t>
      </w:r>
      <w:r w:rsidR="0006432E" w:rsidRPr="00866BE9">
        <w:rPr>
          <w:rFonts w:ascii="Times New Roman" w:hAnsi="Times New Roman" w:cs="Times New Roman"/>
          <w:sz w:val="24"/>
          <w:szCs w:val="24"/>
          <w:lang w:val="en-GB"/>
        </w:rPr>
        <w:t>Official Gazette od RS</w:t>
      </w:r>
      <w:r w:rsidR="0006432E">
        <w:rPr>
          <w:rFonts w:ascii="Times New Roman" w:hAnsi="Times New Roman" w:cs="Times New Roman"/>
          <w:sz w:val="24"/>
          <w:szCs w:val="24"/>
          <w:lang w:val="en-GB"/>
        </w:rPr>
        <w:t>”</w:t>
      </w:r>
      <w:r w:rsidR="0006432E" w:rsidRPr="00866BE9">
        <w:rPr>
          <w:rFonts w:ascii="Times New Roman" w:hAnsi="Times New Roman" w:cs="Times New Roman"/>
          <w:sz w:val="24"/>
          <w:szCs w:val="24"/>
          <w:lang w:val="en-GB"/>
        </w:rPr>
        <w:t xml:space="preserve">, no. </w:t>
      </w:r>
      <w:r w:rsidR="0006432E">
        <w:rPr>
          <w:rFonts w:ascii="Times New Roman" w:hAnsi="Times New Roman" w:cs="Times New Roman"/>
          <w:sz w:val="24"/>
          <w:szCs w:val="24"/>
          <w:lang w:val="en-GB"/>
        </w:rPr>
        <w:t>9</w:t>
      </w:r>
      <w:r w:rsidR="002A1DC5">
        <w:rPr>
          <w:rFonts w:ascii="Times New Roman" w:hAnsi="Times New Roman" w:cs="Times New Roman"/>
          <w:sz w:val="24"/>
          <w:szCs w:val="24"/>
          <w:lang w:val="en-GB"/>
        </w:rPr>
        <w:t>1</w:t>
      </w:r>
      <w:r w:rsidR="0006432E" w:rsidRPr="00866BE9">
        <w:rPr>
          <w:rFonts w:ascii="Times New Roman" w:hAnsi="Times New Roman" w:cs="Times New Roman"/>
          <w:sz w:val="24"/>
          <w:szCs w:val="24"/>
        </w:rPr>
        <w:t>/</w:t>
      </w:r>
      <w:r w:rsidR="0006432E">
        <w:rPr>
          <w:rFonts w:ascii="Times New Roman" w:hAnsi="Times New Roman" w:cs="Times New Roman"/>
          <w:sz w:val="24"/>
          <w:szCs w:val="24"/>
        </w:rPr>
        <w:t>1</w:t>
      </w:r>
      <w:r w:rsidR="002A1DC5">
        <w:rPr>
          <w:rFonts w:ascii="Times New Roman" w:hAnsi="Times New Roman" w:cs="Times New Roman"/>
          <w:sz w:val="24"/>
          <w:szCs w:val="24"/>
        </w:rPr>
        <w:t>9-3, 92/</w:t>
      </w:r>
      <w:r w:rsidR="0006432E">
        <w:rPr>
          <w:rFonts w:ascii="Times New Roman" w:hAnsi="Times New Roman" w:cs="Times New Roman"/>
          <w:sz w:val="24"/>
          <w:szCs w:val="24"/>
        </w:rPr>
        <w:t>2</w:t>
      </w:r>
      <w:r w:rsidR="002A1DC5">
        <w:rPr>
          <w:rFonts w:ascii="Times New Roman" w:hAnsi="Times New Roman" w:cs="Times New Roman"/>
          <w:sz w:val="24"/>
          <w:szCs w:val="24"/>
        </w:rPr>
        <w:t>023-266) defines</w:t>
      </w:r>
      <w:r w:rsidRPr="00614438">
        <w:rPr>
          <w:rFonts w:ascii="Times New Roman" w:hAnsi="Times New Roman" w:cs="Times New Roman"/>
          <w:sz w:val="24"/>
          <w:szCs w:val="24"/>
          <w:lang w:val="en-GB"/>
        </w:rPr>
        <w:t xml:space="preserve"> the price-quality relationship including qualitative, environmental and/or social criteria, as well as the implementation of a cost-effectiveness approach, such as life cycle cost of goods, services or works. </w:t>
      </w:r>
      <w:r w:rsidRPr="00614438">
        <w:rPr>
          <w:rFonts w:ascii="Times New Roman" w:hAnsi="Times New Roman" w:cs="Times New Roman"/>
          <w:sz w:val="24"/>
          <w:szCs w:val="24"/>
          <w:lang w:val="en-GB"/>
        </w:rPr>
        <w:lastRenderedPageBreak/>
        <w:t xml:space="preserve">In this context, the </w:t>
      </w:r>
      <w:r w:rsidR="002A1DC5">
        <w:rPr>
          <w:rFonts w:ascii="Times New Roman" w:hAnsi="Times New Roman" w:cs="Times New Roman"/>
          <w:sz w:val="24"/>
          <w:szCs w:val="24"/>
          <w:lang w:val="en-GB"/>
        </w:rPr>
        <w:t>Republic of Serbia</w:t>
      </w:r>
      <w:r w:rsidRPr="00614438">
        <w:rPr>
          <w:rFonts w:ascii="Times New Roman" w:hAnsi="Times New Roman" w:cs="Times New Roman"/>
          <w:sz w:val="24"/>
          <w:szCs w:val="24"/>
          <w:lang w:val="en-GB"/>
        </w:rPr>
        <w:t xml:space="preserve"> adopted the Public Procurement Development Program in the Republic of Serbia for the period 2019-2023</w:t>
      </w:r>
      <w:r w:rsidR="0006432E">
        <w:rPr>
          <w:rFonts w:ascii="Times New Roman" w:hAnsi="Times New Roman" w:cs="Times New Roman"/>
          <w:sz w:val="24"/>
          <w:szCs w:val="24"/>
          <w:lang w:val="en-GB"/>
        </w:rPr>
        <w:t xml:space="preserve"> </w:t>
      </w:r>
      <w:r w:rsidR="0006432E" w:rsidRPr="00866BE9">
        <w:rPr>
          <w:rFonts w:ascii="Times New Roman" w:hAnsi="Times New Roman" w:cs="Times New Roman"/>
          <w:sz w:val="24"/>
          <w:szCs w:val="24"/>
          <w:lang w:val="en-GB"/>
        </w:rPr>
        <w:t>(</w:t>
      </w:r>
      <w:r w:rsidR="0006432E">
        <w:rPr>
          <w:rFonts w:ascii="Times New Roman" w:hAnsi="Times New Roman" w:cs="Times New Roman"/>
          <w:sz w:val="24"/>
          <w:szCs w:val="24"/>
          <w:lang w:val="en-GB"/>
        </w:rPr>
        <w:t>“</w:t>
      </w:r>
      <w:r w:rsidR="0006432E" w:rsidRPr="00866BE9">
        <w:rPr>
          <w:rFonts w:ascii="Times New Roman" w:hAnsi="Times New Roman" w:cs="Times New Roman"/>
          <w:sz w:val="24"/>
          <w:szCs w:val="24"/>
          <w:lang w:val="en-GB"/>
        </w:rPr>
        <w:t>Official Gazette od RS</w:t>
      </w:r>
      <w:r w:rsidR="0006432E">
        <w:rPr>
          <w:rFonts w:ascii="Times New Roman" w:hAnsi="Times New Roman" w:cs="Times New Roman"/>
          <w:sz w:val="24"/>
          <w:szCs w:val="24"/>
          <w:lang w:val="en-GB"/>
        </w:rPr>
        <w:t>”</w:t>
      </w:r>
      <w:r w:rsidR="0006432E" w:rsidRPr="00866BE9">
        <w:rPr>
          <w:rFonts w:ascii="Times New Roman" w:hAnsi="Times New Roman" w:cs="Times New Roman"/>
          <w:sz w:val="24"/>
          <w:szCs w:val="24"/>
          <w:lang w:val="en-GB"/>
        </w:rPr>
        <w:t xml:space="preserve">, no. </w:t>
      </w:r>
      <w:r w:rsidR="002A1DC5">
        <w:rPr>
          <w:rFonts w:ascii="Times New Roman" w:hAnsi="Times New Roman" w:cs="Times New Roman"/>
          <w:sz w:val="24"/>
          <w:szCs w:val="24"/>
          <w:lang w:val="en-GB"/>
        </w:rPr>
        <w:t>30</w:t>
      </w:r>
      <w:r w:rsidR="0006432E" w:rsidRPr="00866BE9">
        <w:rPr>
          <w:rFonts w:ascii="Times New Roman" w:hAnsi="Times New Roman" w:cs="Times New Roman"/>
          <w:sz w:val="24"/>
          <w:szCs w:val="24"/>
        </w:rPr>
        <w:t>/</w:t>
      </w:r>
      <w:r w:rsidR="0006432E">
        <w:rPr>
          <w:rFonts w:ascii="Times New Roman" w:hAnsi="Times New Roman" w:cs="Times New Roman"/>
          <w:sz w:val="24"/>
          <w:szCs w:val="24"/>
        </w:rPr>
        <w:t>1</w:t>
      </w:r>
      <w:r w:rsidR="002A1DC5">
        <w:rPr>
          <w:rFonts w:ascii="Times New Roman" w:hAnsi="Times New Roman" w:cs="Times New Roman"/>
          <w:sz w:val="24"/>
          <w:szCs w:val="24"/>
        </w:rPr>
        <w:t>8)</w:t>
      </w:r>
      <w:r w:rsidRPr="00614438">
        <w:rPr>
          <w:rFonts w:ascii="Times New Roman" w:hAnsi="Times New Roman" w:cs="Times New Roman"/>
          <w:sz w:val="24"/>
          <w:szCs w:val="24"/>
          <w:lang w:val="en-GB"/>
        </w:rPr>
        <w:t>, which provides specific priorities on public procurement system taking into account the relevant EU strategy and focusing on green and social field.</w:t>
      </w:r>
    </w:p>
    <w:p w14:paraId="73137D6D" w14:textId="77777777" w:rsidR="00614438" w:rsidRPr="00614438" w:rsidRDefault="00614438" w:rsidP="002A1DC5">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addition, the Law on Fees for Use of Public Goods</w:t>
      </w:r>
      <w:r w:rsidR="0006432E">
        <w:rPr>
          <w:rFonts w:ascii="Times New Roman" w:hAnsi="Times New Roman" w:cs="Times New Roman"/>
          <w:sz w:val="24"/>
          <w:szCs w:val="24"/>
          <w:lang w:val="en-GB"/>
        </w:rPr>
        <w:t xml:space="preserve"> </w:t>
      </w:r>
      <w:r w:rsidR="0006432E" w:rsidRPr="00866BE9">
        <w:rPr>
          <w:rFonts w:ascii="Times New Roman" w:hAnsi="Times New Roman" w:cs="Times New Roman"/>
          <w:sz w:val="24"/>
          <w:szCs w:val="24"/>
          <w:lang w:val="en-GB"/>
        </w:rPr>
        <w:t>(</w:t>
      </w:r>
      <w:r w:rsidR="0006432E">
        <w:rPr>
          <w:rFonts w:ascii="Times New Roman" w:hAnsi="Times New Roman" w:cs="Times New Roman"/>
          <w:sz w:val="24"/>
          <w:szCs w:val="24"/>
          <w:lang w:val="en-GB"/>
        </w:rPr>
        <w:t>“</w:t>
      </w:r>
      <w:r w:rsidR="0006432E" w:rsidRPr="00866BE9">
        <w:rPr>
          <w:rFonts w:ascii="Times New Roman" w:hAnsi="Times New Roman" w:cs="Times New Roman"/>
          <w:sz w:val="24"/>
          <w:szCs w:val="24"/>
          <w:lang w:val="en-GB"/>
        </w:rPr>
        <w:t>Official Gazette od RS</w:t>
      </w:r>
      <w:r w:rsidR="0006432E">
        <w:rPr>
          <w:rFonts w:ascii="Times New Roman" w:hAnsi="Times New Roman" w:cs="Times New Roman"/>
          <w:sz w:val="24"/>
          <w:szCs w:val="24"/>
          <w:lang w:val="en-GB"/>
        </w:rPr>
        <w:t>”</w:t>
      </w:r>
      <w:r w:rsidR="0006432E" w:rsidRPr="00866BE9">
        <w:rPr>
          <w:rFonts w:ascii="Times New Roman" w:hAnsi="Times New Roman" w:cs="Times New Roman"/>
          <w:sz w:val="24"/>
          <w:szCs w:val="24"/>
          <w:lang w:val="en-GB"/>
        </w:rPr>
        <w:t xml:space="preserve">, no. </w:t>
      </w:r>
      <w:r w:rsidR="0006432E">
        <w:rPr>
          <w:rFonts w:ascii="Times New Roman" w:hAnsi="Times New Roman" w:cs="Times New Roman"/>
          <w:sz w:val="24"/>
          <w:szCs w:val="24"/>
          <w:lang w:val="en-GB"/>
        </w:rPr>
        <w:t>9</w:t>
      </w:r>
      <w:r w:rsidR="00931E46">
        <w:rPr>
          <w:rFonts w:ascii="Times New Roman" w:hAnsi="Times New Roman" w:cs="Times New Roman"/>
          <w:sz w:val="24"/>
          <w:szCs w:val="24"/>
          <w:lang w:val="en-GB"/>
        </w:rPr>
        <w:t>5</w:t>
      </w:r>
      <w:r w:rsidR="0006432E" w:rsidRPr="00866BE9">
        <w:rPr>
          <w:rFonts w:ascii="Times New Roman" w:hAnsi="Times New Roman" w:cs="Times New Roman"/>
          <w:sz w:val="24"/>
          <w:szCs w:val="24"/>
        </w:rPr>
        <w:t>/</w:t>
      </w:r>
      <w:r w:rsidR="0006432E">
        <w:rPr>
          <w:rFonts w:ascii="Times New Roman" w:hAnsi="Times New Roman" w:cs="Times New Roman"/>
          <w:sz w:val="24"/>
          <w:szCs w:val="24"/>
        </w:rPr>
        <w:t>1</w:t>
      </w:r>
      <w:r w:rsidR="00931E46">
        <w:rPr>
          <w:rFonts w:ascii="Times New Roman" w:hAnsi="Times New Roman" w:cs="Times New Roman"/>
          <w:sz w:val="24"/>
          <w:szCs w:val="24"/>
        </w:rPr>
        <w:t>8, 49/19 and 86/19)</w:t>
      </w:r>
      <w:r w:rsidR="0006432E">
        <w:rPr>
          <w:rFonts w:ascii="Times New Roman" w:hAnsi="Times New Roman" w:cs="Times New Roman"/>
          <w:sz w:val="24"/>
          <w:szCs w:val="24"/>
        </w:rPr>
        <w:t xml:space="preserve"> </w:t>
      </w:r>
      <w:r w:rsidRPr="00614438">
        <w:rPr>
          <w:rFonts w:ascii="Times New Roman" w:hAnsi="Times New Roman" w:cs="Times New Roman"/>
          <w:sz w:val="24"/>
          <w:szCs w:val="24"/>
          <w:lang w:val="en-GB"/>
        </w:rPr>
        <w:t>stipulates a fee for the improvement of energy efficiency to the energy entities that perform energy activities of electricity supply, natural gas supply and public supply of natural gas, as well as to the energy entities that perform the energy activity of production of oil products and trade in oil, oil products, biofuels, etc. In 2019, the Ministry of Mining and Energy adopted the relevant Rulebook on the form of registration of records of taxpayers for energy efficiency improvement fees, on the form for monthly and annual calculation of the amount of energy/ energy carriers supplied to consumers or placed on the market in the Republic of Serbia, i.e. imported into the territory of the Republic of Serbia, the form for the monthly and annual calculation for the payment of fees, the form for the payment reports, as well as the method of submitting these forms</w:t>
      </w:r>
      <w:r w:rsidR="00931E46">
        <w:rPr>
          <w:rFonts w:ascii="Times New Roman" w:hAnsi="Times New Roman" w:cs="Times New Roman"/>
          <w:sz w:val="24"/>
          <w:szCs w:val="24"/>
          <w:lang w:val="en-GB"/>
        </w:rPr>
        <w:t xml:space="preserve"> </w:t>
      </w:r>
      <w:r w:rsidR="00931E46" w:rsidRPr="00866BE9">
        <w:rPr>
          <w:rFonts w:ascii="Times New Roman" w:hAnsi="Times New Roman" w:cs="Times New Roman"/>
          <w:sz w:val="24"/>
          <w:szCs w:val="24"/>
          <w:lang w:val="en-GB"/>
        </w:rPr>
        <w:t>(</w:t>
      </w:r>
      <w:r w:rsidR="00931E46">
        <w:rPr>
          <w:rFonts w:ascii="Times New Roman" w:hAnsi="Times New Roman" w:cs="Times New Roman"/>
          <w:sz w:val="24"/>
          <w:szCs w:val="24"/>
          <w:lang w:val="en-GB"/>
        </w:rPr>
        <w:t>“</w:t>
      </w:r>
      <w:r w:rsidR="00931E46" w:rsidRPr="00866BE9">
        <w:rPr>
          <w:rFonts w:ascii="Times New Roman" w:hAnsi="Times New Roman" w:cs="Times New Roman"/>
          <w:sz w:val="24"/>
          <w:szCs w:val="24"/>
          <w:lang w:val="en-GB"/>
        </w:rPr>
        <w:t>Official Gazette od RS</w:t>
      </w:r>
      <w:r w:rsidR="00931E46">
        <w:rPr>
          <w:rFonts w:ascii="Times New Roman" w:hAnsi="Times New Roman" w:cs="Times New Roman"/>
          <w:sz w:val="24"/>
          <w:szCs w:val="24"/>
          <w:lang w:val="en-GB"/>
        </w:rPr>
        <w:t>”</w:t>
      </w:r>
      <w:r w:rsidR="00931E46" w:rsidRPr="00866BE9">
        <w:rPr>
          <w:rFonts w:ascii="Times New Roman" w:hAnsi="Times New Roman" w:cs="Times New Roman"/>
          <w:sz w:val="24"/>
          <w:szCs w:val="24"/>
          <w:lang w:val="en-GB"/>
        </w:rPr>
        <w:t xml:space="preserve">, no. </w:t>
      </w:r>
      <w:r w:rsidR="00931E46">
        <w:rPr>
          <w:rFonts w:ascii="Times New Roman" w:hAnsi="Times New Roman" w:cs="Times New Roman"/>
          <w:sz w:val="24"/>
          <w:szCs w:val="24"/>
          <w:lang w:val="en-GB"/>
        </w:rPr>
        <w:t>41</w:t>
      </w:r>
      <w:r w:rsidR="00931E46" w:rsidRPr="00866BE9">
        <w:rPr>
          <w:rFonts w:ascii="Times New Roman" w:hAnsi="Times New Roman" w:cs="Times New Roman"/>
          <w:sz w:val="24"/>
          <w:szCs w:val="24"/>
        </w:rPr>
        <w:t>/</w:t>
      </w:r>
      <w:r w:rsidR="00931E46">
        <w:rPr>
          <w:rFonts w:ascii="Times New Roman" w:hAnsi="Times New Roman" w:cs="Times New Roman"/>
          <w:sz w:val="24"/>
          <w:szCs w:val="24"/>
        </w:rPr>
        <w:t>19)</w:t>
      </w:r>
      <w:r w:rsidRPr="00614438">
        <w:rPr>
          <w:rFonts w:ascii="Times New Roman" w:hAnsi="Times New Roman" w:cs="Times New Roman"/>
          <w:sz w:val="24"/>
          <w:szCs w:val="24"/>
          <w:lang w:val="en-GB"/>
        </w:rPr>
        <w:t xml:space="preserve"> for the records of entities liable to pay energy efficiency improvement fee from July 2019.</w:t>
      </w:r>
    </w:p>
    <w:p w14:paraId="4DBFA819" w14:textId="77777777" w:rsidR="00614438" w:rsidRPr="00614438" w:rsidRDefault="00614438" w:rsidP="00931E4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2017, the Degree on establishment of implementation of Energy Sector Development Strategy of the Republic of Serbia until 2025</w:t>
      </w:r>
      <w:r w:rsidR="00791395">
        <w:rPr>
          <w:rFonts w:ascii="Times New Roman" w:hAnsi="Times New Roman" w:cs="Times New Roman"/>
          <w:sz w:val="24"/>
          <w:szCs w:val="24"/>
          <w:lang w:val="en-GB"/>
        </w:rPr>
        <w:t xml:space="preserve"> with projections until 2030</w:t>
      </w:r>
      <w:r w:rsidRPr="00614438">
        <w:rPr>
          <w:rFonts w:ascii="Times New Roman" w:hAnsi="Times New Roman" w:cs="Times New Roman"/>
          <w:sz w:val="24"/>
          <w:szCs w:val="24"/>
          <w:lang w:val="en-GB"/>
        </w:rPr>
        <w:t xml:space="preserve"> for the period from 2017 to 2023 </w:t>
      </w:r>
      <w:r w:rsidR="0006432E" w:rsidRPr="00866BE9">
        <w:rPr>
          <w:rFonts w:ascii="Times New Roman" w:hAnsi="Times New Roman" w:cs="Times New Roman"/>
          <w:sz w:val="24"/>
          <w:szCs w:val="24"/>
          <w:lang w:val="en-GB"/>
        </w:rPr>
        <w:t>(</w:t>
      </w:r>
      <w:r w:rsidR="0006432E">
        <w:rPr>
          <w:rFonts w:ascii="Times New Roman" w:hAnsi="Times New Roman" w:cs="Times New Roman"/>
          <w:sz w:val="24"/>
          <w:szCs w:val="24"/>
          <w:lang w:val="en-GB"/>
        </w:rPr>
        <w:t>“</w:t>
      </w:r>
      <w:r w:rsidR="0006432E" w:rsidRPr="00866BE9">
        <w:rPr>
          <w:rFonts w:ascii="Times New Roman" w:hAnsi="Times New Roman" w:cs="Times New Roman"/>
          <w:sz w:val="24"/>
          <w:szCs w:val="24"/>
          <w:lang w:val="en-GB"/>
        </w:rPr>
        <w:t>Official Gazette od RS</w:t>
      </w:r>
      <w:r w:rsidR="0006432E">
        <w:rPr>
          <w:rFonts w:ascii="Times New Roman" w:hAnsi="Times New Roman" w:cs="Times New Roman"/>
          <w:sz w:val="24"/>
          <w:szCs w:val="24"/>
          <w:lang w:val="en-GB"/>
        </w:rPr>
        <w:t>”</w:t>
      </w:r>
      <w:r w:rsidR="0006432E" w:rsidRPr="00866BE9">
        <w:rPr>
          <w:rFonts w:ascii="Times New Roman" w:hAnsi="Times New Roman" w:cs="Times New Roman"/>
          <w:sz w:val="24"/>
          <w:szCs w:val="24"/>
          <w:lang w:val="en-GB"/>
        </w:rPr>
        <w:t xml:space="preserve">, no. </w:t>
      </w:r>
      <w:r w:rsidR="00791395">
        <w:rPr>
          <w:rFonts w:ascii="Times New Roman" w:hAnsi="Times New Roman" w:cs="Times New Roman"/>
          <w:sz w:val="24"/>
          <w:szCs w:val="24"/>
          <w:lang w:val="en-GB"/>
        </w:rPr>
        <w:t>104</w:t>
      </w:r>
      <w:r w:rsidR="0006432E" w:rsidRPr="00866BE9">
        <w:rPr>
          <w:rFonts w:ascii="Times New Roman" w:hAnsi="Times New Roman" w:cs="Times New Roman"/>
          <w:sz w:val="24"/>
          <w:szCs w:val="24"/>
        </w:rPr>
        <w:t>/</w:t>
      </w:r>
      <w:r w:rsidR="0006432E">
        <w:rPr>
          <w:rFonts w:ascii="Times New Roman" w:hAnsi="Times New Roman" w:cs="Times New Roman"/>
          <w:sz w:val="24"/>
          <w:szCs w:val="24"/>
        </w:rPr>
        <w:t>1</w:t>
      </w:r>
      <w:r w:rsidR="00791395">
        <w:rPr>
          <w:rFonts w:ascii="Times New Roman" w:hAnsi="Times New Roman" w:cs="Times New Roman"/>
          <w:sz w:val="24"/>
          <w:szCs w:val="24"/>
        </w:rPr>
        <w:t xml:space="preserve">7) </w:t>
      </w:r>
      <w:r w:rsidRPr="00614438">
        <w:rPr>
          <w:rFonts w:ascii="Times New Roman" w:hAnsi="Times New Roman" w:cs="Times New Roman"/>
          <w:sz w:val="24"/>
          <w:szCs w:val="24"/>
          <w:lang w:val="en-GB"/>
        </w:rPr>
        <w:t>was adopted. This program sets energy efficiency targets in accordance with the EED Directive until 2020, including the target for cumulative energy savings and an indicative target in the form of the maximum allowed consumption of final or primary energy.</w:t>
      </w:r>
    </w:p>
    <w:p w14:paraId="4CA09754" w14:textId="77777777" w:rsidR="00614438" w:rsidRPr="00614438" w:rsidRDefault="00614438" w:rsidP="00791395">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On the basis of LEUE, in the period from 2014-2021, incentives for the improvement of energy efficiency were provided within the Budget Fund for Energy Efficiency, a budget line whose funds were managed by the Ministry of Mining and Energy. In that period, 7 public calls for the allocation of funds for the improvement of energy efficiency in buildings of public importance at the local level were implemented, through which 107 projects with a total value of about 14.4 million EUR were realized (participation of Budget Fund approx. 8.9 million EUR) and in accordance with the regulations on establishing the Program for financing activities and measures to improve the efficient use of energy, which the Government of the Republic of Serbia adopts every year on the proposal of the Ministry of Mining and Energy (MoME). In this context, significant activities related to the renovation of buildings in the country were carried out by various local institutions, as well as with the help of International Financial Institutions and donors.</w:t>
      </w:r>
    </w:p>
    <w:p w14:paraId="47DA5FF6" w14:textId="77777777" w:rsidR="00614438" w:rsidRPr="00614438" w:rsidRDefault="00614438" w:rsidP="00EA6D24">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One of the most significant innovations brought by LEERUE is the legal basis for the establishment of the Directorate for Financing and Promoting Energy Efficiency (EE Directorate). The EE Directorate was established at the end of 2021 as a separate legal body within the MoME, to carry out executive and expert operations related to the financing of efficient energy use, and its operation started in February 2022. The tasks of the EE Directorate are laid down in the Article 73 of the LEERUE. This facilitated the launching of pilot projects for the allocation of funds to citizens in 2021 in cooperation with local self-governments, whereby incentives up to 50% are provided by the MoME and local self-government units (25% each) and citizens approx. 50%:</w:t>
      </w:r>
    </w:p>
    <w:p w14:paraId="1FA0302B" w14:textId="77777777" w:rsidR="00614438" w:rsidRPr="0072482E" w:rsidRDefault="00614438" w:rsidP="00485CA7">
      <w:pPr>
        <w:pStyle w:val="ListParagraph"/>
        <w:numPr>
          <w:ilvl w:val="0"/>
          <w:numId w:val="261"/>
        </w:numPr>
        <w:jc w:val="both"/>
        <w:rPr>
          <w:rFonts w:ascii="Times New Roman" w:hAnsi="Times New Roman" w:cs="Times New Roman"/>
          <w:sz w:val="24"/>
          <w:szCs w:val="24"/>
          <w:lang w:val="en-GB"/>
        </w:rPr>
      </w:pPr>
      <w:r w:rsidRPr="0072482E">
        <w:rPr>
          <w:rFonts w:ascii="Times New Roman" w:hAnsi="Times New Roman" w:cs="Times New Roman"/>
          <w:sz w:val="24"/>
          <w:szCs w:val="24"/>
          <w:lang w:val="en-GB"/>
        </w:rPr>
        <w:t xml:space="preserve">for energy rehabilitation of residential buildings, family houses and apartments 67 LSG; approx. 5000 households; </w:t>
      </w:r>
      <w:r w:rsidR="0072482E">
        <w:rPr>
          <w:rFonts w:ascii="Times New Roman" w:hAnsi="Times New Roman" w:cs="Times New Roman"/>
          <w:sz w:val="24"/>
          <w:szCs w:val="24"/>
          <w:lang w:val="en-GB"/>
        </w:rPr>
        <w:t>The a</w:t>
      </w:r>
      <w:r w:rsidRPr="0072482E">
        <w:rPr>
          <w:rFonts w:ascii="Times New Roman" w:hAnsi="Times New Roman" w:cs="Times New Roman"/>
          <w:sz w:val="24"/>
          <w:szCs w:val="24"/>
          <w:lang w:val="en-GB"/>
        </w:rPr>
        <w:t xml:space="preserve">mount of subsidies from MoME and LSG: 461 million dinars; Expected energy savings: approx. 36 million KWh. Estimated reduction of </w:t>
      </w:r>
      <w:r w:rsidR="0072482E" w:rsidRPr="00F10D1E">
        <w:rPr>
          <w:rFonts w:ascii="Times New Roman" w:eastAsia="Times New Roman" w:hAnsi="Times New Roman" w:cs="Times New Roman"/>
          <w:sz w:val="24"/>
          <w:szCs w:val="24"/>
          <w:lang w:eastAsia="el-GR"/>
        </w:rPr>
        <w:t>CO</w:t>
      </w:r>
      <w:r w:rsidR="0072482E" w:rsidRPr="00F10D1E">
        <w:rPr>
          <w:rFonts w:ascii="Times New Roman" w:eastAsia="Times New Roman" w:hAnsi="Times New Roman" w:cs="Times New Roman"/>
          <w:sz w:val="24"/>
          <w:szCs w:val="24"/>
          <w:vertAlign w:val="subscript"/>
          <w:lang w:eastAsia="el-GR"/>
        </w:rPr>
        <w:t>2</w:t>
      </w:r>
      <w:r w:rsidR="0072482E">
        <w:rPr>
          <w:rFonts w:ascii="Times New Roman" w:eastAsia="Times New Roman" w:hAnsi="Times New Roman" w:cs="Times New Roman"/>
          <w:sz w:val="24"/>
          <w:szCs w:val="24"/>
          <w:vertAlign w:val="subscript"/>
          <w:lang w:eastAsia="el-GR"/>
        </w:rPr>
        <w:t xml:space="preserve"> </w:t>
      </w:r>
      <w:r w:rsidRPr="0072482E">
        <w:rPr>
          <w:rFonts w:ascii="Times New Roman" w:hAnsi="Times New Roman" w:cs="Times New Roman"/>
          <w:sz w:val="24"/>
          <w:szCs w:val="24"/>
          <w:lang w:val="en-GB"/>
        </w:rPr>
        <w:t>emissions: 12,154.90 t)</w:t>
      </w:r>
      <w:r w:rsidR="0072482E">
        <w:rPr>
          <w:rFonts w:ascii="Times New Roman" w:hAnsi="Times New Roman" w:cs="Times New Roman"/>
          <w:sz w:val="24"/>
          <w:szCs w:val="24"/>
          <w:lang w:val="en-GB"/>
        </w:rPr>
        <w:t>.</w:t>
      </w:r>
    </w:p>
    <w:p w14:paraId="5F64A641" w14:textId="77777777" w:rsidR="00614438" w:rsidRPr="0072482E" w:rsidRDefault="00614438" w:rsidP="00485CA7">
      <w:pPr>
        <w:pStyle w:val="ListParagraph"/>
        <w:numPr>
          <w:ilvl w:val="0"/>
          <w:numId w:val="261"/>
        </w:numPr>
        <w:jc w:val="both"/>
        <w:rPr>
          <w:rFonts w:ascii="Times New Roman" w:hAnsi="Times New Roman" w:cs="Times New Roman"/>
          <w:sz w:val="24"/>
          <w:szCs w:val="24"/>
          <w:lang w:val="en-GB"/>
        </w:rPr>
      </w:pPr>
      <w:r w:rsidRPr="0072482E">
        <w:rPr>
          <w:rFonts w:ascii="Times New Roman" w:hAnsi="Times New Roman" w:cs="Times New Roman"/>
          <w:sz w:val="24"/>
          <w:szCs w:val="24"/>
          <w:lang w:val="en-GB"/>
        </w:rPr>
        <w:t xml:space="preserve">for installation of solar panels: 37 LSG; 500 households; </w:t>
      </w:r>
      <w:r w:rsidR="0072482E">
        <w:rPr>
          <w:rFonts w:ascii="Times New Roman" w:hAnsi="Times New Roman" w:cs="Times New Roman"/>
          <w:sz w:val="24"/>
          <w:szCs w:val="24"/>
          <w:lang w:val="en-GB"/>
        </w:rPr>
        <w:t>The a</w:t>
      </w:r>
      <w:r w:rsidRPr="0072482E">
        <w:rPr>
          <w:rFonts w:ascii="Times New Roman" w:hAnsi="Times New Roman" w:cs="Times New Roman"/>
          <w:sz w:val="24"/>
          <w:szCs w:val="24"/>
          <w:lang w:val="en-GB"/>
        </w:rPr>
        <w:t xml:space="preserve">mount of subsidies from MoME and LSG: approx. 200 million dinars; Expected energy savings: 3.000.000 KWh annually. Expected reduction of </w:t>
      </w:r>
      <w:r w:rsidR="0072482E" w:rsidRPr="00F10D1E">
        <w:rPr>
          <w:rFonts w:ascii="Times New Roman" w:eastAsia="Times New Roman" w:hAnsi="Times New Roman" w:cs="Times New Roman"/>
          <w:sz w:val="24"/>
          <w:szCs w:val="24"/>
          <w:lang w:eastAsia="el-GR"/>
        </w:rPr>
        <w:t>CO</w:t>
      </w:r>
      <w:r w:rsidR="0072482E" w:rsidRPr="00F10D1E">
        <w:rPr>
          <w:rFonts w:ascii="Times New Roman" w:eastAsia="Times New Roman" w:hAnsi="Times New Roman" w:cs="Times New Roman"/>
          <w:sz w:val="24"/>
          <w:szCs w:val="24"/>
          <w:vertAlign w:val="subscript"/>
          <w:lang w:eastAsia="el-GR"/>
        </w:rPr>
        <w:t>2</w:t>
      </w:r>
      <w:r w:rsidR="0072482E">
        <w:rPr>
          <w:rFonts w:ascii="Times New Roman" w:eastAsia="Times New Roman" w:hAnsi="Times New Roman" w:cs="Times New Roman"/>
          <w:sz w:val="24"/>
          <w:szCs w:val="24"/>
          <w:vertAlign w:val="subscript"/>
          <w:lang w:eastAsia="el-GR"/>
        </w:rPr>
        <w:t xml:space="preserve"> </w:t>
      </w:r>
      <w:r w:rsidRPr="0072482E">
        <w:rPr>
          <w:rFonts w:ascii="Times New Roman" w:hAnsi="Times New Roman" w:cs="Times New Roman"/>
          <w:sz w:val="24"/>
          <w:szCs w:val="24"/>
          <w:lang w:val="en-GB"/>
        </w:rPr>
        <w:t>emissions: 3300 tons annually.</w:t>
      </w:r>
    </w:p>
    <w:p w14:paraId="334AF424" w14:textId="77777777" w:rsidR="00614438" w:rsidRPr="00614438" w:rsidRDefault="00614438" w:rsidP="002834C9">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This made the allocation of significantly larger funds for financing energy efficiency from the Budget of RS for 2022 possible</w:t>
      </w:r>
      <w:r w:rsidR="002834C9">
        <w:rPr>
          <w:rFonts w:ascii="Times New Roman" w:hAnsi="Times New Roman" w:cs="Times New Roman"/>
          <w:sz w:val="24"/>
          <w:szCs w:val="24"/>
          <w:lang w:val="en-GB"/>
        </w:rPr>
        <w:t xml:space="preserve"> </w:t>
      </w:r>
      <w:r w:rsidR="002834C9" w:rsidRPr="00866BE9">
        <w:rPr>
          <w:rFonts w:ascii="Times New Roman" w:hAnsi="Times New Roman" w:cs="Times New Roman"/>
          <w:sz w:val="24"/>
          <w:szCs w:val="24"/>
          <w:lang w:val="en-GB"/>
        </w:rPr>
        <w:t>(</w:t>
      </w:r>
      <w:r w:rsidR="002834C9">
        <w:rPr>
          <w:rFonts w:ascii="Times New Roman" w:hAnsi="Times New Roman" w:cs="Times New Roman"/>
          <w:sz w:val="24"/>
          <w:szCs w:val="24"/>
          <w:lang w:val="en-GB"/>
        </w:rPr>
        <w:t>“</w:t>
      </w:r>
      <w:r w:rsidR="002834C9" w:rsidRPr="00866BE9">
        <w:rPr>
          <w:rFonts w:ascii="Times New Roman" w:hAnsi="Times New Roman" w:cs="Times New Roman"/>
          <w:sz w:val="24"/>
          <w:szCs w:val="24"/>
          <w:lang w:val="en-GB"/>
        </w:rPr>
        <w:t>Official Gazette od RS</w:t>
      </w:r>
      <w:r w:rsidR="002834C9">
        <w:rPr>
          <w:rFonts w:ascii="Times New Roman" w:hAnsi="Times New Roman" w:cs="Times New Roman"/>
          <w:sz w:val="24"/>
          <w:szCs w:val="24"/>
          <w:lang w:val="en-GB"/>
        </w:rPr>
        <w:t>”</w:t>
      </w:r>
      <w:r w:rsidR="002834C9" w:rsidRPr="00866BE9">
        <w:rPr>
          <w:rFonts w:ascii="Times New Roman" w:hAnsi="Times New Roman" w:cs="Times New Roman"/>
          <w:sz w:val="24"/>
          <w:szCs w:val="24"/>
          <w:lang w:val="en-GB"/>
        </w:rPr>
        <w:t xml:space="preserve">, no. </w:t>
      </w:r>
      <w:r w:rsidR="002834C9">
        <w:rPr>
          <w:rFonts w:ascii="Times New Roman" w:hAnsi="Times New Roman" w:cs="Times New Roman"/>
          <w:sz w:val="24"/>
          <w:szCs w:val="24"/>
          <w:lang w:val="en-GB"/>
        </w:rPr>
        <w:t>1</w:t>
      </w:r>
      <w:r w:rsidR="002834C9">
        <w:rPr>
          <w:rFonts w:ascii="Times New Roman" w:hAnsi="Times New Roman" w:cs="Times New Roman"/>
          <w:sz w:val="24"/>
          <w:szCs w:val="24"/>
        </w:rPr>
        <w:t>10)</w:t>
      </w:r>
      <w:r w:rsidRPr="00614438">
        <w:rPr>
          <w:rFonts w:ascii="Times New Roman" w:hAnsi="Times New Roman" w:cs="Times New Roman"/>
          <w:sz w:val="24"/>
          <w:szCs w:val="24"/>
          <w:lang w:val="en-GB"/>
        </w:rPr>
        <w:t>, amounting to approx. 2 billion RSD or approx. 17 million EUR, out of which approximately 10 million EUR is collected annually from compensation charges. In 2022, on the basis of these funds and in cooperation with 151 LSGs, the process of awarding incentives to citizens for the renovation of residential apartments, family houses and residential buildings and installation of solar panels is being implemented</w:t>
      </w:r>
      <w:r w:rsidR="002834C9">
        <w:rPr>
          <w:rFonts w:ascii="Times New Roman" w:hAnsi="Times New Roman" w:cs="Times New Roman"/>
          <w:sz w:val="24"/>
          <w:szCs w:val="24"/>
          <w:lang w:val="en-GB"/>
        </w:rPr>
        <w:t xml:space="preserve"> for</w:t>
      </w:r>
      <w:r w:rsidRPr="00614438">
        <w:rPr>
          <w:rFonts w:ascii="Times New Roman" w:hAnsi="Times New Roman" w:cs="Times New Roman"/>
          <w:sz w:val="24"/>
          <w:szCs w:val="24"/>
          <w:lang w:val="en-GB"/>
        </w:rPr>
        <w:t xml:space="preserve"> 20,000 households</w:t>
      </w:r>
      <w:r w:rsidR="002834C9">
        <w:rPr>
          <w:rFonts w:ascii="Times New Roman" w:hAnsi="Times New Roman" w:cs="Times New Roman"/>
          <w:sz w:val="24"/>
          <w:szCs w:val="24"/>
          <w:lang w:val="en-GB"/>
        </w:rPr>
        <w:t>. The a</w:t>
      </w:r>
      <w:r w:rsidRPr="00614438">
        <w:rPr>
          <w:rFonts w:ascii="Times New Roman" w:hAnsi="Times New Roman" w:cs="Times New Roman"/>
          <w:sz w:val="24"/>
          <w:szCs w:val="24"/>
          <w:lang w:val="en-GB"/>
        </w:rPr>
        <w:t>mount of subsidies of MoME and LSG</w:t>
      </w:r>
      <w:r w:rsidR="002834C9">
        <w:rPr>
          <w:rFonts w:ascii="Times New Roman" w:hAnsi="Times New Roman" w:cs="Times New Roman"/>
          <w:sz w:val="24"/>
          <w:szCs w:val="24"/>
          <w:lang w:val="en-GB"/>
        </w:rPr>
        <w:t xml:space="preserve"> was</w:t>
      </w:r>
      <w:r w:rsidRPr="00614438">
        <w:rPr>
          <w:rFonts w:ascii="Times New Roman" w:hAnsi="Times New Roman" w:cs="Times New Roman"/>
          <w:sz w:val="24"/>
          <w:szCs w:val="24"/>
          <w:lang w:val="en-GB"/>
        </w:rPr>
        <w:t xml:space="preserve"> approx</w:t>
      </w:r>
      <w:r w:rsidR="002834C9">
        <w:rPr>
          <w:rFonts w:ascii="Times New Roman" w:hAnsi="Times New Roman" w:cs="Times New Roman"/>
          <w:sz w:val="24"/>
          <w:szCs w:val="24"/>
          <w:lang w:val="en-GB"/>
        </w:rPr>
        <w:t>imately</w:t>
      </w:r>
      <w:r w:rsidRPr="00614438">
        <w:rPr>
          <w:rFonts w:ascii="Times New Roman" w:hAnsi="Times New Roman" w:cs="Times New Roman"/>
          <w:sz w:val="24"/>
          <w:szCs w:val="24"/>
          <w:lang w:val="en-GB"/>
        </w:rPr>
        <w:t xml:space="preserve"> 2 billion dinars</w:t>
      </w:r>
      <w:r w:rsidR="002834C9">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On the basis of the level of regional development, the least developed LSG will participate with a minimum of 30%, while other LSG</w:t>
      </w:r>
      <w:r w:rsidR="002834C9">
        <w:rPr>
          <w:rFonts w:ascii="Times New Roman" w:hAnsi="Times New Roman" w:cs="Times New Roman"/>
          <w:sz w:val="24"/>
          <w:szCs w:val="24"/>
          <w:lang w:val="en-GB"/>
        </w:rPr>
        <w:t>s</w:t>
      </w:r>
      <w:r w:rsidRPr="00614438">
        <w:rPr>
          <w:rFonts w:ascii="Times New Roman" w:hAnsi="Times New Roman" w:cs="Times New Roman"/>
          <w:sz w:val="24"/>
          <w:szCs w:val="24"/>
          <w:lang w:val="en-GB"/>
        </w:rPr>
        <w:t xml:space="preserve"> will participate with a minimum of 50%. Expected energy savings</w:t>
      </w:r>
      <w:r w:rsidR="002834C9">
        <w:rPr>
          <w:rFonts w:ascii="Times New Roman" w:hAnsi="Times New Roman" w:cs="Times New Roman"/>
          <w:sz w:val="24"/>
          <w:szCs w:val="24"/>
          <w:lang w:val="en-GB"/>
        </w:rPr>
        <w:t xml:space="preserve"> amount to</w:t>
      </w:r>
      <w:r w:rsidRPr="00614438">
        <w:rPr>
          <w:rFonts w:ascii="Times New Roman" w:hAnsi="Times New Roman" w:cs="Times New Roman"/>
          <w:sz w:val="24"/>
          <w:szCs w:val="24"/>
          <w:lang w:val="en-GB"/>
        </w:rPr>
        <w:t xml:space="preserve"> 196,276,070 kWh per year. The expected reduction in </w:t>
      </w:r>
      <w:r w:rsidR="002834C9" w:rsidRPr="00F10D1E">
        <w:rPr>
          <w:rFonts w:ascii="Times New Roman" w:eastAsia="Times New Roman" w:hAnsi="Times New Roman" w:cs="Times New Roman"/>
          <w:sz w:val="24"/>
          <w:szCs w:val="24"/>
          <w:lang w:eastAsia="el-GR"/>
        </w:rPr>
        <w:t>CO</w:t>
      </w:r>
      <w:r w:rsidR="002834C9" w:rsidRPr="00F10D1E">
        <w:rPr>
          <w:rFonts w:ascii="Times New Roman" w:eastAsia="Times New Roman" w:hAnsi="Times New Roman" w:cs="Times New Roman"/>
          <w:sz w:val="24"/>
          <w:szCs w:val="24"/>
          <w:vertAlign w:val="subscript"/>
          <w:lang w:eastAsia="el-GR"/>
        </w:rPr>
        <w:t>2</w:t>
      </w:r>
      <w:r w:rsidR="002834C9">
        <w:rPr>
          <w:rFonts w:ascii="Times New Roman" w:eastAsia="Times New Roman" w:hAnsi="Times New Roman" w:cs="Times New Roman"/>
          <w:sz w:val="24"/>
          <w:szCs w:val="24"/>
          <w:vertAlign w:val="subscript"/>
          <w:lang w:eastAsia="el-GR"/>
        </w:rPr>
        <w:t xml:space="preserve"> </w:t>
      </w:r>
      <w:r w:rsidRPr="00614438">
        <w:rPr>
          <w:rFonts w:ascii="Times New Roman" w:hAnsi="Times New Roman" w:cs="Times New Roman"/>
          <w:sz w:val="24"/>
          <w:szCs w:val="24"/>
          <w:lang w:val="en-GB"/>
        </w:rPr>
        <w:t>emissions is 87,913 tons annually. In 2022, the 8th public call for improvement of energy efficiency of public buildings in LSG</w:t>
      </w:r>
      <w:r w:rsidR="002834C9">
        <w:rPr>
          <w:rFonts w:ascii="Times New Roman" w:hAnsi="Times New Roman" w:cs="Times New Roman"/>
          <w:sz w:val="24"/>
          <w:szCs w:val="24"/>
          <w:lang w:val="en-GB"/>
        </w:rPr>
        <w:t>s</w:t>
      </w:r>
      <w:r w:rsidRPr="00614438">
        <w:rPr>
          <w:rFonts w:ascii="Times New Roman" w:hAnsi="Times New Roman" w:cs="Times New Roman"/>
          <w:sz w:val="24"/>
          <w:szCs w:val="24"/>
          <w:lang w:val="en-GB"/>
        </w:rPr>
        <w:t xml:space="preserve"> was implemented, which was the first to be implemented by the EE Directive, for which the EE Directive provided about 690 million dinars for the financing of 38 buildings of public importance</w:t>
      </w:r>
      <w:r w:rsidR="002834C9">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Expected energy savings </w:t>
      </w:r>
      <w:r w:rsidR="002834C9">
        <w:rPr>
          <w:rFonts w:ascii="Times New Roman" w:hAnsi="Times New Roman" w:cs="Times New Roman"/>
          <w:sz w:val="24"/>
          <w:szCs w:val="24"/>
          <w:lang w:val="en-GB"/>
        </w:rPr>
        <w:t>amount to</w:t>
      </w:r>
      <w:r w:rsidRPr="00614438">
        <w:rPr>
          <w:rFonts w:ascii="Times New Roman" w:hAnsi="Times New Roman" w:cs="Times New Roman"/>
          <w:sz w:val="24"/>
          <w:szCs w:val="24"/>
          <w:lang w:val="en-GB"/>
        </w:rPr>
        <w:t xml:space="preserve"> 9 million kWh per year</w:t>
      </w:r>
      <w:r w:rsidR="002834C9">
        <w:rPr>
          <w:rFonts w:ascii="Times New Roman" w:hAnsi="Times New Roman" w:cs="Times New Roman"/>
          <w:sz w:val="24"/>
          <w:szCs w:val="24"/>
          <w:lang w:val="en-GB"/>
        </w:rPr>
        <w:t>, and</w:t>
      </w:r>
      <w:r w:rsidRPr="00614438">
        <w:rPr>
          <w:rFonts w:ascii="Times New Roman" w:hAnsi="Times New Roman" w:cs="Times New Roman"/>
          <w:sz w:val="24"/>
          <w:szCs w:val="24"/>
          <w:lang w:val="en-GB"/>
        </w:rPr>
        <w:t xml:space="preserve"> </w:t>
      </w:r>
      <w:r w:rsidR="002834C9">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reduction of </w:t>
      </w:r>
      <w:r w:rsidR="002834C9" w:rsidRPr="00F10D1E">
        <w:rPr>
          <w:rFonts w:ascii="Times New Roman" w:eastAsia="Times New Roman" w:hAnsi="Times New Roman" w:cs="Times New Roman"/>
          <w:sz w:val="24"/>
          <w:szCs w:val="24"/>
          <w:lang w:eastAsia="el-GR"/>
        </w:rPr>
        <w:t>CO</w:t>
      </w:r>
      <w:r w:rsidR="002834C9" w:rsidRPr="00F10D1E">
        <w:rPr>
          <w:rFonts w:ascii="Times New Roman" w:eastAsia="Times New Roman" w:hAnsi="Times New Roman" w:cs="Times New Roman"/>
          <w:sz w:val="24"/>
          <w:szCs w:val="24"/>
          <w:vertAlign w:val="subscript"/>
          <w:lang w:eastAsia="el-GR"/>
        </w:rPr>
        <w:t>2</w:t>
      </w:r>
      <w:r w:rsidR="002834C9">
        <w:rPr>
          <w:rFonts w:ascii="Times New Roman" w:eastAsia="Times New Roman" w:hAnsi="Times New Roman" w:cs="Times New Roman"/>
          <w:sz w:val="24"/>
          <w:szCs w:val="24"/>
          <w:vertAlign w:val="subscript"/>
          <w:lang w:eastAsia="el-GR"/>
        </w:rPr>
        <w:t xml:space="preserve"> </w:t>
      </w:r>
      <w:r w:rsidRPr="00614438">
        <w:rPr>
          <w:rFonts w:ascii="Times New Roman" w:hAnsi="Times New Roman" w:cs="Times New Roman"/>
          <w:sz w:val="24"/>
          <w:szCs w:val="24"/>
          <w:lang w:val="en-GB"/>
        </w:rPr>
        <w:t>emissions</w:t>
      </w:r>
      <w:r w:rsidR="002834C9">
        <w:rPr>
          <w:rFonts w:ascii="Times New Roman" w:hAnsi="Times New Roman" w:cs="Times New Roman"/>
          <w:sz w:val="24"/>
          <w:szCs w:val="24"/>
          <w:lang w:val="en-GB"/>
        </w:rPr>
        <w:t xml:space="preserve"> will be</w:t>
      </w:r>
      <w:r w:rsidRPr="00614438">
        <w:rPr>
          <w:rFonts w:ascii="Times New Roman" w:hAnsi="Times New Roman" w:cs="Times New Roman"/>
          <w:sz w:val="24"/>
          <w:szCs w:val="24"/>
          <w:lang w:val="en-GB"/>
        </w:rPr>
        <w:t xml:space="preserve"> approx</w:t>
      </w:r>
      <w:r w:rsidR="002834C9">
        <w:rPr>
          <w:rFonts w:ascii="Times New Roman" w:hAnsi="Times New Roman" w:cs="Times New Roman"/>
          <w:sz w:val="24"/>
          <w:szCs w:val="24"/>
          <w:lang w:val="en-GB"/>
        </w:rPr>
        <w:t>imately</w:t>
      </w:r>
      <w:r w:rsidRPr="00614438">
        <w:rPr>
          <w:rFonts w:ascii="Times New Roman" w:hAnsi="Times New Roman" w:cs="Times New Roman"/>
          <w:sz w:val="24"/>
          <w:szCs w:val="24"/>
          <w:lang w:val="en-GB"/>
        </w:rPr>
        <w:t xml:space="preserve"> 4500 tons per year. Energy rehabilitation will be carried out.</w:t>
      </w:r>
    </w:p>
    <w:p w14:paraId="5D84CB77" w14:textId="77777777" w:rsidR="00614438" w:rsidRPr="00614438" w:rsidRDefault="00614438" w:rsidP="00F4631B">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World Bank loan was secured in the amount of 50 million dollars for the implementation of the "Clean energy and energy efficiency for citizens in Serbia" project, which will put special focus on socially vulnerable categories and provide 50 million EUR from EBRD loan for implementation of the project "Energy rehabilitation of residential and public buildings connected to the district heating system", which will focus on multi-apartment buildings with high consumption of heat energy, connected to district heating systems, in order to support the transition to billing on the basis of energy consumption. It is expected that through these projects, subsidies will be provided for around 100,000 households.</w:t>
      </w:r>
    </w:p>
    <w:p w14:paraId="4A7E6B86" w14:textId="77777777" w:rsidR="00614438" w:rsidRPr="00614438" w:rsidRDefault="00614438" w:rsidP="00614438">
      <w:pPr>
        <w:jc w:val="both"/>
        <w:rPr>
          <w:rFonts w:ascii="Times New Roman" w:hAnsi="Times New Roman" w:cs="Times New Roman"/>
          <w:sz w:val="24"/>
          <w:szCs w:val="24"/>
          <w:lang w:val="en-GB"/>
        </w:rPr>
      </w:pPr>
    </w:p>
    <w:p w14:paraId="6EEFBE9B" w14:textId="77777777" w:rsidR="00614438" w:rsidRPr="00614438" w:rsidRDefault="00614438" w:rsidP="00F4631B">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Internal Energy Market</w:t>
      </w:r>
    </w:p>
    <w:p w14:paraId="7E7032B8" w14:textId="77777777" w:rsidR="00614438" w:rsidRPr="00614438" w:rsidRDefault="00614438" w:rsidP="00F4631B">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legislative and regulatory framework for the development and regulation of the internal energy market in the Republic of Serbia is determined by the Law on Energy.</w:t>
      </w:r>
    </w:p>
    <w:p w14:paraId="3156CB22" w14:textId="77777777" w:rsidR="00F164A1" w:rsidRPr="00F164A1" w:rsidRDefault="00614438" w:rsidP="00F164A1">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Ten-year </w:t>
      </w:r>
      <w:r w:rsidR="00F164A1">
        <w:rPr>
          <w:rFonts w:ascii="Times New Roman" w:hAnsi="Times New Roman" w:cs="Times New Roman"/>
          <w:sz w:val="24"/>
          <w:szCs w:val="24"/>
          <w:lang w:val="en-GB"/>
        </w:rPr>
        <w:t xml:space="preserve">electric energy </w:t>
      </w:r>
      <w:r w:rsidRPr="00614438">
        <w:rPr>
          <w:rFonts w:ascii="Times New Roman" w:hAnsi="Times New Roman" w:cs="Times New Roman"/>
          <w:sz w:val="24"/>
          <w:szCs w:val="24"/>
          <w:lang w:val="en-GB"/>
        </w:rPr>
        <w:t xml:space="preserve">transmission system development plan is prepared by the Transmission System Operator “Elektromreža Srbije“ - EMS, which is also responsible for the operation, maintenance and construction of the electricity transmission network according to the Law on Energy and the Transmission Grid Code adopted in </w:t>
      </w:r>
      <w:r w:rsidR="00F164A1">
        <w:rPr>
          <w:rFonts w:ascii="Times New Roman" w:hAnsi="Times New Roman" w:cs="Times New Roman"/>
          <w:sz w:val="24"/>
          <w:szCs w:val="24"/>
          <w:lang w:val="en-GB"/>
        </w:rPr>
        <w:t xml:space="preserve">November </w:t>
      </w:r>
      <w:r w:rsidRPr="00614438">
        <w:rPr>
          <w:rFonts w:ascii="Times New Roman" w:hAnsi="Times New Roman" w:cs="Times New Roman"/>
          <w:sz w:val="24"/>
          <w:szCs w:val="24"/>
          <w:lang w:val="en-GB"/>
        </w:rPr>
        <w:t>202</w:t>
      </w:r>
      <w:r w:rsidR="00F164A1">
        <w:rPr>
          <w:rFonts w:ascii="Times New Roman" w:hAnsi="Times New Roman" w:cs="Times New Roman"/>
          <w:sz w:val="24"/>
          <w:szCs w:val="24"/>
          <w:lang w:val="en-GB"/>
        </w:rPr>
        <w:t>3</w:t>
      </w:r>
      <w:r w:rsidRPr="00614438">
        <w:rPr>
          <w:rFonts w:ascii="Times New Roman" w:hAnsi="Times New Roman" w:cs="Times New Roman"/>
          <w:sz w:val="24"/>
          <w:szCs w:val="24"/>
          <w:lang w:val="en-GB"/>
        </w:rPr>
        <w:t xml:space="preserve">. The Electricity Distribution System Operator “Elektrodistribucija Srbije </w:t>
      </w:r>
      <w:r w:rsidR="00F164A1">
        <w:rPr>
          <w:rFonts w:ascii="Times New Roman" w:hAnsi="Times New Roman" w:cs="Times New Roman"/>
          <w:sz w:val="24"/>
          <w:szCs w:val="24"/>
          <w:lang w:val="en-GB"/>
        </w:rPr>
        <w:t>- EDS</w:t>
      </w:r>
      <w:r w:rsidRPr="00614438">
        <w:rPr>
          <w:rFonts w:ascii="Times New Roman" w:hAnsi="Times New Roman" w:cs="Times New Roman"/>
          <w:sz w:val="24"/>
          <w:szCs w:val="24"/>
          <w:lang w:val="en-GB"/>
        </w:rPr>
        <w:t>, wh</w:t>
      </w:r>
      <w:r w:rsidR="00F164A1">
        <w:rPr>
          <w:rFonts w:ascii="Times New Roman" w:hAnsi="Times New Roman" w:cs="Times New Roman"/>
          <w:sz w:val="24"/>
          <w:szCs w:val="24"/>
          <w:lang w:val="en-GB"/>
        </w:rPr>
        <w:t>ose</w:t>
      </w:r>
      <w:r w:rsidRPr="00614438">
        <w:rPr>
          <w:rFonts w:ascii="Times New Roman" w:hAnsi="Times New Roman" w:cs="Times New Roman"/>
          <w:sz w:val="24"/>
          <w:szCs w:val="24"/>
          <w:lang w:val="en-GB"/>
        </w:rPr>
        <w:t xml:space="preserve"> ownership from Public Enterprise "Elektroprivreda Srbije"</w:t>
      </w:r>
      <w:r w:rsidR="00F164A1">
        <w:rPr>
          <w:rFonts w:ascii="Times New Roman" w:hAnsi="Times New Roman" w:cs="Times New Roman"/>
          <w:sz w:val="24"/>
          <w:szCs w:val="24"/>
          <w:lang w:val="en-GB"/>
        </w:rPr>
        <w:t>, Belgrade</w:t>
      </w:r>
      <w:r w:rsidRPr="00614438">
        <w:rPr>
          <w:rFonts w:ascii="Times New Roman" w:hAnsi="Times New Roman" w:cs="Times New Roman"/>
          <w:sz w:val="24"/>
          <w:szCs w:val="24"/>
          <w:lang w:val="en-GB"/>
        </w:rPr>
        <w:t xml:space="preserve"> (EPS) was transferred to Republic of Serbia, is in charge of </w:t>
      </w:r>
      <w:r w:rsidR="00F164A1">
        <w:rPr>
          <w:rFonts w:ascii="Times New Roman" w:hAnsi="Times New Roman" w:cs="Times New Roman"/>
          <w:sz w:val="24"/>
          <w:szCs w:val="24"/>
          <w:lang w:val="en-GB"/>
        </w:rPr>
        <w:t>the di</w:t>
      </w:r>
      <w:r w:rsidRPr="00614438">
        <w:rPr>
          <w:rFonts w:ascii="Times New Roman" w:hAnsi="Times New Roman" w:cs="Times New Roman"/>
          <w:sz w:val="24"/>
          <w:szCs w:val="24"/>
          <w:lang w:val="en-GB"/>
        </w:rPr>
        <w:t xml:space="preserve">stribution </w:t>
      </w:r>
      <w:r w:rsidR="00F164A1">
        <w:rPr>
          <w:rFonts w:ascii="Times New Roman" w:hAnsi="Times New Roman" w:cs="Times New Roman"/>
          <w:sz w:val="24"/>
          <w:szCs w:val="24"/>
          <w:lang w:val="en-GB"/>
        </w:rPr>
        <w:t>system</w:t>
      </w:r>
      <w:r w:rsidRPr="00614438">
        <w:rPr>
          <w:rFonts w:ascii="Times New Roman" w:hAnsi="Times New Roman" w:cs="Times New Roman"/>
          <w:sz w:val="24"/>
          <w:szCs w:val="24"/>
          <w:lang w:val="en-GB"/>
        </w:rPr>
        <w:t xml:space="preserve"> </w:t>
      </w:r>
      <w:r w:rsidR="00F164A1">
        <w:rPr>
          <w:rFonts w:ascii="Times New Roman" w:hAnsi="Times New Roman" w:cs="Times New Roman"/>
          <w:sz w:val="24"/>
          <w:szCs w:val="24"/>
          <w:lang w:val="en-GB"/>
        </w:rPr>
        <w:t>development plan,</w:t>
      </w:r>
      <w:r w:rsidRPr="00614438">
        <w:rPr>
          <w:rFonts w:ascii="Times New Roman" w:hAnsi="Times New Roman" w:cs="Times New Roman"/>
          <w:sz w:val="24"/>
          <w:szCs w:val="24"/>
          <w:lang w:val="en-GB"/>
        </w:rPr>
        <w:t xml:space="preserve"> as well as its operation and maintenance according to the Law on Energy and the Distribution System Grid Code adopted in July 2017, with amendments adopted in February 2019. </w:t>
      </w:r>
      <w:r w:rsidR="00F164A1" w:rsidRPr="00F164A1">
        <w:rPr>
          <w:rFonts w:ascii="Times New Roman" w:hAnsi="Times New Roman" w:cs="Times New Roman"/>
          <w:sz w:val="24"/>
          <w:szCs w:val="24"/>
          <w:lang w:val="en-GB"/>
        </w:rPr>
        <w:t xml:space="preserve">The </w:t>
      </w:r>
      <w:r w:rsidR="00F164A1">
        <w:rPr>
          <w:rFonts w:ascii="Times New Roman" w:hAnsi="Times New Roman" w:cs="Times New Roman"/>
          <w:sz w:val="24"/>
          <w:szCs w:val="24"/>
          <w:lang w:val="en-GB"/>
        </w:rPr>
        <w:t>G</w:t>
      </w:r>
      <w:r w:rsidR="00F164A1" w:rsidRPr="00F164A1">
        <w:rPr>
          <w:rFonts w:ascii="Times New Roman" w:hAnsi="Times New Roman" w:cs="Times New Roman"/>
          <w:sz w:val="24"/>
          <w:szCs w:val="24"/>
          <w:lang w:val="en-GB"/>
        </w:rPr>
        <w:t>overnment has adopted a set of network rules that prescribe the appropriate technical requirements and other requirements for the connection of production units, customer facilities, distribution system facilities or high-voltage direct current transmission systems, namely:</w:t>
      </w:r>
    </w:p>
    <w:p w14:paraId="69BBAECA" w14:textId="77777777" w:rsidR="00F164A1" w:rsidRPr="00F164A1" w:rsidRDefault="00F164A1" w:rsidP="00F164A1">
      <w:pPr>
        <w:ind w:firstLine="360"/>
        <w:jc w:val="both"/>
        <w:rPr>
          <w:rFonts w:ascii="Times New Roman" w:hAnsi="Times New Roman" w:cs="Times New Roman"/>
          <w:sz w:val="24"/>
          <w:szCs w:val="24"/>
          <w:lang w:val="en-GB"/>
        </w:rPr>
      </w:pPr>
      <w:r w:rsidRPr="00F164A1">
        <w:rPr>
          <w:rFonts w:ascii="Times New Roman" w:hAnsi="Times New Roman" w:cs="Times New Roman"/>
          <w:sz w:val="24"/>
          <w:szCs w:val="24"/>
          <w:lang w:val="en-GB"/>
        </w:rPr>
        <w:t xml:space="preserve">1) </w:t>
      </w:r>
      <w:r>
        <w:rPr>
          <w:rFonts w:ascii="Times New Roman" w:hAnsi="Times New Roman" w:cs="Times New Roman"/>
          <w:sz w:val="24"/>
          <w:szCs w:val="24"/>
          <w:lang w:val="en-GB"/>
        </w:rPr>
        <w:t>Decree</w:t>
      </w:r>
      <w:r w:rsidRPr="00F164A1">
        <w:rPr>
          <w:rFonts w:ascii="Times New Roman" w:hAnsi="Times New Roman" w:cs="Times New Roman"/>
          <w:sz w:val="24"/>
          <w:szCs w:val="24"/>
          <w:lang w:val="en-GB"/>
        </w:rPr>
        <w:t xml:space="preserve"> on network rules relating to the connection to the network of customers' facilities ("Official Gazette of RS", n</w:t>
      </w:r>
      <w:r>
        <w:rPr>
          <w:rFonts w:ascii="Times New Roman" w:hAnsi="Times New Roman" w:cs="Times New Roman"/>
          <w:sz w:val="24"/>
          <w:szCs w:val="24"/>
          <w:lang w:val="en-GB"/>
        </w:rPr>
        <w:t>o.</w:t>
      </w:r>
      <w:r w:rsidRPr="00F164A1">
        <w:rPr>
          <w:rFonts w:ascii="Times New Roman" w:hAnsi="Times New Roman" w:cs="Times New Roman"/>
          <w:sz w:val="24"/>
          <w:szCs w:val="24"/>
          <w:lang w:val="en-GB"/>
        </w:rPr>
        <w:t xml:space="preserve"> 104/2022).</w:t>
      </w:r>
    </w:p>
    <w:p w14:paraId="602D7A9C" w14:textId="77777777" w:rsidR="00F164A1" w:rsidRPr="00F164A1" w:rsidRDefault="00F164A1" w:rsidP="00F164A1">
      <w:pPr>
        <w:ind w:firstLine="360"/>
        <w:jc w:val="both"/>
        <w:rPr>
          <w:rFonts w:ascii="Times New Roman" w:hAnsi="Times New Roman" w:cs="Times New Roman"/>
          <w:sz w:val="24"/>
          <w:szCs w:val="24"/>
          <w:lang w:val="en-GB"/>
        </w:rPr>
      </w:pPr>
      <w:r w:rsidRPr="00F164A1">
        <w:rPr>
          <w:rFonts w:ascii="Times New Roman" w:hAnsi="Times New Roman" w:cs="Times New Roman"/>
          <w:sz w:val="24"/>
          <w:szCs w:val="24"/>
          <w:lang w:val="en-GB"/>
        </w:rPr>
        <w:t xml:space="preserve">2) </w:t>
      </w:r>
      <w:r>
        <w:rPr>
          <w:rFonts w:ascii="Times New Roman" w:hAnsi="Times New Roman" w:cs="Times New Roman"/>
          <w:sz w:val="24"/>
          <w:szCs w:val="24"/>
          <w:lang w:val="en-GB"/>
        </w:rPr>
        <w:t>Decree</w:t>
      </w:r>
      <w:r w:rsidRPr="00F164A1">
        <w:rPr>
          <w:rFonts w:ascii="Times New Roman" w:hAnsi="Times New Roman" w:cs="Times New Roman"/>
          <w:sz w:val="24"/>
          <w:szCs w:val="24"/>
          <w:lang w:val="en-GB"/>
        </w:rPr>
        <w:t xml:space="preserve"> on network rules relating to the connection to the network of high-voltage DC systems ("Official Gazette of RS", n</w:t>
      </w:r>
      <w:r>
        <w:rPr>
          <w:rFonts w:ascii="Times New Roman" w:hAnsi="Times New Roman" w:cs="Times New Roman"/>
          <w:sz w:val="24"/>
          <w:szCs w:val="24"/>
          <w:lang w:val="en-GB"/>
        </w:rPr>
        <w:t>o.</w:t>
      </w:r>
      <w:r w:rsidRPr="00F164A1">
        <w:rPr>
          <w:rFonts w:ascii="Times New Roman" w:hAnsi="Times New Roman" w:cs="Times New Roman"/>
          <w:sz w:val="24"/>
          <w:szCs w:val="24"/>
          <w:lang w:val="en-GB"/>
        </w:rPr>
        <w:t xml:space="preserve"> 104/2022).</w:t>
      </w:r>
    </w:p>
    <w:p w14:paraId="4BC59CD8" w14:textId="77777777" w:rsidR="00F164A1" w:rsidRDefault="00F164A1" w:rsidP="00F164A1">
      <w:pPr>
        <w:ind w:firstLine="360"/>
        <w:jc w:val="both"/>
        <w:rPr>
          <w:rFonts w:ascii="Times New Roman" w:hAnsi="Times New Roman" w:cs="Times New Roman"/>
          <w:sz w:val="24"/>
          <w:szCs w:val="24"/>
          <w:lang w:val="en-GB"/>
        </w:rPr>
      </w:pPr>
      <w:r w:rsidRPr="00F164A1">
        <w:rPr>
          <w:rFonts w:ascii="Times New Roman" w:hAnsi="Times New Roman" w:cs="Times New Roman"/>
          <w:sz w:val="24"/>
          <w:szCs w:val="24"/>
          <w:lang w:val="en-GB"/>
        </w:rPr>
        <w:t xml:space="preserve">3) </w:t>
      </w:r>
      <w:r>
        <w:rPr>
          <w:rFonts w:ascii="Times New Roman" w:hAnsi="Times New Roman" w:cs="Times New Roman"/>
          <w:sz w:val="24"/>
          <w:szCs w:val="24"/>
          <w:lang w:val="en-GB"/>
        </w:rPr>
        <w:t>Decree</w:t>
      </w:r>
      <w:r w:rsidRPr="00F164A1">
        <w:rPr>
          <w:rFonts w:ascii="Times New Roman" w:hAnsi="Times New Roman" w:cs="Times New Roman"/>
          <w:sz w:val="24"/>
          <w:szCs w:val="24"/>
          <w:lang w:val="en-GB"/>
        </w:rPr>
        <w:t xml:space="preserve"> on network rules related to the connection to the network of production units ("Official Gazette of RS", number 95/2022).</w:t>
      </w:r>
      <w:r>
        <w:rPr>
          <w:rFonts w:ascii="Times New Roman" w:hAnsi="Times New Roman" w:cs="Times New Roman"/>
          <w:sz w:val="24"/>
          <w:szCs w:val="24"/>
          <w:lang w:val="en-GB"/>
        </w:rPr>
        <w:t xml:space="preserve"> </w:t>
      </w:r>
    </w:p>
    <w:p w14:paraId="771EF311" w14:textId="77777777" w:rsidR="00F164A1" w:rsidRDefault="00F164A1" w:rsidP="00F164A1">
      <w:pPr>
        <w:ind w:firstLine="360"/>
        <w:jc w:val="both"/>
        <w:rPr>
          <w:rFonts w:ascii="Times New Roman" w:hAnsi="Times New Roman" w:cs="Times New Roman"/>
          <w:sz w:val="24"/>
          <w:szCs w:val="24"/>
          <w:lang w:val="en-GB"/>
        </w:rPr>
      </w:pPr>
    </w:p>
    <w:p w14:paraId="795FC2E4" w14:textId="77777777" w:rsidR="00F164A1" w:rsidRDefault="00F164A1" w:rsidP="00F164A1">
      <w:pPr>
        <w:ind w:firstLine="360"/>
        <w:jc w:val="both"/>
        <w:rPr>
          <w:rFonts w:ascii="Times New Roman" w:hAnsi="Times New Roman" w:cs="Times New Roman"/>
          <w:sz w:val="24"/>
          <w:szCs w:val="24"/>
          <w:lang w:val="en-GB"/>
        </w:rPr>
      </w:pPr>
    </w:p>
    <w:p w14:paraId="69C49E6F" w14:textId="77777777" w:rsidR="00614438" w:rsidRPr="00614438" w:rsidRDefault="00614438" w:rsidP="00F164A1">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With regard to the electricity interconnectivity level as per the EU 2020 and EU 2030 interconnectivity criteria, the Electricity Interconnection Targets in the Energy Community Contracting Parties study from February 2021 highlights that Serbia is achieving and overachieving set targets.</w:t>
      </w:r>
    </w:p>
    <w:p w14:paraId="36FF0109" w14:textId="77777777" w:rsidR="00614438" w:rsidRPr="00614438" w:rsidRDefault="00614438" w:rsidP="00F164A1">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On December 29, 2020, the Government of the Republic of Serbia, and the Public Enterprise "Elektroprivreda Srbije" concluded the Agreement on the transfer of shares in the Distribution System Operator "EPS Distribucija" Ltd Belgrade from the Public Enterprise "Elektroprivreda Srbije" Belgrade to the Republic of Serbia. By the decision of the Agency for Economic Registers number BD 99765/2020 of December 31, 2020, the registration was carried out according to which the Republic of Serbia was incorporated as a member of the company with a share of 100% of the capital.</w:t>
      </w:r>
    </w:p>
    <w:p w14:paraId="6FD781A5" w14:textId="77777777" w:rsidR="00614438" w:rsidRPr="00614438" w:rsidRDefault="00614438" w:rsidP="005033A6">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By adopting the Law on Energy in 2014, Republic of Serbia transposed the majority of the Gas Directive and the Gas Regulation provisions. During 2021-2022, the Energy Agency of the Republic of Serbia changed and supplemented the regulations, under its own competencies and according to the indicated needs, for the purpose of more efficient market functioning, better protection of end customers and other participants in the market.</w:t>
      </w:r>
    </w:p>
    <w:p w14:paraId="39958CCE" w14:textId="77777777" w:rsidR="00614438" w:rsidRPr="00614438" w:rsidRDefault="00614438" w:rsidP="005033A6">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detailed gas regulation is defined by the Transmission Network Code, while the Ten-Year Development Plan of Yugorosgaz for period 2021-2030 and Ten-Year Development Plan of Transportgas Srbija for period 2020-2029 present key development documents prepared by market participants.</w:t>
      </w:r>
    </w:p>
    <w:p w14:paraId="39478A09" w14:textId="77777777" w:rsidR="00614438" w:rsidRPr="00614438" w:rsidRDefault="00614438" w:rsidP="005033A6">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Organised day-ahead market/power exchange in Serbia (JSC “SEEPEX”) was established in February 2016 on the basis of partnership between EMS and European Power Exchange (EPEX SPOT), pursuant to Law on Energy and after adopting the amendments to the Law on VAT </w:t>
      </w:r>
      <w:r w:rsidR="005033A6">
        <w:rPr>
          <w:rFonts w:ascii="Times New Roman" w:eastAsia="Times New Roman" w:hAnsi="Times New Roman" w:cs="Times New Roman"/>
          <w:sz w:val="24"/>
          <w:szCs w:val="24"/>
          <w:lang w:eastAsia="el-GR"/>
        </w:rPr>
        <w:t>(“Official Gazette od RS”,</w:t>
      </w:r>
      <w:r w:rsidR="005033A6" w:rsidRPr="008A6A62">
        <w:rPr>
          <w:rFonts w:ascii="Times New Roman" w:eastAsia="Times New Roman" w:hAnsi="Times New Roman" w:cs="Times New Roman"/>
          <w:sz w:val="24"/>
          <w:szCs w:val="24"/>
          <w:lang w:eastAsia="el-GR"/>
        </w:rPr>
        <w:t xml:space="preserve"> </w:t>
      </w:r>
      <w:r w:rsidR="005033A6">
        <w:rPr>
          <w:rFonts w:ascii="Times New Roman" w:eastAsia="Times New Roman" w:hAnsi="Times New Roman" w:cs="Times New Roman"/>
          <w:sz w:val="24"/>
          <w:szCs w:val="24"/>
          <w:lang w:eastAsia="el-GR"/>
        </w:rPr>
        <w:t>no</w:t>
      </w:r>
      <w:r w:rsidR="005033A6" w:rsidRPr="008A6A62">
        <w:rPr>
          <w:rFonts w:ascii="Times New Roman" w:eastAsia="Times New Roman" w:hAnsi="Times New Roman" w:cs="Times New Roman"/>
          <w:sz w:val="24"/>
          <w:szCs w:val="24"/>
          <w:lang w:eastAsia="el-GR"/>
        </w:rPr>
        <w:t>. 84/2004-25, 86/2004-12 (</w:t>
      </w:r>
      <w:r w:rsidR="005033A6">
        <w:rPr>
          <w:rFonts w:ascii="Times New Roman" w:eastAsia="Times New Roman" w:hAnsi="Times New Roman" w:cs="Times New Roman"/>
          <w:sz w:val="24"/>
          <w:szCs w:val="24"/>
          <w:lang w:eastAsia="el-GR"/>
        </w:rPr>
        <w:t>correction</w:t>
      </w:r>
      <w:r w:rsidR="005033A6" w:rsidRPr="008A6A62">
        <w:rPr>
          <w:rFonts w:ascii="Times New Roman" w:eastAsia="Times New Roman" w:hAnsi="Times New Roman" w:cs="Times New Roman"/>
          <w:sz w:val="24"/>
          <w:szCs w:val="24"/>
          <w:lang w:eastAsia="el-GR"/>
        </w:rPr>
        <w:t>), 61/2005-47, 61/2007-3, 93/2012-9, 108/2013-8, 68/2014-3 (</w:t>
      </w:r>
      <w:r w:rsidR="005033A6">
        <w:rPr>
          <w:rFonts w:ascii="Times New Roman" w:eastAsia="Times New Roman" w:hAnsi="Times New Roman" w:cs="Times New Roman"/>
          <w:sz w:val="24"/>
          <w:szCs w:val="24"/>
          <w:lang w:eastAsia="el-GR"/>
        </w:rPr>
        <w:t>as amended</w:t>
      </w:r>
      <w:r w:rsidR="005033A6" w:rsidRPr="008A6A62">
        <w:rPr>
          <w:rFonts w:ascii="Times New Roman" w:eastAsia="Times New Roman" w:hAnsi="Times New Roman" w:cs="Times New Roman"/>
          <w:sz w:val="24"/>
          <w:szCs w:val="24"/>
          <w:lang w:eastAsia="el-GR"/>
        </w:rPr>
        <w:t>), 142/2014-192, 83/2015-3, 108/2016-12, 113/2017-181, 30/2018-26, 72/2019-186, 153/2020-40, 138/2022-283)</w:t>
      </w:r>
      <w:r w:rsidR="005033A6" w:rsidRPr="00F10D1E">
        <w:rPr>
          <w:rFonts w:ascii="Times New Roman" w:eastAsia="Times New Roman" w:hAnsi="Times New Roman" w:cs="Times New Roman"/>
          <w:sz w:val="24"/>
          <w:szCs w:val="24"/>
          <w:lang w:eastAsia="el-GR"/>
        </w:rPr>
        <w:t xml:space="preserve"> </w:t>
      </w:r>
      <w:r w:rsidRPr="00614438">
        <w:rPr>
          <w:rFonts w:ascii="Times New Roman" w:hAnsi="Times New Roman" w:cs="Times New Roman"/>
          <w:sz w:val="24"/>
          <w:szCs w:val="24"/>
          <w:lang w:val="en-GB"/>
        </w:rPr>
        <w:t>and the new licensing rules in 2015. The successful launch of the Serbian Day-Ahead Market is important for the power market in the South Eastern Europe since it is the first organised market in the region.</w:t>
      </w:r>
      <w:r w:rsidR="005033A6">
        <w:rPr>
          <w:rFonts w:ascii="Times New Roman" w:hAnsi="Times New Roman" w:cs="Times New Roman"/>
          <w:sz w:val="24"/>
          <w:szCs w:val="24"/>
          <w:lang w:val="en-GB"/>
        </w:rPr>
        <w:t xml:space="preserve"> </w:t>
      </w:r>
      <w:r w:rsidR="005033A6" w:rsidRPr="005033A6">
        <w:rPr>
          <w:rFonts w:ascii="Times New Roman" w:hAnsi="Times New Roman" w:cs="Times New Roman"/>
          <w:sz w:val="24"/>
          <w:szCs w:val="24"/>
          <w:lang w:val="en-GB"/>
        </w:rPr>
        <w:t>In June 2023, the intraday electricity market also started operating.</w:t>
      </w:r>
    </w:p>
    <w:p w14:paraId="088754E3" w14:textId="77777777" w:rsidR="00614438" w:rsidRPr="00614438" w:rsidRDefault="00614438" w:rsidP="005033A6">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At the end of 2014, the Government of the Republic of Serbia adopted a Conclusion accepting the Baseline for Restructuring P</w:t>
      </w:r>
      <w:r w:rsidR="005033A6">
        <w:rPr>
          <w:rFonts w:ascii="Times New Roman" w:hAnsi="Times New Roman" w:cs="Times New Roman"/>
          <w:sz w:val="24"/>
          <w:szCs w:val="24"/>
          <w:lang w:val="en-GB"/>
        </w:rPr>
        <w:t>E</w:t>
      </w:r>
      <w:r w:rsidRPr="00614438">
        <w:rPr>
          <w:rFonts w:ascii="Times New Roman" w:hAnsi="Times New Roman" w:cs="Times New Roman"/>
          <w:sz w:val="24"/>
          <w:szCs w:val="24"/>
          <w:lang w:val="en-GB"/>
        </w:rPr>
        <w:t xml:space="preserve"> Srbijagas, </w:t>
      </w:r>
      <w:r w:rsidR="005033A6">
        <w:rPr>
          <w:rFonts w:ascii="Times New Roman" w:hAnsi="Times New Roman" w:cs="Times New Roman"/>
          <w:sz w:val="24"/>
          <w:szCs w:val="24"/>
          <w:lang w:val="en-GB"/>
        </w:rPr>
        <w:t xml:space="preserve">Novi Sad, </w:t>
      </w:r>
      <w:r w:rsidRPr="00614438">
        <w:rPr>
          <w:rFonts w:ascii="Times New Roman" w:hAnsi="Times New Roman" w:cs="Times New Roman"/>
          <w:sz w:val="24"/>
          <w:szCs w:val="24"/>
          <w:lang w:val="en-GB"/>
        </w:rPr>
        <w:t>which determined that the operators of the transport and distribution system should be legally separated entities from P</w:t>
      </w:r>
      <w:r w:rsidR="005033A6">
        <w:rPr>
          <w:rFonts w:ascii="Times New Roman" w:hAnsi="Times New Roman" w:cs="Times New Roman"/>
          <w:sz w:val="24"/>
          <w:szCs w:val="24"/>
          <w:lang w:val="en-GB"/>
        </w:rPr>
        <w:t>E</w:t>
      </w:r>
      <w:r w:rsidRPr="00614438">
        <w:rPr>
          <w:rFonts w:ascii="Times New Roman" w:hAnsi="Times New Roman" w:cs="Times New Roman"/>
          <w:sz w:val="24"/>
          <w:szCs w:val="24"/>
          <w:lang w:val="en-GB"/>
        </w:rPr>
        <w:t xml:space="preserve"> Srbijagas</w:t>
      </w:r>
      <w:r w:rsidR="005033A6">
        <w:rPr>
          <w:rFonts w:ascii="Times New Roman" w:hAnsi="Times New Roman" w:cs="Times New Roman"/>
          <w:sz w:val="24"/>
          <w:szCs w:val="24"/>
          <w:lang w:val="en-GB"/>
        </w:rPr>
        <w:t>, Novi Sad</w:t>
      </w:r>
      <w:r w:rsidRPr="00614438">
        <w:rPr>
          <w:rFonts w:ascii="Times New Roman" w:hAnsi="Times New Roman" w:cs="Times New Roman"/>
          <w:sz w:val="24"/>
          <w:szCs w:val="24"/>
          <w:lang w:val="en-GB"/>
        </w:rPr>
        <w:t>. In 2020, the Government approved an Action Plan for the Implementation of Activities for the Purpose of Reorganization of PE “Srbijagas”, which stipulates the separation of its gas transport and gas distribution activities, in line with the EU obligations. In accordance with the plan, the ownership of the Transportgas Srbija company was transferred from Srbijagas to the Government in May 2021.</w:t>
      </w:r>
    </w:p>
    <w:p w14:paraId="4AD0453B" w14:textId="77777777" w:rsidR="00614438" w:rsidRPr="00614438" w:rsidRDefault="00614438" w:rsidP="005033A6">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Pursuant to the Energy Law, the conditions for the entitlement to guaranteed supply of electricity were modified. In line with this, as of 2015, the right to guaranteed supply is exercised only by households and small customers up to 30.000 kWh, at prices of electricity for guaranteed supply, which are according to the Law on Energy determined by the methodology adopted by the Energy Agency, which also gives consent to the decision on the price of electricity. More specifically, households and small customers have the right to remain with the guaranteed supplier and be supplied in line with existing contracts, but they also have the option to contract with any licenced electricity </w:t>
      </w:r>
      <w:r w:rsidRPr="00614438">
        <w:rPr>
          <w:rFonts w:ascii="Times New Roman" w:hAnsi="Times New Roman" w:cs="Times New Roman"/>
          <w:sz w:val="24"/>
          <w:szCs w:val="24"/>
          <w:lang w:val="en-GB"/>
        </w:rPr>
        <w:lastRenderedPageBreak/>
        <w:t>supplier in the open market. In the gas sector, all final natural gas customers are entitled to select their supplier freely in the market. Households and</w:t>
      </w:r>
      <w:r w:rsidR="005033A6">
        <w:rPr>
          <w:rFonts w:ascii="Times New Roman" w:hAnsi="Times New Roman" w:cs="Times New Roman"/>
          <w:sz w:val="24"/>
          <w:szCs w:val="24"/>
          <w:lang w:val="en-GB"/>
        </w:rPr>
        <w:t xml:space="preserve"> small natural gas customers</w:t>
      </w:r>
      <w:r w:rsidRPr="00614438">
        <w:rPr>
          <w:rFonts w:ascii="Times New Roman" w:hAnsi="Times New Roman" w:cs="Times New Roman"/>
          <w:sz w:val="24"/>
          <w:szCs w:val="24"/>
          <w:lang w:val="en-GB"/>
        </w:rPr>
        <w:t> up to 100.000 m</w:t>
      </w:r>
      <w:r w:rsidRPr="00614438">
        <w:rPr>
          <w:rFonts w:ascii="Times New Roman" w:hAnsi="Times New Roman" w:cs="Times New Roman"/>
          <w:sz w:val="24"/>
          <w:szCs w:val="24"/>
          <w:vertAlign w:val="superscript"/>
          <w:lang w:val="en-GB"/>
        </w:rPr>
        <w:t>3</w:t>
      </w:r>
      <w:r w:rsidRPr="00614438">
        <w:rPr>
          <w:rFonts w:ascii="Times New Roman" w:hAnsi="Times New Roman" w:cs="Times New Roman"/>
          <w:sz w:val="24"/>
          <w:szCs w:val="24"/>
          <w:lang w:val="en-GB"/>
        </w:rPr>
        <w:t xml:space="preserve"> are entitled </w:t>
      </w:r>
      <w:r w:rsidR="005033A6">
        <w:rPr>
          <w:rFonts w:ascii="Times New Roman" w:hAnsi="Times New Roman" w:cs="Times New Roman"/>
          <w:sz w:val="24"/>
          <w:szCs w:val="24"/>
          <w:lang w:val="en-GB"/>
        </w:rPr>
        <w:t xml:space="preserve">to this </w:t>
      </w:r>
      <w:r w:rsidRPr="00614438">
        <w:rPr>
          <w:rFonts w:ascii="Times New Roman" w:hAnsi="Times New Roman" w:cs="Times New Roman"/>
          <w:sz w:val="24"/>
          <w:szCs w:val="24"/>
          <w:lang w:val="en-GB"/>
        </w:rPr>
        <w:t>since 2015, but they are also still entitled to</w:t>
      </w:r>
      <w:r w:rsidR="005033A6">
        <w:rPr>
          <w:rFonts w:ascii="Times New Roman" w:hAnsi="Times New Roman" w:cs="Times New Roman"/>
          <w:sz w:val="24"/>
          <w:szCs w:val="24"/>
          <w:lang w:val="en-GB"/>
        </w:rPr>
        <w:t xml:space="preserve"> public supply.</w:t>
      </w:r>
      <w:r w:rsidRPr="00614438">
        <w:rPr>
          <w:rFonts w:ascii="Times New Roman" w:hAnsi="Times New Roman" w:cs="Times New Roman"/>
          <w:sz w:val="24"/>
          <w:szCs w:val="24"/>
          <w:lang w:val="en-GB"/>
        </w:rPr>
        <w:t xml:space="preserve"> In line with energy policy goals, the development of competition in the oil, oil derivatives, biofuels and compressed natural gas sectors was stimulated in the Republic of Serbia in order to increase the efficiency of this sector via market mechanisms. In a narrow sense of energy activity regulation, regulated prices in this sector are established only for natural monopolistic activities of oil transportation via oil pipelines, i.e. oil products transport via product lines.</w:t>
      </w:r>
    </w:p>
    <w:p w14:paraId="32FCCE30" w14:textId="77777777" w:rsidR="00614438" w:rsidRPr="00614438" w:rsidRDefault="00614438" w:rsidP="005033A6">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Pursuant to the Law on Amendments to Law of Energy from 2021, a Nominated Electricity Market Operator was appointed in June 2022</w:t>
      </w:r>
      <w:r w:rsidR="005033A6">
        <w:rPr>
          <w:rFonts w:ascii="Times New Roman" w:hAnsi="Times New Roman" w:cs="Times New Roman"/>
          <w:sz w:val="24"/>
          <w:szCs w:val="24"/>
          <w:lang w:val="en-GB"/>
        </w:rPr>
        <w:t xml:space="preserve"> (“SEEPEX” </w:t>
      </w:r>
      <w:r w:rsidR="00EC3184">
        <w:rPr>
          <w:rFonts w:ascii="Times New Roman" w:hAnsi="Times New Roman" w:cs="Times New Roman"/>
          <w:sz w:val="24"/>
          <w:szCs w:val="24"/>
          <w:lang w:val="en-GB"/>
        </w:rPr>
        <w:t>jsc.</w:t>
      </w:r>
      <w:r w:rsidR="005033A6">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w:t>
      </w:r>
      <w:r w:rsidR="00EC3184">
        <w:rPr>
          <w:rFonts w:ascii="Times New Roman" w:hAnsi="Times New Roman" w:cs="Times New Roman"/>
          <w:sz w:val="24"/>
          <w:szCs w:val="24"/>
          <w:lang w:val="en-GB"/>
        </w:rPr>
        <w:t>which</w:t>
      </w:r>
      <w:r w:rsidRPr="00614438">
        <w:rPr>
          <w:rFonts w:ascii="Times New Roman" w:hAnsi="Times New Roman" w:cs="Times New Roman"/>
          <w:sz w:val="24"/>
          <w:szCs w:val="24"/>
          <w:lang w:val="en-GB"/>
        </w:rPr>
        <w:t xml:space="preserve"> should be responsible for the implementation of the Day-Ahead and Intraday markets with neighbouring organised markets</w:t>
      </w:r>
      <w:r w:rsidR="00EC3184">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gaining, thus, a central role in enabling and coordinating the market coupling process. Guarantees of origin will contribute towards attracting investments in renewable sources. To this end, </w:t>
      </w:r>
      <w:r w:rsidR="00EC3184">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Republic of Serbia has implemented a functional Guarantees of origin system and EMS JSC became a full member of the Association of Issuing Bodies (AIB). This will allow for cross-border trade of Guarantees of origin with the EU, which shall be continued after the RED II is transposed and implemented in all EU countries from July 2021.</w:t>
      </w:r>
    </w:p>
    <w:p w14:paraId="277ED48A" w14:textId="77777777" w:rsidR="00614438" w:rsidRPr="00614438" w:rsidRDefault="00614438" w:rsidP="00EC3184">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Additionally, the Law on Amendments to the Law on Use of RES provide</w:t>
      </w:r>
      <w:r w:rsidR="00350B67">
        <w:rPr>
          <w:rFonts w:ascii="Times New Roman" w:hAnsi="Times New Roman" w:cs="Times New Roman"/>
          <w:sz w:val="24"/>
          <w:szCs w:val="24"/>
          <w:lang w:val="en-GB"/>
        </w:rPr>
        <w:t>s</w:t>
      </w:r>
      <w:r w:rsidRPr="00614438">
        <w:rPr>
          <w:rFonts w:ascii="Times New Roman" w:hAnsi="Times New Roman" w:cs="Times New Roman"/>
          <w:sz w:val="24"/>
          <w:szCs w:val="24"/>
          <w:lang w:val="en-GB"/>
        </w:rPr>
        <w:t xml:space="preserve"> a better environment for the modernisation of the traditional and centralised power generation system through the introduction of the concept of prosumers, RES energy communities and aggregators as decentralised actors in the future energy market. By empowering end-users to transform their role from passive energy consumers to active market participants through renewable self-generation, the Law on use of Renewable Energy Resources promotes the overall idea of local generation opportunities for own needs, with the ability to connect to the grid and deliver energy surplus into the network.</w:t>
      </w:r>
    </w:p>
    <w:p w14:paraId="47AC8873" w14:textId="77777777" w:rsidR="00614438" w:rsidRPr="00614438" w:rsidRDefault="00614438" w:rsidP="00350B67">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Pursuant to the Law on Energy, more attention is given to energy poverty, which is marked as one of the key threats within the energy transition. </w:t>
      </w:r>
      <w:r w:rsidR="00350B67">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Republic of Serbia sets more emphasis on this issue for the first time by amending accordingly the Law on Energy. In that sense, the term “energy poverty” has been legally recognised, while the opportunities addressed to vulnerable customers have been expanded, covering heating sector as well. For example, the Decree on energy vulnerable customer </w:t>
      </w:r>
      <w:r w:rsidR="00350B67">
        <w:rPr>
          <w:rFonts w:ascii="Times New Roman" w:eastAsia="Times New Roman" w:hAnsi="Times New Roman" w:cs="Times New Roman"/>
          <w:sz w:val="24"/>
          <w:szCs w:val="24"/>
          <w:lang w:val="sr-Cyrl-CS" w:eastAsia="el-GR"/>
        </w:rPr>
        <w:t>(</w:t>
      </w:r>
      <w:r w:rsidR="00350B67">
        <w:rPr>
          <w:rFonts w:ascii="Times New Roman" w:eastAsia="Times New Roman" w:hAnsi="Times New Roman" w:cs="Times New Roman"/>
          <w:sz w:val="24"/>
          <w:szCs w:val="24"/>
          <w:lang w:eastAsia="el-GR"/>
        </w:rPr>
        <w:t>“Official Gazette of RS</w:t>
      </w:r>
      <w:r w:rsidR="00350B67">
        <w:rPr>
          <w:rFonts w:ascii="Times New Roman" w:eastAsia="Times New Roman" w:hAnsi="Times New Roman" w:cs="Times New Roman"/>
          <w:sz w:val="24"/>
          <w:szCs w:val="24"/>
          <w:lang w:val="sr-Cyrl-CS" w:eastAsia="el-GR"/>
        </w:rPr>
        <w:t>ˮ,</w:t>
      </w:r>
      <w:r w:rsidR="00350B67" w:rsidRPr="00F10D1E">
        <w:rPr>
          <w:rFonts w:ascii="Times New Roman" w:hAnsi="Times New Roman" w:cs="Times New Roman"/>
          <w:sz w:val="24"/>
          <w:szCs w:val="24"/>
        </w:rPr>
        <w:t xml:space="preserve"> </w:t>
      </w:r>
      <w:r w:rsidR="00350B67">
        <w:rPr>
          <w:rFonts w:ascii="Times New Roman" w:hAnsi="Times New Roman" w:cs="Times New Roman"/>
          <w:sz w:val="24"/>
          <w:szCs w:val="24"/>
        </w:rPr>
        <w:t>no</w:t>
      </w:r>
      <w:r w:rsidR="00350B67" w:rsidRPr="00F10D1E">
        <w:rPr>
          <w:rFonts w:ascii="Times New Roman" w:hAnsi="Times New Roman" w:cs="Times New Roman"/>
          <w:sz w:val="24"/>
          <w:szCs w:val="24"/>
        </w:rPr>
        <w:t xml:space="preserve">. 137/22, 93/23 </w:t>
      </w:r>
      <w:r w:rsidR="00350B67">
        <w:rPr>
          <w:rFonts w:ascii="Times New Roman" w:hAnsi="Times New Roman" w:cs="Times New Roman"/>
          <w:sz w:val="24"/>
          <w:szCs w:val="24"/>
        </w:rPr>
        <w:t>and</w:t>
      </w:r>
      <w:r w:rsidR="00350B67" w:rsidRPr="00F10D1E">
        <w:rPr>
          <w:rFonts w:ascii="Times New Roman" w:hAnsi="Times New Roman" w:cs="Times New Roman"/>
          <w:sz w:val="24"/>
          <w:szCs w:val="24"/>
        </w:rPr>
        <w:t xml:space="preserve"> 116/23)</w:t>
      </w:r>
      <w:r w:rsidR="00350B67">
        <w:rPr>
          <w:rFonts w:ascii="Times New Roman" w:hAnsi="Times New Roman" w:cs="Times New Roman"/>
          <w:sz w:val="24"/>
          <w:szCs w:val="24"/>
        </w:rPr>
        <w:t xml:space="preserve"> </w:t>
      </w:r>
      <w:r w:rsidRPr="00614438">
        <w:rPr>
          <w:rFonts w:ascii="Times New Roman" w:hAnsi="Times New Roman" w:cs="Times New Roman"/>
          <w:sz w:val="24"/>
          <w:szCs w:val="24"/>
          <w:lang w:val="en-GB"/>
        </w:rPr>
        <w:t xml:space="preserve">introduces aid for heating and </w:t>
      </w:r>
      <w:r w:rsidR="00350B67">
        <w:rPr>
          <w:rFonts w:ascii="Times New Roman" w:hAnsi="Times New Roman" w:cs="Times New Roman"/>
          <w:sz w:val="24"/>
          <w:szCs w:val="24"/>
          <w:lang w:val="en-GB"/>
        </w:rPr>
        <w:t>envisages</w:t>
      </w:r>
      <w:r w:rsidRPr="00614438">
        <w:rPr>
          <w:rFonts w:ascii="Times New Roman" w:hAnsi="Times New Roman" w:cs="Times New Roman"/>
          <w:sz w:val="24"/>
          <w:szCs w:val="24"/>
          <w:lang w:val="en-GB"/>
        </w:rPr>
        <w:t xml:space="preserve"> a significant increase in the number of customers eligible for aid. To acquire the status, one needs to submit a request to the municipality unit responsible for social welfare activities.</w:t>
      </w:r>
    </w:p>
    <w:p w14:paraId="40FB8735" w14:textId="77777777" w:rsidR="00614438" w:rsidRPr="00614438" w:rsidRDefault="00614438" w:rsidP="00614438">
      <w:pPr>
        <w:jc w:val="both"/>
        <w:rPr>
          <w:rFonts w:ascii="Times New Roman" w:hAnsi="Times New Roman" w:cs="Times New Roman"/>
          <w:sz w:val="24"/>
          <w:szCs w:val="24"/>
          <w:lang w:val="en-GB"/>
        </w:rPr>
      </w:pPr>
    </w:p>
    <w:p w14:paraId="0C7ED785" w14:textId="77777777" w:rsidR="00614438" w:rsidRPr="00614438" w:rsidRDefault="00614438" w:rsidP="00350B67">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Energy Security</w:t>
      </w:r>
    </w:p>
    <w:p w14:paraId="791EC5EE" w14:textId="77777777" w:rsidR="00614438" w:rsidRPr="00614438" w:rsidRDefault="00614438" w:rsidP="00350B67">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core elements in the legislation of the Republic of Serbia that regulate energy security are the Law on Energy and Law on Commodity Reserves</w:t>
      </w:r>
      <w:r w:rsidR="00FE61B0">
        <w:rPr>
          <w:rFonts w:ascii="Times New Roman" w:hAnsi="Times New Roman" w:cs="Times New Roman"/>
          <w:sz w:val="24"/>
          <w:szCs w:val="24"/>
          <w:lang w:val="en-GB"/>
        </w:rPr>
        <w:t xml:space="preserve"> </w:t>
      </w:r>
      <w:r w:rsidR="00FE61B0">
        <w:rPr>
          <w:rFonts w:ascii="Times New Roman" w:eastAsia="Times New Roman" w:hAnsi="Times New Roman" w:cs="Times New Roman"/>
          <w:sz w:val="24"/>
          <w:szCs w:val="24"/>
          <w:lang w:val="sr-Cyrl-CS" w:eastAsia="el-GR"/>
        </w:rPr>
        <w:t>(</w:t>
      </w:r>
      <w:r w:rsidR="00FE61B0">
        <w:rPr>
          <w:rFonts w:ascii="Times New Roman" w:eastAsia="Times New Roman" w:hAnsi="Times New Roman" w:cs="Times New Roman"/>
          <w:sz w:val="24"/>
          <w:szCs w:val="24"/>
          <w:lang w:eastAsia="el-GR"/>
        </w:rPr>
        <w:t>“Official Gazette of RS</w:t>
      </w:r>
      <w:r w:rsidR="00FE61B0">
        <w:rPr>
          <w:rFonts w:ascii="Times New Roman" w:eastAsia="Times New Roman" w:hAnsi="Times New Roman" w:cs="Times New Roman"/>
          <w:sz w:val="24"/>
          <w:szCs w:val="24"/>
          <w:lang w:val="sr-Cyrl-CS" w:eastAsia="el-GR"/>
        </w:rPr>
        <w:t>ˮ,</w:t>
      </w:r>
      <w:r w:rsidR="00FE61B0" w:rsidRPr="00F10D1E">
        <w:rPr>
          <w:rFonts w:ascii="Times New Roman" w:hAnsi="Times New Roman" w:cs="Times New Roman"/>
          <w:sz w:val="24"/>
          <w:szCs w:val="24"/>
        </w:rPr>
        <w:t xml:space="preserve"> </w:t>
      </w:r>
      <w:r w:rsidR="00FE61B0">
        <w:rPr>
          <w:rFonts w:ascii="Times New Roman" w:hAnsi="Times New Roman" w:cs="Times New Roman"/>
          <w:sz w:val="24"/>
          <w:szCs w:val="24"/>
        </w:rPr>
        <w:t>no</w:t>
      </w:r>
      <w:r w:rsidR="00FE61B0">
        <w:rPr>
          <w:rFonts w:ascii="Times New Roman" w:hAnsi="Times New Roman" w:cs="Times New Roman"/>
          <w:sz w:val="24"/>
          <w:szCs w:val="24"/>
          <w:lang w:val="sr-Cyrl-CS"/>
        </w:rPr>
        <w:t>.</w:t>
      </w:r>
      <w:r w:rsidR="00FE61B0" w:rsidRPr="00F10D1E">
        <w:rPr>
          <w:rFonts w:ascii="Times New Roman" w:hAnsi="Times New Roman" w:cs="Times New Roman"/>
          <w:sz w:val="24"/>
          <w:szCs w:val="24"/>
        </w:rPr>
        <w:t xml:space="preserve"> </w:t>
      </w:r>
      <w:r w:rsidR="00FE61B0">
        <w:rPr>
          <w:rFonts w:ascii="Times New Roman" w:hAnsi="Times New Roman" w:cs="Times New Roman"/>
          <w:sz w:val="24"/>
          <w:szCs w:val="24"/>
          <w:lang w:val="sr-Cyrl-CS"/>
        </w:rPr>
        <w:t xml:space="preserve">104/13, 145/14- </w:t>
      </w:r>
      <w:r w:rsidR="00FE61B0">
        <w:rPr>
          <w:rFonts w:ascii="Times New Roman" w:hAnsi="Times New Roman" w:cs="Times New Roman"/>
          <w:sz w:val="24"/>
          <w:szCs w:val="24"/>
        </w:rPr>
        <w:t>as amended</w:t>
      </w:r>
      <w:r w:rsidR="00FE61B0">
        <w:rPr>
          <w:rFonts w:ascii="Times New Roman" w:hAnsi="Times New Roman" w:cs="Times New Roman"/>
          <w:sz w:val="24"/>
          <w:szCs w:val="24"/>
          <w:lang w:val="sr-Cyrl-CS"/>
        </w:rPr>
        <w:t xml:space="preserve">, 95/18- </w:t>
      </w:r>
      <w:r w:rsidR="00FE61B0">
        <w:rPr>
          <w:rFonts w:ascii="Times New Roman" w:hAnsi="Times New Roman" w:cs="Times New Roman"/>
          <w:sz w:val="24"/>
          <w:szCs w:val="24"/>
        </w:rPr>
        <w:t>as amended</w:t>
      </w:r>
      <w:r w:rsidR="00FE61B0" w:rsidRPr="00F10D1E">
        <w:rPr>
          <w:rFonts w:ascii="Times New Roman" w:hAnsi="Times New Roman" w:cs="Times New Roman"/>
          <w:sz w:val="24"/>
          <w:szCs w:val="24"/>
          <w:lang w:val="sr-Cyrl-CS"/>
        </w:rPr>
        <w:t>)</w:t>
      </w:r>
      <w:r w:rsidRPr="00614438">
        <w:rPr>
          <w:rFonts w:ascii="Times New Roman" w:hAnsi="Times New Roman" w:cs="Times New Roman"/>
          <w:sz w:val="24"/>
          <w:szCs w:val="24"/>
          <w:lang w:val="en-GB"/>
        </w:rPr>
        <w:t xml:space="preserve">. While the Law on Energy regulates the whole spectrum of energy sector covering all energy sources, the Law on Commodity Reserves is relevant for the regulation of the formation and use of mandatory reserves of the oil and oil products, as a part of implementation of the Directive 2009/119/EC that imposes an obligation to maintain minimum stocks of crude oil and/or petroleum products by no later than 1 January 2023. In order to establish the full legal framework for the transposition of this Directive, several additional regulations and by-laws need to be adopted by the Government of the Republic of Serbia and the Ministry of Mining and Energy. </w:t>
      </w:r>
    </w:p>
    <w:p w14:paraId="2C9C39A4" w14:textId="77777777" w:rsidR="00614438" w:rsidRPr="00614438" w:rsidRDefault="00614438" w:rsidP="008B3A1B">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In accordance to the Law on Energy, the Government adopts the Energy Balance on the proposal of the Ministry of Mining and Energy (MoME), by the end of December of the ongoing year for the next year, where the annual energy needs, expressed on a monthly basis, necessary to ensure reliable, secure and quality customer supply are determined. In addition, the Law on Critical Infrastructure</w:t>
      </w:r>
      <w:r w:rsidR="008B3A1B">
        <w:rPr>
          <w:rFonts w:ascii="Times New Roman" w:hAnsi="Times New Roman" w:cs="Times New Roman"/>
          <w:sz w:val="24"/>
          <w:szCs w:val="24"/>
          <w:lang w:val="en-GB"/>
        </w:rPr>
        <w:t xml:space="preserve"> </w:t>
      </w:r>
      <w:r w:rsidR="008B3A1B">
        <w:rPr>
          <w:rFonts w:ascii="Times New Roman" w:eastAsia="Times New Roman" w:hAnsi="Times New Roman" w:cs="Times New Roman"/>
          <w:sz w:val="24"/>
          <w:szCs w:val="24"/>
          <w:lang w:val="sr-Cyrl-CS" w:eastAsia="el-GR"/>
        </w:rPr>
        <w:t>(</w:t>
      </w:r>
      <w:r w:rsidR="008B3A1B">
        <w:rPr>
          <w:rFonts w:ascii="Times New Roman" w:eastAsia="Times New Roman" w:hAnsi="Times New Roman" w:cs="Times New Roman"/>
          <w:sz w:val="24"/>
          <w:szCs w:val="24"/>
          <w:lang w:eastAsia="el-GR"/>
        </w:rPr>
        <w:t>“Official Gazette of RS”</w:t>
      </w:r>
      <w:r w:rsidR="008B3A1B">
        <w:rPr>
          <w:rFonts w:ascii="Times New Roman" w:eastAsia="Times New Roman" w:hAnsi="Times New Roman" w:cs="Times New Roman"/>
          <w:sz w:val="24"/>
          <w:szCs w:val="24"/>
          <w:lang w:val="sr-Cyrl-CS" w:eastAsia="el-GR"/>
        </w:rPr>
        <w:t>,</w:t>
      </w:r>
      <w:r w:rsidR="008B3A1B" w:rsidRPr="00F10D1E">
        <w:rPr>
          <w:rFonts w:ascii="Times New Roman" w:hAnsi="Times New Roman" w:cs="Times New Roman"/>
          <w:sz w:val="24"/>
          <w:szCs w:val="24"/>
        </w:rPr>
        <w:t xml:space="preserve"> </w:t>
      </w:r>
      <w:r w:rsidR="008B3A1B">
        <w:rPr>
          <w:rFonts w:ascii="Times New Roman" w:hAnsi="Times New Roman" w:cs="Times New Roman"/>
          <w:sz w:val="24"/>
          <w:szCs w:val="24"/>
        </w:rPr>
        <w:t>no</w:t>
      </w:r>
      <w:r w:rsidR="008B3A1B">
        <w:rPr>
          <w:rFonts w:ascii="Times New Roman" w:hAnsi="Times New Roman" w:cs="Times New Roman"/>
          <w:sz w:val="24"/>
          <w:szCs w:val="24"/>
          <w:lang w:val="sr-Cyrl-CS"/>
        </w:rPr>
        <w:t>.</w:t>
      </w:r>
      <w:r w:rsidR="008B3A1B" w:rsidRPr="00F10D1E">
        <w:rPr>
          <w:rFonts w:ascii="Times New Roman" w:hAnsi="Times New Roman" w:cs="Times New Roman"/>
          <w:sz w:val="24"/>
          <w:szCs w:val="24"/>
        </w:rPr>
        <w:t xml:space="preserve"> </w:t>
      </w:r>
      <w:r w:rsidR="008B3A1B">
        <w:rPr>
          <w:rFonts w:ascii="Times New Roman" w:hAnsi="Times New Roman" w:cs="Times New Roman"/>
          <w:sz w:val="24"/>
          <w:szCs w:val="24"/>
        </w:rPr>
        <w:t>87</w:t>
      </w:r>
      <w:r w:rsidR="008B3A1B">
        <w:rPr>
          <w:rFonts w:ascii="Times New Roman" w:hAnsi="Times New Roman" w:cs="Times New Roman"/>
          <w:sz w:val="24"/>
          <w:szCs w:val="24"/>
          <w:lang w:val="sr-Cyrl-CS"/>
        </w:rPr>
        <w:t>/</w:t>
      </w:r>
      <w:r w:rsidR="008B3A1B" w:rsidRPr="00F10D1E">
        <w:rPr>
          <w:rFonts w:ascii="Times New Roman" w:hAnsi="Times New Roman" w:cs="Times New Roman"/>
          <w:sz w:val="24"/>
          <w:szCs w:val="24"/>
          <w:lang w:val="sr-Cyrl-CS"/>
        </w:rPr>
        <w:t>)</w:t>
      </w:r>
      <w:r w:rsidR="008B3A1B">
        <w:rPr>
          <w:rFonts w:ascii="Times New Roman" w:eastAsia="Times New Roman" w:hAnsi="Times New Roman" w:cs="Times New Roman"/>
          <w:sz w:val="24"/>
          <w:szCs w:val="24"/>
          <w:lang w:eastAsia="el-GR"/>
        </w:rPr>
        <w:t xml:space="preserve"> </w:t>
      </w:r>
      <w:r w:rsidRPr="00614438">
        <w:rPr>
          <w:rFonts w:ascii="Times New Roman" w:hAnsi="Times New Roman" w:cs="Times New Roman"/>
          <w:sz w:val="24"/>
          <w:szCs w:val="24"/>
          <w:lang w:val="en-GB"/>
        </w:rPr>
        <w:t>has identified key sectors where critical infrastructure is needed</w:t>
      </w:r>
      <w:r w:rsidR="008B3A1B">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and the energy sector is listed as the first one.</w:t>
      </w:r>
    </w:p>
    <w:p w14:paraId="005C1DED" w14:textId="4A896621" w:rsidR="00B92F3A" w:rsidRDefault="00614438" w:rsidP="00B92F3A">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Government of the Republic of Serbia prescribes the conditions for delivery and supply of electricity, oil and natural gas, as well as the measures to be taken if the security of energy and energy sources supply is endangered due to market or system disturbances. </w:t>
      </w:r>
      <w:r w:rsidR="00B92F3A" w:rsidRPr="00B92F3A">
        <w:rPr>
          <w:rFonts w:ascii="Times New Roman" w:hAnsi="Times New Roman" w:cs="Times New Roman"/>
          <w:sz w:val="24"/>
          <w:szCs w:val="24"/>
          <w:lang w:val="en-GB"/>
        </w:rPr>
        <w:t>In this regard, the Republic of Serbia adopted the Decree on the conditions for the delivery and supply of electricity (</w:t>
      </w:r>
      <w:r w:rsidR="00B92F3A">
        <w:rPr>
          <w:rFonts w:ascii="Times New Roman" w:hAnsi="Times New Roman" w:cs="Times New Roman"/>
          <w:sz w:val="24"/>
          <w:szCs w:val="24"/>
          <w:lang w:val="en-GB"/>
        </w:rPr>
        <w:t>“</w:t>
      </w:r>
      <w:r w:rsidR="00B92F3A" w:rsidRPr="00B92F3A">
        <w:rPr>
          <w:rFonts w:ascii="Times New Roman" w:hAnsi="Times New Roman" w:cs="Times New Roman"/>
          <w:sz w:val="24"/>
          <w:szCs w:val="24"/>
          <w:lang w:val="en-GB"/>
        </w:rPr>
        <w:t>Official Gazette of the RS</w:t>
      </w:r>
      <w:r w:rsidR="00B92F3A">
        <w:rPr>
          <w:rFonts w:ascii="Times New Roman" w:hAnsi="Times New Roman" w:cs="Times New Roman"/>
          <w:sz w:val="24"/>
          <w:szCs w:val="24"/>
          <w:lang w:val="en-GB"/>
        </w:rPr>
        <w:t>”</w:t>
      </w:r>
      <w:r w:rsidR="00B92F3A" w:rsidRPr="00B92F3A">
        <w:rPr>
          <w:rFonts w:ascii="Times New Roman" w:hAnsi="Times New Roman" w:cs="Times New Roman"/>
          <w:sz w:val="24"/>
          <w:szCs w:val="24"/>
          <w:lang w:val="en-GB"/>
        </w:rPr>
        <w:t>, no. 63/13, 91/18, 84/23) and the Decree on the conditions for the delivery of natural gas (</w:t>
      </w:r>
      <w:r w:rsidR="00B92F3A">
        <w:rPr>
          <w:rFonts w:ascii="Times New Roman" w:hAnsi="Times New Roman" w:cs="Times New Roman"/>
          <w:sz w:val="24"/>
          <w:szCs w:val="24"/>
          <w:lang w:val="en-GB"/>
        </w:rPr>
        <w:t>“</w:t>
      </w:r>
      <w:r w:rsidR="00B92F3A" w:rsidRPr="00B92F3A">
        <w:rPr>
          <w:rFonts w:ascii="Times New Roman" w:hAnsi="Times New Roman" w:cs="Times New Roman"/>
          <w:sz w:val="24"/>
          <w:szCs w:val="24"/>
          <w:lang w:val="en-GB"/>
        </w:rPr>
        <w:t>Official Gazette of the RS</w:t>
      </w:r>
      <w:r w:rsidR="00B92F3A">
        <w:rPr>
          <w:rFonts w:ascii="Times New Roman" w:hAnsi="Times New Roman" w:cs="Times New Roman"/>
          <w:sz w:val="24"/>
          <w:szCs w:val="24"/>
          <w:lang w:val="en-GB"/>
        </w:rPr>
        <w:t>”</w:t>
      </w:r>
      <w:r w:rsidR="00B92F3A" w:rsidRPr="00B92F3A">
        <w:rPr>
          <w:rFonts w:ascii="Times New Roman" w:hAnsi="Times New Roman" w:cs="Times New Roman"/>
          <w:sz w:val="24"/>
          <w:szCs w:val="24"/>
          <w:lang w:val="en-GB"/>
        </w:rPr>
        <w:t xml:space="preserve">, </w:t>
      </w:r>
      <w:r w:rsidR="00B92F3A">
        <w:rPr>
          <w:rFonts w:ascii="Times New Roman" w:hAnsi="Times New Roman" w:cs="Times New Roman"/>
          <w:sz w:val="24"/>
          <w:szCs w:val="24"/>
          <w:lang w:val="en-GB"/>
        </w:rPr>
        <w:t>n</w:t>
      </w:r>
      <w:r w:rsidR="00B92F3A" w:rsidRPr="00B92F3A">
        <w:rPr>
          <w:rFonts w:ascii="Times New Roman" w:hAnsi="Times New Roman" w:cs="Times New Roman"/>
          <w:sz w:val="24"/>
          <w:szCs w:val="24"/>
          <w:lang w:val="en-GB"/>
        </w:rPr>
        <w:t>o. 47/06, 3/10 and 48/10). In addition, the Republic of Serbia is fully aligned with the legal acquis of the EU in terms of mandatory oil reserves within the security of supply, which is defined by the Regulation on establishing the Program of Measures in the event that the security of energy and energy supplies is threatened (</w:t>
      </w:r>
      <w:r w:rsidR="00A82E81">
        <w:rPr>
          <w:rFonts w:ascii="Times New Roman" w:hAnsi="Times New Roman" w:cs="Times New Roman"/>
          <w:sz w:val="24"/>
          <w:szCs w:val="24"/>
          <w:lang w:val="en-GB"/>
        </w:rPr>
        <w:t>Crisis</w:t>
      </w:r>
      <w:r w:rsidR="00B92F3A" w:rsidRPr="00B92F3A">
        <w:rPr>
          <w:rFonts w:ascii="Times New Roman" w:hAnsi="Times New Roman" w:cs="Times New Roman"/>
          <w:sz w:val="24"/>
          <w:szCs w:val="24"/>
          <w:lang w:val="en-GB"/>
        </w:rPr>
        <w:t xml:space="preserve"> Plan) (</w:t>
      </w:r>
      <w:r w:rsidR="00B92F3A">
        <w:rPr>
          <w:rFonts w:ascii="Times New Roman" w:hAnsi="Times New Roman" w:cs="Times New Roman"/>
          <w:sz w:val="24"/>
          <w:szCs w:val="24"/>
          <w:lang w:val="en-GB"/>
        </w:rPr>
        <w:t>“</w:t>
      </w:r>
      <w:r w:rsidR="00B92F3A" w:rsidRPr="00B92F3A">
        <w:rPr>
          <w:rFonts w:ascii="Times New Roman" w:hAnsi="Times New Roman" w:cs="Times New Roman"/>
          <w:sz w:val="24"/>
          <w:szCs w:val="24"/>
          <w:lang w:val="en-GB"/>
        </w:rPr>
        <w:t>Official Gazette of the RS</w:t>
      </w:r>
      <w:r w:rsidR="00B92F3A">
        <w:rPr>
          <w:rFonts w:ascii="Times New Roman" w:hAnsi="Times New Roman" w:cs="Times New Roman"/>
          <w:sz w:val="24"/>
          <w:szCs w:val="24"/>
          <w:lang w:val="en-GB"/>
        </w:rPr>
        <w:t>”</w:t>
      </w:r>
      <w:r w:rsidR="00B92F3A" w:rsidRPr="00B92F3A">
        <w:rPr>
          <w:rFonts w:ascii="Times New Roman" w:hAnsi="Times New Roman" w:cs="Times New Roman"/>
          <w:sz w:val="24"/>
          <w:szCs w:val="24"/>
          <w:lang w:val="en-GB"/>
        </w:rPr>
        <w:t xml:space="preserve"> , number 63/19) and the Decree on the plan and procurement criteria for the formation of mandatory reserves of oil and oil derivatives (</w:t>
      </w:r>
      <w:r w:rsidR="00B92F3A">
        <w:rPr>
          <w:rFonts w:ascii="Times New Roman" w:hAnsi="Times New Roman" w:cs="Times New Roman"/>
          <w:sz w:val="24"/>
          <w:szCs w:val="24"/>
          <w:lang w:val="en-GB"/>
        </w:rPr>
        <w:t>“</w:t>
      </w:r>
      <w:r w:rsidR="00B92F3A" w:rsidRPr="00B92F3A">
        <w:rPr>
          <w:rFonts w:ascii="Times New Roman" w:hAnsi="Times New Roman" w:cs="Times New Roman"/>
          <w:sz w:val="24"/>
          <w:szCs w:val="24"/>
          <w:lang w:val="en-GB"/>
        </w:rPr>
        <w:t>Official Gazette of RS</w:t>
      </w:r>
      <w:r w:rsidR="00B92F3A">
        <w:rPr>
          <w:rFonts w:ascii="Times New Roman" w:hAnsi="Times New Roman" w:cs="Times New Roman"/>
          <w:sz w:val="24"/>
          <w:szCs w:val="24"/>
          <w:lang w:val="en-GB"/>
        </w:rPr>
        <w:t>”</w:t>
      </w:r>
      <w:r w:rsidR="00B92F3A" w:rsidRPr="00B92F3A">
        <w:rPr>
          <w:rFonts w:ascii="Times New Roman" w:hAnsi="Times New Roman" w:cs="Times New Roman"/>
          <w:sz w:val="24"/>
          <w:szCs w:val="24"/>
          <w:lang w:val="en-GB"/>
        </w:rPr>
        <w:t>, no. 50/16 and 48/21).</w:t>
      </w:r>
      <w:r w:rsidRPr="00614438">
        <w:rPr>
          <w:rFonts w:ascii="Times New Roman" w:hAnsi="Times New Roman" w:cs="Times New Roman"/>
          <w:sz w:val="24"/>
          <w:szCs w:val="24"/>
          <w:lang w:val="en-GB"/>
        </w:rPr>
        <w:t xml:space="preserve"> </w:t>
      </w:r>
    </w:p>
    <w:p w14:paraId="68F4BC4D" w14:textId="6DBE2E85" w:rsidR="00614438" w:rsidRPr="00614438" w:rsidRDefault="00614438" w:rsidP="00B92F3A">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2021, the Government adopted the Decree on Amendments to the Decree on the Plan and Criteria for the Formation of Mandatory Reserves of Oil and Oil Derivatives</w:t>
      </w:r>
      <w:r w:rsidR="003B1747">
        <w:rPr>
          <w:rFonts w:ascii="Times New Roman" w:hAnsi="Times New Roman" w:cs="Times New Roman"/>
          <w:sz w:val="24"/>
          <w:szCs w:val="24"/>
          <w:lang w:val="en-GB"/>
        </w:rPr>
        <w:t xml:space="preserve"> (“</w:t>
      </w:r>
      <w:r w:rsidR="003B1747" w:rsidRPr="00B92F3A">
        <w:rPr>
          <w:rFonts w:ascii="Times New Roman" w:hAnsi="Times New Roman" w:cs="Times New Roman"/>
          <w:sz w:val="24"/>
          <w:szCs w:val="24"/>
          <w:lang w:val="en-GB"/>
        </w:rPr>
        <w:t>Official Gazette of RS</w:t>
      </w:r>
      <w:r w:rsidR="003B1747">
        <w:rPr>
          <w:rFonts w:ascii="Times New Roman" w:hAnsi="Times New Roman" w:cs="Times New Roman"/>
          <w:sz w:val="24"/>
          <w:szCs w:val="24"/>
          <w:lang w:val="en-GB"/>
        </w:rPr>
        <w:t>”</w:t>
      </w:r>
      <w:r w:rsidR="003B1747" w:rsidRPr="00B92F3A">
        <w:rPr>
          <w:rFonts w:ascii="Times New Roman" w:hAnsi="Times New Roman" w:cs="Times New Roman"/>
          <w:sz w:val="24"/>
          <w:szCs w:val="24"/>
          <w:lang w:val="en-GB"/>
        </w:rPr>
        <w:t>, no. 48/21)</w:t>
      </w:r>
      <w:r w:rsidRPr="00614438">
        <w:rPr>
          <w:rFonts w:ascii="Times New Roman" w:hAnsi="Times New Roman" w:cs="Times New Roman"/>
          <w:sz w:val="24"/>
          <w:szCs w:val="24"/>
          <w:lang w:val="en-GB"/>
        </w:rPr>
        <w:t xml:space="preserve"> which defines that crude oil is procured in a quality whose parameters meet the conditions established by the Rules on the operation of the oil transport system by oil pipeline, as well as that mandatory reserves can be renewed by exchange, sale and purchase. Also, the Rulebook on establishing the Annual Program for the formation and maintenance of mandatory oil reserves for 2021 was adopted</w:t>
      </w:r>
      <w:r w:rsidR="002F6F82">
        <w:rPr>
          <w:rFonts w:ascii="Times New Roman" w:hAnsi="Times New Roman" w:cs="Times New Roman"/>
          <w:sz w:val="24"/>
          <w:szCs w:val="24"/>
          <w:lang w:val="en-GB"/>
        </w:rPr>
        <w:t xml:space="preserve"> </w:t>
      </w:r>
      <w:r w:rsidR="002F6F82" w:rsidRPr="00B92F3A">
        <w:rPr>
          <w:rFonts w:ascii="Times New Roman" w:hAnsi="Times New Roman" w:cs="Times New Roman"/>
          <w:sz w:val="24"/>
          <w:szCs w:val="24"/>
          <w:lang w:val="en-GB"/>
        </w:rPr>
        <w:t>(</w:t>
      </w:r>
      <w:r w:rsidR="002F6F82">
        <w:rPr>
          <w:rFonts w:ascii="Times New Roman" w:hAnsi="Times New Roman" w:cs="Times New Roman"/>
          <w:sz w:val="24"/>
          <w:szCs w:val="24"/>
          <w:lang w:val="en-GB"/>
        </w:rPr>
        <w:t>“</w:t>
      </w:r>
      <w:r w:rsidR="002F6F82" w:rsidRPr="00B92F3A">
        <w:rPr>
          <w:rFonts w:ascii="Times New Roman" w:hAnsi="Times New Roman" w:cs="Times New Roman"/>
          <w:sz w:val="24"/>
          <w:szCs w:val="24"/>
          <w:lang w:val="en-GB"/>
        </w:rPr>
        <w:t>Official Gazette of RS</w:t>
      </w:r>
      <w:r w:rsidR="002F6F82">
        <w:rPr>
          <w:rFonts w:ascii="Times New Roman" w:hAnsi="Times New Roman" w:cs="Times New Roman"/>
          <w:sz w:val="24"/>
          <w:szCs w:val="24"/>
          <w:lang w:val="en-GB"/>
        </w:rPr>
        <w:t>”</w:t>
      </w:r>
      <w:r w:rsidR="002F6F82" w:rsidRPr="00B92F3A">
        <w:rPr>
          <w:rFonts w:ascii="Times New Roman" w:hAnsi="Times New Roman" w:cs="Times New Roman"/>
          <w:sz w:val="24"/>
          <w:szCs w:val="24"/>
          <w:lang w:val="en-GB"/>
        </w:rPr>
        <w:t>, no. 5</w:t>
      </w:r>
      <w:r w:rsidR="002F6F82">
        <w:rPr>
          <w:rFonts w:ascii="Times New Roman" w:hAnsi="Times New Roman" w:cs="Times New Roman"/>
          <w:sz w:val="24"/>
          <w:szCs w:val="24"/>
          <w:lang w:val="en-GB"/>
        </w:rPr>
        <w:t>5</w:t>
      </w:r>
      <w:r w:rsidR="002F6F82" w:rsidRPr="00B92F3A">
        <w:rPr>
          <w:rFonts w:ascii="Times New Roman" w:hAnsi="Times New Roman" w:cs="Times New Roman"/>
          <w:sz w:val="24"/>
          <w:szCs w:val="24"/>
          <w:lang w:val="en-GB"/>
        </w:rPr>
        <w:t>/21)</w:t>
      </w:r>
      <w:r w:rsidRPr="00614438">
        <w:rPr>
          <w:rFonts w:ascii="Times New Roman" w:hAnsi="Times New Roman" w:cs="Times New Roman"/>
          <w:sz w:val="24"/>
          <w:szCs w:val="24"/>
          <w:lang w:val="en-GB"/>
        </w:rPr>
        <w:t>.</w:t>
      </w:r>
      <w:r w:rsidR="00B92F3A">
        <w:rPr>
          <w:rFonts w:ascii="Times New Roman" w:hAnsi="Times New Roman" w:cs="Times New Roman"/>
          <w:sz w:val="24"/>
          <w:szCs w:val="24"/>
          <w:lang w:val="en-GB"/>
        </w:rPr>
        <w:t xml:space="preserve"> </w:t>
      </w:r>
      <w:r w:rsidR="002F6F82" w:rsidRPr="002F6F82">
        <w:rPr>
          <w:rFonts w:ascii="Times New Roman" w:hAnsi="Times New Roman" w:cs="Times New Roman"/>
          <w:sz w:val="24"/>
          <w:szCs w:val="24"/>
          <w:lang w:val="en-GB"/>
        </w:rPr>
        <w:t>In accordance with the provisions of Article 315 of the Law on Energy, the Decree on establishing a Preventive Action Plan to ensure the security of natural gas supply ("Official Gazette of the RS", n</w:t>
      </w:r>
      <w:r w:rsidR="002F6F82">
        <w:rPr>
          <w:rFonts w:ascii="Times New Roman" w:hAnsi="Times New Roman" w:cs="Times New Roman"/>
          <w:sz w:val="24"/>
          <w:szCs w:val="24"/>
          <w:lang w:val="en-GB"/>
        </w:rPr>
        <w:t>o.</w:t>
      </w:r>
      <w:r w:rsidR="002F6F82" w:rsidRPr="002F6F82">
        <w:rPr>
          <w:rFonts w:ascii="Times New Roman" w:hAnsi="Times New Roman" w:cs="Times New Roman"/>
          <w:sz w:val="24"/>
          <w:szCs w:val="24"/>
          <w:lang w:val="en-GB"/>
        </w:rPr>
        <w:t xml:space="preserve"> 102/18) and the Decree on establishing a Crisis Plan to ensure the security of natural gas supply ("Official Gazette of RS", n</w:t>
      </w:r>
      <w:r w:rsidR="002F6F82">
        <w:rPr>
          <w:rFonts w:ascii="Times New Roman" w:hAnsi="Times New Roman" w:cs="Times New Roman"/>
          <w:sz w:val="24"/>
          <w:szCs w:val="24"/>
          <w:lang w:val="en-GB"/>
        </w:rPr>
        <w:t>o.</w:t>
      </w:r>
      <w:r w:rsidR="002F6F82" w:rsidRPr="002F6F82">
        <w:rPr>
          <w:rFonts w:ascii="Times New Roman" w:hAnsi="Times New Roman" w:cs="Times New Roman"/>
          <w:sz w:val="24"/>
          <w:szCs w:val="24"/>
          <w:lang w:val="en-GB"/>
        </w:rPr>
        <w:t xml:space="preserve"> 102/18)</w:t>
      </w:r>
      <w:r w:rsidR="002F6F82">
        <w:rPr>
          <w:rFonts w:ascii="Times New Roman" w:hAnsi="Times New Roman" w:cs="Times New Roman"/>
          <w:sz w:val="24"/>
          <w:szCs w:val="24"/>
          <w:lang w:val="en-GB"/>
        </w:rPr>
        <w:t xml:space="preserve"> were adopted</w:t>
      </w:r>
      <w:r w:rsidR="002F6F82" w:rsidRPr="002F6F82">
        <w:rPr>
          <w:rFonts w:ascii="Times New Roman" w:hAnsi="Times New Roman" w:cs="Times New Roman"/>
          <w:sz w:val="24"/>
          <w:szCs w:val="24"/>
          <w:lang w:val="en-GB"/>
        </w:rPr>
        <w:t>.</w:t>
      </w:r>
      <w:r w:rsidR="002F6F82">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 xml:space="preserve">The </w:t>
      </w:r>
      <w:r w:rsidR="00A82E81">
        <w:rPr>
          <w:rFonts w:ascii="Times New Roman" w:hAnsi="Times New Roman" w:cs="Times New Roman"/>
          <w:sz w:val="24"/>
          <w:szCs w:val="24"/>
          <w:lang w:val="en-GB"/>
        </w:rPr>
        <w:t>Crisis</w:t>
      </w:r>
      <w:r w:rsidRPr="00614438">
        <w:rPr>
          <w:rFonts w:ascii="Times New Roman" w:hAnsi="Times New Roman" w:cs="Times New Roman"/>
          <w:sz w:val="24"/>
          <w:szCs w:val="24"/>
          <w:lang w:val="en-GB"/>
        </w:rPr>
        <w:t xml:space="preserve"> plan determines measures and energy service companies that will be responsible for ensuring the security of the transmission system and the security of supply of certain groups of end customers, as well as the quantity and capacity of natural gas in case of general shortage of natural gas. The Preventive Action plan contains a risk assessment in terms of achieving security of supply in addition to measures on how to mitigate the identified risks related to the required transportation capacity in order to meet the total demand for natural gas and to secure the supply of certain groups of final customers of natural gas.</w:t>
      </w:r>
    </w:p>
    <w:p w14:paraId="0FE8C073" w14:textId="4366582A" w:rsidR="00614438" w:rsidRPr="00614438" w:rsidRDefault="00614438" w:rsidP="002F6F82">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Pursuant to Article 18, paragraph 3 of the Law on Commodity Reserves, the MoME adopts </w:t>
      </w:r>
      <w:r w:rsidR="002F6F82">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Rulebook on determining the Annual Program for the Formation and Maintenance of Mandatory Reserves of Petroleum and Petroleum Products for 2020</w:t>
      </w:r>
      <w:r w:rsidR="002F6F82">
        <w:rPr>
          <w:rFonts w:ascii="Times New Roman" w:hAnsi="Times New Roman" w:cs="Times New Roman"/>
          <w:sz w:val="24"/>
          <w:szCs w:val="24"/>
          <w:lang w:val="en-GB"/>
        </w:rPr>
        <w:t xml:space="preserve"> </w:t>
      </w:r>
      <w:r w:rsidR="002F6F82" w:rsidRPr="002F6F82">
        <w:rPr>
          <w:rFonts w:ascii="Times New Roman" w:hAnsi="Times New Roman" w:cs="Times New Roman"/>
          <w:sz w:val="24"/>
          <w:szCs w:val="24"/>
          <w:lang w:val="en-GB"/>
        </w:rPr>
        <w:t>(</w:t>
      </w:r>
      <w:r w:rsidR="002F6F82">
        <w:rPr>
          <w:rFonts w:ascii="Times New Roman" w:hAnsi="Times New Roman" w:cs="Times New Roman"/>
          <w:sz w:val="24"/>
          <w:szCs w:val="24"/>
          <w:lang w:val="en-GB"/>
        </w:rPr>
        <w:t>“</w:t>
      </w:r>
      <w:r w:rsidR="002F6F82" w:rsidRPr="002F6F82">
        <w:rPr>
          <w:rFonts w:ascii="Times New Roman" w:hAnsi="Times New Roman" w:cs="Times New Roman"/>
          <w:sz w:val="24"/>
          <w:szCs w:val="24"/>
          <w:lang w:val="en-GB"/>
        </w:rPr>
        <w:t>Official Gazette of RS</w:t>
      </w:r>
      <w:r w:rsidR="002F6F82">
        <w:rPr>
          <w:rFonts w:ascii="Times New Roman" w:hAnsi="Times New Roman" w:cs="Times New Roman"/>
          <w:sz w:val="24"/>
          <w:szCs w:val="24"/>
          <w:lang w:val="en-GB"/>
        </w:rPr>
        <w:t>”</w:t>
      </w:r>
      <w:r w:rsidR="002F6F82" w:rsidRPr="002F6F82">
        <w:rPr>
          <w:rFonts w:ascii="Times New Roman" w:hAnsi="Times New Roman" w:cs="Times New Roman"/>
          <w:sz w:val="24"/>
          <w:szCs w:val="24"/>
          <w:lang w:val="en-GB"/>
        </w:rPr>
        <w:t>, n</w:t>
      </w:r>
      <w:r w:rsidR="002F6F82">
        <w:rPr>
          <w:rFonts w:ascii="Times New Roman" w:hAnsi="Times New Roman" w:cs="Times New Roman"/>
          <w:sz w:val="24"/>
          <w:szCs w:val="24"/>
          <w:lang w:val="en-GB"/>
        </w:rPr>
        <w:t>o.</w:t>
      </w:r>
      <w:r w:rsidR="002F6F82" w:rsidRPr="002F6F82">
        <w:rPr>
          <w:rFonts w:ascii="Times New Roman" w:hAnsi="Times New Roman" w:cs="Times New Roman"/>
          <w:sz w:val="24"/>
          <w:szCs w:val="24"/>
          <w:lang w:val="en-GB"/>
        </w:rPr>
        <w:t xml:space="preserve"> </w:t>
      </w:r>
      <w:r w:rsidR="002F6F82">
        <w:rPr>
          <w:rFonts w:ascii="Times New Roman" w:hAnsi="Times New Roman" w:cs="Times New Roman"/>
          <w:sz w:val="24"/>
          <w:szCs w:val="24"/>
          <w:lang w:val="en-GB"/>
        </w:rPr>
        <w:t>59</w:t>
      </w:r>
      <w:r w:rsidR="002F6F82" w:rsidRPr="002F6F82">
        <w:rPr>
          <w:rFonts w:ascii="Times New Roman" w:hAnsi="Times New Roman" w:cs="Times New Roman"/>
          <w:sz w:val="24"/>
          <w:szCs w:val="24"/>
          <w:lang w:val="en-GB"/>
        </w:rPr>
        <w:t>/</w:t>
      </w:r>
      <w:r w:rsidR="002F6F82">
        <w:rPr>
          <w:rFonts w:ascii="Times New Roman" w:hAnsi="Times New Roman" w:cs="Times New Roman"/>
          <w:sz w:val="24"/>
          <w:szCs w:val="24"/>
          <w:lang w:val="en-GB"/>
        </w:rPr>
        <w:t>20</w:t>
      </w:r>
      <w:r w:rsidR="002F6F82" w:rsidRPr="002F6F82">
        <w:rPr>
          <w:rFonts w:ascii="Times New Roman" w:hAnsi="Times New Roman" w:cs="Times New Roman"/>
          <w:sz w:val="24"/>
          <w:szCs w:val="24"/>
          <w:lang w:val="en-GB"/>
        </w:rPr>
        <w:t>)</w:t>
      </w:r>
      <w:r w:rsidR="002F6F82">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 xml:space="preserve">on the regular annual basis. To this end, Serbia adopted a long-term plan to establish and maintain emergency oil stocks in 2018 and </w:t>
      </w:r>
      <w:r w:rsidR="002F6F82">
        <w:rPr>
          <w:rFonts w:ascii="Times New Roman" w:hAnsi="Times New Roman" w:cs="Times New Roman"/>
          <w:sz w:val="24"/>
          <w:szCs w:val="24"/>
          <w:lang w:val="en-GB"/>
        </w:rPr>
        <w:t xml:space="preserve">in 2019 </w:t>
      </w:r>
      <w:r w:rsidRPr="00614438">
        <w:rPr>
          <w:rFonts w:ascii="Times New Roman" w:hAnsi="Times New Roman" w:cs="Times New Roman"/>
          <w:sz w:val="24"/>
          <w:szCs w:val="24"/>
          <w:lang w:val="en-GB"/>
        </w:rPr>
        <w:t xml:space="preserve">the </w:t>
      </w:r>
      <w:r w:rsidR="00A82E81">
        <w:rPr>
          <w:rFonts w:ascii="Times New Roman" w:hAnsi="Times New Roman" w:cs="Times New Roman"/>
          <w:sz w:val="24"/>
          <w:szCs w:val="24"/>
          <w:lang w:val="en-GB"/>
        </w:rPr>
        <w:t>Crisis</w:t>
      </w:r>
      <w:r w:rsidRPr="00614438">
        <w:rPr>
          <w:rFonts w:ascii="Times New Roman" w:hAnsi="Times New Roman" w:cs="Times New Roman"/>
          <w:sz w:val="24"/>
          <w:szCs w:val="24"/>
          <w:lang w:val="en-GB"/>
        </w:rPr>
        <w:t xml:space="preserve"> Response Plan</w:t>
      </w:r>
      <w:r w:rsidR="002F6F82">
        <w:rPr>
          <w:rFonts w:ascii="Times New Roman" w:hAnsi="Times New Roman" w:cs="Times New Roman"/>
          <w:sz w:val="24"/>
          <w:szCs w:val="24"/>
          <w:lang w:val="en-GB"/>
        </w:rPr>
        <w:t xml:space="preserve"> in unforeseen situations </w:t>
      </w:r>
      <w:r w:rsidR="002F6F82" w:rsidRPr="002F6F82">
        <w:rPr>
          <w:rFonts w:ascii="Times New Roman" w:hAnsi="Times New Roman" w:cs="Times New Roman"/>
          <w:sz w:val="24"/>
          <w:szCs w:val="24"/>
          <w:lang w:val="en-GB"/>
        </w:rPr>
        <w:t>(</w:t>
      </w:r>
      <w:r w:rsidR="002F6F82">
        <w:rPr>
          <w:rFonts w:ascii="Times New Roman" w:hAnsi="Times New Roman" w:cs="Times New Roman"/>
          <w:sz w:val="24"/>
          <w:szCs w:val="24"/>
          <w:lang w:val="en-GB"/>
        </w:rPr>
        <w:t>“</w:t>
      </w:r>
      <w:r w:rsidR="002F6F82" w:rsidRPr="002F6F82">
        <w:rPr>
          <w:rFonts w:ascii="Times New Roman" w:hAnsi="Times New Roman" w:cs="Times New Roman"/>
          <w:sz w:val="24"/>
          <w:szCs w:val="24"/>
          <w:lang w:val="en-GB"/>
        </w:rPr>
        <w:t>Official Gazette of RS</w:t>
      </w:r>
      <w:r w:rsidR="002F6F82">
        <w:rPr>
          <w:rFonts w:ascii="Times New Roman" w:hAnsi="Times New Roman" w:cs="Times New Roman"/>
          <w:sz w:val="24"/>
          <w:szCs w:val="24"/>
          <w:lang w:val="en-GB"/>
        </w:rPr>
        <w:t>”</w:t>
      </w:r>
      <w:r w:rsidR="002F6F82" w:rsidRPr="002F6F82">
        <w:rPr>
          <w:rFonts w:ascii="Times New Roman" w:hAnsi="Times New Roman" w:cs="Times New Roman"/>
          <w:sz w:val="24"/>
          <w:szCs w:val="24"/>
          <w:lang w:val="en-GB"/>
        </w:rPr>
        <w:t>, n</w:t>
      </w:r>
      <w:r w:rsidR="002F6F82">
        <w:rPr>
          <w:rFonts w:ascii="Times New Roman" w:hAnsi="Times New Roman" w:cs="Times New Roman"/>
          <w:sz w:val="24"/>
          <w:szCs w:val="24"/>
          <w:lang w:val="en-GB"/>
        </w:rPr>
        <w:t>o.</w:t>
      </w:r>
      <w:r w:rsidR="002F6F82" w:rsidRPr="002F6F82">
        <w:rPr>
          <w:rFonts w:ascii="Times New Roman" w:hAnsi="Times New Roman" w:cs="Times New Roman"/>
          <w:sz w:val="24"/>
          <w:szCs w:val="24"/>
          <w:lang w:val="en-GB"/>
        </w:rPr>
        <w:t xml:space="preserve"> </w:t>
      </w:r>
      <w:r w:rsidR="002F6F82">
        <w:rPr>
          <w:rFonts w:ascii="Times New Roman" w:hAnsi="Times New Roman" w:cs="Times New Roman"/>
          <w:sz w:val="24"/>
          <w:szCs w:val="24"/>
          <w:lang w:val="en-GB"/>
        </w:rPr>
        <w:t>63</w:t>
      </w:r>
      <w:r w:rsidR="002F6F82" w:rsidRPr="002F6F82">
        <w:rPr>
          <w:rFonts w:ascii="Times New Roman" w:hAnsi="Times New Roman" w:cs="Times New Roman"/>
          <w:sz w:val="24"/>
          <w:szCs w:val="24"/>
          <w:lang w:val="en-GB"/>
        </w:rPr>
        <w:t>/1</w:t>
      </w:r>
      <w:r w:rsidR="002F6F82">
        <w:rPr>
          <w:rFonts w:ascii="Times New Roman" w:hAnsi="Times New Roman" w:cs="Times New Roman"/>
          <w:sz w:val="24"/>
          <w:szCs w:val="24"/>
          <w:lang w:val="en-GB"/>
        </w:rPr>
        <w:t>9</w:t>
      </w:r>
      <w:r w:rsidR="002F6F82" w:rsidRPr="002F6F82">
        <w:rPr>
          <w:rFonts w:ascii="Times New Roman" w:hAnsi="Times New Roman" w:cs="Times New Roman"/>
          <w:sz w:val="24"/>
          <w:szCs w:val="24"/>
          <w:lang w:val="en-GB"/>
        </w:rPr>
        <w:t>)</w:t>
      </w:r>
      <w:r w:rsidRPr="00614438">
        <w:rPr>
          <w:rFonts w:ascii="Times New Roman" w:hAnsi="Times New Roman" w:cs="Times New Roman"/>
          <w:sz w:val="24"/>
          <w:szCs w:val="24"/>
          <w:lang w:val="en-GB"/>
        </w:rPr>
        <w:t>. Th</w:t>
      </w:r>
      <w:r w:rsidR="002F6F82">
        <w:rPr>
          <w:rFonts w:ascii="Times New Roman" w:hAnsi="Times New Roman" w:cs="Times New Roman"/>
          <w:sz w:val="24"/>
          <w:szCs w:val="24"/>
          <w:lang w:val="en-GB"/>
        </w:rPr>
        <w:t>is plan</w:t>
      </w:r>
      <w:r w:rsidRPr="00614438">
        <w:rPr>
          <w:rFonts w:ascii="Times New Roman" w:hAnsi="Times New Roman" w:cs="Times New Roman"/>
          <w:sz w:val="24"/>
          <w:szCs w:val="24"/>
          <w:lang w:val="en-GB"/>
        </w:rPr>
        <w:t xml:space="preserve"> </w:t>
      </w:r>
      <w:r w:rsidR="002F6F82">
        <w:rPr>
          <w:rFonts w:ascii="Times New Roman" w:hAnsi="Times New Roman" w:cs="Times New Roman"/>
          <w:sz w:val="24"/>
          <w:szCs w:val="24"/>
          <w:lang w:val="en-GB"/>
        </w:rPr>
        <w:t>defines</w:t>
      </w:r>
      <w:r w:rsidRPr="00614438">
        <w:rPr>
          <w:rFonts w:ascii="Times New Roman" w:hAnsi="Times New Roman" w:cs="Times New Roman"/>
          <w:sz w:val="24"/>
          <w:szCs w:val="24"/>
          <w:lang w:val="en-GB"/>
        </w:rPr>
        <w:t xml:space="preserve"> the procedures and steps to be undertaken by the main entities in Serbia responsible for taking action during an oil supply crisis. Those include the procedures and criteria for the identification of a supply disruption and the normalization of supply to the Serbian market. It also appoints the authorities being responsible for eliminating supply disruptions such as Governmental institutions in charge of energy and public and private entities in the oil and gas industry. In 2019, the Ministry of Mining and Energy submitted the Security of Supply Statement 2018 to the Energy Community Secretariat.</w:t>
      </w:r>
    </w:p>
    <w:p w14:paraId="6F2BC1E8" w14:textId="77777777" w:rsidR="00614438" w:rsidRPr="00614438" w:rsidRDefault="00614438" w:rsidP="00CB4992">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 xml:space="preserve">The Working Group (WG) for the review and monitoring the situation regarding security of energy and fuels supply in the Republic of Serbia has been appointed by the Ministry of Mining and Energy and operates since 2005. It consists of the representatives of Ministry in charge of energy, Energy Agency of the Republic of Serbia (AERS), </w:t>
      </w:r>
      <w:r w:rsidR="00CB4992" w:rsidRPr="00CB4992">
        <w:rPr>
          <w:rFonts w:ascii="Times New Roman" w:hAnsi="Times New Roman" w:cs="Times New Roman"/>
          <w:sz w:val="24"/>
          <w:szCs w:val="24"/>
          <w:lang w:val="en-GB"/>
        </w:rPr>
        <w:t>Joint Stock Company "Elektroprivreda Srbije", Belgrade, Joint Stock Company "Elektromreza Srbije", Elektrodistribucije Srbije d.o.o. Belgrade, Public Company "Srbijagas", Oil Industry of Serbia A.D. Novi Sad, the official association of Heating Plant</w:t>
      </w:r>
      <w:r w:rsidR="00CB4992">
        <w:rPr>
          <w:rFonts w:ascii="Times New Roman" w:hAnsi="Times New Roman" w:cs="Times New Roman"/>
          <w:sz w:val="24"/>
          <w:szCs w:val="24"/>
          <w:lang w:val="en-GB"/>
        </w:rPr>
        <w:t>s</w:t>
      </w:r>
      <w:r w:rsidR="00CB4992" w:rsidRPr="00CB4992">
        <w:rPr>
          <w:rFonts w:ascii="Times New Roman" w:hAnsi="Times New Roman" w:cs="Times New Roman"/>
          <w:sz w:val="24"/>
          <w:szCs w:val="24"/>
          <w:lang w:val="en-GB"/>
        </w:rPr>
        <w:t xml:space="preserve"> of Serbia, the Provincial Secretariat for Energy and Mineral Resources, the Secretariat for Energy of the City of Belgrade and "JKP Beogradske Elektrane Belgrade".</w:t>
      </w:r>
      <w:r w:rsidR="00CB4992">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Its mandate is to monitor the security of energy and energy sources supply, propose appropriate measures, prepare the basis for a report on the security of electricity and natural gas supply and propose measures in case of compromised security of customer supply or energy system operation, due to insufficient supply on the energy market or the occurrence of other extraordinary circumstances.</w:t>
      </w:r>
    </w:p>
    <w:p w14:paraId="7CBAE214" w14:textId="77777777" w:rsidR="00CB4992" w:rsidRDefault="00614438" w:rsidP="00CB4992">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Other relevant bodies in charge of energy security are the Administration for energy reserves within the MoME and the specifically formed Group for central storage body, as well as the Department for Energy within the Republic Directorate for Commodity Reserves. In line with the by-laws, </w:t>
      </w:r>
      <w:r w:rsidR="00CB4992">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Republic of Serbia has established the National Emergency Strategy Organization (NESO) that </w:t>
      </w:r>
      <w:r w:rsidR="00CB4992">
        <w:rPr>
          <w:rFonts w:ascii="Times New Roman" w:hAnsi="Times New Roman" w:cs="Times New Roman"/>
          <w:sz w:val="24"/>
          <w:szCs w:val="24"/>
          <w:lang w:val="en-GB"/>
        </w:rPr>
        <w:t>gives</w:t>
      </w:r>
      <w:r w:rsidRPr="00614438">
        <w:rPr>
          <w:rFonts w:ascii="Times New Roman" w:hAnsi="Times New Roman" w:cs="Times New Roman"/>
          <w:sz w:val="24"/>
          <w:szCs w:val="24"/>
          <w:lang w:val="en-GB"/>
        </w:rPr>
        <w:t xml:space="preserve"> the general framework for dealing with crisis situations in the oil sector, chaired by the State Secretary of the MoME and consisted of representatives from the Oil and Gas Sector within the MoME, as well as representatives </w:t>
      </w:r>
      <w:r w:rsidR="00CB4992" w:rsidRPr="00CB4992">
        <w:rPr>
          <w:rFonts w:ascii="Times New Roman" w:hAnsi="Times New Roman" w:cs="Times New Roman"/>
          <w:sz w:val="24"/>
          <w:szCs w:val="24"/>
          <w:lang w:val="en-GB"/>
        </w:rPr>
        <w:t>of the Republic Directorate for Commodity Reserves, the Republic Institute of Statistics, the Ministry of Internal and Foreign Trade, the Ministry of Finance, the Ministry of Internal Affairs, the Ministry of Construction, Transport and Infrastructure and oil companies operating on market of the Republic of Serbia.</w:t>
      </w:r>
    </w:p>
    <w:p w14:paraId="288022C3" w14:textId="77777777" w:rsidR="00614438" w:rsidRPr="00614438" w:rsidRDefault="00614438" w:rsidP="00CB4992">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accordance with the Articles 111 and 250 of the Law on Energy, the transmission system operators for electricity and natural gas are obliged to submit </w:t>
      </w:r>
      <w:r w:rsidR="00CB4992" w:rsidRPr="00CB4992">
        <w:rPr>
          <w:rFonts w:ascii="Times New Roman" w:hAnsi="Times New Roman" w:cs="Times New Roman"/>
          <w:sz w:val="24"/>
          <w:szCs w:val="24"/>
          <w:lang w:val="en-GB"/>
        </w:rPr>
        <w:t>to the Energy Agency for approval the ten-year plan for the development of the transmission system network for which they are in charge</w:t>
      </w:r>
      <w:r w:rsidRPr="00614438">
        <w:rPr>
          <w:rFonts w:ascii="Times New Roman" w:hAnsi="Times New Roman" w:cs="Times New Roman"/>
          <w:sz w:val="24"/>
          <w:szCs w:val="24"/>
          <w:lang w:val="en-GB"/>
        </w:rPr>
        <w:t>. Regarding the network development planning in the natural gas sector, there are two crucial ones</w:t>
      </w:r>
      <w:r w:rsidRPr="00614438">
        <w:rPr>
          <w:rFonts w:ascii="Times New Roman" w:hAnsi="Times New Roman" w:cs="Times New Roman"/>
          <w:sz w:val="24"/>
          <w:szCs w:val="24"/>
        </w:rPr>
        <w:t>,</w:t>
      </w:r>
      <w:r w:rsidRPr="00614438">
        <w:rPr>
          <w:rFonts w:ascii="Times New Roman" w:hAnsi="Times New Roman" w:cs="Times New Roman"/>
          <w:sz w:val="24"/>
          <w:szCs w:val="24"/>
          <w:lang w:val="en-GB"/>
        </w:rPr>
        <w:t xml:space="preserve"> </w:t>
      </w:r>
      <w:r w:rsidR="00CB4992">
        <w:rPr>
          <w:rFonts w:ascii="Times New Roman" w:hAnsi="Times New Roman" w:cs="Times New Roman"/>
          <w:sz w:val="24"/>
          <w:szCs w:val="24"/>
          <w:lang w:val="en-GB"/>
        </w:rPr>
        <w:t>namely:</w:t>
      </w:r>
      <w:r w:rsidRPr="00614438">
        <w:rPr>
          <w:rFonts w:ascii="Times New Roman" w:hAnsi="Times New Roman" w:cs="Times New Roman"/>
          <w:sz w:val="24"/>
          <w:szCs w:val="24"/>
          <w:lang w:val="en-GB"/>
        </w:rPr>
        <w:t xml:space="preserve"> Transport System Development Plan of Transportgas for period 202</w:t>
      </w:r>
      <w:r w:rsidR="00CB4992">
        <w:rPr>
          <w:rFonts w:ascii="Times New Roman" w:hAnsi="Times New Roman" w:cs="Times New Roman"/>
          <w:sz w:val="24"/>
          <w:szCs w:val="24"/>
          <w:lang w:val="en-GB"/>
        </w:rPr>
        <w:t>2</w:t>
      </w:r>
      <w:r w:rsidRPr="00614438">
        <w:rPr>
          <w:rFonts w:ascii="Times New Roman" w:hAnsi="Times New Roman" w:cs="Times New Roman"/>
          <w:sz w:val="24"/>
          <w:szCs w:val="24"/>
          <w:lang w:val="en-GB"/>
        </w:rPr>
        <w:t>-20</w:t>
      </w:r>
      <w:r w:rsidR="00CB4992">
        <w:rPr>
          <w:rFonts w:ascii="Times New Roman" w:hAnsi="Times New Roman" w:cs="Times New Roman"/>
          <w:sz w:val="24"/>
          <w:szCs w:val="24"/>
          <w:lang w:val="en-GB"/>
        </w:rPr>
        <w:t>31</w:t>
      </w:r>
      <w:r w:rsidRPr="00614438">
        <w:rPr>
          <w:rFonts w:ascii="Times New Roman" w:hAnsi="Times New Roman" w:cs="Times New Roman"/>
          <w:sz w:val="24"/>
          <w:szCs w:val="24"/>
          <w:lang w:val="en-GB"/>
        </w:rPr>
        <w:t xml:space="preserve"> and Transport System Development Plan of Yugorosgaz covering period 202</w:t>
      </w:r>
      <w:r w:rsidR="00CB4992">
        <w:rPr>
          <w:rFonts w:ascii="Times New Roman" w:hAnsi="Times New Roman" w:cs="Times New Roman"/>
          <w:sz w:val="24"/>
          <w:szCs w:val="24"/>
          <w:lang w:val="en-GB"/>
        </w:rPr>
        <w:t>3</w:t>
      </w:r>
      <w:r w:rsidRPr="00614438">
        <w:rPr>
          <w:rFonts w:ascii="Times New Roman" w:hAnsi="Times New Roman" w:cs="Times New Roman"/>
          <w:sz w:val="24"/>
          <w:szCs w:val="24"/>
          <w:lang w:val="en-GB"/>
        </w:rPr>
        <w:t>-203</w:t>
      </w:r>
      <w:r w:rsidR="00CB4992">
        <w:rPr>
          <w:rFonts w:ascii="Times New Roman" w:hAnsi="Times New Roman" w:cs="Times New Roman"/>
          <w:sz w:val="24"/>
          <w:szCs w:val="24"/>
          <w:lang w:val="en-GB"/>
        </w:rPr>
        <w:t>2</w:t>
      </w:r>
      <w:r w:rsidRPr="00614438">
        <w:rPr>
          <w:rFonts w:ascii="Times New Roman" w:hAnsi="Times New Roman" w:cs="Times New Roman"/>
          <w:sz w:val="24"/>
          <w:szCs w:val="24"/>
          <w:lang w:val="en-GB"/>
        </w:rPr>
        <w:t xml:space="preserve">. With respect to the electricity sector, </w:t>
      </w:r>
      <w:r w:rsidR="00CB4992">
        <w:rPr>
          <w:rFonts w:ascii="Times New Roman" w:hAnsi="Times New Roman" w:cs="Times New Roman"/>
          <w:sz w:val="24"/>
          <w:szCs w:val="24"/>
          <w:lang w:val="en-GB"/>
        </w:rPr>
        <w:t xml:space="preserve">the Energy Agency approved the </w:t>
      </w:r>
      <w:r w:rsidRPr="00614438">
        <w:rPr>
          <w:rFonts w:ascii="Times New Roman" w:hAnsi="Times New Roman" w:cs="Times New Roman"/>
          <w:sz w:val="24"/>
          <w:szCs w:val="24"/>
          <w:lang w:val="en-GB"/>
        </w:rPr>
        <w:t xml:space="preserve">Transmission System Development Plan for period 2021-2030 </w:t>
      </w:r>
      <w:r w:rsidR="00CB4992">
        <w:rPr>
          <w:rFonts w:ascii="Times New Roman" w:hAnsi="Times New Roman" w:cs="Times New Roman"/>
          <w:sz w:val="24"/>
          <w:szCs w:val="24"/>
          <w:lang w:val="en-GB"/>
        </w:rPr>
        <w:t>and the</w:t>
      </w:r>
      <w:r w:rsidRPr="00614438">
        <w:rPr>
          <w:rFonts w:ascii="Times New Roman" w:hAnsi="Times New Roman" w:cs="Times New Roman"/>
          <w:sz w:val="24"/>
          <w:szCs w:val="24"/>
          <w:lang w:val="en-GB"/>
        </w:rPr>
        <w:t xml:space="preserve"> Distribution System Development Plan for period 2021-2030. Furthermore, in accordance with the Article 325 of the Law on Energy, energy entities that transport oil by pipelines are obliged to adopt five-year development plans.</w:t>
      </w:r>
    </w:p>
    <w:p w14:paraId="56C2524E" w14:textId="77777777" w:rsidR="00614438" w:rsidRPr="00614438" w:rsidRDefault="00E1445C" w:rsidP="00CB4992">
      <w:pPr>
        <w:ind w:firstLine="360"/>
        <w:jc w:val="both"/>
        <w:rPr>
          <w:rFonts w:ascii="Times New Roman" w:hAnsi="Times New Roman" w:cs="Times New Roman"/>
          <w:sz w:val="24"/>
          <w:szCs w:val="24"/>
          <w:lang w:val="en-GB"/>
        </w:rPr>
      </w:pPr>
      <w:r>
        <w:rPr>
          <w:rFonts w:ascii="Times New Roman" w:hAnsi="Times New Roman" w:cs="Times New Roman"/>
          <w:sz w:val="24"/>
          <w:szCs w:val="24"/>
          <w:lang w:val="en-GB"/>
        </w:rPr>
        <w:t>In June 2023, t</w:t>
      </w:r>
      <w:r w:rsidR="00614438" w:rsidRPr="00614438">
        <w:rPr>
          <w:rFonts w:ascii="Times New Roman" w:hAnsi="Times New Roman" w:cs="Times New Roman"/>
          <w:sz w:val="24"/>
          <w:szCs w:val="24"/>
          <w:lang w:val="en-GB"/>
        </w:rPr>
        <w:t>he Government of the Republic of Serbia adopted Conclusion on the acceptance of the Starting points of the Plan for the development of energy infrastructure and energy efficiency measures for the period up to 2028</w:t>
      </w:r>
      <w:r>
        <w:rPr>
          <w:rFonts w:ascii="Times New Roman" w:hAnsi="Times New Roman" w:cs="Times New Roman"/>
          <w:sz w:val="24"/>
          <w:szCs w:val="24"/>
          <w:lang w:val="en-GB"/>
        </w:rPr>
        <w:t>,</w:t>
      </w:r>
      <w:r w:rsidR="00614438" w:rsidRPr="00614438">
        <w:rPr>
          <w:rFonts w:ascii="Times New Roman" w:hAnsi="Times New Roman" w:cs="Times New Roman"/>
          <w:sz w:val="24"/>
          <w:szCs w:val="24"/>
          <w:lang w:val="en-GB"/>
        </w:rPr>
        <w:t xml:space="preserve"> with projections up to 2030, which defines key goals in all areas of the energy sector: electricity production, transmission and distribution network, natural gas sector, oil and oil derivatives sector and energy efficiency. The main goal of the plan is to define the basic directions of strategic development that will be part of the new Energy Sector Development Strategy of the Republic of Serbia, which </w:t>
      </w:r>
      <w:r>
        <w:rPr>
          <w:rFonts w:ascii="Times New Roman" w:hAnsi="Times New Roman" w:cs="Times New Roman"/>
          <w:sz w:val="24"/>
          <w:szCs w:val="24"/>
          <w:lang w:val="en-GB"/>
        </w:rPr>
        <w:t xml:space="preserve">should </w:t>
      </w:r>
      <w:r w:rsidR="00614438" w:rsidRPr="00614438">
        <w:rPr>
          <w:rFonts w:ascii="Times New Roman" w:hAnsi="Times New Roman" w:cs="Times New Roman"/>
          <w:sz w:val="24"/>
          <w:szCs w:val="24"/>
          <w:lang w:val="en-GB"/>
        </w:rPr>
        <w:t>be adopted by the end of 2023. The emphasis of the plan is on understanding the degree of realization of projects foreseen by the valid Energy Sector Development Strategy of the Republic of Serbia until 2025</w:t>
      </w:r>
      <w:r>
        <w:rPr>
          <w:rFonts w:ascii="Times New Roman" w:hAnsi="Times New Roman" w:cs="Times New Roman"/>
          <w:sz w:val="24"/>
          <w:szCs w:val="24"/>
          <w:lang w:val="en-GB"/>
        </w:rPr>
        <w:t>,</w:t>
      </w:r>
      <w:r w:rsidR="00614438" w:rsidRPr="00614438">
        <w:rPr>
          <w:rFonts w:ascii="Times New Roman" w:hAnsi="Times New Roman" w:cs="Times New Roman"/>
          <w:sz w:val="24"/>
          <w:szCs w:val="24"/>
          <w:lang w:val="en-GB"/>
        </w:rPr>
        <w:t xml:space="preserve"> with projections until 2030</w:t>
      </w:r>
      <w:r>
        <w:rPr>
          <w:rFonts w:ascii="Times New Roman" w:hAnsi="Times New Roman" w:cs="Times New Roman"/>
          <w:sz w:val="24"/>
          <w:szCs w:val="24"/>
          <w:lang w:val="en-GB"/>
        </w:rPr>
        <w:t xml:space="preserve"> (“Official Gazette of RS</w:t>
      </w:r>
      <w:r w:rsidR="004119A9">
        <w:rPr>
          <w:rFonts w:ascii="Times New Roman" w:hAnsi="Times New Roman" w:cs="Times New Roman"/>
          <w:sz w:val="24"/>
          <w:szCs w:val="24"/>
          <w:lang w:val="en-GB"/>
        </w:rPr>
        <w:t>”</w:t>
      </w:r>
      <w:r>
        <w:rPr>
          <w:rFonts w:ascii="Times New Roman" w:hAnsi="Times New Roman" w:cs="Times New Roman"/>
          <w:sz w:val="24"/>
          <w:szCs w:val="24"/>
          <w:lang w:val="en-GB"/>
        </w:rPr>
        <w:t>, no. 101/15)</w:t>
      </w:r>
      <w:r w:rsidR="00614438" w:rsidRPr="00614438">
        <w:rPr>
          <w:rFonts w:ascii="Times New Roman" w:hAnsi="Times New Roman" w:cs="Times New Roman"/>
          <w:sz w:val="24"/>
          <w:szCs w:val="24"/>
          <w:lang w:val="en-GB"/>
        </w:rPr>
        <w:t>, on the identification of new projects and consumption projections until 2040 with projections until 2050.</w:t>
      </w:r>
    </w:p>
    <w:p w14:paraId="77DC4E67" w14:textId="77777777" w:rsidR="00614438" w:rsidRPr="00614438" w:rsidRDefault="00614438" w:rsidP="00E1445C">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Regarding the emerging security issue, cyber security in energy sector is effectively implemented through the concept of information and communication (ICT) systems of special importance, set by the Law on Information Security</w:t>
      </w:r>
      <w:r w:rsidR="00023361">
        <w:rPr>
          <w:rFonts w:ascii="Times New Roman" w:hAnsi="Times New Roman" w:cs="Times New Roman"/>
          <w:sz w:val="24"/>
          <w:szCs w:val="24"/>
          <w:lang w:val="en-GB"/>
        </w:rPr>
        <w:t xml:space="preserve"> (“Official Gazette of RS</w:t>
      </w:r>
      <w:r w:rsidR="004119A9">
        <w:rPr>
          <w:rFonts w:ascii="Times New Roman" w:hAnsi="Times New Roman" w:cs="Times New Roman"/>
          <w:sz w:val="24"/>
          <w:szCs w:val="24"/>
          <w:lang w:val="en-GB"/>
        </w:rPr>
        <w:t>”</w:t>
      </w:r>
      <w:r w:rsidR="00023361">
        <w:rPr>
          <w:rFonts w:ascii="Times New Roman" w:hAnsi="Times New Roman" w:cs="Times New Roman"/>
          <w:sz w:val="24"/>
          <w:szCs w:val="24"/>
          <w:lang w:val="en-GB"/>
        </w:rPr>
        <w:t>, no. 06/16, 94/17 and 77/19)</w:t>
      </w:r>
      <w:r w:rsidR="00023361" w:rsidRPr="00614438">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in 2016 as </w:t>
      </w:r>
      <w:r w:rsidRPr="00614438">
        <w:rPr>
          <w:rFonts w:ascii="Times New Roman" w:hAnsi="Times New Roman" w:cs="Times New Roman"/>
          <w:sz w:val="24"/>
          <w:szCs w:val="24"/>
          <w:lang w:val="en-GB"/>
        </w:rPr>
        <w:lastRenderedPageBreak/>
        <w:t>the comprehensive overall legal and institutional framework for cybersecurity. Alongside with the Law, the Decree on determining the List of activities in areas where activities of general interest are performed and in which information and communication systems of special importance are used</w:t>
      </w:r>
      <w:r w:rsidR="00023361">
        <w:rPr>
          <w:rFonts w:ascii="Times New Roman" w:hAnsi="Times New Roman" w:cs="Times New Roman"/>
          <w:sz w:val="24"/>
          <w:szCs w:val="24"/>
          <w:lang w:val="en-GB"/>
        </w:rPr>
        <w:t xml:space="preserve"> (“Official Gazette of RS</w:t>
      </w:r>
      <w:r w:rsidR="004119A9">
        <w:rPr>
          <w:rFonts w:ascii="Times New Roman" w:hAnsi="Times New Roman" w:cs="Times New Roman"/>
          <w:sz w:val="24"/>
          <w:szCs w:val="24"/>
          <w:lang w:val="en-GB"/>
        </w:rPr>
        <w:t>”</w:t>
      </w:r>
      <w:r w:rsidR="00023361">
        <w:rPr>
          <w:rFonts w:ascii="Times New Roman" w:hAnsi="Times New Roman" w:cs="Times New Roman"/>
          <w:sz w:val="24"/>
          <w:szCs w:val="24"/>
          <w:lang w:val="en-GB"/>
        </w:rPr>
        <w:t>, no. 94/16)</w:t>
      </w:r>
      <w:r w:rsidR="00023361" w:rsidRPr="00614438">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 xml:space="preserve">emphasizes the energy sector as being one of those essential areas and </w:t>
      </w:r>
      <w:r w:rsidR="00023361">
        <w:rPr>
          <w:rFonts w:ascii="Times New Roman" w:hAnsi="Times New Roman" w:cs="Times New Roman"/>
          <w:sz w:val="24"/>
          <w:szCs w:val="24"/>
          <w:lang w:val="en-GB"/>
        </w:rPr>
        <w:t>names</w:t>
      </w:r>
      <w:r w:rsidRPr="00614438">
        <w:rPr>
          <w:rFonts w:ascii="Times New Roman" w:hAnsi="Times New Roman" w:cs="Times New Roman"/>
          <w:sz w:val="24"/>
          <w:szCs w:val="24"/>
          <w:lang w:val="en-GB"/>
        </w:rPr>
        <w:t xml:space="preserve"> activities such as electricity generation, transmission and distribution; exploration, exploitation, refining, transport and distribution of oil and oil derivatives; exploration, exploitation, refining, transport and distribution of natural gas and liquefied gas; coal production and processing. The Strategy for Development of Information Security in the Republic of Serbia for the period 2017 – 2020</w:t>
      </w:r>
      <w:r w:rsidR="00023361">
        <w:rPr>
          <w:rFonts w:ascii="Times New Roman" w:hAnsi="Times New Roman" w:cs="Times New Roman"/>
          <w:sz w:val="24"/>
          <w:szCs w:val="24"/>
          <w:lang w:val="en-GB"/>
        </w:rPr>
        <w:t xml:space="preserve"> (“Official Gazette of RS</w:t>
      </w:r>
      <w:r w:rsidR="004119A9">
        <w:rPr>
          <w:rFonts w:ascii="Times New Roman" w:hAnsi="Times New Roman" w:cs="Times New Roman"/>
          <w:sz w:val="24"/>
          <w:szCs w:val="24"/>
          <w:lang w:val="en-GB"/>
        </w:rPr>
        <w:t>”</w:t>
      </w:r>
      <w:r w:rsidR="00023361">
        <w:rPr>
          <w:rFonts w:ascii="Times New Roman" w:hAnsi="Times New Roman" w:cs="Times New Roman"/>
          <w:sz w:val="24"/>
          <w:szCs w:val="24"/>
          <w:lang w:val="en-GB"/>
        </w:rPr>
        <w:t>, no. 53/17)</w:t>
      </w:r>
      <w:r w:rsidRPr="00614438">
        <w:rPr>
          <w:rFonts w:ascii="Times New Roman" w:hAnsi="Times New Roman" w:cs="Times New Roman"/>
          <w:sz w:val="24"/>
          <w:szCs w:val="24"/>
          <w:lang w:val="en-GB"/>
        </w:rPr>
        <w:t xml:space="preserve"> is linked to the implementation of Directive 2016/1148/EC, introduces the principles and defines the objectives in security of the ICT systems of special importance, as well as fights against cybercrime. However, there were no energy-specific policies identified in the Strategy.</w:t>
      </w:r>
    </w:p>
    <w:p w14:paraId="59B8BDFA" w14:textId="77777777" w:rsidR="00614438" w:rsidRPr="00614438" w:rsidRDefault="00614438" w:rsidP="00023361">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Risk assessment is defined in the Law on Information Security and in the Regulation on More Detailed Contents of Enhancement on Security of ICT of Special Significance</w:t>
      </w:r>
      <w:r w:rsidR="00221974">
        <w:rPr>
          <w:rFonts w:ascii="Times New Roman" w:hAnsi="Times New Roman" w:cs="Times New Roman"/>
          <w:sz w:val="24"/>
          <w:szCs w:val="24"/>
          <w:lang w:val="en-GB"/>
        </w:rPr>
        <w:t xml:space="preserve"> (“Official Gazette of RS</w:t>
      </w:r>
      <w:r w:rsidR="004119A9">
        <w:rPr>
          <w:rFonts w:ascii="Times New Roman" w:hAnsi="Times New Roman" w:cs="Times New Roman"/>
          <w:sz w:val="24"/>
          <w:szCs w:val="24"/>
          <w:lang w:val="en-GB"/>
        </w:rPr>
        <w:t>”</w:t>
      </w:r>
      <w:r w:rsidR="00221974">
        <w:rPr>
          <w:rFonts w:ascii="Times New Roman" w:hAnsi="Times New Roman" w:cs="Times New Roman"/>
          <w:sz w:val="24"/>
          <w:szCs w:val="24"/>
          <w:lang w:val="en-GB"/>
        </w:rPr>
        <w:t>, no. 94/16)</w:t>
      </w:r>
      <w:r w:rsidRPr="00614438">
        <w:rPr>
          <w:rFonts w:ascii="Times New Roman" w:hAnsi="Times New Roman" w:cs="Times New Roman"/>
          <w:sz w:val="24"/>
          <w:szCs w:val="24"/>
          <w:lang w:val="en-GB"/>
        </w:rPr>
        <w:t>.</w:t>
      </w:r>
      <w:r w:rsidR="00221974">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It is performed by the national computer emergency response team (SRB-CERT), responsible for the energy sector, operating within the Regulatory Agency for Electronic Communications and Postal Services. One of the main drawbacks of the risk assessment is the lack of consideration of cross-border component.</w:t>
      </w:r>
    </w:p>
    <w:p w14:paraId="1F5D03B4" w14:textId="77777777" w:rsidR="00221974" w:rsidRDefault="00614438" w:rsidP="00221974">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Starting in 2019, inspection and supervision of information and communications technologies (ICT) has been performed on an annual basis by the Department for Information Security and Electronic Business within the Sector of Information Society and Information Security of the Ministry of Trade, Tourism and Telecommunications. </w:t>
      </w:r>
    </w:p>
    <w:p w14:paraId="4E63C8BC" w14:textId="77777777" w:rsidR="00614438" w:rsidRPr="00614438" w:rsidRDefault="00614438" w:rsidP="00221974">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w:t>
      </w:r>
      <w:r w:rsidR="00221974">
        <w:rPr>
          <w:rFonts w:ascii="Times New Roman" w:hAnsi="Times New Roman" w:cs="Times New Roman"/>
          <w:sz w:val="24"/>
          <w:szCs w:val="24"/>
          <w:lang w:val="en-GB"/>
        </w:rPr>
        <w:t xml:space="preserve">the Republic of </w:t>
      </w:r>
      <w:r w:rsidRPr="00614438">
        <w:rPr>
          <w:rFonts w:ascii="Times New Roman" w:hAnsi="Times New Roman" w:cs="Times New Roman"/>
          <w:sz w:val="24"/>
          <w:szCs w:val="24"/>
          <w:lang w:val="en-GB"/>
        </w:rPr>
        <w:t>Serbia, the Law prohibiting construction of nuclear power plants in the Federal Republic of Yugoslavia</w:t>
      </w:r>
      <w:r w:rsidR="00221974">
        <w:rPr>
          <w:rFonts w:ascii="Times New Roman" w:hAnsi="Times New Roman" w:cs="Times New Roman"/>
          <w:sz w:val="24"/>
          <w:szCs w:val="24"/>
          <w:lang w:val="en-GB"/>
        </w:rPr>
        <w:t xml:space="preserve"> (“Official Gazette of FRY”, no. 12/95 and “Official Gazette of RS”, no 85/05 – as amended)</w:t>
      </w:r>
      <w:r w:rsidRPr="00614438">
        <w:rPr>
          <w:rFonts w:ascii="Times New Roman" w:hAnsi="Times New Roman" w:cs="Times New Roman"/>
          <w:sz w:val="24"/>
          <w:szCs w:val="24"/>
          <w:lang w:val="en-GB"/>
        </w:rPr>
        <w:t xml:space="preserve"> is in force, which prohibits making investment decisions, preparation of investment programmes and technical documentation for the construction of nuclear power plants, nuclear fuel fabrication facilities and the facilities to reprocess spent nuclear fuel for nuclear power plants. The provisions of the Law do not pertain to any scientific research and development activities, mining and geological research activities, geological and seismic research</w:t>
      </w:r>
      <w:r w:rsidRPr="00614438">
        <w:rPr>
          <w:rFonts w:ascii="Times New Roman" w:hAnsi="Times New Roman" w:cs="Times New Roman"/>
          <w:sz w:val="24"/>
          <w:szCs w:val="24"/>
        </w:rPr>
        <w:t>,</w:t>
      </w:r>
      <w:r w:rsidRPr="00614438">
        <w:rPr>
          <w:rFonts w:ascii="Times New Roman" w:hAnsi="Times New Roman" w:cs="Times New Roman"/>
          <w:sz w:val="24"/>
          <w:szCs w:val="24"/>
          <w:lang w:val="en-GB"/>
        </w:rPr>
        <w:t xml:space="preserve"> and staff education in the field of nuclear energy development.</w:t>
      </w:r>
    </w:p>
    <w:p w14:paraId="6518C4EA" w14:textId="77777777" w:rsidR="00614438" w:rsidRPr="00614438" w:rsidRDefault="00614438" w:rsidP="00221974">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Research, Innovation and Competitiveness</w:t>
      </w:r>
    </w:p>
    <w:p w14:paraId="02471F13" w14:textId="77777777" w:rsidR="00614438" w:rsidRPr="00614438" w:rsidRDefault="00221974" w:rsidP="00221974">
      <w:pPr>
        <w:ind w:firstLine="360"/>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w:t>
      </w:r>
      <w:r w:rsidR="00614438" w:rsidRPr="00614438">
        <w:rPr>
          <w:rFonts w:ascii="Times New Roman" w:hAnsi="Times New Roman" w:cs="Times New Roman"/>
          <w:sz w:val="24"/>
          <w:szCs w:val="24"/>
          <w:lang w:val="en-GB"/>
        </w:rPr>
        <w:t xml:space="preserve">Republic of Serbia’s strategic and legislative framework in the area of science, research and innovation is in line with the </w:t>
      </w:r>
      <w:r w:rsidR="008D5FD7">
        <w:rPr>
          <w:rFonts w:ascii="Times New Roman" w:hAnsi="Times New Roman" w:cs="Times New Roman"/>
          <w:sz w:val="24"/>
          <w:szCs w:val="24"/>
          <w:lang w:val="en-GB"/>
        </w:rPr>
        <w:t xml:space="preserve">legal Acquis of the </w:t>
      </w:r>
      <w:r w:rsidR="00614438" w:rsidRPr="00614438">
        <w:rPr>
          <w:rFonts w:ascii="Times New Roman" w:hAnsi="Times New Roman" w:cs="Times New Roman"/>
          <w:sz w:val="24"/>
          <w:szCs w:val="24"/>
          <w:lang w:val="en-GB"/>
        </w:rPr>
        <w:t>EU. In 2016, Serbia opened the Negotiating Chapter 25: Science and Research within the pre-accession negotiation process with the European Union and then temporarily provisionally closed it, becoming the first chapter the Serbia successfully closed in negotiations with the EU. In the same year, the Strategy of Scientific and Technological Development of the Republic of Serbia for the period from 2016 to 2020 – “Research for Innovation”</w:t>
      </w:r>
      <w:r w:rsidR="008D5FD7">
        <w:rPr>
          <w:rFonts w:ascii="Times New Roman" w:hAnsi="Times New Roman" w:cs="Times New Roman"/>
          <w:sz w:val="24"/>
          <w:szCs w:val="24"/>
          <w:lang w:val="en-GB"/>
        </w:rPr>
        <w:t xml:space="preserve"> (“Official Gazette of RS</w:t>
      </w:r>
      <w:r w:rsidR="004119A9">
        <w:rPr>
          <w:rFonts w:ascii="Times New Roman" w:hAnsi="Times New Roman" w:cs="Times New Roman"/>
          <w:sz w:val="24"/>
          <w:szCs w:val="24"/>
          <w:lang w:val="en-GB"/>
        </w:rPr>
        <w:t>”</w:t>
      </w:r>
      <w:r w:rsidR="008D5FD7">
        <w:rPr>
          <w:rFonts w:ascii="Times New Roman" w:hAnsi="Times New Roman" w:cs="Times New Roman"/>
          <w:sz w:val="24"/>
          <w:szCs w:val="24"/>
          <w:lang w:val="en-GB"/>
        </w:rPr>
        <w:t xml:space="preserve">, no. 25/16) </w:t>
      </w:r>
      <w:r w:rsidR="00614438" w:rsidRPr="00614438">
        <w:rPr>
          <w:rFonts w:ascii="Times New Roman" w:hAnsi="Times New Roman" w:cs="Times New Roman"/>
          <w:sz w:val="24"/>
          <w:szCs w:val="24"/>
          <w:lang w:val="en-GB"/>
        </w:rPr>
        <w:t xml:space="preserve">was adopted. Also, the Smart Specialization Strategy of Serbia (4S) development process was formally initiated in late 2016 by the Ministry of Education, Science and Technological Development and the Public Policy Secretariat of the Republic of Serbia, as a starting transformative step. Following that, Serbia became the first non-EU country to join the Platform of Countries and Regions that have entered into the Smart Specialization Strategy and finally, Serbia has applied </w:t>
      </w:r>
      <w:r w:rsidR="008D5FD7">
        <w:rPr>
          <w:rFonts w:ascii="Times New Roman" w:hAnsi="Times New Roman" w:cs="Times New Roman"/>
          <w:sz w:val="24"/>
          <w:szCs w:val="24"/>
          <w:lang w:val="en-GB"/>
        </w:rPr>
        <w:t xml:space="preserve">a </w:t>
      </w:r>
      <w:r w:rsidR="00614438" w:rsidRPr="00614438">
        <w:rPr>
          <w:rFonts w:ascii="Times New Roman" w:hAnsi="Times New Roman" w:cs="Times New Roman"/>
          <w:sz w:val="24"/>
          <w:szCs w:val="24"/>
          <w:lang w:val="en-GB"/>
        </w:rPr>
        <w:t>new paradigm of innovation policy and smart specialisation development approach, by the adoption of Smart Specialization Strategy of Serbia (4S) for the period 2020 to 2027</w:t>
      </w:r>
      <w:r w:rsidR="008D5FD7">
        <w:rPr>
          <w:rFonts w:ascii="Times New Roman" w:hAnsi="Times New Roman" w:cs="Times New Roman"/>
          <w:sz w:val="24"/>
          <w:szCs w:val="24"/>
          <w:lang w:val="en-GB"/>
        </w:rPr>
        <w:t xml:space="preserve"> (“Official Gazette of RS</w:t>
      </w:r>
      <w:r w:rsidR="004119A9">
        <w:rPr>
          <w:rFonts w:ascii="Times New Roman" w:hAnsi="Times New Roman" w:cs="Times New Roman"/>
          <w:sz w:val="24"/>
          <w:szCs w:val="24"/>
          <w:lang w:val="en-GB"/>
        </w:rPr>
        <w:t>”</w:t>
      </w:r>
      <w:r w:rsidR="008D5FD7">
        <w:rPr>
          <w:rFonts w:ascii="Times New Roman" w:hAnsi="Times New Roman" w:cs="Times New Roman"/>
          <w:sz w:val="24"/>
          <w:szCs w:val="24"/>
          <w:lang w:val="en-GB"/>
        </w:rPr>
        <w:t>, no. 21/20 and 96/23)</w:t>
      </w:r>
      <w:r w:rsidR="00614438" w:rsidRPr="00614438">
        <w:rPr>
          <w:rFonts w:ascii="Times New Roman" w:hAnsi="Times New Roman" w:cs="Times New Roman"/>
          <w:sz w:val="24"/>
          <w:szCs w:val="24"/>
          <w:lang w:val="en-GB"/>
        </w:rPr>
        <w:t>.</w:t>
      </w:r>
    </w:p>
    <w:p w14:paraId="7D7FDC1D" w14:textId="77777777" w:rsidR="00614438" w:rsidRPr="00614438" w:rsidRDefault="00614438" w:rsidP="008D5FD7">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The general vision of this strategic document is to support the development of a smart and creative Republic of Serbia, highly competitive in the world, recognized by its knowledge-based innovations, partnerships from domestic ecosystem and creativity of individuals in areas of sustainable high-technology production of high value-added food for the future, sophisticated software solutions for global market and inter-sectoral-based industrial innovations. General vision means that as of 2027, the Serbian economy will to a great extent be based on knowledge and innovations and include crucial priority strategy areas supported to create greater competitiveness and better positions in global supply chains. Thus, the key pillars of this strategy are science, competitiveness, education, communication and digitalization, and agriculture.</w:t>
      </w:r>
    </w:p>
    <w:p w14:paraId="2D2C37EE" w14:textId="77777777" w:rsidR="00614438" w:rsidRPr="00614438" w:rsidRDefault="00614438" w:rsidP="004119A9">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the period </w:t>
      </w:r>
      <w:r w:rsidR="004119A9">
        <w:rPr>
          <w:rFonts w:ascii="Times New Roman" w:hAnsi="Times New Roman" w:cs="Times New Roman"/>
          <w:sz w:val="24"/>
          <w:szCs w:val="24"/>
          <w:lang w:val="en-GB"/>
        </w:rPr>
        <w:t>since</w:t>
      </w:r>
      <w:r w:rsidRPr="00614438">
        <w:rPr>
          <w:rFonts w:ascii="Times New Roman" w:hAnsi="Times New Roman" w:cs="Times New Roman"/>
          <w:sz w:val="24"/>
          <w:szCs w:val="24"/>
          <w:lang w:val="en-GB"/>
        </w:rPr>
        <w:t xml:space="preserve"> the adoption of the strategy titled "Research for Innovation", a number of envisaged measures </w:t>
      </w:r>
      <w:r w:rsidR="004119A9">
        <w:rPr>
          <w:rFonts w:ascii="Times New Roman" w:hAnsi="Times New Roman" w:cs="Times New Roman"/>
          <w:sz w:val="24"/>
          <w:szCs w:val="24"/>
          <w:lang w:val="en-GB"/>
        </w:rPr>
        <w:t>have been</w:t>
      </w:r>
      <w:r w:rsidRPr="00614438">
        <w:rPr>
          <w:rFonts w:ascii="Times New Roman" w:hAnsi="Times New Roman" w:cs="Times New Roman"/>
          <w:sz w:val="24"/>
          <w:szCs w:val="24"/>
          <w:lang w:val="en-GB"/>
        </w:rPr>
        <w:t xml:space="preserve"> implemented, such as </w:t>
      </w:r>
      <w:r w:rsidR="004119A9">
        <w:rPr>
          <w:rFonts w:ascii="Times New Roman" w:hAnsi="Times New Roman" w:cs="Times New Roman"/>
          <w:sz w:val="24"/>
          <w:szCs w:val="24"/>
          <w:lang w:val="en-GB"/>
        </w:rPr>
        <w:t>the</w:t>
      </w:r>
      <w:r w:rsidRPr="00614438">
        <w:rPr>
          <w:rFonts w:ascii="Times New Roman" w:hAnsi="Times New Roman" w:cs="Times New Roman"/>
          <w:sz w:val="24"/>
          <w:szCs w:val="24"/>
          <w:lang w:val="en-GB"/>
        </w:rPr>
        <w:t xml:space="preserve"> adoption of the Law on the Science Fund</w:t>
      </w:r>
      <w:r w:rsidR="004119A9">
        <w:rPr>
          <w:rFonts w:ascii="Times New Roman" w:hAnsi="Times New Roman" w:cs="Times New Roman"/>
          <w:sz w:val="24"/>
          <w:szCs w:val="24"/>
          <w:lang w:val="en-GB"/>
        </w:rPr>
        <w:t xml:space="preserve"> (“Official Gazette of RS”, no. 95/18)</w:t>
      </w:r>
      <w:r w:rsidRPr="00614438">
        <w:rPr>
          <w:rFonts w:ascii="Times New Roman" w:hAnsi="Times New Roman" w:cs="Times New Roman"/>
          <w:sz w:val="24"/>
          <w:szCs w:val="24"/>
          <w:lang w:val="en-GB"/>
        </w:rPr>
        <w:t xml:space="preserve"> and the Law on Science and Research</w:t>
      </w:r>
      <w:r w:rsidR="004119A9">
        <w:rPr>
          <w:rFonts w:ascii="Times New Roman" w:hAnsi="Times New Roman" w:cs="Times New Roman"/>
          <w:sz w:val="24"/>
          <w:szCs w:val="24"/>
          <w:lang w:val="en-GB"/>
        </w:rPr>
        <w:t xml:space="preserve"> (“Official Gazette of RS”, no. 49/19)</w:t>
      </w:r>
      <w:r w:rsidRPr="00614438">
        <w:rPr>
          <w:rFonts w:ascii="Times New Roman" w:hAnsi="Times New Roman" w:cs="Times New Roman"/>
          <w:sz w:val="24"/>
          <w:szCs w:val="24"/>
          <w:lang w:val="en-GB"/>
        </w:rPr>
        <w:t xml:space="preserve">, </w:t>
      </w:r>
      <w:r w:rsidR="004119A9">
        <w:rPr>
          <w:rFonts w:ascii="Times New Roman" w:hAnsi="Times New Roman" w:cs="Times New Roman"/>
          <w:sz w:val="24"/>
          <w:szCs w:val="24"/>
          <w:lang w:val="en-GB"/>
        </w:rPr>
        <w:t>which</w:t>
      </w:r>
      <w:r w:rsidRPr="00614438">
        <w:rPr>
          <w:rFonts w:ascii="Times New Roman" w:hAnsi="Times New Roman" w:cs="Times New Roman"/>
          <w:sz w:val="24"/>
          <w:szCs w:val="24"/>
          <w:lang w:val="en-GB"/>
        </w:rPr>
        <w:t xml:space="preserve"> ha</w:t>
      </w:r>
      <w:r w:rsidR="004119A9">
        <w:rPr>
          <w:rFonts w:ascii="Times New Roman" w:hAnsi="Times New Roman" w:cs="Times New Roman"/>
          <w:sz w:val="24"/>
          <w:szCs w:val="24"/>
          <w:lang w:val="en-GB"/>
        </w:rPr>
        <w:t>ve</w:t>
      </w:r>
      <w:r w:rsidRPr="00614438">
        <w:rPr>
          <w:rFonts w:ascii="Times New Roman" w:hAnsi="Times New Roman" w:cs="Times New Roman"/>
          <w:sz w:val="24"/>
          <w:szCs w:val="24"/>
          <w:lang w:val="en-GB"/>
        </w:rPr>
        <w:t xml:space="preserve"> </w:t>
      </w:r>
      <w:r w:rsidR="004119A9">
        <w:rPr>
          <w:rFonts w:ascii="Times New Roman" w:hAnsi="Times New Roman" w:cs="Times New Roman"/>
          <w:sz w:val="24"/>
          <w:szCs w:val="24"/>
          <w:lang w:val="en-GB"/>
        </w:rPr>
        <w:t>been</w:t>
      </w:r>
      <w:r w:rsidRPr="00614438">
        <w:rPr>
          <w:rFonts w:ascii="Times New Roman" w:hAnsi="Times New Roman" w:cs="Times New Roman"/>
          <w:sz w:val="24"/>
          <w:szCs w:val="24"/>
          <w:lang w:val="en-GB"/>
        </w:rPr>
        <w:t xml:space="preserve"> key steps in reforming the system of organization and financing of science. Those laws enabled implementation of a new model of financing research activities through institutional and competitive project financing. The establishment and operation of the Science Fund of the Republic of Serbia regulates and improves the area of support for scientific research, while the institutional support of the Government through the Innovation Fund has as goal to enable cooperation between investors and international donors to provide greater funding, to foster university-business cooperation in order to translate scientific achievements into real economy, and to encourage small and medium-sized enterprises engaged in innovation activities.</w:t>
      </w:r>
    </w:p>
    <w:p w14:paraId="146A6587" w14:textId="61A5CC3C" w:rsidR="00614438" w:rsidRPr="00614438" w:rsidRDefault="00614438" w:rsidP="004119A9">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Following that, the Strategy of Scientific and Technological Development of the Republic of Serbia for the period from 2021 to 2025 “The Power of Knowledge”</w:t>
      </w:r>
      <w:r w:rsidR="004119A9">
        <w:rPr>
          <w:rFonts w:ascii="Times New Roman" w:hAnsi="Times New Roman" w:cs="Times New Roman"/>
          <w:sz w:val="24"/>
          <w:szCs w:val="24"/>
          <w:lang w:val="en-GB"/>
        </w:rPr>
        <w:t xml:space="preserve"> (“Official Gazette of RS”, no. 10/20)</w:t>
      </w:r>
      <w:r w:rsidRPr="00614438">
        <w:rPr>
          <w:rFonts w:ascii="Times New Roman" w:hAnsi="Times New Roman" w:cs="Times New Roman"/>
          <w:sz w:val="24"/>
          <w:szCs w:val="24"/>
          <w:lang w:val="en-GB"/>
        </w:rPr>
        <w:t>, was prepared by the Ministry of</w:t>
      </w:r>
      <w:r w:rsidR="00B21B70">
        <w:rPr>
          <w:rFonts w:ascii="Times New Roman" w:hAnsi="Times New Roman" w:cs="Times New Roman"/>
          <w:sz w:val="24"/>
          <w:szCs w:val="24"/>
          <w:lang w:val="en-GB"/>
        </w:rPr>
        <w:t xml:space="preserve"> Science, </w:t>
      </w:r>
      <w:r w:rsidRPr="00614438">
        <w:rPr>
          <w:rFonts w:ascii="Times New Roman" w:hAnsi="Times New Roman" w:cs="Times New Roman"/>
          <w:sz w:val="24"/>
          <w:szCs w:val="24"/>
          <w:lang w:val="en-GB"/>
        </w:rPr>
        <w:t>Technological Development</w:t>
      </w:r>
      <w:r w:rsidR="00B21B70">
        <w:rPr>
          <w:rFonts w:ascii="Times New Roman" w:hAnsi="Times New Roman" w:cs="Times New Roman"/>
          <w:sz w:val="24"/>
          <w:szCs w:val="24"/>
          <w:lang w:val="en-GB"/>
        </w:rPr>
        <w:t xml:space="preserve"> and Innovation</w:t>
      </w:r>
      <w:r w:rsidRPr="00614438">
        <w:rPr>
          <w:rFonts w:ascii="Times New Roman" w:hAnsi="Times New Roman" w:cs="Times New Roman"/>
          <w:sz w:val="24"/>
          <w:szCs w:val="24"/>
          <w:lang w:val="en-GB"/>
        </w:rPr>
        <w:t>. An integral part of this strategy is the three-year period Action Plan for 2021-2023. The strategy aims to enable the acceleration of Serbia’s development and the country’s integration into the European research space through the upgrade of the science-technology and innovation system. The Industrial Policy Strategy from 2021 to 2030 that replaced the previous Strategy for the Development of Industry is extremely relevant to 4S and the overall objective of the new strategy is to raise competitiveness of the industry of the Republic of Serbia with a focus on industry-led development, which implies advanced production and high value-added services.</w:t>
      </w:r>
    </w:p>
    <w:p w14:paraId="50C5AB22" w14:textId="77777777" w:rsidR="00614438" w:rsidRPr="00614438" w:rsidRDefault="004119A9" w:rsidP="004119A9">
      <w:pPr>
        <w:ind w:firstLine="360"/>
        <w:jc w:val="both"/>
        <w:rPr>
          <w:rFonts w:ascii="Times New Roman" w:hAnsi="Times New Roman" w:cs="Times New Roman"/>
          <w:sz w:val="24"/>
          <w:szCs w:val="24"/>
          <w:lang w:val="en-GB"/>
        </w:rPr>
      </w:pPr>
      <w:r>
        <w:rPr>
          <w:rFonts w:ascii="Times New Roman" w:hAnsi="Times New Roman" w:cs="Times New Roman"/>
          <w:sz w:val="24"/>
          <w:szCs w:val="24"/>
          <w:lang w:val="en-GB"/>
        </w:rPr>
        <w:t>When it comes to</w:t>
      </w:r>
      <w:r w:rsidR="00614438" w:rsidRPr="00614438">
        <w:rPr>
          <w:rFonts w:ascii="Times New Roman" w:hAnsi="Times New Roman" w:cs="Times New Roman"/>
          <w:sz w:val="24"/>
          <w:szCs w:val="24"/>
          <w:lang w:val="en-GB"/>
        </w:rPr>
        <w:t xml:space="preserve"> national capacities and current state of development, </w:t>
      </w:r>
      <w:r>
        <w:rPr>
          <w:rFonts w:ascii="Times New Roman" w:hAnsi="Times New Roman" w:cs="Times New Roman"/>
          <w:sz w:val="24"/>
          <w:szCs w:val="24"/>
          <w:lang w:val="en-GB"/>
        </w:rPr>
        <w:t xml:space="preserve">the </w:t>
      </w:r>
      <w:r w:rsidR="00614438" w:rsidRPr="00614438">
        <w:rPr>
          <w:rFonts w:ascii="Times New Roman" w:hAnsi="Times New Roman" w:cs="Times New Roman"/>
          <w:sz w:val="24"/>
          <w:szCs w:val="24"/>
          <w:lang w:val="en-GB"/>
        </w:rPr>
        <w:t xml:space="preserve">Republic of Serbia has around 2,000 researchers per one million inhabitants, which is higher than other countries of the Western Balkans region, but less than </w:t>
      </w:r>
      <w:r>
        <w:rPr>
          <w:rFonts w:ascii="Times New Roman" w:hAnsi="Times New Roman" w:cs="Times New Roman"/>
          <w:sz w:val="24"/>
          <w:szCs w:val="24"/>
          <w:lang w:val="en-GB"/>
        </w:rPr>
        <w:t xml:space="preserve">the </w:t>
      </w:r>
      <w:r w:rsidR="00614438" w:rsidRPr="00614438">
        <w:rPr>
          <w:rFonts w:ascii="Times New Roman" w:hAnsi="Times New Roman" w:cs="Times New Roman"/>
          <w:sz w:val="24"/>
          <w:szCs w:val="24"/>
          <w:lang w:val="en-GB"/>
        </w:rPr>
        <w:t>developed EU countries in the region. In total, there are around 15,000 researchers officially and this number has been constantly rising. Given that the greatest number of researchers are in the public sector, such as institutions of higher education and institutes, the number of researchers has been stagnant since 2016 and even a mild decrease has been registered.</w:t>
      </w:r>
    </w:p>
    <w:p w14:paraId="4A430EF1" w14:textId="6D5CB6C7" w:rsidR="00614438" w:rsidRPr="00614438" w:rsidRDefault="00614438" w:rsidP="004119A9">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More than half of business entities in Serbia have been characterized as innovative with a significant upward trend in the number of innovative enterprises in the last couple of years. Enterprises, on the other hand, invest very little in R&amp;</w:t>
      </w:r>
      <w:r w:rsidR="00EA3B24">
        <w:rPr>
          <w:rFonts w:ascii="Times New Roman" w:hAnsi="Times New Roman" w:cs="Times New Roman"/>
          <w:sz w:val="24"/>
          <w:szCs w:val="24"/>
          <w:lang w:val="en-GB"/>
        </w:rPr>
        <w:t>D</w:t>
      </w:r>
      <w:r w:rsidRPr="00614438">
        <w:rPr>
          <w:rFonts w:ascii="Times New Roman" w:hAnsi="Times New Roman" w:cs="Times New Roman"/>
          <w:sz w:val="24"/>
          <w:szCs w:val="24"/>
          <w:lang w:val="en-GB"/>
        </w:rPr>
        <w:t xml:space="preserve">, while innovations are generally incremental in nature with very few businesses that have made radical innovations and developed a worldwide product. This situation in the business sector is also reflected in the relatively low number of patents compared to other countries. Anyway, there has been a growing trend in the number of innovators among business entities since 2012. The largest share of innovators' businesses is in the Information and Communication sector and in the Manufacturing industry, while in the case of energy sector, the share of innovators’ businesses was over 42% in period 2012-2018. On the other hand, the number of </w:t>
      </w:r>
      <w:r w:rsidRPr="00614438">
        <w:rPr>
          <w:rFonts w:ascii="Times New Roman" w:hAnsi="Times New Roman" w:cs="Times New Roman"/>
          <w:sz w:val="24"/>
          <w:szCs w:val="24"/>
          <w:lang w:val="en-GB"/>
        </w:rPr>
        <w:lastRenderedPageBreak/>
        <w:t>patent applications is at a low level, but the number of patents granted for inventions by domestic inventors abroad on the basis of international and/or European patent applications has grown over the last couple of years.</w:t>
      </w:r>
    </w:p>
    <w:p w14:paraId="09A11A5B" w14:textId="77777777" w:rsidR="00614438" w:rsidRPr="00614438" w:rsidRDefault="00614438" w:rsidP="00F143FA">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2015, a partnership of the Government, the City of Belgrade and the University of Belgrade established the first Science and Technological Park, located in Belgrade, as a measure to stimulate scientific and innovation development. Additional science and technology parks have been constructed in three more cities – Nis, Novi Sad and Cacak. In 2018, with a view to implementing positive changes to the European scientific community, the Platform for Open Science was adopted in Serbia. At national level in the energy and climate area, within the Sector for technological development, technology transfer and innovation system of the Ministry of Education, Science and Technological Development, there is an Energy, Mining and Energy Efficiency area as one of the key fields. Another body that exists under the Ministry of Education, Science and Technological Development is the National Council for Scientific and Technological Development. Besides that, there are many other institutions and bodies that are contributing to the development of the research and innovation issues, such as the Serbian Academy of Sciences and Arts (SANU) and the Center for Promotion of Science, with different responsibilities and objectives. However, most of them don’t have specific targets and objectives regarding the research and innovation in the field of energy, as is also the case with the above-mentioned strategies, while there are no specific calls in the fields of Energy and Environment (and/or Climate Change). In any case, many institutes and faculties are very active in conducting and performing research and innovation in energy technologies. Regarding the competitiveness, relevant institutions are the Chamber of Commerce and Industry of Serbia, Development Agency of Serbia and Commission for Protection of Competition.</w:t>
      </w:r>
    </w:p>
    <w:p w14:paraId="047CD0A1" w14:textId="77777777" w:rsidR="00614438" w:rsidRPr="00614438" w:rsidRDefault="00614438" w:rsidP="00B12918">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Republic of Serbia is successfully conducting international cooperation, mainly through bilateral cooperation programs, cooperation within the region/macro region, and EU programs. An agreement signed in 2014 by the Government of Serbia and the European Union enabled participation of the former in the Horizon 2020 program. As a result of that, the participation of Serbian scientific teams significantly expanded in the projects financed by Horizon 2020. According to the data from January 2020, 446 institutions from the Republic of Serbia participate in the program as part of 311 projects approved for financing, where 149 participants are from the private sector. The majority of projects are in the area of food, about 20%, followed by the energy and information technology.</w:t>
      </w:r>
    </w:p>
    <w:p w14:paraId="435C7379" w14:textId="77777777" w:rsidR="00614438" w:rsidRPr="00614438" w:rsidRDefault="00614438" w:rsidP="00B12918">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Additionally, the Republic of Serbia is extremely active in the implementation of the EU Strategy for the Danube Region where it coordinates the Priority Area 7 “To develop the Knowledge Society (research, education and ICT)”. T</w:t>
      </w:r>
      <w:r w:rsidR="00B12918">
        <w:rPr>
          <w:rFonts w:ascii="Times New Roman" w:hAnsi="Times New Roman" w:cs="Times New Roman"/>
          <w:sz w:val="24"/>
          <w:szCs w:val="24"/>
          <w:lang w:val="en-GB"/>
        </w:rPr>
        <w:t>ogether with Italy and North Macedonia, t</w:t>
      </w:r>
      <w:r w:rsidRPr="00614438">
        <w:rPr>
          <w:rFonts w:ascii="Times New Roman" w:hAnsi="Times New Roman" w:cs="Times New Roman"/>
          <w:sz w:val="24"/>
          <w:szCs w:val="24"/>
          <w:lang w:val="en-GB"/>
        </w:rPr>
        <w:t>he Republic of Serbia is currently coordinating the pillar connecting the region with the EU Strategy for the Adriatic-Ionian Region, an initiative that has the objective to promote economic and social prosperity and growth in the region by improving its attractiveness, competitiveness and cohesion. The Republic of Serbia is also active in the European Strategic Forum for Research Infrastructure (ESFRI) and in four consortiums of the European Research Infrastructure Consortium (ERIC): CERIC (Central European Research Infrastructure Consortium), DARIAH (Digital Research Infrastructure for the Arts and Humanities), ESS (European Social Survey) and CESSDA (Consortium of European Social Science Data Archives). Moreover, Serbia has developed intensive cooperation at several levels with Joint Research Center (JCR) of the European Commission, and it also demonstrates a high level of activity in EUREKA and COST programs. Finally, the Common Regional Market Action Plan for 2021-2024, prepared by Central European Free Trade Agreement (CEFTA) Secretariat contains expectations and plans regarding the regional mobility of researchers, knowledge sharing and cooperation in the field of innovation, as one of the key pillars.</w:t>
      </w:r>
    </w:p>
    <w:p w14:paraId="4CC6D1A2" w14:textId="77777777" w:rsidR="00614438" w:rsidRPr="00614438" w:rsidRDefault="00614438" w:rsidP="00614438">
      <w:pPr>
        <w:jc w:val="both"/>
        <w:rPr>
          <w:rFonts w:ascii="Times New Roman" w:hAnsi="Times New Roman" w:cs="Times New Roman"/>
          <w:sz w:val="24"/>
          <w:szCs w:val="24"/>
          <w:lang w:val="en-GB"/>
        </w:rPr>
      </w:pPr>
    </w:p>
    <w:p w14:paraId="0265042E" w14:textId="77777777" w:rsidR="00614438" w:rsidRPr="00614438" w:rsidRDefault="00B12918" w:rsidP="00B12918">
      <w:pPr>
        <w:ind w:firstLine="360"/>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1.2.3 </w:t>
      </w:r>
      <w:r w:rsidR="00614438" w:rsidRPr="00614438">
        <w:rPr>
          <w:rFonts w:ascii="Times New Roman" w:hAnsi="Times New Roman" w:cs="Times New Roman"/>
          <w:sz w:val="24"/>
          <w:szCs w:val="24"/>
          <w:lang w:val="en-GB"/>
        </w:rPr>
        <w:t>Key issues of cross-border relevance</w:t>
      </w:r>
    </w:p>
    <w:p w14:paraId="785E0165" w14:textId="77777777" w:rsidR="00614438" w:rsidRPr="00614438" w:rsidRDefault="00614438" w:rsidP="00B12918">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Republic of Serbia is </w:t>
      </w:r>
      <w:r w:rsidR="00A53D37">
        <w:rPr>
          <w:rFonts w:ascii="Times New Roman" w:hAnsi="Times New Roman" w:cs="Times New Roman"/>
          <w:sz w:val="24"/>
          <w:szCs w:val="24"/>
          <w:lang w:val="en-GB"/>
        </w:rPr>
        <w:t xml:space="preserve">a </w:t>
      </w:r>
      <w:r w:rsidRPr="00614438">
        <w:rPr>
          <w:rFonts w:ascii="Times New Roman" w:hAnsi="Times New Roman" w:cs="Times New Roman"/>
          <w:sz w:val="24"/>
          <w:szCs w:val="24"/>
          <w:lang w:val="en-GB"/>
        </w:rPr>
        <w:t>member of the Central and South Eastern Europe energy connectivity (CESEC)</w:t>
      </w:r>
      <w:r w:rsidR="00A53D37">
        <w:rPr>
          <w:rFonts w:ascii="Times New Roman" w:hAnsi="Times New Roman" w:cs="Times New Roman"/>
          <w:sz w:val="24"/>
          <w:szCs w:val="24"/>
          <w:lang w:val="en-GB"/>
        </w:rPr>
        <w:t xml:space="preserve"> initiative</w:t>
      </w:r>
      <w:r w:rsidRPr="00614438">
        <w:rPr>
          <w:rFonts w:ascii="Times New Roman" w:hAnsi="Times New Roman" w:cs="Times New Roman"/>
          <w:sz w:val="24"/>
          <w:szCs w:val="24"/>
          <w:lang w:val="en-GB"/>
        </w:rPr>
        <w:t xml:space="preserve">, an organisation that works to accelerate the integration of central eastern and south eastern European gas and electricity markets, together with all other EnC Contracting Parties and nine EU Member States, i.e. Austria, Bulgaria, Croatia, Greece, Hungary, Italy, Romania, Slovakia </w:t>
      </w:r>
      <w:r w:rsidR="00A53D37">
        <w:rPr>
          <w:rFonts w:ascii="Times New Roman" w:hAnsi="Times New Roman" w:cs="Times New Roman"/>
          <w:sz w:val="24"/>
          <w:szCs w:val="24"/>
          <w:lang w:val="en-GB"/>
        </w:rPr>
        <w:t>a</w:t>
      </w:r>
      <w:r w:rsidRPr="00614438">
        <w:rPr>
          <w:rFonts w:ascii="Times New Roman" w:hAnsi="Times New Roman" w:cs="Times New Roman"/>
          <w:sz w:val="24"/>
          <w:szCs w:val="24"/>
          <w:lang w:val="en-GB"/>
        </w:rPr>
        <w:t>nd Slovenia. Furthermore, the Republic of Serbia participates and contributes to the Regional Meetings and Workshops, as well as the Regional Exchange events organized by the GIZ Open Regional Fund - Energy Efficiency (ORF-EE) in order to facilitate a discussion on modelling approaches, data availability and quality, challenges, best practices, cross-sectoral and regional issues.</w:t>
      </w:r>
    </w:p>
    <w:p w14:paraId="496871BC" w14:textId="77777777" w:rsidR="00614438" w:rsidRPr="00614438" w:rsidRDefault="00614438" w:rsidP="00A53D37">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More specifically, the Ministry of Energy and Mining participates in the listed Energy Community technical working groups:</w:t>
      </w:r>
    </w:p>
    <w:p w14:paraId="46E01562" w14:textId="77777777" w:rsidR="00614438" w:rsidRPr="00A53D37" w:rsidRDefault="00614438" w:rsidP="00485CA7">
      <w:pPr>
        <w:pStyle w:val="ListParagraph"/>
        <w:numPr>
          <w:ilvl w:val="0"/>
          <w:numId w:val="261"/>
        </w:numPr>
        <w:jc w:val="both"/>
        <w:rPr>
          <w:rFonts w:ascii="Times New Roman" w:hAnsi="Times New Roman" w:cs="Times New Roman"/>
          <w:sz w:val="24"/>
          <w:szCs w:val="24"/>
          <w:lang w:val="en-GB"/>
        </w:rPr>
      </w:pPr>
      <w:r w:rsidRPr="00A53D37">
        <w:rPr>
          <w:rFonts w:ascii="Times New Roman" w:hAnsi="Times New Roman" w:cs="Times New Roman"/>
          <w:sz w:val="24"/>
          <w:szCs w:val="24"/>
        </w:rPr>
        <w:t>Energy Efficiency Coordination Group,</w:t>
      </w:r>
    </w:p>
    <w:p w14:paraId="1DA13382" w14:textId="77777777" w:rsidR="00614438" w:rsidRPr="00A53D37" w:rsidRDefault="00614438" w:rsidP="00485CA7">
      <w:pPr>
        <w:pStyle w:val="ListParagraph"/>
        <w:numPr>
          <w:ilvl w:val="0"/>
          <w:numId w:val="261"/>
        </w:numPr>
        <w:jc w:val="both"/>
        <w:rPr>
          <w:rFonts w:ascii="Times New Roman" w:hAnsi="Times New Roman" w:cs="Times New Roman"/>
          <w:sz w:val="24"/>
          <w:szCs w:val="24"/>
        </w:rPr>
      </w:pPr>
      <w:r w:rsidRPr="00A53D37">
        <w:rPr>
          <w:rFonts w:ascii="Times New Roman" w:hAnsi="Times New Roman" w:cs="Times New Roman"/>
          <w:sz w:val="24"/>
          <w:szCs w:val="24"/>
        </w:rPr>
        <w:t>Renewable Energy Coordination Group,</w:t>
      </w:r>
    </w:p>
    <w:p w14:paraId="4C41D313" w14:textId="77777777" w:rsidR="00614438" w:rsidRPr="00A53D37" w:rsidRDefault="00614438" w:rsidP="00485CA7">
      <w:pPr>
        <w:pStyle w:val="ListParagraph"/>
        <w:numPr>
          <w:ilvl w:val="0"/>
          <w:numId w:val="261"/>
        </w:numPr>
        <w:jc w:val="both"/>
        <w:rPr>
          <w:rFonts w:ascii="Times New Roman" w:hAnsi="Times New Roman" w:cs="Times New Roman"/>
          <w:sz w:val="24"/>
          <w:szCs w:val="24"/>
        </w:rPr>
      </w:pPr>
      <w:r w:rsidRPr="00A53D37">
        <w:rPr>
          <w:rFonts w:ascii="Times New Roman" w:hAnsi="Times New Roman" w:cs="Times New Roman"/>
          <w:sz w:val="24"/>
          <w:szCs w:val="24"/>
        </w:rPr>
        <w:t>Security of Supply Coordination Group,</w:t>
      </w:r>
    </w:p>
    <w:p w14:paraId="144B595F" w14:textId="77777777" w:rsidR="00614438" w:rsidRPr="00A53D37" w:rsidRDefault="00614438" w:rsidP="00485CA7">
      <w:pPr>
        <w:pStyle w:val="ListParagraph"/>
        <w:numPr>
          <w:ilvl w:val="0"/>
          <w:numId w:val="261"/>
        </w:numPr>
        <w:jc w:val="both"/>
        <w:rPr>
          <w:rFonts w:ascii="Times New Roman" w:hAnsi="Times New Roman" w:cs="Times New Roman"/>
          <w:sz w:val="24"/>
          <w:szCs w:val="24"/>
        </w:rPr>
      </w:pPr>
      <w:r w:rsidRPr="00A53D37">
        <w:rPr>
          <w:rFonts w:ascii="Times New Roman" w:hAnsi="Times New Roman" w:cs="Times New Roman"/>
          <w:sz w:val="24"/>
          <w:szCs w:val="24"/>
        </w:rPr>
        <w:t>Coordination Group of Distribution System Operators for Electricity,</w:t>
      </w:r>
    </w:p>
    <w:p w14:paraId="29B04058" w14:textId="77777777" w:rsidR="00614438" w:rsidRPr="00A53D37" w:rsidRDefault="00614438" w:rsidP="00485CA7">
      <w:pPr>
        <w:pStyle w:val="ListParagraph"/>
        <w:numPr>
          <w:ilvl w:val="0"/>
          <w:numId w:val="261"/>
        </w:numPr>
        <w:jc w:val="both"/>
        <w:rPr>
          <w:rFonts w:ascii="Times New Roman" w:hAnsi="Times New Roman" w:cs="Times New Roman"/>
          <w:sz w:val="24"/>
          <w:szCs w:val="24"/>
        </w:rPr>
      </w:pPr>
      <w:r w:rsidRPr="00A53D37">
        <w:rPr>
          <w:rFonts w:ascii="Times New Roman" w:hAnsi="Times New Roman" w:cs="Times New Roman"/>
          <w:sz w:val="24"/>
          <w:szCs w:val="24"/>
        </w:rPr>
        <w:t>Coordination Group for Cyber security and Critical Infrastructure,</w:t>
      </w:r>
    </w:p>
    <w:p w14:paraId="69A13799" w14:textId="77777777" w:rsidR="00614438" w:rsidRDefault="00614438" w:rsidP="00485CA7">
      <w:pPr>
        <w:pStyle w:val="ListParagraph"/>
        <w:numPr>
          <w:ilvl w:val="0"/>
          <w:numId w:val="261"/>
        </w:numPr>
        <w:jc w:val="both"/>
        <w:rPr>
          <w:rFonts w:ascii="Times New Roman" w:hAnsi="Times New Roman" w:cs="Times New Roman"/>
          <w:sz w:val="24"/>
          <w:szCs w:val="24"/>
        </w:rPr>
      </w:pPr>
      <w:r w:rsidRPr="00A53D37">
        <w:rPr>
          <w:rFonts w:ascii="Times New Roman" w:hAnsi="Times New Roman" w:cs="Times New Roman"/>
          <w:sz w:val="24"/>
          <w:szCs w:val="24"/>
        </w:rPr>
        <w:t>PECI electricity and gas Coordination Groups.</w:t>
      </w:r>
    </w:p>
    <w:p w14:paraId="68DEDB4C" w14:textId="77777777" w:rsidR="00A53D37" w:rsidRPr="00A53D37" w:rsidRDefault="00A53D37" w:rsidP="00485CA7">
      <w:pPr>
        <w:pStyle w:val="ListParagraph"/>
        <w:numPr>
          <w:ilvl w:val="0"/>
          <w:numId w:val="261"/>
        </w:numPr>
        <w:jc w:val="both"/>
        <w:rPr>
          <w:rFonts w:ascii="Times New Roman" w:hAnsi="Times New Roman" w:cs="Times New Roman"/>
          <w:sz w:val="24"/>
          <w:szCs w:val="24"/>
        </w:rPr>
      </w:pPr>
      <w:r>
        <w:rPr>
          <w:rFonts w:ascii="Times New Roman" w:hAnsi="Times New Roman" w:cs="Times New Roman"/>
          <w:sz w:val="24"/>
          <w:szCs w:val="24"/>
        </w:rPr>
        <w:t>C</w:t>
      </w:r>
      <w:r w:rsidRPr="00A53D37">
        <w:rPr>
          <w:rFonts w:ascii="Times New Roman" w:hAnsi="Times New Roman" w:cs="Times New Roman"/>
          <w:sz w:val="24"/>
          <w:szCs w:val="24"/>
        </w:rPr>
        <w:t>oordination group for the reduction of energy poverty</w:t>
      </w:r>
      <w:r>
        <w:rPr>
          <w:rFonts w:ascii="Times New Roman" w:hAnsi="Times New Roman" w:cs="Times New Roman"/>
          <w:sz w:val="24"/>
          <w:szCs w:val="24"/>
        </w:rPr>
        <w:t>.</w:t>
      </w:r>
    </w:p>
    <w:p w14:paraId="488FCFF8" w14:textId="77777777" w:rsidR="00A53D37" w:rsidRPr="00A53D37" w:rsidRDefault="00A53D37" w:rsidP="00485CA7">
      <w:pPr>
        <w:pStyle w:val="ListParagraph"/>
        <w:numPr>
          <w:ilvl w:val="0"/>
          <w:numId w:val="261"/>
        </w:numPr>
        <w:jc w:val="both"/>
        <w:rPr>
          <w:rFonts w:ascii="Times New Roman" w:hAnsi="Times New Roman" w:cs="Times New Roman"/>
          <w:sz w:val="24"/>
          <w:szCs w:val="24"/>
        </w:rPr>
      </w:pPr>
      <w:r w:rsidRPr="00A53D37">
        <w:rPr>
          <w:rFonts w:ascii="Times New Roman" w:hAnsi="Times New Roman" w:cs="Times New Roman"/>
          <w:sz w:val="24"/>
          <w:szCs w:val="24"/>
        </w:rPr>
        <w:t>Working group for environmental protection.</w:t>
      </w:r>
    </w:p>
    <w:p w14:paraId="502A435F" w14:textId="77777777" w:rsidR="00A53D37" w:rsidRPr="00A53D37" w:rsidRDefault="00A53D37" w:rsidP="00485CA7">
      <w:pPr>
        <w:pStyle w:val="ListParagraph"/>
        <w:numPr>
          <w:ilvl w:val="0"/>
          <w:numId w:val="261"/>
        </w:numPr>
        <w:jc w:val="both"/>
        <w:rPr>
          <w:rFonts w:ascii="Times New Roman" w:hAnsi="Times New Roman" w:cs="Times New Roman"/>
          <w:sz w:val="24"/>
          <w:szCs w:val="24"/>
        </w:rPr>
      </w:pPr>
      <w:r w:rsidRPr="00A53D37">
        <w:rPr>
          <w:rFonts w:ascii="Times New Roman" w:hAnsi="Times New Roman" w:cs="Times New Roman"/>
          <w:sz w:val="24"/>
          <w:szCs w:val="24"/>
        </w:rPr>
        <w:t>Technical working group for energy and climate.</w:t>
      </w:r>
    </w:p>
    <w:p w14:paraId="00676B08" w14:textId="77777777" w:rsidR="00614438" w:rsidRPr="00614438" w:rsidRDefault="00A53D37" w:rsidP="00A53D37">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JSC “Elektromreža Srbije“ </w:t>
      </w:r>
      <w:r w:rsidR="00614438" w:rsidRPr="00614438">
        <w:rPr>
          <w:rFonts w:ascii="Times New Roman" w:hAnsi="Times New Roman" w:cs="Times New Roman"/>
          <w:sz w:val="24"/>
          <w:szCs w:val="24"/>
          <w:lang w:val="en-GB"/>
        </w:rPr>
        <w:t xml:space="preserve">is a full member of the European Network of Transmission System Operators for Electricity (ENTSO-E). </w:t>
      </w:r>
      <w:r>
        <w:rPr>
          <w:rFonts w:ascii="Times New Roman" w:hAnsi="Times New Roman" w:cs="Times New Roman"/>
          <w:sz w:val="24"/>
          <w:szCs w:val="24"/>
          <w:lang w:val="en-GB"/>
        </w:rPr>
        <w:t xml:space="preserve">JSC </w:t>
      </w:r>
      <w:r w:rsidR="00614438" w:rsidRPr="00614438">
        <w:rPr>
          <w:rFonts w:ascii="Times New Roman" w:hAnsi="Times New Roman" w:cs="Times New Roman"/>
          <w:sz w:val="24"/>
          <w:szCs w:val="24"/>
          <w:lang w:val="en-GB"/>
        </w:rPr>
        <w:t xml:space="preserve">“Elektromreža Srbije“ - EMS is also one of the founders of the first Regional Security Coordinator in the Southeast Europe, company Security Coordination Centre SCC Ltd. Belgrade, and stakeholder together with JSC “Crnogorski Elektroprenosni Sistem” (CGES) </w:t>
      </w:r>
      <w:r>
        <w:rPr>
          <w:rFonts w:ascii="Times New Roman" w:hAnsi="Times New Roman" w:cs="Times New Roman"/>
          <w:sz w:val="24"/>
          <w:szCs w:val="24"/>
          <w:lang w:val="en-GB"/>
        </w:rPr>
        <w:t>i.e.</w:t>
      </w:r>
      <w:r w:rsidR="00614438" w:rsidRPr="00614438">
        <w:rPr>
          <w:rFonts w:ascii="Times New Roman" w:hAnsi="Times New Roman" w:cs="Times New Roman"/>
          <w:sz w:val="24"/>
          <w:szCs w:val="24"/>
          <w:lang w:val="en-GB"/>
        </w:rPr>
        <w:t xml:space="preserve"> TSO from Montenegro and “Nezavisni Operator Sistema u Bosni i Hercegovini” (NOSBiH) </w:t>
      </w:r>
      <w:r>
        <w:rPr>
          <w:rFonts w:ascii="Times New Roman" w:hAnsi="Times New Roman" w:cs="Times New Roman"/>
          <w:sz w:val="24"/>
          <w:szCs w:val="24"/>
          <w:lang w:val="en-GB"/>
        </w:rPr>
        <w:t>i.e.</w:t>
      </w:r>
      <w:r w:rsidR="00614438" w:rsidRPr="00614438">
        <w:rPr>
          <w:rFonts w:ascii="Times New Roman" w:hAnsi="Times New Roman" w:cs="Times New Roman"/>
          <w:sz w:val="24"/>
          <w:szCs w:val="24"/>
          <w:lang w:val="en-GB"/>
        </w:rPr>
        <w:t xml:space="preserve"> ISO from Bosnia and Herzegovina.</w:t>
      </w:r>
    </w:p>
    <w:p w14:paraId="1A81CB61" w14:textId="77777777" w:rsidR="00614438" w:rsidRPr="00614438" w:rsidRDefault="00614438" w:rsidP="00A53D37">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Energy Agency of the Republic of Serbia participates in the work of the Energy Community Regulatory Board, is part of the advisory body of the Ministerial Council of the Energy Community, and in the work of the Electricity and Natural Gas Forums, as well as in the Balkan Forum. The Energy Agency of the Republic of Serbia is a fully empowered member of the Energy Regulators Regional Association (ERRA), a specialized association of regulators with the aim to improve collaboration, experience exchange, and capacity building of member regulators. The Energy Agency of the Republic of Serbia also participates, as an observer, in the work of the Council of European Energy Regulators (CEER). By joining this Council, the Energy Regulatory Commission gains experience in implementing the Third Package of Legislation and the challenges that EU Member States face in creating a single, competitive, efficient and sustainable internal energy market in the European Union, as well as with new packages of the European legislation.</w:t>
      </w:r>
    </w:p>
    <w:p w14:paraId="006407EF" w14:textId="77777777" w:rsidR="00614438" w:rsidRPr="00614438" w:rsidRDefault="00A53D37" w:rsidP="00A53D37">
      <w:pPr>
        <w:ind w:firstLine="360"/>
        <w:jc w:val="both"/>
        <w:rPr>
          <w:rFonts w:ascii="Times New Roman" w:hAnsi="Times New Roman" w:cs="Times New Roman"/>
          <w:sz w:val="24"/>
          <w:szCs w:val="24"/>
          <w:lang w:val="en-GB"/>
        </w:rPr>
      </w:pPr>
      <w:r>
        <w:rPr>
          <w:rFonts w:ascii="Times New Roman" w:hAnsi="Times New Roman" w:cs="Times New Roman"/>
          <w:sz w:val="24"/>
          <w:szCs w:val="24"/>
          <w:lang w:val="en-GB"/>
        </w:rPr>
        <w:t>“</w:t>
      </w:r>
      <w:r w:rsidR="00614438" w:rsidRPr="00614438">
        <w:rPr>
          <w:rFonts w:ascii="Times New Roman" w:hAnsi="Times New Roman" w:cs="Times New Roman"/>
          <w:sz w:val="24"/>
          <w:szCs w:val="24"/>
          <w:lang w:val="en-GB"/>
        </w:rPr>
        <w:t>SEEPEX</w:t>
      </w:r>
      <w:r>
        <w:rPr>
          <w:rFonts w:ascii="Times New Roman" w:hAnsi="Times New Roman" w:cs="Times New Roman"/>
          <w:sz w:val="24"/>
          <w:szCs w:val="24"/>
          <w:lang w:val="en-GB"/>
        </w:rPr>
        <w:t>”</w:t>
      </w:r>
      <w:r w:rsidR="00614438" w:rsidRPr="00614438">
        <w:rPr>
          <w:rFonts w:ascii="Times New Roman" w:hAnsi="Times New Roman" w:cs="Times New Roman"/>
          <w:sz w:val="24"/>
          <w:szCs w:val="24"/>
          <w:lang w:val="en-GB"/>
        </w:rPr>
        <w:t xml:space="preserve"> is </w:t>
      </w:r>
      <w:r>
        <w:rPr>
          <w:rFonts w:ascii="Times New Roman" w:hAnsi="Times New Roman" w:cs="Times New Roman"/>
          <w:sz w:val="24"/>
          <w:szCs w:val="24"/>
          <w:lang w:val="en-GB"/>
        </w:rPr>
        <w:t xml:space="preserve">a </w:t>
      </w:r>
      <w:r w:rsidR="00614438" w:rsidRPr="00614438">
        <w:rPr>
          <w:rFonts w:ascii="Times New Roman" w:hAnsi="Times New Roman" w:cs="Times New Roman"/>
          <w:sz w:val="24"/>
          <w:szCs w:val="24"/>
          <w:lang w:val="en-GB"/>
        </w:rPr>
        <w:t xml:space="preserve">participant </w:t>
      </w:r>
      <w:r>
        <w:rPr>
          <w:rFonts w:ascii="Times New Roman" w:hAnsi="Times New Roman" w:cs="Times New Roman"/>
          <w:sz w:val="24"/>
          <w:szCs w:val="24"/>
          <w:lang w:val="en-GB"/>
        </w:rPr>
        <w:t>in</w:t>
      </w:r>
      <w:r w:rsidR="00614438" w:rsidRPr="00614438">
        <w:rPr>
          <w:rFonts w:ascii="Times New Roman" w:hAnsi="Times New Roman" w:cs="Times New Roman"/>
          <w:sz w:val="24"/>
          <w:szCs w:val="24"/>
          <w:lang w:val="en-GB"/>
        </w:rPr>
        <w:t xml:space="preserve"> the TRINITY project (transmission system enhancement of regional borders by means of intelligent market technology), the main goal of which is to enhance cooperation and coordination among the Transmission System Operators of South-Eastern Europe (SEE) in order to support the integration of the electricity markets in the region, while promoting higher penetration of clean energy sources. TRINITY addresses the EU’s Research Horizon Framework 2020 Programme within the call “Building a low-carbon, climate resilient future: secure, clean and efficient energy”. </w:t>
      </w:r>
      <w:r>
        <w:rPr>
          <w:rFonts w:ascii="Times New Roman" w:hAnsi="Times New Roman" w:cs="Times New Roman"/>
          <w:sz w:val="24"/>
          <w:szCs w:val="24"/>
          <w:lang w:val="en-GB"/>
        </w:rPr>
        <w:t>“</w:t>
      </w:r>
      <w:r w:rsidR="00614438" w:rsidRPr="00614438">
        <w:rPr>
          <w:rFonts w:ascii="Times New Roman" w:hAnsi="Times New Roman" w:cs="Times New Roman"/>
          <w:sz w:val="24"/>
          <w:szCs w:val="24"/>
          <w:lang w:val="en-GB"/>
        </w:rPr>
        <w:t>SEEPEX</w:t>
      </w:r>
      <w:r>
        <w:rPr>
          <w:rFonts w:ascii="Times New Roman" w:hAnsi="Times New Roman" w:cs="Times New Roman"/>
          <w:sz w:val="24"/>
          <w:szCs w:val="24"/>
          <w:lang w:val="en-GB"/>
        </w:rPr>
        <w:t>”</w:t>
      </w:r>
      <w:r w:rsidR="00614438" w:rsidRPr="00614438">
        <w:rPr>
          <w:rFonts w:ascii="Times New Roman" w:hAnsi="Times New Roman" w:cs="Times New Roman"/>
          <w:sz w:val="24"/>
          <w:szCs w:val="24"/>
          <w:lang w:val="en-GB"/>
        </w:rPr>
        <w:t xml:space="preserve"> is the leader of Work Package 3: TRINITY SEE Cross-Border Market Coupling </w:t>
      </w:r>
      <w:r w:rsidR="00614438" w:rsidRPr="00614438">
        <w:rPr>
          <w:rFonts w:ascii="Times New Roman" w:hAnsi="Times New Roman" w:cs="Times New Roman"/>
          <w:sz w:val="24"/>
          <w:szCs w:val="24"/>
          <w:lang w:val="en-GB"/>
        </w:rPr>
        <w:lastRenderedPageBreak/>
        <w:t>Framework that aims to demonstrate benefits of a coordinated work of the intra-day electricity market, common regional capacity reserve market, bilateral trade and guarantees of origin market, taking into consideration EU and non-EU countries.</w:t>
      </w:r>
    </w:p>
    <w:p w14:paraId="18910671" w14:textId="77777777" w:rsidR="00614438" w:rsidRPr="00614438" w:rsidRDefault="00614438" w:rsidP="00614438">
      <w:pPr>
        <w:jc w:val="both"/>
        <w:rPr>
          <w:rFonts w:ascii="Times New Roman" w:hAnsi="Times New Roman" w:cs="Times New Roman"/>
          <w:sz w:val="24"/>
          <w:szCs w:val="24"/>
          <w:lang w:val="en-GB"/>
        </w:rPr>
      </w:pPr>
    </w:p>
    <w:p w14:paraId="0EB0E5F1" w14:textId="77777777" w:rsidR="00614438" w:rsidRPr="00614438" w:rsidRDefault="00A53D37" w:rsidP="00A53D37">
      <w:pPr>
        <w:ind w:firstLine="360"/>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1.2.4 </w:t>
      </w:r>
      <w:r w:rsidR="00614438" w:rsidRPr="00614438">
        <w:rPr>
          <w:rFonts w:ascii="Times New Roman" w:hAnsi="Times New Roman" w:cs="Times New Roman"/>
          <w:sz w:val="24"/>
          <w:szCs w:val="24"/>
          <w:lang w:val="en-GB"/>
        </w:rPr>
        <w:t>Governance structure of implementing national energy and climate policies</w:t>
      </w:r>
    </w:p>
    <w:p w14:paraId="33720E21" w14:textId="77777777" w:rsidR="005F0721" w:rsidRDefault="005F0721" w:rsidP="00614438">
      <w:pPr>
        <w:jc w:val="both"/>
        <w:rPr>
          <w:rFonts w:ascii="Times New Roman" w:hAnsi="Times New Roman" w:cs="Times New Roman"/>
          <w:sz w:val="24"/>
          <w:szCs w:val="24"/>
          <w:lang w:val="en-GB"/>
        </w:rPr>
      </w:pPr>
    </w:p>
    <w:p w14:paraId="3994D354" w14:textId="77777777" w:rsidR="00614438" w:rsidRPr="00614438" w:rsidRDefault="005F0721" w:rsidP="005F0721">
      <w:pPr>
        <w:ind w:firstLine="360"/>
        <w:jc w:val="both"/>
        <w:rPr>
          <w:rFonts w:ascii="Times New Roman" w:hAnsi="Times New Roman" w:cs="Times New Roman"/>
          <w:sz w:val="24"/>
          <w:szCs w:val="24"/>
          <w:lang w:val="en-GB"/>
        </w:rPr>
      </w:pPr>
      <w:r w:rsidRPr="005F0721">
        <w:rPr>
          <w:rFonts w:ascii="Times New Roman" w:hAnsi="Times New Roman" w:cs="Times New Roman"/>
          <w:sz w:val="24"/>
          <w:szCs w:val="24"/>
          <w:lang w:val="en-GB"/>
        </w:rPr>
        <w:t>In accordance with the Law on Energy, the Government adopts the INE</w:t>
      </w:r>
      <w:r>
        <w:rPr>
          <w:rFonts w:ascii="Times New Roman" w:hAnsi="Times New Roman" w:cs="Times New Roman"/>
          <w:sz w:val="24"/>
          <w:szCs w:val="24"/>
          <w:lang w:val="en-GB"/>
        </w:rPr>
        <w:t>C</w:t>
      </w:r>
      <w:r w:rsidRPr="005F0721">
        <w:rPr>
          <w:rFonts w:ascii="Times New Roman" w:hAnsi="Times New Roman" w:cs="Times New Roman"/>
          <w:sz w:val="24"/>
          <w:szCs w:val="24"/>
          <w:lang w:val="en-GB"/>
        </w:rPr>
        <w:t>P for a period of up to ten years, while the Ministry of Mining and Energy is responsible for the preparation and updating of the INE</w:t>
      </w:r>
      <w:r>
        <w:rPr>
          <w:rFonts w:ascii="Times New Roman" w:hAnsi="Times New Roman" w:cs="Times New Roman"/>
          <w:sz w:val="24"/>
          <w:szCs w:val="24"/>
          <w:lang w:val="en-GB"/>
        </w:rPr>
        <w:t>C</w:t>
      </w:r>
      <w:r w:rsidRPr="005F0721">
        <w:rPr>
          <w:rFonts w:ascii="Times New Roman" w:hAnsi="Times New Roman" w:cs="Times New Roman"/>
          <w:sz w:val="24"/>
          <w:szCs w:val="24"/>
          <w:lang w:val="en-GB"/>
        </w:rPr>
        <w:t>P in cooperation with other relevant ministries.</w:t>
      </w:r>
      <w:r>
        <w:rPr>
          <w:rFonts w:ascii="Times New Roman" w:hAnsi="Times New Roman" w:cs="Times New Roman"/>
          <w:sz w:val="24"/>
          <w:szCs w:val="24"/>
          <w:lang w:val="en-GB"/>
        </w:rPr>
        <w:t xml:space="preserve"> </w:t>
      </w:r>
      <w:r w:rsidR="00614438" w:rsidRPr="00614438">
        <w:rPr>
          <w:rFonts w:ascii="Times New Roman" w:hAnsi="Times New Roman" w:cs="Times New Roman"/>
          <w:sz w:val="24"/>
          <w:szCs w:val="24"/>
          <w:lang w:val="en-GB"/>
        </w:rPr>
        <w:t>During the development and preparation of the INECP, the Consultant provided technical support to the Ministry of Mining and Energy, as well to the other institutions and bodies involved in the process, in terms of transfer knowledge based on the extensive international experience, implementation of best solutions and specific expertise that would facilitate and accelerate the process. Finally, the responsibility over the project progress is assigned to the Project Steering Committee, which is the implementation and monitoring body consisting of various governmental institutions.</w:t>
      </w:r>
    </w:p>
    <w:p w14:paraId="1D7C1CB7" w14:textId="77777777" w:rsidR="00614438" w:rsidRPr="00614438" w:rsidRDefault="00614438" w:rsidP="00614438">
      <w:pPr>
        <w:jc w:val="both"/>
        <w:rPr>
          <w:rFonts w:ascii="Times New Roman" w:hAnsi="Times New Roman" w:cs="Times New Roman"/>
          <w:sz w:val="24"/>
          <w:szCs w:val="24"/>
        </w:rPr>
      </w:pPr>
      <w:bookmarkStart w:id="63" w:name="_Toc154575205"/>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Governance of the preparation and development of the Integrated National Energy and Climate Plan</w:t>
      </w:r>
      <w:bookmarkEnd w:id="63"/>
    </w:p>
    <w:p w14:paraId="3D665686"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635F13F8" wp14:editId="3C19DB7F">
            <wp:extent cx="6086475" cy="2752725"/>
            <wp:effectExtent l="0" t="0" r="9525" b="9525"/>
            <wp:docPr id="849277761"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470986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86475" cy="2752725"/>
                    </a:xfrm>
                    <a:prstGeom prst="rect">
                      <a:avLst/>
                    </a:prstGeom>
                    <a:noFill/>
                    <a:ln>
                      <a:noFill/>
                    </a:ln>
                  </pic:spPr>
                </pic:pic>
              </a:graphicData>
            </a:graphic>
          </wp:inline>
        </w:drawing>
      </w:r>
    </w:p>
    <w:p w14:paraId="1A121572" w14:textId="77777777" w:rsidR="00614438" w:rsidRPr="00614438" w:rsidRDefault="00614438" w:rsidP="005F0721">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advisory role of the Energy Community has been exerted to a certain extent, mainly during the official consultations of the Republic of Serbia with the Energy Community Secretariat on Draft INECP and while providing the recommendations for the finalization of the document. However, from the early phase of the development and preparation of INECP, the Energy Community has been regularly following the overall progress, primarily through the various Energy Community working groups and other relevant communication platforms and mechanisms.</w:t>
      </w:r>
    </w:p>
    <w:p w14:paraId="42CD63D2" w14:textId="77777777" w:rsidR="00614438" w:rsidRPr="00614438" w:rsidRDefault="00614438" w:rsidP="005F0721">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Ministry of Environmental Protection is responsible for monitoring and reporting policy measures arising from the adopted Low carbon Development Strategy of the Republic of Serbia for the period 2023-2030 with projections </w:t>
      </w:r>
      <w:r w:rsidR="00AD6600">
        <w:rPr>
          <w:rFonts w:ascii="Times New Roman" w:hAnsi="Times New Roman" w:cs="Times New Roman"/>
          <w:sz w:val="24"/>
          <w:szCs w:val="24"/>
          <w:lang w:val="en-GB"/>
        </w:rPr>
        <w:t>to</w:t>
      </w:r>
      <w:r w:rsidRPr="00614438">
        <w:rPr>
          <w:rFonts w:ascii="Times New Roman" w:hAnsi="Times New Roman" w:cs="Times New Roman"/>
          <w:sz w:val="24"/>
          <w:szCs w:val="24"/>
          <w:lang w:val="en-GB"/>
        </w:rPr>
        <w:t xml:space="preserve"> 2050. It is also responsible for the creation of a national cross-sectoral Climate Change Adaptation Plan with an Action Plan, based on a project financed from EU IPA fonds. The Environmental Protection Agency, as a body within the Ministry of Environmental Protection, with the capacity of a legal entity, performs professional tasks related to the development, </w:t>
      </w:r>
      <w:r w:rsidRPr="00614438">
        <w:rPr>
          <w:rFonts w:ascii="Times New Roman" w:hAnsi="Times New Roman" w:cs="Times New Roman"/>
          <w:sz w:val="24"/>
          <w:szCs w:val="24"/>
          <w:lang w:val="en-GB"/>
        </w:rPr>
        <w:lastRenderedPageBreak/>
        <w:t>harmonization, and management of the national information system for environmental protection, which includes the inventory of gases with the greenhouse effect.</w:t>
      </w:r>
    </w:p>
    <w:p w14:paraId="5C7B4BF9" w14:textId="77777777" w:rsidR="00614438" w:rsidRPr="00614438" w:rsidRDefault="00614438" w:rsidP="00AD6600">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MOME conducts auctions for incentives for renewable energy sources process based on available quotas prescribed by the Government. The database for energy audits and the energy management system (SEMIS) is organized, implemented, and monitored by MOME, as well as the implementation of the energy management system goals. Main activities of MOME in the field of energy efficiency (EE), as a state administration body competent for energy efficiency, are creating policy, regulatory and incentive conditions for the rational use of energy and increasing EE.</w:t>
      </w:r>
    </w:p>
    <w:p w14:paraId="011E83C0" w14:textId="77777777" w:rsidR="00614438" w:rsidRPr="00614438" w:rsidRDefault="00614438" w:rsidP="008E0FF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unit for urban development within the Ministry of Construction, Transport, and Infrastructure (MCTI) is responsible for monitoring the implementation of the targets and measures established by the Sustainable Urban Development Strategy of the Republic of Serbia until 2030</w:t>
      </w:r>
      <w:r w:rsidR="008E0FF2">
        <w:rPr>
          <w:rFonts w:ascii="Times New Roman" w:hAnsi="Times New Roman" w:cs="Times New Roman"/>
          <w:sz w:val="24"/>
          <w:szCs w:val="24"/>
          <w:lang w:val="en-GB"/>
        </w:rPr>
        <w:t xml:space="preserve"> (“Official Gazette of Rs, no. 47/19)</w:t>
      </w:r>
      <w:r w:rsidRPr="00614438">
        <w:rPr>
          <w:rFonts w:ascii="Times New Roman" w:hAnsi="Times New Roman" w:cs="Times New Roman"/>
          <w:sz w:val="24"/>
          <w:szCs w:val="24"/>
          <w:lang w:val="en-GB"/>
        </w:rPr>
        <w:t xml:space="preserve"> and the three-year action plans at the national level.</w:t>
      </w:r>
      <w:r w:rsidR="008E0FF2">
        <w:rPr>
          <w:rFonts w:ascii="Times New Roman" w:hAnsi="Times New Roman" w:cs="Times New Roman"/>
          <w:sz w:val="24"/>
          <w:szCs w:val="24"/>
          <w:lang w:val="en-GB"/>
        </w:rPr>
        <w:t xml:space="preserve"> </w:t>
      </w:r>
      <w:r w:rsidR="008E0FF2" w:rsidRPr="008E0FF2">
        <w:rPr>
          <w:rFonts w:ascii="Times New Roman" w:hAnsi="Times New Roman" w:cs="Times New Roman"/>
          <w:sz w:val="24"/>
          <w:szCs w:val="24"/>
          <w:lang w:val="en-GB"/>
        </w:rPr>
        <w:t>Creating and monitoring the implementation of public policies, determining the strategic and regulatory framework, improving technical regulations in the field of energy efficiency of buildings, as well as monitoring the achievement of goals and measures defined in the Long-Term Strategy for Encouraging Investments in the Reconstruction of the National Fund of Buildings of the Republic of Serbia until 2050 ("Official Gazette RS", n</w:t>
      </w:r>
      <w:r w:rsidR="008E0FF2">
        <w:rPr>
          <w:rFonts w:ascii="Times New Roman" w:hAnsi="Times New Roman" w:cs="Times New Roman"/>
          <w:sz w:val="24"/>
          <w:szCs w:val="24"/>
          <w:lang w:val="en-GB"/>
        </w:rPr>
        <w:t>o</w:t>
      </w:r>
      <w:r w:rsidR="008E0FF2" w:rsidRPr="008E0FF2">
        <w:rPr>
          <w:rFonts w:ascii="Times New Roman" w:hAnsi="Times New Roman" w:cs="Times New Roman"/>
          <w:sz w:val="24"/>
          <w:szCs w:val="24"/>
          <w:lang w:val="en-GB"/>
        </w:rPr>
        <w:t xml:space="preserve"> 27/22), </w:t>
      </w:r>
      <w:r w:rsidR="008E0FF2">
        <w:rPr>
          <w:rFonts w:ascii="Times New Roman" w:hAnsi="Times New Roman" w:cs="Times New Roman"/>
          <w:sz w:val="24"/>
          <w:szCs w:val="24"/>
          <w:lang w:val="en-GB"/>
        </w:rPr>
        <w:t>fall</w:t>
      </w:r>
      <w:r w:rsidR="008E0FF2" w:rsidRPr="008E0FF2">
        <w:rPr>
          <w:rFonts w:ascii="Times New Roman" w:hAnsi="Times New Roman" w:cs="Times New Roman"/>
          <w:sz w:val="24"/>
          <w:szCs w:val="24"/>
          <w:lang w:val="en-GB"/>
        </w:rPr>
        <w:t>s under the jurisdiction of the Sector for communal activities, housing and architectural policy, energy efficiency and construction products, within the Ministry of Construction, Transport and Infrastructure.</w:t>
      </w:r>
      <w:r w:rsidR="008E0FF2">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Certificate on the energy performance of buildings is issued through the Central Register of Energy Passports (CREP), which is administrated and maintained by MCTI.</w:t>
      </w:r>
    </w:p>
    <w:p w14:paraId="0AB10CA2" w14:textId="77777777" w:rsidR="00614438" w:rsidRPr="00614438" w:rsidRDefault="00614438" w:rsidP="008E0FF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Electricity Transmission Network Ten Year Network Development Plan (TYNDP) is prepared by the Transmission System Operator </w:t>
      </w:r>
      <w:r w:rsidR="008E0FF2">
        <w:rPr>
          <w:rFonts w:ascii="Times New Roman" w:hAnsi="Times New Roman" w:cs="Times New Roman"/>
          <w:sz w:val="24"/>
          <w:szCs w:val="24"/>
          <w:lang w:val="en-GB"/>
        </w:rPr>
        <w:t>JSC “Elektromre</w:t>
      </w:r>
      <w:r w:rsidR="008E0FF2">
        <w:rPr>
          <w:rFonts w:ascii="Times New Roman" w:hAnsi="Times New Roman" w:cs="Times New Roman"/>
          <w:sz w:val="24"/>
          <w:szCs w:val="24"/>
        </w:rPr>
        <w:t xml:space="preserve">ža Srbije” </w:t>
      </w:r>
      <w:r w:rsidRPr="00614438">
        <w:rPr>
          <w:rFonts w:ascii="Times New Roman" w:hAnsi="Times New Roman" w:cs="Times New Roman"/>
          <w:sz w:val="24"/>
          <w:szCs w:val="24"/>
          <w:lang w:val="en-GB"/>
        </w:rPr>
        <w:t>EMS, which is also responsible for the operation, maintenance, and construction of the electricity transmission network according to the Law on Energy and the Transmission Grid Code.</w:t>
      </w:r>
    </w:p>
    <w:p w14:paraId="453E58F3" w14:textId="77777777" w:rsidR="00614438" w:rsidRDefault="00614438" w:rsidP="008E0FF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Electricity Distribution System Operator</w:t>
      </w:r>
      <w:r w:rsidR="008E0FF2">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“Elektrodistribucija Srbije”</w:t>
      </w:r>
      <w:r w:rsidR="008E0FF2">
        <w:rPr>
          <w:rFonts w:ascii="Times New Roman" w:hAnsi="Times New Roman" w:cs="Times New Roman"/>
          <w:sz w:val="24"/>
          <w:szCs w:val="24"/>
          <w:lang w:val="en-GB"/>
        </w:rPr>
        <w:t xml:space="preserve"> ltd, Belgrade,</w:t>
      </w:r>
      <w:r w:rsidRPr="00614438">
        <w:rPr>
          <w:rFonts w:ascii="Times New Roman" w:hAnsi="Times New Roman" w:cs="Times New Roman"/>
          <w:sz w:val="24"/>
          <w:szCs w:val="24"/>
          <w:lang w:val="en-GB"/>
        </w:rPr>
        <w:t xml:space="preserve"> is responsible for </w:t>
      </w:r>
      <w:r w:rsidR="008E0FF2" w:rsidRPr="008E0FF2">
        <w:rPr>
          <w:rFonts w:ascii="Times New Roman" w:hAnsi="Times New Roman" w:cs="Times New Roman"/>
          <w:sz w:val="24"/>
          <w:szCs w:val="24"/>
          <w:lang w:val="en-GB"/>
        </w:rPr>
        <w:t>the preparation of the Ten-Year Plan for the Development of the Distribution Network</w:t>
      </w:r>
      <w:r w:rsidR="008E0FF2" w:rsidRPr="00614438">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TYNDP</w:t>
      </w:r>
      <w:r w:rsidR="008E0FF2">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 xml:space="preserve">as well as </w:t>
      </w:r>
      <w:r w:rsidR="008E0FF2">
        <w:rPr>
          <w:rFonts w:ascii="Times New Roman" w:hAnsi="Times New Roman" w:cs="Times New Roman"/>
          <w:sz w:val="24"/>
          <w:szCs w:val="24"/>
          <w:lang w:val="en-GB"/>
        </w:rPr>
        <w:t xml:space="preserve">for </w:t>
      </w:r>
      <w:r w:rsidRPr="00614438">
        <w:rPr>
          <w:rFonts w:ascii="Times New Roman" w:hAnsi="Times New Roman" w:cs="Times New Roman"/>
          <w:sz w:val="24"/>
          <w:szCs w:val="24"/>
          <w:lang w:val="en-GB"/>
        </w:rPr>
        <w:t xml:space="preserve">its operation and maintenance </w:t>
      </w:r>
      <w:r w:rsidR="008E0FF2">
        <w:rPr>
          <w:rFonts w:ascii="Times New Roman" w:hAnsi="Times New Roman" w:cs="Times New Roman"/>
          <w:sz w:val="24"/>
          <w:szCs w:val="24"/>
          <w:lang w:val="en-GB"/>
        </w:rPr>
        <w:t xml:space="preserve">in </w:t>
      </w:r>
      <w:r w:rsidRPr="00614438">
        <w:rPr>
          <w:rFonts w:ascii="Times New Roman" w:hAnsi="Times New Roman" w:cs="Times New Roman"/>
          <w:sz w:val="24"/>
          <w:szCs w:val="24"/>
          <w:lang w:val="en-GB"/>
        </w:rPr>
        <w:t>accord</w:t>
      </w:r>
      <w:r w:rsidR="008E0FF2">
        <w:rPr>
          <w:rFonts w:ascii="Times New Roman" w:hAnsi="Times New Roman" w:cs="Times New Roman"/>
          <w:sz w:val="24"/>
          <w:szCs w:val="24"/>
          <w:lang w:val="en-GB"/>
        </w:rPr>
        <w:t xml:space="preserve">ance </w:t>
      </w:r>
      <w:r w:rsidRPr="00614438">
        <w:rPr>
          <w:rFonts w:ascii="Times New Roman" w:hAnsi="Times New Roman" w:cs="Times New Roman"/>
          <w:sz w:val="24"/>
          <w:szCs w:val="24"/>
          <w:lang w:val="en-GB"/>
        </w:rPr>
        <w:t>to the Law on Energy and the Distribution System Grid Code.</w:t>
      </w:r>
    </w:p>
    <w:p w14:paraId="03E74D2B" w14:textId="77777777" w:rsidR="00614438" w:rsidRPr="00614438" w:rsidRDefault="00614438" w:rsidP="008E0FF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Energy Agency of the Republic of Serbia (AERS) is an independent, regulatory body established pursuant to the Law on Energy with primary task to develop and enhance the electricity and gas market based on the principles of non-discrimination and effective competition by creating a stable regulatory framework. The most important Energy Agency jurisdiction areas are certification and licencing of transmission/transport system operator, price regulation and energy market monitoring.</w:t>
      </w:r>
    </w:p>
    <w:p w14:paraId="5B880F2F" w14:textId="77777777" w:rsidR="00614438" w:rsidRPr="00614438" w:rsidRDefault="00CE21AB" w:rsidP="00CE21AB">
      <w:pPr>
        <w:ind w:firstLine="270"/>
        <w:jc w:val="both"/>
        <w:rPr>
          <w:rFonts w:ascii="Times New Roman" w:hAnsi="Times New Roman" w:cs="Times New Roman"/>
          <w:sz w:val="24"/>
          <w:szCs w:val="24"/>
          <w:lang w:val="en-GB"/>
        </w:rPr>
      </w:pPr>
      <w:bookmarkStart w:id="64" w:name="_Toc79772544"/>
      <w:bookmarkStart w:id="65" w:name="_Toc118991763"/>
      <w:bookmarkStart w:id="66" w:name="_Toc153545033"/>
      <w:r>
        <w:rPr>
          <w:rFonts w:ascii="Times New Roman" w:hAnsi="Times New Roman" w:cs="Times New Roman"/>
          <w:sz w:val="24"/>
          <w:szCs w:val="24"/>
          <w:lang w:val="en-GB"/>
        </w:rPr>
        <w:t xml:space="preserve">1.3. </w:t>
      </w:r>
      <w:r w:rsidR="00614438" w:rsidRPr="00614438">
        <w:rPr>
          <w:rFonts w:ascii="Times New Roman" w:hAnsi="Times New Roman" w:cs="Times New Roman"/>
          <w:sz w:val="24"/>
          <w:szCs w:val="24"/>
          <w:lang w:val="en-GB"/>
        </w:rPr>
        <w:t>Consultations and involvement of national and Union entities and their outcome</w:t>
      </w:r>
      <w:bookmarkEnd w:id="64"/>
      <w:bookmarkEnd w:id="65"/>
      <w:bookmarkEnd w:id="66"/>
    </w:p>
    <w:p w14:paraId="0DBB707E" w14:textId="77777777" w:rsidR="00614438" w:rsidRPr="00CE21AB" w:rsidRDefault="00614438" w:rsidP="00485CA7">
      <w:pPr>
        <w:pStyle w:val="ListParagraph"/>
        <w:numPr>
          <w:ilvl w:val="2"/>
          <w:numId w:val="263"/>
        </w:numPr>
        <w:tabs>
          <w:tab w:val="left" w:pos="540"/>
        </w:tabs>
        <w:jc w:val="center"/>
        <w:rPr>
          <w:rFonts w:ascii="Times New Roman" w:hAnsi="Times New Roman" w:cs="Times New Roman"/>
          <w:sz w:val="24"/>
          <w:szCs w:val="24"/>
          <w:lang w:val="en-GB"/>
        </w:rPr>
      </w:pPr>
      <w:r w:rsidRPr="00CE21AB">
        <w:rPr>
          <w:rFonts w:ascii="Times New Roman" w:hAnsi="Times New Roman" w:cs="Times New Roman"/>
          <w:sz w:val="24"/>
          <w:szCs w:val="24"/>
          <w:lang w:val="en-GB"/>
        </w:rPr>
        <w:t>Involvement of the National Assembly</w:t>
      </w:r>
    </w:p>
    <w:p w14:paraId="6AD75342" w14:textId="77777777" w:rsidR="00614438" w:rsidRPr="00614438" w:rsidRDefault="00614438" w:rsidP="00CE21AB">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provisions of the Energy Law do not envisage the participation of the Parliament in the process of preparation or adoption of the Integrated National Energy and Climate Plan of the Republic of Serbia. In accordance with the Article 8a of the Law on Energy, the Integrated National Energy and Climate Plan of the Republic of Serbia shall be adopted by the Government of the Republic of Serbia. On February 8, 2022, the process of creating INECP was presented before the Parliamentary Forum for Energy Policy of Serbia.</w:t>
      </w:r>
    </w:p>
    <w:p w14:paraId="61A201BC" w14:textId="77777777" w:rsidR="00614438" w:rsidRPr="00CE21AB" w:rsidRDefault="00CE21AB" w:rsidP="005C44EC">
      <w:pPr>
        <w:ind w:left="2160" w:firstLine="720"/>
        <w:jc w:val="center"/>
        <w:rPr>
          <w:rFonts w:ascii="Times New Roman" w:hAnsi="Times New Roman" w:cs="Times New Roman"/>
          <w:sz w:val="24"/>
          <w:szCs w:val="24"/>
          <w:lang w:val="en-GB"/>
        </w:rPr>
      </w:pPr>
      <w:r>
        <w:rPr>
          <w:rFonts w:ascii="Times New Roman" w:hAnsi="Times New Roman" w:cs="Times New Roman"/>
          <w:sz w:val="24"/>
          <w:szCs w:val="24"/>
          <w:lang w:val="en-GB"/>
        </w:rPr>
        <w:lastRenderedPageBreak/>
        <w:t xml:space="preserve">1.3.2 </w:t>
      </w:r>
      <w:r w:rsidR="00614438" w:rsidRPr="00CE21AB">
        <w:rPr>
          <w:rFonts w:ascii="Times New Roman" w:hAnsi="Times New Roman" w:cs="Times New Roman"/>
          <w:sz w:val="24"/>
          <w:szCs w:val="24"/>
          <w:lang w:val="en-GB"/>
        </w:rPr>
        <w:t>Consultations of stakeholders, including the social partners,</w:t>
      </w:r>
      <w:r w:rsidR="005C44EC">
        <w:rPr>
          <w:rFonts w:ascii="Times New Roman" w:hAnsi="Times New Roman" w:cs="Times New Roman"/>
          <w:sz w:val="24"/>
          <w:szCs w:val="24"/>
          <w:lang w:val="en-GB"/>
        </w:rPr>
        <w:br/>
      </w:r>
      <w:r w:rsidR="00614438" w:rsidRPr="00CE21AB">
        <w:rPr>
          <w:rFonts w:ascii="Times New Roman" w:hAnsi="Times New Roman" w:cs="Times New Roman"/>
          <w:sz w:val="24"/>
          <w:szCs w:val="24"/>
          <w:lang w:val="en-GB"/>
        </w:rPr>
        <w:t>and engagement of civil society and the general public</w:t>
      </w:r>
    </w:p>
    <w:p w14:paraId="1F2985C1" w14:textId="77777777" w:rsidR="00614438" w:rsidRPr="00614438" w:rsidRDefault="00614438" w:rsidP="005C44EC">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Since February 2021, the Ministry of Mining and Energy has been working on the development of INECP within the project "Further Development of Energy Planning Capacities", which is financed entirely from the IPA fund of the European Union.</w:t>
      </w:r>
    </w:p>
    <w:p w14:paraId="16FD0BA4" w14:textId="77777777" w:rsidR="00614438" w:rsidRPr="00614438" w:rsidRDefault="00614438" w:rsidP="005C44EC">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Basic information about the project within which the development of INECP is planned, was published on the EUzaTEBE portal: Further development of capacity for energy planning (euzatebe.rs). Information about the beginning of the process of developing the Integrated National Energy and Climate Plan of the Republic of Serbia for the period up to 2030 with a vision up to 2050 was published on the website of the Ministry of Mining and Energy on April 20, 2021, after the Initial Meeting and the First Meeting of the Project Steering Committee, which informed the public that the project, among other things, envisages the implementation of public consultations and consultations with the Energy Community</w:t>
      </w:r>
      <w:r w:rsidRPr="00614438">
        <w:rPr>
          <w:rFonts w:ascii="Times New Roman" w:hAnsi="Times New Roman" w:cs="Times New Roman"/>
          <w:sz w:val="24"/>
          <w:szCs w:val="24"/>
        </w:rPr>
        <w:t xml:space="preserve"> Secretariat</w:t>
      </w:r>
      <w:r w:rsidRPr="00614438">
        <w:rPr>
          <w:rFonts w:ascii="Times New Roman" w:hAnsi="Times New Roman" w:cs="Times New Roman"/>
          <w:sz w:val="24"/>
          <w:szCs w:val="24"/>
          <w:lang w:val="en-GB"/>
        </w:rPr>
        <w:t>, the preparation and adoption of the Strategic Environmental Impact Assessment Report and the adoption of INECP by the Government of Serbia.</w:t>
      </w:r>
    </w:p>
    <w:p w14:paraId="04B453D8" w14:textId="77777777" w:rsidR="0000364B" w:rsidRDefault="00614438" w:rsidP="005C44EC">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order to supervise and monitor the implementation of this project in accordance with the Terms of Reference, two multi-sector Working Groups were formed, in which, in addition to representatives of the Ministry of Mining and Energy, a large number of relevant ministries and institutions, public and private companies, civil society organizations were included, while the activities were monitored by representatives of the Energy Community, the European Commission, the EU Delegation to RS, the EBRD and the Japanese Business Alliance. </w:t>
      </w:r>
    </w:p>
    <w:p w14:paraId="150140F7" w14:textId="77777777" w:rsidR="00614438" w:rsidRPr="00614438" w:rsidRDefault="00614438" w:rsidP="005C44EC">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W</w:t>
      </w:r>
      <w:r w:rsidR="0000364B">
        <w:rPr>
          <w:rFonts w:ascii="Times New Roman" w:hAnsi="Times New Roman" w:cs="Times New Roman"/>
          <w:sz w:val="24"/>
          <w:szCs w:val="24"/>
          <w:lang w:val="en-GB"/>
        </w:rPr>
        <w:t xml:space="preserve">orking </w:t>
      </w:r>
      <w:r w:rsidRPr="00614438">
        <w:rPr>
          <w:rFonts w:ascii="Times New Roman" w:hAnsi="Times New Roman" w:cs="Times New Roman"/>
          <w:sz w:val="24"/>
          <w:szCs w:val="24"/>
          <w:lang w:val="en-GB"/>
        </w:rPr>
        <w:t>G</w:t>
      </w:r>
      <w:r w:rsidR="0000364B">
        <w:rPr>
          <w:rFonts w:ascii="Times New Roman" w:hAnsi="Times New Roman" w:cs="Times New Roman"/>
          <w:sz w:val="24"/>
          <w:szCs w:val="24"/>
          <w:lang w:val="en-GB"/>
        </w:rPr>
        <w:t xml:space="preserve">roup </w:t>
      </w:r>
      <w:r w:rsidRPr="00614438">
        <w:rPr>
          <w:rFonts w:ascii="Times New Roman" w:hAnsi="Times New Roman" w:cs="Times New Roman"/>
          <w:sz w:val="24"/>
          <w:szCs w:val="24"/>
          <w:lang w:val="en-GB"/>
        </w:rPr>
        <w:t xml:space="preserve">1 </w:t>
      </w:r>
      <w:r w:rsidR="0000364B">
        <w:rPr>
          <w:rFonts w:ascii="Times New Roman" w:hAnsi="Times New Roman" w:cs="Times New Roman"/>
          <w:sz w:val="24"/>
          <w:szCs w:val="24"/>
          <w:lang w:val="en-GB"/>
        </w:rPr>
        <w:t>i</w:t>
      </w:r>
      <w:r w:rsidRPr="00614438">
        <w:rPr>
          <w:rFonts w:ascii="Times New Roman" w:hAnsi="Times New Roman" w:cs="Times New Roman"/>
          <w:sz w:val="24"/>
          <w:szCs w:val="24"/>
          <w:lang w:val="en-GB"/>
        </w:rPr>
        <w:t>s responsible for analytical work, while W</w:t>
      </w:r>
      <w:r w:rsidR="0000364B">
        <w:rPr>
          <w:rFonts w:ascii="Times New Roman" w:hAnsi="Times New Roman" w:cs="Times New Roman"/>
          <w:sz w:val="24"/>
          <w:szCs w:val="24"/>
          <w:lang w:val="en-GB"/>
        </w:rPr>
        <w:t xml:space="preserve">orking </w:t>
      </w:r>
      <w:r w:rsidRPr="00614438">
        <w:rPr>
          <w:rFonts w:ascii="Times New Roman" w:hAnsi="Times New Roman" w:cs="Times New Roman"/>
          <w:sz w:val="24"/>
          <w:szCs w:val="24"/>
          <w:lang w:val="en-GB"/>
        </w:rPr>
        <w:t>G</w:t>
      </w:r>
      <w:r w:rsidR="0000364B">
        <w:rPr>
          <w:rFonts w:ascii="Times New Roman" w:hAnsi="Times New Roman" w:cs="Times New Roman"/>
          <w:sz w:val="24"/>
          <w:szCs w:val="24"/>
          <w:lang w:val="en-GB"/>
        </w:rPr>
        <w:t xml:space="preserve">roup </w:t>
      </w:r>
      <w:r w:rsidRPr="00614438">
        <w:rPr>
          <w:rFonts w:ascii="Times New Roman" w:hAnsi="Times New Roman" w:cs="Times New Roman"/>
          <w:sz w:val="24"/>
          <w:szCs w:val="24"/>
          <w:lang w:val="en-GB"/>
        </w:rPr>
        <w:t xml:space="preserve">2 </w:t>
      </w:r>
      <w:r w:rsidR="0000364B">
        <w:rPr>
          <w:rFonts w:ascii="Times New Roman" w:hAnsi="Times New Roman" w:cs="Times New Roman"/>
          <w:sz w:val="24"/>
          <w:szCs w:val="24"/>
          <w:lang w:val="en-GB"/>
        </w:rPr>
        <w:t>i</w:t>
      </w:r>
      <w:r w:rsidRPr="00614438">
        <w:rPr>
          <w:rFonts w:ascii="Times New Roman" w:hAnsi="Times New Roman" w:cs="Times New Roman"/>
          <w:sz w:val="24"/>
          <w:szCs w:val="24"/>
          <w:lang w:val="en-GB"/>
        </w:rPr>
        <w:t>s policy-orientated and tasked with the drafting of the Integrated National Energy and Climate Plan (INECP). The overall process of the development and preparation of the INECP was coordinated by the Ministry of Mining and Energy, being the leading Ministry for document preparation and key beneficiary of the above-mentioned project.</w:t>
      </w:r>
    </w:p>
    <w:p w14:paraId="6C25FFBF" w14:textId="77777777" w:rsidR="0000364B" w:rsidRPr="00614438" w:rsidRDefault="0000364B" w:rsidP="0000364B">
      <w:pPr>
        <w:ind w:firstLine="720"/>
        <w:jc w:val="both"/>
        <w:rPr>
          <w:rFonts w:ascii="Times New Roman" w:hAnsi="Times New Roman" w:cs="Times New Roman"/>
          <w:sz w:val="24"/>
          <w:szCs w:val="24"/>
          <w:lang w:val="en-GB"/>
        </w:rPr>
      </w:pPr>
      <w:bookmarkStart w:id="67" w:name="_Toc154575206"/>
      <w:r w:rsidRPr="00614438">
        <w:rPr>
          <w:rFonts w:ascii="Times New Roman" w:hAnsi="Times New Roman" w:cs="Times New Roman"/>
          <w:sz w:val="24"/>
          <w:szCs w:val="24"/>
          <w:lang w:val="en-GB"/>
        </w:rPr>
        <w:t xml:space="preserve">Initially, the Working Groups consisted of 19 national stakeholders and a total of 83 representatives. The stakeholders include: 6 governmental institutions (5 Ministries and Directorate for Energy Reserves), 6 stakeholders representing agencies, regulators and a statistical office, and 7 energy companies. In order to ensure that representatives of the civil society participate regularly in the development and preparation process of the INECP, the working groups have been subsequently expanded. </w:t>
      </w:r>
      <w:r>
        <w:rPr>
          <w:rFonts w:ascii="Times New Roman" w:hAnsi="Times New Roman" w:cs="Times New Roman"/>
          <w:sz w:val="24"/>
          <w:szCs w:val="24"/>
          <w:lang w:val="en-GB"/>
        </w:rPr>
        <w:t>In 2021, there was a p</w:t>
      </w:r>
      <w:r w:rsidRPr="00614438">
        <w:rPr>
          <w:rFonts w:ascii="Times New Roman" w:hAnsi="Times New Roman" w:cs="Times New Roman"/>
          <w:sz w:val="24"/>
          <w:szCs w:val="24"/>
          <w:lang w:val="en-GB"/>
        </w:rPr>
        <w:t>ublic call to civil society organizations for membership in the working groups of the Ministry of Mining and Energy. Thus, the representatives of the RES Foundation, Belgrade Open School (BOS) and Center for ecology and sustainable development (CEKOR) joined WG1 and WG2 as regular members.</w:t>
      </w:r>
    </w:p>
    <w:p w14:paraId="08D12F30" w14:textId="77777777" w:rsidR="0064233A" w:rsidRDefault="0000364B" w:rsidP="0000364B">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Additionally, in order to secure high quality of planning, mitigate gaps and fully mobilize existing national capacities, the overall process is constantly supported by a number of relevant bodies, such as various business associations, research institutions and others, on ad hoc basis for particular issues. </w:t>
      </w:r>
    </w:p>
    <w:p w14:paraId="5C0BEE05" w14:textId="77777777" w:rsidR="00614438" w:rsidRPr="00614438" w:rsidRDefault="00614438" w:rsidP="0000364B">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Structure of the Working Groups per entities involved</w:t>
      </w:r>
      <w:bookmarkEnd w:id="67"/>
    </w:p>
    <w:p w14:paraId="50B72EC0"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lastRenderedPageBreak/>
        <w:drawing>
          <wp:inline distT="0" distB="0" distL="0" distR="0" wp14:anchorId="50CA72D6" wp14:editId="01A44B8C">
            <wp:extent cx="6096000" cy="3429000"/>
            <wp:effectExtent l="0" t="0" r="0" b="0"/>
            <wp:docPr id="278882639"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916675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noFill/>
                    </a:ln>
                  </pic:spPr>
                </pic:pic>
              </a:graphicData>
            </a:graphic>
          </wp:inline>
        </w:drawing>
      </w:r>
    </w:p>
    <w:p w14:paraId="1E895C09" w14:textId="77777777" w:rsidR="00614438" w:rsidRPr="00614438" w:rsidRDefault="00614438" w:rsidP="0064233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concept of the decision-making process, discussion sessions and overall communication is realized through the Working Group meetings that have been held regularly, but also through the introduction of the regularly conducted so-called “dimensional meetings”, dedicated to each of the five dimensions (i.e. Decarbonization, Energy Efficiency, Internal Energy Market, Energy Security, and Research, Innovation and Competitiveness) and with aim to elaborate each dimension in detail. Due to the limited timeframe for the elaboration of the INECP and the rather demanding organizational effort, there is no strict definition or establishment of sub-groups along the five dimensions of the Energy Union, but their participation has been unofficially allocated as per their responsibility and relevance.</w:t>
      </w:r>
    </w:p>
    <w:p w14:paraId="169C8868" w14:textId="77777777" w:rsidR="00614438" w:rsidRPr="00614438" w:rsidRDefault="00614438" w:rsidP="0064233A">
      <w:pPr>
        <w:ind w:firstLine="720"/>
        <w:jc w:val="both"/>
        <w:rPr>
          <w:rFonts w:ascii="Times New Roman" w:hAnsi="Times New Roman" w:cs="Times New Roman"/>
          <w:sz w:val="24"/>
          <w:szCs w:val="24"/>
          <w:lang w:val="da-DK"/>
        </w:rPr>
      </w:pPr>
      <w:r w:rsidRPr="00614438">
        <w:rPr>
          <w:rFonts w:ascii="Times New Roman" w:hAnsi="Times New Roman" w:cs="Times New Roman"/>
          <w:sz w:val="24"/>
          <w:szCs w:val="24"/>
          <w:lang w:val="en-GB"/>
        </w:rPr>
        <w:t>The detailed scheme of the relevant participants per dimension within the project is presented in the following figure:</w:t>
      </w:r>
      <w:bookmarkStart w:id="68" w:name="_Toc79772585"/>
      <w:bookmarkStart w:id="69" w:name="_Toc118992270"/>
    </w:p>
    <w:p w14:paraId="0E29CE08" w14:textId="77777777" w:rsidR="00614438" w:rsidRPr="00614438" w:rsidRDefault="00614438" w:rsidP="00614438">
      <w:pPr>
        <w:jc w:val="both"/>
        <w:rPr>
          <w:rFonts w:ascii="Times New Roman" w:hAnsi="Times New Roman" w:cs="Times New Roman"/>
          <w:sz w:val="24"/>
          <w:szCs w:val="24"/>
        </w:rPr>
      </w:pPr>
      <w:bookmarkStart w:id="70" w:name="_Toc154575207"/>
      <w:bookmarkEnd w:id="68"/>
      <w:bookmarkEnd w:id="69"/>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16</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Involvement of project participants per dimension</w:t>
      </w:r>
      <w:bookmarkEnd w:id="70"/>
    </w:p>
    <w:p w14:paraId="74D1D0FC"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16F2D822" wp14:editId="00C26142">
            <wp:extent cx="6115050" cy="1685925"/>
            <wp:effectExtent l="0" t="0" r="0" b="9525"/>
            <wp:docPr id="282428094"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15050" cy="1685925"/>
                    </a:xfrm>
                    <a:prstGeom prst="rect">
                      <a:avLst/>
                    </a:prstGeom>
                    <a:noFill/>
                    <a:ln>
                      <a:noFill/>
                    </a:ln>
                  </pic:spPr>
                </pic:pic>
              </a:graphicData>
            </a:graphic>
          </wp:inline>
        </w:drawing>
      </w:r>
    </w:p>
    <w:p w14:paraId="304B49B6" w14:textId="77777777" w:rsidR="00614438" w:rsidRPr="00614438" w:rsidRDefault="00614438" w:rsidP="0064233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institutions that represent supporting bodies in the project, which are not members of the Working Group, are mainly active in the dimensions of energy efficiency and research, innovation and competitiveness. In the period from April to July 2021, a large amount of data was collected in the format of input data for energy modelling tools. The Ministry of Mining and Energy </w:t>
      </w:r>
      <w:r w:rsidR="0064233A">
        <w:rPr>
          <w:rFonts w:ascii="Times New Roman" w:hAnsi="Times New Roman" w:cs="Times New Roman"/>
          <w:sz w:val="24"/>
          <w:szCs w:val="24"/>
          <w:lang w:val="en-GB"/>
        </w:rPr>
        <w:t>initiated the process of</w:t>
      </w:r>
      <w:r w:rsidRPr="00614438">
        <w:rPr>
          <w:rFonts w:ascii="Times New Roman" w:hAnsi="Times New Roman" w:cs="Times New Roman"/>
          <w:sz w:val="24"/>
          <w:szCs w:val="24"/>
          <w:lang w:val="en-GB"/>
        </w:rPr>
        <w:t xml:space="preserve"> collecting the opinions of various educational institutions, scientific institutes and associations on specific topics, in accordance with their responsibilities and relevance, such as </w:t>
      </w:r>
      <w:r w:rsidRPr="00614438">
        <w:rPr>
          <w:rFonts w:ascii="Times New Roman" w:hAnsi="Times New Roman" w:cs="Times New Roman"/>
          <w:sz w:val="24"/>
          <w:szCs w:val="24"/>
          <w:lang w:val="en-GB"/>
        </w:rPr>
        <w:lastRenderedPageBreak/>
        <w:t>University of Belgrade, University of Novi Sad, University of Nis and University of Kragujevac. The same procedure</w:t>
      </w:r>
      <w:r w:rsidR="0064233A">
        <w:rPr>
          <w:rFonts w:ascii="Times New Roman" w:hAnsi="Times New Roman" w:cs="Times New Roman"/>
          <w:sz w:val="24"/>
          <w:szCs w:val="24"/>
          <w:lang w:val="en-GB"/>
        </w:rPr>
        <w:t xml:space="preserve"> was</w:t>
      </w:r>
      <w:r w:rsidRPr="00614438">
        <w:rPr>
          <w:rFonts w:ascii="Times New Roman" w:hAnsi="Times New Roman" w:cs="Times New Roman"/>
          <w:sz w:val="24"/>
          <w:szCs w:val="24"/>
          <w:lang w:val="en-GB"/>
        </w:rPr>
        <w:t xml:space="preserve"> applie</w:t>
      </w:r>
      <w:r w:rsidR="0064233A">
        <w:rPr>
          <w:rFonts w:ascii="Times New Roman" w:hAnsi="Times New Roman" w:cs="Times New Roman"/>
          <w:sz w:val="24"/>
          <w:szCs w:val="24"/>
          <w:lang w:val="en-GB"/>
        </w:rPr>
        <w:t>d</w:t>
      </w:r>
      <w:r w:rsidRPr="00614438">
        <w:rPr>
          <w:rFonts w:ascii="Times New Roman" w:hAnsi="Times New Roman" w:cs="Times New Roman"/>
          <w:sz w:val="24"/>
          <w:szCs w:val="24"/>
          <w:lang w:val="en-GB"/>
        </w:rPr>
        <w:t xml:space="preserve"> </w:t>
      </w:r>
      <w:r w:rsidR="0064233A">
        <w:rPr>
          <w:rFonts w:ascii="Times New Roman" w:hAnsi="Times New Roman" w:cs="Times New Roman"/>
          <w:sz w:val="24"/>
          <w:szCs w:val="24"/>
          <w:lang w:val="en-GB"/>
        </w:rPr>
        <w:t>to</w:t>
      </w:r>
      <w:r w:rsidRPr="00614438">
        <w:rPr>
          <w:rFonts w:ascii="Times New Roman" w:hAnsi="Times New Roman" w:cs="Times New Roman"/>
          <w:sz w:val="24"/>
          <w:szCs w:val="24"/>
          <w:lang w:val="en-GB"/>
        </w:rPr>
        <w:t xml:space="preserve"> the Electrical Engineering Institute Nikola Tesla and Institute Mihailo Pupin, as well as the Serbian Academy of Sciences and Arts (SANU). Additionally, the business association “Heat Plants of Serbia” has been participating in the meetings regarding the district heating, while the Belgrade Metro and Train Company has delivered appropriate data and information on the ongoing project and planned activities regarding the development of the railway transport in the city of Belgrade. Moreover, during the analysis of the energy poverty situation in the Republic of Serbia and preparation of the INECP, the study of the non-governmental organization RES Foundation on the energy poverty in the Republic of Serbia in 2021 was taken into consideration. A</w:t>
      </w:r>
      <w:r w:rsidR="0064233A">
        <w:rPr>
          <w:rFonts w:ascii="Times New Roman" w:hAnsi="Times New Roman" w:cs="Times New Roman"/>
          <w:sz w:val="24"/>
          <w:szCs w:val="24"/>
          <w:lang w:val="en-GB"/>
        </w:rPr>
        <w:t>side from that</w:t>
      </w:r>
      <w:r w:rsidRPr="00614438">
        <w:rPr>
          <w:rFonts w:ascii="Times New Roman" w:hAnsi="Times New Roman" w:cs="Times New Roman"/>
          <w:sz w:val="24"/>
          <w:szCs w:val="24"/>
          <w:lang w:val="en-GB"/>
        </w:rPr>
        <w:t xml:space="preserve">, </w:t>
      </w:r>
      <w:r w:rsidR="0064233A">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following institutions were contacted and consulted: The Faculty of Mechanical Engineering</w:t>
      </w:r>
      <w:r w:rsidR="0064233A">
        <w:rPr>
          <w:rFonts w:ascii="Times New Roman" w:hAnsi="Times New Roman" w:cs="Times New Roman"/>
          <w:sz w:val="24"/>
          <w:szCs w:val="24"/>
          <w:lang w:val="en-GB"/>
        </w:rPr>
        <w:t xml:space="preserve"> of the</w:t>
      </w:r>
      <w:r w:rsidRPr="00614438">
        <w:rPr>
          <w:rFonts w:ascii="Times New Roman" w:hAnsi="Times New Roman" w:cs="Times New Roman"/>
          <w:sz w:val="24"/>
          <w:szCs w:val="24"/>
          <w:lang w:val="en-GB"/>
        </w:rPr>
        <w:t xml:space="preserve"> University of Belgrade, </w:t>
      </w:r>
      <w:r w:rsidR="0064233A">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Faculty of Forestry</w:t>
      </w:r>
      <w:r w:rsidR="0064233A">
        <w:rPr>
          <w:rFonts w:ascii="Times New Roman" w:hAnsi="Times New Roman" w:cs="Times New Roman"/>
          <w:sz w:val="24"/>
          <w:szCs w:val="24"/>
          <w:lang w:val="en-GB"/>
        </w:rPr>
        <w:t xml:space="preserve"> of the</w:t>
      </w:r>
      <w:r w:rsidRPr="00614438">
        <w:rPr>
          <w:rFonts w:ascii="Times New Roman" w:hAnsi="Times New Roman" w:cs="Times New Roman"/>
          <w:sz w:val="24"/>
          <w:szCs w:val="24"/>
          <w:lang w:val="en-GB"/>
        </w:rPr>
        <w:t xml:space="preserve"> University of Belgrade, </w:t>
      </w:r>
      <w:r w:rsidR="0064233A">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Faculty of Electrical Engineering</w:t>
      </w:r>
      <w:r w:rsidR="0064233A">
        <w:rPr>
          <w:rFonts w:ascii="Times New Roman" w:hAnsi="Times New Roman" w:cs="Times New Roman"/>
          <w:sz w:val="24"/>
          <w:szCs w:val="24"/>
          <w:lang w:val="en-GB"/>
        </w:rPr>
        <w:t xml:space="preserve"> of the</w:t>
      </w:r>
      <w:r w:rsidRPr="00614438">
        <w:rPr>
          <w:rFonts w:ascii="Times New Roman" w:hAnsi="Times New Roman" w:cs="Times New Roman"/>
          <w:sz w:val="24"/>
          <w:szCs w:val="24"/>
          <w:lang w:val="en-GB"/>
        </w:rPr>
        <w:t xml:space="preserve"> University of Belgrade, </w:t>
      </w:r>
      <w:r w:rsidR="0064233A">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Faculty of Technology and Metallurgy</w:t>
      </w:r>
      <w:r w:rsidR="0064233A">
        <w:rPr>
          <w:rFonts w:ascii="Times New Roman" w:hAnsi="Times New Roman" w:cs="Times New Roman"/>
          <w:sz w:val="24"/>
          <w:szCs w:val="24"/>
          <w:lang w:val="en-GB"/>
        </w:rPr>
        <w:t xml:space="preserve"> of the</w:t>
      </w:r>
      <w:r w:rsidRPr="00614438">
        <w:rPr>
          <w:rFonts w:ascii="Times New Roman" w:hAnsi="Times New Roman" w:cs="Times New Roman"/>
          <w:sz w:val="24"/>
          <w:szCs w:val="24"/>
          <w:lang w:val="en-GB"/>
        </w:rPr>
        <w:t xml:space="preserve"> University of Belgrade, </w:t>
      </w:r>
      <w:r w:rsidR="0064233A">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Faculty of Mechanical Engineering</w:t>
      </w:r>
      <w:r w:rsidR="0064233A">
        <w:rPr>
          <w:rFonts w:ascii="Times New Roman" w:hAnsi="Times New Roman" w:cs="Times New Roman"/>
          <w:sz w:val="24"/>
          <w:szCs w:val="24"/>
          <w:lang w:val="en-GB"/>
        </w:rPr>
        <w:t xml:space="preserve"> of the</w:t>
      </w:r>
      <w:r w:rsidRPr="00614438">
        <w:rPr>
          <w:rFonts w:ascii="Times New Roman" w:hAnsi="Times New Roman" w:cs="Times New Roman"/>
          <w:sz w:val="24"/>
          <w:szCs w:val="24"/>
          <w:lang w:val="en-GB"/>
        </w:rPr>
        <w:t xml:space="preserve"> University of Niš, </w:t>
      </w:r>
      <w:r w:rsidR="0064233A">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Faculty of Agriculture</w:t>
      </w:r>
      <w:r w:rsidR="0064233A">
        <w:rPr>
          <w:rFonts w:ascii="Times New Roman" w:hAnsi="Times New Roman" w:cs="Times New Roman"/>
          <w:sz w:val="24"/>
          <w:szCs w:val="24"/>
          <w:lang w:val="en-GB"/>
        </w:rPr>
        <w:t xml:space="preserve"> of the</w:t>
      </w:r>
      <w:r w:rsidRPr="00614438">
        <w:rPr>
          <w:rFonts w:ascii="Times New Roman" w:hAnsi="Times New Roman" w:cs="Times New Roman"/>
          <w:sz w:val="24"/>
          <w:szCs w:val="24"/>
          <w:lang w:val="en-GB"/>
        </w:rPr>
        <w:t xml:space="preserve"> University of Novi Sad, </w:t>
      </w:r>
      <w:r w:rsidR="0064233A">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Faculty of </w:t>
      </w:r>
      <w:r w:rsidR="0064233A">
        <w:rPr>
          <w:rFonts w:ascii="Times New Roman" w:hAnsi="Times New Roman" w:cs="Times New Roman"/>
          <w:sz w:val="24"/>
          <w:szCs w:val="24"/>
          <w:lang w:val="en-GB"/>
        </w:rPr>
        <w:t xml:space="preserve">Electrical </w:t>
      </w:r>
      <w:r w:rsidRPr="00614438">
        <w:rPr>
          <w:rFonts w:ascii="Times New Roman" w:hAnsi="Times New Roman" w:cs="Times New Roman"/>
          <w:sz w:val="24"/>
          <w:szCs w:val="24"/>
          <w:lang w:val="en-GB"/>
        </w:rPr>
        <w:t>Engineering</w:t>
      </w:r>
      <w:r w:rsidR="0064233A">
        <w:rPr>
          <w:rFonts w:ascii="Times New Roman" w:hAnsi="Times New Roman" w:cs="Times New Roman"/>
          <w:sz w:val="24"/>
          <w:szCs w:val="24"/>
          <w:lang w:val="en-GB"/>
        </w:rPr>
        <w:t xml:space="preserve"> of the</w:t>
      </w:r>
      <w:r w:rsidRPr="00614438">
        <w:rPr>
          <w:rFonts w:ascii="Times New Roman" w:hAnsi="Times New Roman" w:cs="Times New Roman"/>
          <w:sz w:val="24"/>
          <w:szCs w:val="24"/>
          <w:lang w:val="en-GB"/>
        </w:rPr>
        <w:t xml:space="preserve"> University of Kragujevac, </w:t>
      </w:r>
      <w:r w:rsidR="0064233A">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Institute</w:t>
      </w:r>
      <w:r w:rsidRPr="00614438">
        <w:rPr>
          <w:rFonts w:ascii="Times New Roman" w:hAnsi="Times New Roman" w:cs="Times New Roman"/>
          <w:sz w:val="24"/>
          <w:szCs w:val="24"/>
          <w:lang w:val="sr-Cyrl-CS"/>
        </w:rPr>
        <w:t xml:space="preserve"> </w:t>
      </w:r>
      <w:r w:rsidRPr="00614438">
        <w:rPr>
          <w:rFonts w:ascii="Times New Roman" w:hAnsi="Times New Roman" w:cs="Times New Roman"/>
          <w:sz w:val="24"/>
          <w:szCs w:val="24"/>
        </w:rPr>
        <w:t>of Nuclear Sciences “Vinca”</w:t>
      </w:r>
      <w:r w:rsidR="00DD76B6">
        <w:rPr>
          <w:rFonts w:ascii="Times New Roman" w:hAnsi="Times New Roman" w:cs="Times New Roman"/>
          <w:sz w:val="24"/>
          <w:szCs w:val="24"/>
        </w:rPr>
        <w:t xml:space="preserve"> of the</w:t>
      </w:r>
      <w:r w:rsidRPr="00614438">
        <w:rPr>
          <w:rFonts w:ascii="Times New Roman" w:hAnsi="Times New Roman" w:cs="Times New Roman"/>
          <w:sz w:val="24"/>
          <w:szCs w:val="24"/>
        </w:rPr>
        <w:t xml:space="preserve"> </w:t>
      </w:r>
      <w:r w:rsidRPr="00614438">
        <w:rPr>
          <w:rFonts w:ascii="Times New Roman" w:hAnsi="Times New Roman" w:cs="Times New Roman"/>
          <w:sz w:val="24"/>
          <w:szCs w:val="24"/>
          <w:lang w:val="en-GB"/>
        </w:rPr>
        <w:t xml:space="preserve">University of Belgrade, </w:t>
      </w:r>
      <w:r w:rsidR="00DD76B6">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Faculty of Technical Sciences</w:t>
      </w:r>
      <w:r w:rsidR="00DD76B6">
        <w:rPr>
          <w:rFonts w:ascii="Times New Roman" w:hAnsi="Times New Roman" w:cs="Times New Roman"/>
          <w:sz w:val="24"/>
          <w:szCs w:val="24"/>
          <w:lang w:val="en-GB"/>
        </w:rPr>
        <w:t xml:space="preserve"> of the</w:t>
      </w:r>
      <w:r w:rsidRPr="00614438">
        <w:rPr>
          <w:rFonts w:ascii="Times New Roman" w:hAnsi="Times New Roman" w:cs="Times New Roman"/>
          <w:sz w:val="24"/>
          <w:szCs w:val="24"/>
          <w:lang w:val="en-GB"/>
        </w:rPr>
        <w:t xml:space="preserve"> University of </w:t>
      </w:r>
      <w:r w:rsidR="00DD76B6">
        <w:rPr>
          <w:rFonts w:ascii="Times New Roman" w:hAnsi="Times New Roman" w:cs="Times New Roman"/>
          <w:sz w:val="24"/>
          <w:szCs w:val="24"/>
          <w:lang w:val="en-GB"/>
        </w:rPr>
        <w:t>Belgrade</w:t>
      </w:r>
      <w:r w:rsidRPr="00614438">
        <w:rPr>
          <w:rFonts w:ascii="Times New Roman" w:hAnsi="Times New Roman" w:cs="Times New Roman"/>
          <w:sz w:val="24"/>
          <w:szCs w:val="24"/>
          <w:lang w:val="en-GB"/>
        </w:rPr>
        <w:t>, Ministry of Agriculture, Forestry and Water Management.</w:t>
      </w:r>
    </w:p>
    <w:p w14:paraId="53578FD3" w14:textId="77777777" w:rsidR="00614438" w:rsidRPr="00614438" w:rsidRDefault="00614438" w:rsidP="00DD76B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Finally, during the preparation of draft INECP, a series of bilateral and multilateral meetings has been held with various stakeholders. Thus, efforts made resulted in 11 Working Group meetings and about 50 bilateral meetings, as the inclusiveness </w:t>
      </w:r>
      <w:r w:rsidR="00DD76B6">
        <w:rPr>
          <w:rFonts w:ascii="Times New Roman" w:hAnsi="Times New Roman" w:cs="Times New Roman"/>
          <w:sz w:val="24"/>
          <w:szCs w:val="24"/>
          <w:lang w:val="en-GB"/>
        </w:rPr>
        <w:t xml:space="preserve">of all factors </w:t>
      </w:r>
      <w:r w:rsidRPr="00614438">
        <w:rPr>
          <w:rFonts w:ascii="Times New Roman" w:hAnsi="Times New Roman" w:cs="Times New Roman"/>
          <w:sz w:val="24"/>
          <w:szCs w:val="24"/>
          <w:lang w:val="en-GB"/>
        </w:rPr>
        <w:t xml:space="preserve">has been </w:t>
      </w:r>
      <w:r w:rsidR="00DD76B6">
        <w:rPr>
          <w:rFonts w:ascii="Times New Roman" w:hAnsi="Times New Roman" w:cs="Times New Roman"/>
          <w:sz w:val="24"/>
          <w:szCs w:val="24"/>
          <w:lang w:val="en-GB"/>
        </w:rPr>
        <w:t xml:space="preserve">a </w:t>
      </w:r>
      <w:r w:rsidRPr="00614438">
        <w:rPr>
          <w:rFonts w:ascii="Times New Roman" w:hAnsi="Times New Roman" w:cs="Times New Roman"/>
          <w:sz w:val="24"/>
          <w:szCs w:val="24"/>
          <w:lang w:val="en-GB"/>
        </w:rPr>
        <w:t>governance priority.</w:t>
      </w:r>
    </w:p>
    <w:p w14:paraId="61358125" w14:textId="77777777" w:rsidR="00614438" w:rsidRPr="00614438" w:rsidRDefault="00614438" w:rsidP="00DD76B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the period from August 9, 2022, to September 5, 2022, the Ministry of Mining and Energy conducted early public consultations during which the interested public was invited to send their comments, questions and suggestions to the published working scenarios that were prepared for the preparation of the INECP. The subject of early public consultations were: Scenario 1, Scenario 2, Scenario 3 and Scenario S, with a note that no comments and questions were submitted on Scenario 6 (Fit for 55) because it was done solely for the purpose of insight into what would happen if the goals of the Republic of Serbia were equal to the objectives of the EU.</w:t>
      </w:r>
    </w:p>
    <w:p w14:paraId="5CA84D12" w14:textId="77777777" w:rsidR="00614438" w:rsidRPr="00614438" w:rsidRDefault="00614438" w:rsidP="00DD76B6">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Ministry of Mining and Energy organized public consultations for the professional public and other interested parties to submit their comments and suggestions on the Integrated National Energy and Climate Plan of the Republic of Serbia</w:t>
      </w:r>
      <w:r w:rsidR="00A60781">
        <w:rPr>
          <w:rFonts w:ascii="Times New Roman" w:hAnsi="Times New Roman" w:cs="Times New Roman"/>
          <w:sz w:val="24"/>
          <w:szCs w:val="24"/>
          <w:lang w:val="en-GB"/>
        </w:rPr>
        <w:t xml:space="preserve"> in th</w:t>
      </w:r>
      <w:r w:rsidRPr="00614438">
        <w:rPr>
          <w:rFonts w:ascii="Times New Roman" w:hAnsi="Times New Roman" w:cs="Times New Roman"/>
          <w:sz w:val="24"/>
          <w:szCs w:val="24"/>
          <w:lang w:val="en-GB"/>
        </w:rPr>
        <w:t>e period from June 13, 2023, to July 28, 2023. The public hearing was conducted as follows:</w:t>
      </w:r>
    </w:p>
    <w:p w14:paraId="3FA18335" w14:textId="77777777" w:rsidR="00614438" w:rsidRPr="00614438" w:rsidRDefault="00614438" w:rsidP="001D7898">
      <w:pPr>
        <w:numPr>
          <w:ilvl w:val="0"/>
          <w:numId w:val="8"/>
        </w:numPr>
        <w:jc w:val="both"/>
        <w:rPr>
          <w:rFonts w:ascii="Times New Roman" w:hAnsi="Times New Roman" w:cs="Times New Roman"/>
          <w:sz w:val="24"/>
          <w:szCs w:val="24"/>
        </w:rPr>
      </w:pPr>
      <w:r w:rsidRPr="00614438">
        <w:rPr>
          <w:rFonts w:ascii="Times New Roman" w:hAnsi="Times New Roman" w:cs="Times New Roman"/>
          <w:sz w:val="24"/>
          <w:szCs w:val="24"/>
        </w:rPr>
        <w:t>in the form of a presentation and consultation at a public hearing that was held at the Serbian Chamber of Commerce on July 11, 2023, from 10:00 a.m. to 1:00 p.m. in Belgrade</w:t>
      </w:r>
      <w:r w:rsidR="00A60781">
        <w:rPr>
          <w:rFonts w:ascii="Times New Roman" w:hAnsi="Times New Roman" w:cs="Times New Roman"/>
          <w:sz w:val="24"/>
          <w:szCs w:val="24"/>
        </w:rPr>
        <w:t>.</w:t>
      </w:r>
    </w:p>
    <w:p w14:paraId="32334FA9" w14:textId="77777777" w:rsidR="00614438" w:rsidRPr="00614438" w:rsidRDefault="00614438" w:rsidP="001D7898">
      <w:pPr>
        <w:numPr>
          <w:ilvl w:val="0"/>
          <w:numId w:val="8"/>
        </w:numPr>
        <w:jc w:val="both"/>
        <w:rPr>
          <w:rFonts w:ascii="Times New Roman" w:hAnsi="Times New Roman" w:cs="Times New Roman"/>
          <w:sz w:val="24"/>
          <w:szCs w:val="24"/>
        </w:rPr>
      </w:pPr>
      <w:r w:rsidRPr="00614438">
        <w:rPr>
          <w:rFonts w:ascii="Times New Roman" w:hAnsi="Times New Roman" w:cs="Times New Roman"/>
          <w:sz w:val="24"/>
          <w:szCs w:val="24"/>
        </w:rPr>
        <w:t>in the form of a presentation and consultation at a public hearing that was held in the Regional Chamber of Commerce</w:t>
      </w:r>
      <w:r w:rsidR="00A60781">
        <w:rPr>
          <w:rFonts w:ascii="Times New Roman" w:hAnsi="Times New Roman" w:cs="Times New Roman"/>
          <w:sz w:val="24"/>
          <w:szCs w:val="24"/>
        </w:rPr>
        <w:t xml:space="preserve"> in</w:t>
      </w:r>
      <w:r w:rsidRPr="00614438">
        <w:rPr>
          <w:rFonts w:ascii="Times New Roman" w:hAnsi="Times New Roman" w:cs="Times New Roman"/>
          <w:sz w:val="24"/>
          <w:szCs w:val="24"/>
        </w:rPr>
        <w:t xml:space="preserve"> Novi Sad, on July 12, 2023, from 11:00 a.m. to 2:00 p.m.</w:t>
      </w:r>
    </w:p>
    <w:p w14:paraId="7583E434" w14:textId="77777777" w:rsidR="00614438" w:rsidRPr="00614438" w:rsidRDefault="00614438" w:rsidP="001D7898">
      <w:pPr>
        <w:numPr>
          <w:ilvl w:val="0"/>
          <w:numId w:val="8"/>
        </w:numPr>
        <w:jc w:val="both"/>
        <w:rPr>
          <w:rFonts w:ascii="Times New Roman" w:hAnsi="Times New Roman" w:cs="Times New Roman"/>
          <w:sz w:val="24"/>
          <w:szCs w:val="24"/>
        </w:rPr>
      </w:pPr>
      <w:r w:rsidRPr="00614438">
        <w:rPr>
          <w:rFonts w:ascii="Times New Roman" w:hAnsi="Times New Roman" w:cs="Times New Roman"/>
          <w:sz w:val="24"/>
          <w:szCs w:val="24"/>
        </w:rPr>
        <w:t>in the form of a presentation and consultation at a public hearing that was held at the Niš Regional Chamber of Commerce on July 14, 2023, from 11:00 a.m. to 2:00 p.m.</w:t>
      </w:r>
    </w:p>
    <w:p w14:paraId="5FD6889D" w14:textId="77777777" w:rsidR="00614438" w:rsidRPr="00614438" w:rsidRDefault="00A60781" w:rsidP="00A60781">
      <w:pPr>
        <w:ind w:firstLine="360"/>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w:t>
      </w:r>
      <w:r w:rsidR="00614438" w:rsidRPr="00614438">
        <w:rPr>
          <w:rFonts w:ascii="Times New Roman" w:hAnsi="Times New Roman" w:cs="Times New Roman"/>
          <w:sz w:val="24"/>
          <w:szCs w:val="24"/>
          <w:lang w:val="en-GB"/>
        </w:rPr>
        <w:t xml:space="preserve">Draft INECP was put up for public consultations, providing the opportunity to the wider public, civil society, non-governmental institutions, local and regional authorities, and any other interested party to comment, as part of ensuring transparency within the planning process. In parallel the consultations with the Energy Community Secretariat were held. The major conclusions of the planning were conducted at the local level, such as the Green City Action Plan of the City of Belgrade and the Sustainable Energy and Climate Action Plan of the City of Belgrade for the period until 2030, have been taken into consideration in the early phase of the development and preparation of the </w:t>
      </w:r>
      <w:r w:rsidR="00614438" w:rsidRPr="00614438">
        <w:rPr>
          <w:rFonts w:ascii="Times New Roman" w:hAnsi="Times New Roman" w:cs="Times New Roman"/>
          <w:sz w:val="24"/>
          <w:szCs w:val="24"/>
          <w:lang w:val="en-GB"/>
        </w:rPr>
        <w:lastRenderedPageBreak/>
        <w:t>Integrated National Energy and Climate Plan, due to the need for achieving comprehensiveness and compatibility of the national-level and local-level planning.</w:t>
      </w:r>
    </w:p>
    <w:p w14:paraId="4443D443" w14:textId="77777777" w:rsidR="00614438" w:rsidRPr="00614438" w:rsidRDefault="00614438" w:rsidP="005C4934">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During the public consultation process, objections, proposals and suggestions </w:t>
      </w:r>
      <w:r w:rsidR="00C538E9">
        <w:rPr>
          <w:rFonts w:ascii="Times New Roman" w:hAnsi="Times New Roman" w:cs="Times New Roman"/>
          <w:sz w:val="24"/>
          <w:szCs w:val="24"/>
          <w:lang w:val="en-GB"/>
        </w:rPr>
        <w:t>we</w:t>
      </w:r>
      <w:r w:rsidRPr="00614438">
        <w:rPr>
          <w:rFonts w:ascii="Times New Roman" w:hAnsi="Times New Roman" w:cs="Times New Roman"/>
          <w:sz w:val="24"/>
          <w:szCs w:val="24"/>
          <w:lang w:val="en-GB"/>
        </w:rPr>
        <w:t xml:space="preserve">re received by multiple stakeholders, </w:t>
      </w:r>
      <w:r w:rsidR="00C538E9">
        <w:rPr>
          <w:rFonts w:ascii="Times New Roman" w:hAnsi="Times New Roman" w:cs="Times New Roman"/>
          <w:sz w:val="24"/>
          <w:szCs w:val="24"/>
          <w:lang w:val="en-GB"/>
        </w:rPr>
        <w:t xml:space="preserve">which </w:t>
      </w:r>
      <w:r w:rsidRPr="00614438">
        <w:rPr>
          <w:rFonts w:ascii="Times New Roman" w:hAnsi="Times New Roman" w:cs="Times New Roman"/>
          <w:sz w:val="24"/>
          <w:szCs w:val="24"/>
          <w:lang w:val="en-GB"/>
        </w:rPr>
        <w:t xml:space="preserve">consisted of various ministries, state institutions, governmental agencies, civil society organizations, environmental organizations, public and private companies, private persons and others. After the end of the public consultation, the Working Group considered and addressed all the received comments, proposals and suggestions. </w:t>
      </w:r>
      <w:r w:rsidR="00C538E9">
        <w:rPr>
          <w:rFonts w:ascii="Times New Roman" w:hAnsi="Times New Roman" w:cs="Times New Roman"/>
          <w:sz w:val="24"/>
          <w:szCs w:val="24"/>
          <w:lang w:val="en-GB"/>
        </w:rPr>
        <w:t xml:space="preserve">There were 549 comments on </w:t>
      </w:r>
      <w:r w:rsidRPr="00614438">
        <w:rPr>
          <w:rFonts w:ascii="Times New Roman" w:hAnsi="Times New Roman" w:cs="Times New Roman"/>
          <w:sz w:val="24"/>
          <w:szCs w:val="24"/>
          <w:lang w:val="en-GB"/>
        </w:rPr>
        <w:t xml:space="preserve">the INECP 549 and </w:t>
      </w:r>
      <w:r w:rsidR="00C538E9">
        <w:rPr>
          <w:rFonts w:ascii="Times New Roman" w:hAnsi="Times New Roman" w:cs="Times New Roman"/>
          <w:sz w:val="24"/>
          <w:szCs w:val="24"/>
          <w:lang w:val="en-GB"/>
        </w:rPr>
        <w:t xml:space="preserve">67 comments </w:t>
      </w:r>
      <w:r w:rsidRPr="00614438">
        <w:rPr>
          <w:rFonts w:ascii="Times New Roman" w:hAnsi="Times New Roman" w:cs="Times New Roman"/>
          <w:sz w:val="24"/>
          <w:szCs w:val="24"/>
          <w:lang w:val="en-GB"/>
        </w:rPr>
        <w:t xml:space="preserve">on </w:t>
      </w:r>
      <w:r w:rsidR="00C538E9">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S</w:t>
      </w:r>
      <w:r w:rsidR="00C538E9">
        <w:rPr>
          <w:rFonts w:ascii="Times New Roman" w:hAnsi="Times New Roman" w:cs="Times New Roman"/>
          <w:sz w:val="24"/>
          <w:szCs w:val="24"/>
          <w:lang w:val="en-GB"/>
        </w:rPr>
        <w:t>AI</w:t>
      </w:r>
      <w:r w:rsidRPr="00614438">
        <w:rPr>
          <w:rFonts w:ascii="Times New Roman" w:hAnsi="Times New Roman" w:cs="Times New Roman"/>
          <w:sz w:val="24"/>
          <w:szCs w:val="24"/>
          <w:lang w:val="en-GB"/>
        </w:rPr>
        <w:t xml:space="preserve"> </w:t>
      </w:r>
      <w:r w:rsidR="00C538E9">
        <w:rPr>
          <w:rFonts w:ascii="Times New Roman" w:hAnsi="Times New Roman" w:cs="Times New Roman"/>
          <w:sz w:val="24"/>
          <w:szCs w:val="24"/>
          <w:lang w:val="en-GB"/>
        </w:rPr>
        <w:t>(Strategic As</w:t>
      </w:r>
      <w:r w:rsidR="0014487F">
        <w:rPr>
          <w:rFonts w:ascii="Times New Roman" w:hAnsi="Times New Roman" w:cs="Times New Roman"/>
          <w:sz w:val="24"/>
          <w:szCs w:val="24"/>
          <w:lang w:val="en-GB"/>
        </w:rPr>
        <w:t>sessment of Impact</w:t>
      </w:r>
      <w:r w:rsidR="00C538E9">
        <w:rPr>
          <w:rFonts w:ascii="Times New Roman" w:hAnsi="Times New Roman" w:cs="Times New Roman"/>
          <w:sz w:val="24"/>
          <w:szCs w:val="24"/>
          <w:lang w:val="en-GB"/>
        </w:rPr>
        <w:t>)</w:t>
      </w:r>
      <w:r w:rsidR="0014487F">
        <w:rPr>
          <w:rFonts w:ascii="Times New Roman" w:hAnsi="Times New Roman" w:cs="Times New Roman"/>
          <w:sz w:val="24"/>
          <w:szCs w:val="24"/>
          <w:lang w:val="en-GB"/>
        </w:rPr>
        <w:t xml:space="preserve"> </w:t>
      </w:r>
      <w:r w:rsidR="00C538E9">
        <w:rPr>
          <w:rFonts w:ascii="Times New Roman" w:hAnsi="Times New Roman" w:cs="Times New Roman"/>
          <w:sz w:val="24"/>
          <w:szCs w:val="24"/>
          <w:lang w:val="en-GB"/>
        </w:rPr>
        <w:t xml:space="preserve">Report </w:t>
      </w:r>
      <w:r w:rsidRPr="00614438">
        <w:rPr>
          <w:rFonts w:ascii="Times New Roman" w:hAnsi="Times New Roman" w:cs="Times New Roman"/>
          <w:sz w:val="24"/>
          <w:szCs w:val="24"/>
          <w:lang w:val="en-GB"/>
        </w:rPr>
        <w:t>of INECP. Wide range of comments and suggestions received significantly enhances the INECP and SA</w:t>
      </w:r>
      <w:r w:rsidR="0014487F">
        <w:rPr>
          <w:rFonts w:ascii="Times New Roman" w:hAnsi="Times New Roman" w:cs="Times New Roman"/>
          <w:sz w:val="24"/>
          <w:szCs w:val="24"/>
          <w:lang w:val="en-GB"/>
        </w:rPr>
        <w:t>I</w:t>
      </w:r>
      <w:r w:rsidRPr="00614438">
        <w:rPr>
          <w:rFonts w:ascii="Times New Roman" w:hAnsi="Times New Roman" w:cs="Times New Roman"/>
          <w:sz w:val="24"/>
          <w:szCs w:val="24"/>
          <w:lang w:val="en-GB"/>
        </w:rPr>
        <w:t xml:space="preserve"> of INECP, and these recommendations are ensuring that the INECP is comprehensive, robust, and in line with national and international energy and climate objectives.</w:t>
      </w:r>
    </w:p>
    <w:p w14:paraId="7932F763" w14:textId="77777777" w:rsidR="00614438" w:rsidRPr="00614438" w:rsidRDefault="0014487F" w:rsidP="0014487F">
      <w:pPr>
        <w:ind w:left="480"/>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1.3.3 </w:t>
      </w:r>
      <w:r w:rsidR="00614438" w:rsidRPr="00614438">
        <w:rPr>
          <w:rFonts w:ascii="Times New Roman" w:hAnsi="Times New Roman" w:cs="Times New Roman"/>
          <w:sz w:val="24"/>
          <w:szCs w:val="24"/>
          <w:lang w:val="en-GB"/>
        </w:rPr>
        <w:t>Consultations of other Energy Community Contracting Parties and European Union Member States</w:t>
      </w:r>
    </w:p>
    <w:p w14:paraId="33498421" w14:textId="77777777" w:rsidR="00614438" w:rsidRPr="00614438" w:rsidRDefault="00614438" w:rsidP="0014487F">
      <w:pPr>
        <w:ind w:firstLine="48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Since the European Union Member States have finalized and adopted their INECPs </w:t>
      </w:r>
      <w:r w:rsidR="00916D44">
        <w:rPr>
          <w:rFonts w:ascii="Times New Roman" w:hAnsi="Times New Roman" w:cs="Times New Roman"/>
          <w:sz w:val="24"/>
          <w:szCs w:val="24"/>
          <w:lang w:val="en-GB"/>
        </w:rPr>
        <w:t>before</w:t>
      </w:r>
      <w:r w:rsidRPr="00614438">
        <w:rPr>
          <w:rFonts w:ascii="Times New Roman" w:hAnsi="Times New Roman" w:cs="Times New Roman"/>
          <w:sz w:val="24"/>
          <w:szCs w:val="24"/>
          <w:lang w:val="en-GB"/>
        </w:rPr>
        <w:t xml:space="preserve"> 2021, the Republic of Serbia had an opportunity to access each plan with a special focus on those prepared by the neighbouring countries. First and foremost, the Republic of Serbia assessed the INECPs of countries with common borders, such as Croatia, Bulgaria, Romania and Hungary. At the same time, the Republic of Serbia considered all European INECPs. Moreover, transboundary consultations were done with Croatia, Bulgaria, Romania, Hungary, Bosnia and Hercegovina, North Macedonia, Montenegro and Albania.</w:t>
      </w:r>
    </w:p>
    <w:p w14:paraId="265EC6DF" w14:textId="77777777" w:rsidR="00614438" w:rsidRPr="00614438" w:rsidRDefault="00614438" w:rsidP="00614438">
      <w:pPr>
        <w:jc w:val="both"/>
        <w:rPr>
          <w:rFonts w:ascii="Times New Roman" w:hAnsi="Times New Roman" w:cs="Times New Roman"/>
          <w:sz w:val="24"/>
          <w:szCs w:val="24"/>
          <w:lang w:val="en-GB"/>
        </w:rPr>
      </w:pPr>
      <w:bookmarkStart w:id="71" w:name="_Hlk151328131"/>
    </w:p>
    <w:p w14:paraId="1D002D89" w14:textId="77777777" w:rsidR="00614438" w:rsidRPr="00614438" w:rsidRDefault="00916D44" w:rsidP="00916D44">
      <w:pPr>
        <w:ind w:left="480"/>
        <w:jc w:val="center"/>
        <w:rPr>
          <w:rFonts w:ascii="Times New Roman" w:hAnsi="Times New Roman" w:cs="Times New Roman"/>
          <w:sz w:val="24"/>
          <w:szCs w:val="24"/>
        </w:rPr>
      </w:pPr>
      <w:r>
        <w:rPr>
          <w:rFonts w:ascii="Times New Roman" w:hAnsi="Times New Roman" w:cs="Times New Roman"/>
          <w:sz w:val="24"/>
          <w:szCs w:val="24"/>
        </w:rPr>
        <w:t xml:space="preserve">1.3.4 </w:t>
      </w:r>
      <w:r w:rsidR="00614438" w:rsidRPr="00614438">
        <w:rPr>
          <w:rFonts w:ascii="Times New Roman" w:hAnsi="Times New Roman" w:cs="Times New Roman"/>
          <w:sz w:val="24"/>
          <w:szCs w:val="24"/>
        </w:rPr>
        <w:t>Consultations with the Energy Community Secretariat</w:t>
      </w:r>
    </w:p>
    <w:p w14:paraId="2ADF900D" w14:textId="77777777" w:rsidR="00614438" w:rsidRPr="00614438" w:rsidRDefault="00614438" w:rsidP="002F6B0A">
      <w:pPr>
        <w:ind w:firstLine="48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Since the beginning of the development and preparation of the Draft INECP of the Republic of Serbia, the Energy Community Secretariat has been closely following the progress of the overall process, providing the necessary support as needed. Formally, this involvement of the EnC Secretariat is realized through the work of Ministerial Council of the EnC, as well as within the various existing thematic coordination groups, platforms and initiatives at the level of the Energy Community, but also other regional energy-related and climate-related formats where Energy Community actively participates.</w:t>
      </w:r>
    </w:p>
    <w:bookmarkEnd w:id="71"/>
    <w:p w14:paraId="5DA60DCD" w14:textId="77777777" w:rsidR="00614438" w:rsidRPr="00614438" w:rsidRDefault="00614438" w:rsidP="003C6909">
      <w:pPr>
        <w:ind w:firstLine="48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EnC Secretariat sent 31 recommendations for the revision of the Draft INECP. All recommendations have been considered thoroughly and further revisions have been implemented in this final version. For all recommendations there are justifications how they are considered.</w:t>
      </w:r>
    </w:p>
    <w:p w14:paraId="466C4B76" w14:textId="77777777" w:rsidR="00AA1006" w:rsidRDefault="00AA1006" w:rsidP="00AA1006">
      <w:pPr>
        <w:ind w:firstLine="480"/>
        <w:jc w:val="both"/>
        <w:rPr>
          <w:rFonts w:ascii="Times New Roman" w:hAnsi="Times New Roman" w:cs="Times New Roman"/>
          <w:sz w:val="24"/>
          <w:szCs w:val="24"/>
          <w:lang w:val="en-GB"/>
        </w:rPr>
      </w:pPr>
      <w:r>
        <w:rPr>
          <w:rFonts w:ascii="Times New Roman" w:hAnsi="Times New Roman" w:cs="Times New Roman"/>
          <w:sz w:val="24"/>
          <w:szCs w:val="24"/>
          <w:lang w:val="en-GB"/>
        </w:rPr>
        <w:t>Regarding</w:t>
      </w:r>
      <w:r w:rsidR="00614438" w:rsidRPr="00614438">
        <w:rPr>
          <w:rFonts w:ascii="Times New Roman" w:hAnsi="Times New Roman" w:cs="Times New Roman"/>
          <w:sz w:val="24"/>
          <w:szCs w:val="24"/>
          <w:lang w:val="en-GB"/>
        </w:rPr>
        <w:t xml:space="preserve"> the key indicators for 2030, as set by the Ministerial Council of December 2022 (Decision 2022/02/MC-EnC) while the GHG emissions reduction target remains unchanged, the FEC has been slightly reduced and the PEC has slightly increased, the gap of the RES percentage in GFEC remains unchanged as the least target to be achieved. </w:t>
      </w:r>
    </w:p>
    <w:p w14:paraId="4397CD7A" w14:textId="77777777" w:rsidR="00614438" w:rsidRPr="00614438" w:rsidRDefault="00614438" w:rsidP="00AA1006">
      <w:pPr>
        <w:ind w:firstLine="480"/>
        <w:jc w:val="both"/>
        <w:rPr>
          <w:rFonts w:ascii="Times New Roman" w:hAnsi="Times New Roman" w:cs="Times New Roman"/>
          <w:sz w:val="24"/>
          <w:szCs w:val="24"/>
        </w:rPr>
      </w:pPr>
      <w:r w:rsidRPr="00614438">
        <w:rPr>
          <w:rFonts w:ascii="Times New Roman" w:hAnsi="Times New Roman" w:cs="Times New Roman"/>
          <w:sz w:val="24"/>
          <w:szCs w:val="24"/>
        </w:rPr>
        <w:t xml:space="preserve">Also, the analysis </w:t>
      </w:r>
      <w:r w:rsidR="00AA1006">
        <w:rPr>
          <w:rFonts w:ascii="Times New Roman" w:hAnsi="Times New Roman" w:cs="Times New Roman"/>
          <w:sz w:val="24"/>
          <w:szCs w:val="24"/>
        </w:rPr>
        <w:t xml:space="preserve">took into </w:t>
      </w:r>
      <w:r w:rsidRPr="00614438">
        <w:rPr>
          <w:rFonts w:ascii="Times New Roman" w:hAnsi="Times New Roman" w:cs="Times New Roman"/>
          <w:sz w:val="24"/>
          <w:szCs w:val="24"/>
        </w:rPr>
        <w:t>consider</w:t>
      </w:r>
      <w:r w:rsidR="00AA1006">
        <w:rPr>
          <w:rFonts w:ascii="Times New Roman" w:hAnsi="Times New Roman" w:cs="Times New Roman"/>
          <w:sz w:val="24"/>
          <w:szCs w:val="24"/>
        </w:rPr>
        <w:t>ation</w:t>
      </w:r>
      <w:r w:rsidRPr="00614438">
        <w:rPr>
          <w:rFonts w:ascii="Times New Roman" w:hAnsi="Times New Roman" w:cs="Times New Roman"/>
          <w:sz w:val="24"/>
          <w:szCs w:val="24"/>
        </w:rPr>
        <w:t xml:space="preserve"> a gradual introduction of carbon pricing in the sectors that are expected to be influenced by CBAM, but taking into consideration the uncertainty on the mode of implementation of carbon pricing</w:t>
      </w:r>
      <w:r w:rsidR="00AA1006">
        <w:rPr>
          <w:rFonts w:ascii="Times New Roman" w:hAnsi="Times New Roman" w:cs="Times New Roman"/>
          <w:sz w:val="24"/>
          <w:szCs w:val="24"/>
        </w:rPr>
        <w:t xml:space="preserve"> and the fact that</w:t>
      </w:r>
      <w:r w:rsidRPr="00614438">
        <w:rPr>
          <w:rFonts w:ascii="Times New Roman" w:hAnsi="Times New Roman" w:cs="Times New Roman"/>
          <w:sz w:val="24"/>
          <w:szCs w:val="24"/>
        </w:rPr>
        <w:t xml:space="preserve"> CBAM regulation was adopted in May 2023 by EU</w:t>
      </w:r>
      <w:r w:rsidR="00AA1006">
        <w:rPr>
          <w:rFonts w:ascii="Times New Roman" w:hAnsi="Times New Roman" w:cs="Times New Roman"/>
          <w:sz w:val="24"/>
          <w:szCs w:val="24"/>
        </w:rPr>
        <w:t>,</w:t>
      </w:r>
      <w:r w:rsidRPr="00614438">
        <w:rPr>
          <w:rFonts w:ascii="Times New Roman" w:hAnsi="Times New Roman" w:cs="Times New Roman"/>
          <w:sz w:val="24"/>
          <w:szCs w:val="24"/>
        </w:rPr>
        <w:t xml:space="preserve"> it is not possible to include relevant precise information in </w:t>
      </w:r>
      <w:r w:rsidR="00AA1006">
        <w:rPr>
          <w:rFonts w:ascii="Times New Roman" w:hAnsi="Times New Roman" w:cs="Times New Roman"/>
          <w:sz w:val="24"/>
          <w:szCs w:val="24"/>
        </w:rPr>
        <w:t>I</w:t>
      </w:r>
      <w:r w:rsidRPr="00614438">
        <w:rPr>
          <w:rFonts w:ascii="Times New Roman" w:hAnsi="Times New Roman" w:cs="Times New Roman"/>
          <w:sz w:val="24"/>
          <w:szCs w:val="24"/>
        </w:rPr>
        <w:t>NECP.</w:t>
      </w:r>
    </w:p>
    <w:p w14:paraId="31B29278" w14:textId="77777777" w:rsidR="00614438" w:rsidRPr="00614438" w:rsidRDefault="00614438" w:rsidP="00AA1006">
      <w:pPr>
        <w:ind w:firstLine="48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However, the modernisation of coal mining is coupled with a modernisation of the older power plants, so that they can be compatible with projected gradual reduction of generation from lignite and the Large Combustion Plant Directive requirements. Also, the planned decreasing engagement of </w:t>
      </w:r>
      <w:r w:rsidRPr="00614438">
        <w:rPr>
          <w:rFonts w:ascii="Times New Roman" w:hAnsi="Times New Roman" w:cs="Times New Roman"/>
          <w:sz w:val="24"/>
          <w:szCs w:val="24"/>
          <w:lang w:val="en-GB"/>
        </w:rPr>
        <w:lastRenderedPageBreak/>
        <w:t xml:space="preserve">Thermal Power Plants and investments in gas infrastructure to ensure the smooth energy transition in Serbia are considered key and significant transitional measures, providing </w:t>
      </w:r>
      <w:r w:rsidR="00AA1006">
        <w:rPr>
          <w:rFonts w:ascii="Times New Roman" w:hAnsi="Times New Roman" w:cs="Times New Roman"/>
          <w:sz w:val="24"/>
          <w:szCs w:val="24"/>
          <w:lang w:val="en-GB"/>
        </w:rPr>
        <w:t>s</w:t>
      </w:r>
      <w:r w:rsidRPr="00614438">
        <w:rPr>
          <w:rFonts w:ascii="Times New Roman" w:hAnsi="Times New Roman" w:cs="Times New Roman"/>
          <w:sz w:val="24"/>
          <w:szCs w:val="24"/>
          <w:lang w:val="en-GB"/>
        </w:rPr>
        <w:t xml:space="preserve">ecurity of </w:t>
      </w:r>
      <w:r w:rsidR="00AA1006">
        <w:rPr>
          <w:rFonts w:ascii="Times New Roman" w:hAnsi="Times New Roman" w:cs="Times New Roman"/>
          <w:sz w:val="24"/>
          <w:szCs w:val="24"/>
          <w:lang w:val="en-GB"/>
        </w:rPr>
        <w:t>s</w:t>
      </w:r>
      <w:r w:rsidRPr="00614438">
        <w:rPr>
          <w:rFonts w:ascii="Times New Roman" w:hAnsi="Times New Roman" w:cs="Times New Roman"/>
          <w:sz w:val="24"/>
          <w:szCs w:val="24"/>
          <w:lang w:val="en-GB"/>
        </w:rPr>
        <w:t>upply.</w:t>
      </w:r>
    </w:p>
    <w:p w14:paraId="2AA9D492" w14:textId="77777777" w:rsidR="00614438" w:rsidRPr="00614438" w:rsidRDefault="00614438" w:rsidP="00614438">
      <w:pPr>
        <w:jc w:val="both"/>
        <w:rPr>
          <w:rFonts w:ascii="Times New Roman" w:hAnsi="Times New Roman" w:cs="Times New Roman"/>
          <w:sz w:val="24"/>
          <w:szCs w:val="24"/>
          <w:lang w:val="en-GB"/>
        </w:rPr>
      </w:pPr>
    </w:p>
    <w:p w14:paraId="504CA9BF" w14:textId="77777777" w:rsidR="00614438" w:rsidRPr="00AA1006" w:rsidRDefault="00614438" w:rsidP="00485CA7">
      <w:pPr>
        <w:pStyle w:val="ListParagraph"/>
        <w:numPr>
          <w:ilvl w:val="1"/>
          <w:numId w:val="263"/>
        </w:numPr>
        <w:jc w:val="center"/>
        <w:rPr>
          <w:rFonts w:ascii="Times New Roman" w:hAnsi="Times New Roman" w:cs="Times New Roman"/>
          <w:sz w:val="24"/>
          <w:szCs w:val="24"/>
          <w:lang w:val="en-GB"/>
        </w:rPr>
      </w:pPr>
      <w:bookmarkStart w:id="72" w:name="_Toc151036033"/>
      <w:bookmarkStart w:id="73" w:name="_Toc88558965"/>
      <w:bookmarkStart w:id="74" w:name="_Toc153545034"/>
      <w:bookmarkStart w:id="75" w:name="_Toc118991764"/>
      <w:bookmarkStart w:id="76" w:name="_Toc79772545"/>
      <w:bookmarkEnd w:id="72"/>
      <w:bookmarkEnd w:id="73"/>
      <w:r w:rsidRPr="00AA1006">
        <w:rPr>
          <w:rFonts w:ascii="Times New Roman" w:hAnsi="Times New Roman" w:cs="Times New Roman"/>
          <w:sz w:val="24"/>
          <w:szCs w:val="24"/>
          <w:lang w:val="en-GB"/>
        </w:rPr>
        <w:t>Regional cooperation in preparing the plan</w:t>
      </w:r>
      <w:bookmarkEnd w:id="74"/>
      <w:bookmarkEnd w:id="75"/>
      <w:bookmarkEnd w:id="76"/>
    </w:p>
    <w:p w14:paraId="2818F3E2" w14:textId="77777777" w:rsidR="00614438" w:rsidRPr="00614438" w:rsidRDefault="00AA1006" w:rsidP="00161CFB">
      <w:pPr>
        <w:ind w:firstLine="480"/>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1.4.1 </w:t>
      </w:r>
      <w:r w:rsidR="00614438" w:rsidRPr="00614438">
        <w:rPr>
          <w:rFonts w:ascii="Times New Roman" w:hAnsi="Times New Roman" w:cs="Times New Roman"/>
          <w:sz w:val="24"/>
          <w:szCs w:val="24"/>
          <w:lang w:val="en-GB"/>
        </w:rPr>
        <w:t>Elements subject to joint or coordinated planning with other Energy Community Contracting Parties and European Union Member States</w:t>
      </w:r>
    </w:p>
    <w:p w14:paraId="6050E35E" w14:textId="77777777" w:rsidR="00614438" w:rsidRPr="00614438" w:rsidRDefault="00614438" w:rsidP="00AA100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From the point of view of the Republic of Serbia, the recognised elements of cross-border significance are:</w:t>
      </w:r>
    </w:p>
    <w:p w14:paraId="1A2F64D1" w14:textId="77777777" w:rsidR="00614438" w:rsidRPr="00161CFB" w:rsidRDefault="00614438" w:rsidP="00485CA7">
      <w:pPr>
        <w:pStyle w:val="ListParagraph"/>
        <w:numPr>
          <w:ilvl w:val="0"/>
          <w:numId w:val="264"/>
        </w:numPr>
        <w:jc w:val="both"/>
        <w:rPr>
          <w:rFonts w:ascii="Times New Roman" w:hAnsi="Times New Roman" w:cs="Times New Roman"/>
          <w:sz w:val="24"/>
          <w:szCs w:val="24"/>
        </w:rPr>
      </w:pPr>
      <w:r w:rsidRPr="00161CFB">
        <w:rPr>
          <w:rFonts w:ascii="Times New Roman" w:hAnsi="Times New Roman" w:cs="Times New Roman"/>
          <w:sz w:val="24"/>
          <w:szCs w:val="24"/>
        </w:rPr>
        <w:t>integration of energy markets,</w:t>
      </w:r>
    </w:p>
    <w:p w14:paraId="273B6D56" w14:textId="77777777" w:rsidR="00614438" w:rsidRPr="00161CFB" w:rsidRDefault="00614438" w:rsidP="00485CA7">
      <w:pPr>
        <w:pStyle w:val="ListParagraph"/>
        <w:numPr>
          <w:ilvl w:val="0"/>
          <w:numId w:val="264"/>
        </w:numPr>
        <w:jc w:val="both"/>
        <w:rPr>
          <w:rFonts w:ascii="Times New Roman" w:hAnsi="Times New Roman" w:cs="Times New Roman"/>
          <w:sz w:val="24"/>
          <w:szCs w:val="24"/>
        </w:rPr>
      </w:pPr>
      <w:r w:rsidRPr="00161CFB">
        <w:rPr>
          <w:rFonts w:ascii="Times New Roman" w:hAnsi="Times New Roman" w:cs="Times New Roman"/>
          <w:sz w:val="24"/>
          <w:szCs w:val="24"/>
        </w:rPr>
        <w:t>major infrastructure projects close to the national border and cross-border infrastructure projects,</w:t>
      </w:r>
    </w:p>
    <w:p w14:paraId="2DDE33B1" w14:textId="77777777" w:rsidR="00614438" w:rsidRPr="00161CFB" w:rsidRDefault="00614438" w:rsidP="00485CA7">
      <w:pPr>
        <w:pStyle w:val="ListParagraph"/>
        <w:numPr>
          <w:ilvl w:val="0"/>
          <w:numId w:val="264"/>
        </w:numPr>
        <w:jc w:val="both"/>
        <w:rPr>
          <w:rFonts w:ascii="Times New Roman" w:hAnsi="Times New Roman" w:cs="Times New Roman"/>
          <w:sz w:val="24"/>
          <w:szCs w:val="24"/>
        </w:rPr>
      </w:pPr>
      <w:r w:rsidRPr="00161CFB">
        <w:rPr>
          <w:rFonts w:ascii="Times New Roman" w:hAnsi="Times New Roman" w:cs="Times New Roman"/>
          <w:sz w:val="24"/>
          <w:szCs w:val="24"/>
        </w:rPr>
        <w:t>international scientific and research cooperation, and</w:t>
      </w:r>
    </w:p>
    <w:p w14:paraId="4071D0A9" w14:textId="77777777" w:rsidR="00614438" w:rsidRDefault="00614438" w:rsidP="00485CA7">
      <w:pPr>
        <w:pStyle w:val="ListParagraph"/>
        <w:numPr>
          <w:ilvl w:val="0"/>
          <w:numId w:val="264"/>
        </w:numPr>
        <w:jc w:val="both"/>
        <w:rPr>
          <w:rFonts w:ascii="Times New Roman" w:hAnsi="Times New Roman" w:cs="Times New Roman"/>
          <w:sz w:val="24"/>
          <w:szCs w:val="24"/>
        </w:rPr>
      </w:pPr>
      <w:r w:rsidRPr="00161CFB">
        <w:rPr>
          <w:rFonts w:ascii="Times New Roman" w:hAnsi="Times New Roman" w:cs="Times New Roman"/>
          <w:sz w:val="24"/>
          <w:szCs w:val="24"/>
        </w:rPr>
        <w:t>other activities that may affect other EnC Contracting Parties and EU Member States.</w:t>
      </w:r>
    </w:p>
    <w:p w14:paraId="695EC88C" w14:textId="77777777" w:rsidR="00161CFB" w:rsidRPr="00161CFB" w:rsidRDefault="00161CFB" w:rsidP="00161CFB">
      <w:pPr>
        <w:pStyle w:val="ListParagraph"/>
        <w:jc w:val="both"/>
        <w:rPr>
          <w:rFonts w:ascii="Times New Roman" w:hAnsi="Times New Roman" w:cs="Times New Roman"/>
          <w:sz w:val="24"/>
          <w:szCs w:val="24"/>
        </w:rPr>
      </w:pPr>
    </w:p>
    <w:p w14:paraId="744084F0" w14:textId="77777777" w:rsidR="00614438" w:rsidRPr="00161CFB" w:rsidRDefault="00161CFB" w:rsidP="00161CFB">
      <w:pPr>
        <w:pStyle w:val="ListParagraph"/>
        <w:rPr>
          <w:rFonts w:ascii="Times New Roman" w:hAnsi="Times New Roman" w:cs="Times New Roman"/>
          <w:sz w:val="24"/>
          <w:szCs w:val="24"/>
          <w:lang w:val="en-GB"/>
        </w:rPr>
      </w:pPr>
      <w:r>
        <w:rPr>
          <w:rFonts w:ascii="Times New Roman" w:hAnsi="Times New Roman" w:cs="Times New Roman"/>
          <w:sz w:val="24"/>
          <w:szCs w:val="24"/>
          <w:lang w:val="en-GB"/>
        </w:rPr>
        <w:t xml:space="preserve">1.4.2 </w:t>
      </w:r>
      <w:r w:rsidR="00614438" w:rsidRPr="00161CFB">
        <w:rPr>
          <w:rFonts w:ascii="Times New Roman" w:hAnsi="Times New Roman" w:cs="Times New Roman"/>
          <w:sz w:val="24"/>
          <w:szCs w:val="24"/>
          <w:lang w:val="en-GB"/>
        </w:rPr>
        <w:t>Explanation of how regional cooperation is considered in the plan</w:t>
      </w:r>
    </w:p>
    <w:p w14:paraId="6A38E279" w14:textId="77777777" w:rsidR="00614438" w:rsidRPr="00614438" w:rsidRDefault="00614438" w:rsidP="00161CFB">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Consultation with the region was implemented in parallel with the public consultation of the Draft Plan. </w:t>
      </w:r>
      <w:bookmarkStart w:id="77" w:name="_Toc79772546"/>
      <w:r w:rsidRPr="00614438">
        <w:rPr>
          <w:rFonts w:ascii="Times New Roman" w:hAnsi="Times New Roman" w:cs="Times New Roman"/>
          <w:sz w:val="24"/>
          <w:szCs w:val="24"/>
          <w:lang w:val="en-GB"/>
        </w:rPr>
        <w:t>However, the period was extended and for more than 4 months until the preparation of the final version of INECP. During the Consultation period, only one comment has been received by The Ministry of Environment, Waters and Forests of Romania on the Strategic Environmental Impact Assessment of INECP and relevant clarifications have been provided accordingly.</w:t>
      </w:r>
    </w:p>
    <w:p w14:paraId="23551C64" w14:textId="77777777" w:rsidR="00614438" w:rsidRPr="00614438" w:rsidRDefault="00F310CA" w:rsidP="00F310CA">
      <w:pPr>
        <w:jc w:val="center"/>
        <w:rPr>
          <w:rFonts w:ascii="Times New Roman" w:hAnsi="Times New Roman" w:cs="Times New Roman"/>
          <w:sz w:val="24"/>
          <w:szCs w:val="24"/>
          <w:lang w:val="en-GB"/>
        </w:rPr>
      </w:pPr>
      <w:bookmarkStart w:id="78" w:name="_Toc118991765"/>
      <w:bookmarkStart w:id="79" w:name="_Toc153545035"/>
      <w:r>
        <w:rPr>
          <w:rFonts w:ascii="Times New Roman" w:hAnsi="Times New Roman" w:cs="Times New Roman"/>
          <w:sz w:val="24"/>
          <w:szCs w:val="24"/>
          <w:lang w:val="en-GB"/>
        </w:rPr>
        <w:t xml:space="preserve">2. </w:t>
      </w:r>
      <w:r w:rsidR="00614438" w:rsidRPr="00614438">
        <w:rPr>
          <w:rFonts w:ascii="Times New Roman" w:hAnsi="Times New Roman" w:cs="Times New Roman"/>
          <w:sz w:val="24"/>
          <w:szCs w:val="24"/>
          <w:lang w:val="en-GB"/>
        </w:rPr>
        <w:t>NATIONAL OBJECTIVES AND TARGETS</w:t>
      </w:r>
      <w:bookmarkEnd w:id="77"/>
      <w:bookmarkEnd w:id="78"/>
      <w:bookmarkEnd w:id="79"/>
    </w:p>
    <w:p w14:paraId="132EF967" w14:textId="77777777" w:rsidR="00614438" w:rsidRPr="00614438" w:rsidRDefault="00614438" w:rsidP="003E0710">
      <w:pPr>
        <w:spacing w:after="0"/>
        <w:ind w:firstLine="720"/>
        <w:jc w:val="both"/>
        <w:rPr>
          <w:rFonts w:ascii="Times New Roman" w:hAnsi="Times New Roman" w:cs="Times New Roman"/>
          <w:sz w:val="24"/>
          <w:szCs w:val="24"/>
        </w:rPr>
      </w:pPr>
      <w:bookmarkStart w:id="80" w:name="_Toc79772547"/>
      <w:r w:rsidRPr="00614438">
        <w:rPr>
          <w:rFonts w:ascii="Times New Roman" w:hAnsi="Times New Roman" w:cs="Times New Roman"/>
          <w:sz w:val="24"/>
          <w:szCs w:val="24"/>
        </w:rPr>
        <w:t>The comprehensive approach of the Integrated National Energy and Climate Plan necessitates addressing its five dimensions in a coordinated manner, setting the following objectives, targets and contributions:</w:t>
      </w:r>
    </w:p>
    <w:p w14:paraId="0C22AC6D" w14:textId="77777777" w:rsidR="00614438" w:rsidRDefault="00F310CA" w:rsidP="003E0710">
      <w:pPr>
        <w:pStyle w:val="ListParagraph"/>
        <w:numPr>
          <w:ilvl w:val="0"/>
          <w:numId w:val="265"/>
        </w:numPr>
        <w:spacing w:after="0"/>
        <w:jc w:val="both"/>
        <w:rPr>
          <w:rFonts w:ascii="Times New Roman" w:hAnsi="Times New Roman" w:cs="Times New Roman"/>
          <w:sz w:val="24"/>
          <w:szCs w:val="24"/>
        </w:rPr>
      </w:pPr>
      <w:r>
        <w:rPr>
          <w:rFonts w:ascii="Times New Roman" w:hAnsi="Times New Roman" w:cs="Times New Roman"/>
          <w:sz w:val="24"/>
          <w:szCs w:val="24"/>
        </w:rPr>
        <w:t>With</w:t>
      </w:r>
      <w:r w:rsidR="00614438" w:rsidRPr="00F310CA">
        <w:rPr>
          <w:rFonts w:ascii="Times New Roman" w:hAnsi="Times New Roman" w:cs="Times New Roman"/>
          <w:sz w:val="24"/>
          <w:szCs w:val="24"/>
        </w:rPr>
        <w:t xml:space="preserve"> regards </w:t>
      </w:r>
      <w:r>
        <w:rPr>
          <w:rFonts w:ascii="Times New Roman" w:hAnsi="Times New Roman" w:cs="Times New Roman"/>
          <w:sz w:val="24"/>
          <w:szCs w:val="24"/>
        </w:rPr>
        <w:t xml:space="preserve">to </w:t>
      </w:r>
      <w:r w:rsidR="00614438" w:rsidRPr="00F310CA">
        <w:rPr>
          <w:rFonts w:ascii="Times New Roman" w:hAnsi="Times New Roman" w:cs="Times New Roman"/>
          <w:sz w:val="24"/>
          <w:szCs w:val="24"/>
        </w:rPr>
        <w:t>the Decarbonisation dimension:</w:t>
      </w:r>
    </w:p>
    <w:p w14:paraId="293D9A6E" w14:textId="77777777" w:rsidR="00F310CA" w:rsidRPr="00F310CA" w:rsidRDefault="00F310CA" w:rsidP="003E0710">
      <w:pPr>
        <w:pStyle w:val="ListParagraph"/>
        <w:spacing w:after="0"/>
        <w:jc w:val="both"/>
        <w:rPr>
          <w:rFonts w:ascii="Times New Roman" w:hAnsi="Times New Roman" w:cs="Times New Roman"/>
          <w:sz w:val="24"/>
          <w:szCs w:val="24"/>
        </w:rPr>
      </w:pPr>
    </w:p>
    <w:p w14:paraId="3B5A36B8" w14:textId="77777777" w:rsidR="00614438" w:rsidRPr="00F310CA" w:rsidRDefault="00614438" w:rsidP="003E0710">
      <w:pPr>
        <w:pStyle w:val="ListParagraph"/>
        <w:numPr>
          <w:ilvl w:val="0"/>
          <w:numId w:val="261"/>
        </w:numPr>
        <w:spacing w:after="0"/>
        <w:jc w:val="both"/>
        <w:rPr>
          <w:rFonts w:ascii="Times New Roman" w:hAnsi="Times New Roman" w:cs="Times New Roman"/>
          <w:sz w:val="24"/>
          <w:szCs w:val="24"/>
        </w:rPr>
      </w:pPr>
      <w:r w:rsidRPr="00F310CA">
        <w:rPr>
          <w:rFonts w:ascii="Times New Roman" w:hAnsi="Times New Roman" w:cs="Times New Roman"/>
          <w:sz w:val="24"/>
          <w:szCs w:val="24"/>
        </w:rPr>
        <w:t xml:space="preserve">A binding national target for reducing net greenhouse gasses emissions in 2030, compared to </w:t>
      </w:r>
      <w:r w:rsidR="00CD2AC9">
        <w:rPr>
          <w:rFonts w:ascii="Times New Roman" w:hAnsi="Times New Roman" w:cs="Times New Roman"/>
          <w:sz w:val="24"/>
          <w:szCs w:val="24"/>
        </w:rPr>
        <w:t xml:space="preserve">the </w:t>
      </w:r>
      <w:r w:rsidRPr="00F310CA">
        <w:rPr>
          <w:rFonts w:ascii="Times New Roman" w:hAnsi="Times New Roman" w:cs="Times New Roman"/>
          <w:sz w:val="24"/>
          <w:szCs w:val="24"/>
        </w:rPr>
        <w:t>1990 levels.</w:t>
      </w:r>
    </w:p>
    <w:p w14:paraId="0EF1F2A2" w14:textId="77777777" w:rsidR="00614438" w:rsidRDefault="00614438" w:rsidP="003E0710">
      <w:pPr>
        <w:pStyle w:val="ListParagraph"/>
        <w:numPr>
          <w:ilvl w:val="0"/>
          <w:numId w:val="261"/>
        </w:numPr>
        <w:spacing w:after="0"/>
        <w:jc w:val="both"/>
        <w:rPr>
          <w:rFonts w:ascii="Times New Roman" w:hAnsi="Times New Roman" w:cs="Times New Roman"/>
          <w:sz w:val="24"/>
          <w:szCs w:val="24"/>
        </w:rPr>
      </w:pPr>
      <w:r w:rsidRPr="00F310CA">
        <w:rPr>
          <w:rFonts w:ascii="Times New Roman" w:hAnsi="Times New Roman" w:cs="Times New Roman"/>
          <w:sz w:val="24"/>
          <w:szCs w:val="24"/>
        </w:rPr>
        <w:t>An economy wide target for the contribution of renewable energy sources in the gross final energy consumption of the country in 2030.</w:t>
      </w:r>
    </w:p>
    <w:p w14:paraId="72F5F6C2" w14:textId="77777777" w:rsidR="00F310CA" w:rsidRPr="00F310CA" w:rsidRDefault="00F310CA" w:rsidP="003E0710">
      <w:pPr>
        <w:pStyle w:val="ListParagraph"/>
        <w:spacing w:after="0"/>
        <w:jc w:val="both"/>
        <w:rPr>
          <w:rFonts w:ascii="Times New Roman" w:hAnsi="Times New Roman" w:cs="Times New Roman"/>
          <w:sz w:val="24"/>
          <w:szCs w:val="24"/>
        </w:rPr>
      </w:pPr>
    </w:p>
    <w:p w14:paraId="61085C5F" w14:textId="77777777" w:rsidR="00614438" w:rsidRDefault="00F310CA" w:rsidP="003E0710">
      <w:pPr>
        <w:pStyle w:val="ListParagraph"/>
        <w:numPr>
          <w:ilvl w:val="0"/>
          <w:numId w:val="265"/>
        </w:numPr>
        <w:spacing w:after="0"/>
        <w:jc w:val="both"/>
        <w:rPr>
          <w:rFonts w:ascii="Times New Roman" w:hAnsi="Times New Roman" w:cs="Times New Roman"/>
          <w:sz w:val="24"/>
          <w:szCs w:val="24"/>
        </w:rPr>
      </w:pPr>
      <w:r>
        <w:rPr>
          <w:rFonts w:ascii="Times New Roman" w:hAnsi="Times New Roman" w:cs="Times New Roman"/>
          <w:sz w:val="24"/>
          <w:szCs w:val="24"/>
        </w:rPr>
        <w:t>With</w:t>
      </w:r>
      <w:r w:rsidR="00614438" w:rsidRPr="00F310CA">
        <w:rPr>
          <w:rFonts w:ascii="Times New Roman" w:hAnsi="Times New Roman" w:cs="Times New Roman"/>
          <w:sz w:val="24"/>
          <w:szCs w:val="24"/>
        </w:rPr>
        <w:t xml:space="preserve"> regards </w:t>
      </w:r>
      <w:r>
        <w:rPr>
          <w:rFonts w:ascii="Times New Roman" w:hAnsi="Times New Roman" w:cs="Times New Roman"/>
          <w:sz w:val="24"/>
          <w:szCs w:val="24"/>
        </w:rPr>
        <w:t xml:space="preserve">to </w:t>
      </w:r>
      <w:r w:rsidR="00614438" w:rsidRPr="00F310CA">
        <w:rPr>
          <w:rFonts w:ascii="Times New Roman" w:hAnsi="Times New Roman" w:cs="Times New Roman"/>
          <w:sz w:val="24"/>
          <w:szCs w:val="24"/>
        </w:rPr>
        <w:t>the Energy Efficiency dimension</w:t>
      </w:r>
    </w:p>
    <w:p w14:paraId="18CC97EF" w14:textId="77777777" w:rsidR="00F310CA" w:rsidRPr="00F310CA" w:rsidRDefault="00F310CA" w:rsidP="003E0710">
      <w:pPr>
        <w:pStyle w:val="ListParagraph"/>
        <w:spacing w:after="0"/>
        <w:jc w:val="both"/>
        <w:rPr>
          <w:rFonts w:ascii="Times New Roman" w:hAnsi="Times New Roman" w:cs="Times New Roman"/>
          <w:sz w:val="24"/>
          <w:szCs w:val="24"/>
        </w:rPr>
      </w:pPr>
    </w:p>
    <w:p w14:paraId="7BED631E" w14:textId="77777777" w:rsidR="00614438" w:rsidRPr="00F310CA" w:rsidRDefault="00614438" w:rsidP="003E0710">
      <w:pPr>
        <w:pStyle w:val="ListParagraph"/>
        <w:numPr>
          <w:ilvl w:val="0"/>
          <w:numId w:val="261"/>
        </w:numPr>
        <w:spacing w:after="0"/>
        <w:jc w:val="both"/>
        <w:rPr>
          <w:rFonts w:ascii="Times New Roman" w:hAnsi="Times New Roman" w:cs="Times New Roman"/>
          <w:sz w:val="24"/>
          <w:szCs w:val="24"/>
        </w:rPr>
      </w:pPr>
      <w:r w:rsidRPr="00F310CA">
        <w:rPr>
          <w:rFonts w:ascii="Times New Roman" w:hAnsi="Times New Roman" w:cs="Times New Roman"/>
          <w:sz w:val="24"/>
          <w:szCs w:val="24"/>
        </w:rPr>
        <w:t>A national energy efficiency target for 2030 expressed as primary energy consumption and final energy consumption.</w:t>
      </w:r>
    </w:p>
    <w:p w14:paraId="5D00780C" w14:textId="77777777" w:rsidR="00614438" w:rsidRDefault="00614438" w:rsidP="003E0710">
      <w:pPr>
        <w:pStyle w:val="ListParagraph"/>
        <w:numPr>
          <w:ilvl w:val="0"/>
          <w:numId w:val="261"/>
        </w:numPr>
        <w:spacing w:after="0"/>
        <w:jc w:val="both"/>
        <w:rPr>
          <w:rFonts w:ascii="Times New Roman" w:hAnsi="Times New Roman" w:cs="Times New Roman"/>
          <w:sz w:val="24"/>
          <w:szCs w:val="24"/>
        </w:rPr>
      </w:pPr>
      <w:r w:rsidRPr="00F310CA">
        <w:rPr>
          <w:rFonts w:ascii="Times New Roman" w:hAnsi="Times New Roman" w:cs="Times New Roman"/>
          <w:sz w:val="24"/>
          <w:szCs w:val="24"/>
        </w:rPr>
        <w:t>Cumulative end-use energy savings to be achieved over the period 2025-2030 as defined under point (b) of Article 7(1) on the energy saving obligations pursuant to Directive 2012/27/EU as adapted and adopted by</w:t>
      </w:r>
      <w:r w:rsidRPr="00F310CA">
        <w:rPr>
          <w:rFonts w:ascii="Times New Roman" w:hAnsi="Times New Roman" w:cs="Times New Roman"/>
          <w:sz w:val="24"/>
          <w:szCs w:val="24"/>
          <w:lang w:val="sr-Cyrl-CS"/>
        </w:rPr>
        <w:t xml:space="preserve"> </w:t>
      </w:r>
      <w:r w:rsidRPr="00F310CA">
        <w:rPr>
          <w:rFonts w:ascii="Times New Roman" w:hAnsi="Times New Roman" w:cs="Times New Roman"/>
          <w:sz w:val="24"/>
          <w:szCs w:val="24"/>
        </w:rPr>
        <w:t>the Energy Community Ministerial Council Decisions 2015/08/MC-EnC and 2022/02/MC-EnC.</w:t>
      </w:r>
    </w:p>
    <w:p w14:paraId="760A51D4" w14:textId="77777777" w:rsidR="00F310CA" w:rsidRPr="00F310CA" w:rsidRDefault="00F310CA" w:rsidP="003E0710">
      <w:pPr>
        <w:pStyle w:val="ListParagraph"/>
        <w:spacing w:after="0"/>
        <w:jc w:val="both"/>
        <w:rPr>
          <w:rFonts w:ascii="Times New Roman" w:hAnsi="Times New Roman" w:cs="Times New Roman"/>
          <w:sz w:val="24"/>
          <w:szCs w:val="24"/>
        </w:rPr>
      </w:pPr>
    </w:p>
    <w:p w14:paraId="04F21A52" w14:textId="77777777" w:rsidR="00614438" w:rsidRDefault="00F310CA" w:rsidP="003E0710">
      <w:pPr>
        <w:pStyle w:val="ListParagraph"/>
        <w:numPr>
          <w:ilvl w:val="0"/>
          <w:numId w:val="265"/>
        </w:numPr>
        <w:spacing w:after="0"/>
        <w:jc w:val="both"/>
        <w:rPr>
          <w:rFonts w:ascii="Times New Roman" w:hAnsi="Times New Roman" w:cs="Times New Roman"/>
          <w:sz w:val="24"/>
          <w:szCs w:val="24"/>
        </w:rPr>
      </w:pPr>
      <w:r>
        <w:rPr>
          <w:rFonts w:ascii="Times New Roman" w:hAnsi="Times New Roman" w:cs="Times New Roman"/>
          <w:sz w:val="24"/>
          <w:szCs w:val="24"/>
        </w:rPr>
        <w:t>With</w:t>
      </w:r>
      <w:r w:rsidR="00614438" w:rsidRPr="00F310CA">
        <w:rPr>
          <w:rFonts w:ascii="Times New Roman" w:hAnsi="Times New Roman" w:cs="Times New Roman"/>
          <w:sz w:val="24"/>
          <w:szCs w:val="24"/>
        </w:rPr>
        <w:t xml:space="preserve"> regards </w:t>
      </w:r>
      <w:r>
        <w:rPr>
          <w:rFonts w:ascii="Times New Roman" w:hAnsi="Times New Roman" w:cs="Times New Roman"/>
          <w:sz w:val="24"/>
          <w:szCs w:val="24"/>
        </w:rPr>
        <w:t xml:space="preserve">to </w:t>
      </w:r>
      <w:r w:rsidR="00614438" w:rsidRPr="00F310CA">
        <w:rPr>
          <w:rFonts w:ascii="Times New Roman" w:hAnsi="Times New Roman" w:cs="Times New Roman"/>
          <w:sz w:val="24"/>
          <w:szCs w:val="24"/>
        </w:rPr>
        <w:t>the Energy Security dimension</w:t>
      </w:r>
    </w:p>
    <w:p w14:paraId="56E86945" w14:textId="77777777" w:rsidR="0065462D" w:rsidRPr="00F310CA" w:rsidRDefault="0065462D" w:rsidP="0065462D">
      <w:pPr>
        <w:pStyle w:val="ListParagraph"/>
        <w:jc w:val="both"/>
        <w:rPr>
          <w:rFonts w:ascii="Times New Roman" w:hAnsi="Times New Roman" w:cs="Times New Roman"/>
          <w:sz w:val="24"/>
          <w:szCs w:val="24"/>
        </w:rPr>
      </w:pPr>
    </w:p>
    <w:p w14:paraId="2D1B5FB9" w14:textId="77777777" w:rsidR="00614438" w:rsidRPr="0065462D" w:rsidRDefault="00614438" w:rsidP="00485CA7">
      <w:pPr>
        <w:pStyle w:val="ListParagraph"/>
        <w:numPr>
          <w:ilvl w:val="0"/>
          <w:numId w:val="261"/>
        </w:numPr>
        <w:jc w:val="both"/>
        <w:rPr>
          <w:rFonts w:ascii="Times New Roman" w:hAnsi="Times New Roman" w:cs="Times New Roman"/>
          <w:sz w:val="24"/>
          <w:szCs w:val="24"/>
        </w:rPr>
      </w:pPr>
      <w:r w:rsidRPr="0065462D">
        <w:rPr>
          <w:rFonts w:ascii="Times New Roman" w:hAnsi="Times New Roman" w:cs="Times New Roman"/>
          <w:sz w:val="24"/>
          <w:szCs w:val="24"/>
        </w:rPr>
        <w:t xml:space="preserve">National objectives increasing the diversification of energy sources and supply from third countries, the purpose of which shall be to reduce energy import dependency, increasing the flexibility of the national energy system, and addressing constrained or interrupted supply of </w:t>
      </w:r>
      <w:r w:rsidRPr="0065462D">
        <w:rPr>
          <w:rFonts w:ascii="Times New Roman" w:hAnsi="Times New Roman" w:cs="Times New Roman"/>
          <w:sz w:val="24"/>
          <w:szCs w:val="24"/>
        </w:rPr>
        <w:lastRenderedPageBreak/>
        <w:t>an energy source, for the purpose of improving the resilience of regional and national energy systems.</w:t>
      </w:r>
    </w:p>
    <w:p w14:paraId="0E340604" w14:textId="77777777" w:rsidR="00614438" w:rsidRDefault="0065462D" w:rsidP="00485CA7">
      <w:pPr>
        <w:pStyle w:val="ListParagraph"/>
        <w:numPr>
          <w:ilvl w:val="0"/>
          <w:numId w:val="265"/>
        </w:numPr>
        <w:jc w:val="both"/>
        <w:rPr>
          <w:rFonts w:ascii="Times New Roman" w:hAnsi="Times New Roman" w:cs="Times New Roman"/>
          <w:sz w:val="24"/>
          <w:szCs w:val="24"/>
        </w:rPr>
      </w:pPr>
      <w:r>
        <w:rPr>
          <w:rFonts w:ascii="Times New Roman" w:hAnsi="Times New Roman" w:cs="Times New Roman"/>
          <w:sz w:val="24"/>
          <w:szCs w:val="24"/>
        </w:rPr>
        <w:t>With</w:t>
      </w:r>
      <w:r w:rsidR="00614438" w:rsidRPr="0065462D">
        <w:rPr>
          <w:rFonts w:ascii="Times New Roman" w:hAnsi="Times New Roman" w:cs="Times New Roman"/>
          <w:sz w:val="24"/>
          <w:szCs w:val="24"/>
        </w:rPr>
        <w:t xml:space="preserve"> regards </w:t>
      </w:r>
      <w:r>
        <w:rPr>
          <w:rFonts w:ascii="Times New Roman" w:hAnsi="Times New Roman" w:cs="Times New Roman"/>
          <w:sz w:val="24"/>
          <w:szCs w:val="24"/>
        </w:rPr>
        <w:t xml:space="preserve">to </w:t>
      </w:r>
      <w:r w:rsidR="00614438" w:rsidRPr="0065462D">
        <w:rPr>
          <w:rFonts w:ascii="Times New Roman" w:hAnsi="Times New Roman" w:cs="Times New Roman"/>
          <w:sz w:val="24"/>
          <w:szCs w:val="24"/>
        </w:rPr>
        <w:t>the Internal market dimension:</w:t>
      </w:r>
    </w:p>
    <w:p w14:paraId="7CD777B4" w14:textId="77777777" w:rsidR="0065462D" w:rsidRPr="0065462D" w:rsidRDefault="0065462D" w:rsidP="0065462D">
      <w:pPr>
        <w:pStyle w:val="ListParagraph"/>
        <w:jc w:val="both"/>
        <w:rPr>
          <w:rFonts w:ascii="Times New Roman" w:hAnsi="Times New Roman" w:cs="Times New Roman"/>
          <w:sz w:val="24"/>
          <w:szCs w:val="24"/>
        </w:rPr>
      </w:pPr>
    </w:p>
    <w:p w14:paraId="711833B1" w14:textId="77777777" w:rsidR="00614438" w:rsidRDefault="00614438" w:rsidP="00485CA7">
      <w:pPr>
        <w:pStyle w:val="ListParagraph"/>
        <w:numPr>
          <w:ilvl w:val="0"/>
          <w:numId w:val="261"/>
        </w:numPr>
        <w:jc w:val="both"/>
        <w:rPr>
          <w:rFonts w:ascii="Times New Roman" w:hAnsi="Times New Roman" w:cs="Times New Roman"/>
          <w:sz w:val="24"/>
          <w:szCs w:val="24"/>
        </w:rPr>
      </w:pPr>
      <w:r w:rsidRPr="0065462D">
        <w:rPr>
          <w:rFonts w:ascii="Times New Roman" w:hAnsi="Times New Roman" w:cs="Times New Roman"/>
          <w:sz w:val="24"/>
          <w:szCs w:val="24"/>
        </w:rPr>
        <w:t>Objectives related to the level of electricity interconnectivity, key electricity and gas transmission infrastructure projects, national objectives related to aspects of internal energy market (fostering regional energy cooperation and increasing regional market integration).</w:t>
      </w:r>
    </w:p>
    <w:p w14:paraId="4883FE84" w14:textId="77777777" w:rsidR="0065462D" w:rsidRPr="0065462D" w:rsidRDefault="0065462D" w:rsidP="0065462D">
      <w:pPr>
        <w:pStyle w:val="ListParagraph"/>
        <w:jc w:val="both"/>
        <w:rPr>
          <w:rFonts w:ascii="Times New Roman" w:hAnsi="Times New Roman" w:cs="Times New Roman"/>
          <w:sz w:val="24"/>
          <w:szCs w:val="24"/>
        </w:rPr>
      </w:pPr>
    </w:p>
    <w:p w14:paraId="0AC7F97B" w14:textId="77777777" w:rsidR="00614438" w:rsidRDefault="0065462D" w:rsidP="00485CA7">
      <w:pPr>
        <w:pStyle w:val="ListParagraph"/>
        <w:numPr>
          <w:ilvl w:val="0"/>
          <w:numId w:val="265"/>
        </w:numPr>
        <w:jc w:val="both"/>
        <w:rPr>
          <w:rFonts w:ascii="Times New Roman" w:hAnsi="Times New Roman" w:cs="Times New Roman"/>
          <w:sz w:val="24"/>
          <w:szCs w:val="24"/>
        </w:rPr>
      </w:pPr>
      <w:r>
        <w:rPr>
          <w:rFonts w:ascii="Times New Roman" w:hAnsi="Times New Roman" w:cs="Times New Roman"/>
          <w:sz w:val="24"/>
          <w:szCs w:val="24"/>
        </w:rPr>
        <w:t>With</w:t>
      </w:r>
      <w:r w:rsidR="00614438" w:rsidRPr="0065462D">
        <w:rPr>
          <w:rFonts w:ascii="Times New Roman" w:hAnsi="Times New Roman" w:cs="Times New Roman"/>
          <w:sz w:val="24"/>
          <w:szCs w:val="24"/>
        </w:rPr>
        <w:t xml:space="preserve"> regards </w:t>
      </w:r>
      <w:r>
        <w:rPr>
          <w:rFonts w:ascii="Times New Roman" w:hAnsi="Times New Roman" w:cs="Times New Roman"/>
          <w:sz w:val="24"/>
          <w:szCs w:val="24"/>
        </w:rPr>
        <w:t xml:space="preserve">to </w:t>
      </w:r>
      <w:r w:rsidR="00614438" w:rsidRPr="0065462D">
        <w:rPr>
          <w:rFonts w:ascii="Times New Roman" w:hAnsi="Times New Roman" w:cs="Times New Roman"/>
          <w:sz w:val="24"/>
          <w:szCs w:val="24"/>
        </w:rPr>
        <w:t>the Research, Innovation and Competitiveness dimension:</w:t>
      </w:r>
    </w:p>
    <w:p w14:paraId="34BA89E6" w14:textId="77777777" w:rsidR="0065462D" w:rsidRPr="0065462D" w:rsidRDefault="0065462D" w:rsidP="0065462D">
      <w:pPr>
        <w:pStyle w:val="ListParagraph"/>
        <w:jc w:val="both"/>
        <w:rPr>
          <w:rFonts w:ascii="Times New Roman" w:hAnsi="Times New Roman" w:cs="Times New Roman"/>
          <w:sz w:val="24"/>
          <w:szCs w:val="24"/>
        </w:rPr>
      </w:pPr>
    </w:p>
    <w:p w14:paraId="73490874" w14:textId="77777777" w:rsidR="00614438" w:rsidRPr="0065462D" w:rsidRDefault="00614438" w:rsidP="00485CA7">
      <w:pPr>
        <w:pStyle w:val="ListParagraph"/>
        <w:numPr>
          <w:ilvl w:val="0"/>
          <w:numId w:val="261"/>
        </w:numPr>
        <w:jc w:val="both"/>
        <w:rPr>
          <w:rFonts w:ascii="Times New Roman" w:hAnsi="Times New Roman" w:cs="Times New Roman"/>
          <w:sz w:val="24"/>
          <w:szCs w:val="24"/>
        </w:rPr>
      </w:pPr>
      <w:r w:rsidRPr="0065462D">
        <w:rPr>
          <w:rFonts w:ascii="Times New Roman" w:hAnsi="Times New Roman" w:cs="Times New Roman"/>
          <w:sz w:val="24"/>
          <w:szCs w:val="24"/>
        </w:rPr>
        <w:t>National objectives for public and private research and innovation related to the Energy Union priorities.</w:t>
      </w:r>
    </w:p>
    <w:p w14:paraId="53D64A6B" w14:textId="77777777" w:rsidR="00614438" w:rsidRPr="00614438" w:rsidRDefault="00614438" w:rsidP="0065462D">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Governance mechanism for the implementation of the INECP, maximizing synergies between measures and efficient use of their budget</w:t>
      </w:r>
    </w:p>
    <w:p w14:paraId="5EF1C382" w14:textId="35CA34D7" w:rsidR="00614438" w:rsidRPr="00614438" w:rsidRDefault="00614438" w:rsidP="00CD2AC9">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It should be noted that the development of a governance framework to monitor and assess in a cohesive manner the attainment of the specified targets and the implementation of the policy measures</w:t>
      </w:r>
      <w:r w:rsidR="00CD2AC9">
        <w:rPr>
          <w:rFonts w:ascii="Times New Roman" w:hAnsi="Times New Roman" w:cs="Times New Roman"/>
          <w:sz w:val="24"/>
          <w:szCs w:val="24"/>
          <w:lang w:val="en-GB"/>
        </w:rPr>
        <w:t xml:space="preserve"> will be conducted by implementing </w:t>
      </w:r>
      <w:r w:rsidRPr="00614438">
        <w:rPr>
          <w:rFonts w:ascii="Times New Roman" w:hAnsi="Times New Roman" w:cs="Times New Roman"/>
          <w:sz w:val="24"/>
          <w:szCs w:val="24"/>
          <w:lang w:val="en-GB"/>
        </w:rPr>
        <w:t xml:space="preserve">monitoring and governance mechanism, which will be developed in compliance with the provisions of the national legislation, including </w:t>
      </w:r>
      <w:r w:rsidR="00554D76">
        <w:rPr>
          <w:rFonts w:ascii="Times New Roman" w:hAnsi="Times New Roman" w:cs="Times New Roman"/>
          <w:sz w:val="24"/>
          <w:szCs w:val="24"/>
          <w:lang w:val="en-GB"/>
        </w:rPr>
        <w:t>carrying out</w:t>
      </w:r>
      <w:r w:rsidRPr="00614438">
        <w:rPr>
          <w:rFonts w:ascii="Times New Roman" w:hAnsi="Times New Roman" w:cs="Times New Roman"/>
          <w:sz w:val="24"/>
          <w:szCs w:val="24"/>
          <w:lang w:val="en-GB"/>
        </w:rPr>
        <w:t xml:space="preserve"> detailed expert control and the imposition of penalties for non-compliant cases.</w:t>
      </w:r>
    </w:p>
    <w:p w14:paraId="7BE64DDB" w14:textId="77777777" w:rsidR="00614438" w:rsidRPr="00614438" w:rsidRDefault="00614438" w:rsidP="00CD2AC9">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This governance framework aims to ensure the centralized and integrated monitoring of the implementation of policy measures and ensure the stakeholders’ contribution during their implementation with a view to attaining the INECP objectives.</w:t>
      </w:r>
    </w:p>
    <w:p w14:paraId="4D45BF85" w14:textId="77777777" w:rsidR="00614438" w:rsidRPr="00614438" w:rsidRDefault="00614438" w:rsidP="003978FA">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This governance framework will help facilitate cooperation and communication between stakeholders in each and across the five different dimensions, thus ensuring maximum synergies between the policy measures implemented under all dimensions for the INECP.</w:t>
      </w:r>
    </w:p>
    <w:p w14:paraId="07D13FFD" w14:textId="77777777" w:rsidR="00614438" w:rsidRPr="00614438" w:rsidRDefault="00614438" w:rsidP="003978FA">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 Working Group for Energy and Climate chaired by The Ministry of Mining and Energy should play an important role in developing and implementing this governance framework, with the following functions among others:</w:t>
      </w:r>
    </w:p>
    <w:p w14:paraId="01908B41" w14:textId="77777777" w:rsidR="00614438" w:rsidRPr="003978FA" w:rsidRDefault="00614438" w:rsidP="00485CA7">
      <w:pPr>
        <w:pStyle w:val="ListParagraph"/>
        <w:numPr>
          <w:ilvl w:val="0"/>
          <w:numId w:val="261"/>
        </w:numPr>
        <w:jc w:val="both"/>
        <w:rPr>
          <w:rFonts w:ascii="Times New Roman" w:hAnsi="Times New Roman" w:cs="Times New Roman"/>
          <w:sz w:val="24"/>
          <w:szCs w:val="24"/>
          <w:lang w:val="en-GB"/>
        </w:rPr>
      </w:pPr>
      <w:r w:rsidRPr="003978FA">
        <w:rPr>
          <w:rFonts w:ascii="Times New Roman" w:hAnsi="Times New Roman" w:cs="Times New Roman"/>
          <w:sz w:val="24"/>
          <w:szCs w:val="24"/>
          <w:lang w:val="en-GB"/>
        </w:rPr>
        <w:t>Formulating the national priorities and the methodology and guidelines for energy planning, as well as updating the NECP.</w:t>
      </w:r>
    </w:p>
    <w:p w14:paraId="213AF4E3" w14:textId="77777777" w:rsidR="00614438" w:rsidRPr="003978FA" w:rsidRDefault="00614438" w:rsidP="00485CA7">
      <w:pPr>
        <w:pStyle w:val="ListParagraph"/>
        <w:numPr>
          <w:ilvl w:val="0"/>
          <w:numId w:val="261"/>
        </w:numPr>
        <w:jc w:val="both"/>
        <w:rPr>
          <w:rFonts w:ascii="Times New Roman" w:hAnsi="Times New Roman" w:cs="Times New Roman"/>
          <w:sz w:val="24"/>
          <w:szCs w:val="24"/>
          <w:lang w:val="en-GB"/>
        </w:rPr>
      </w:pPr>
      <w:r w:rsidRPr="003978FA">
        <w:rPr>
          <w:rFonts w:ascii="Times New Roman" w:hAnsi="Times New Roman" w:cs="Times New Roman"/>
          <w:sz w:val="24"/>
          <w:szCs w:val="24"/>
          <w:lang w:val="en-GB"/>
        </w:rPr>
        <w:t>Analyzing and updating the energy system development scenarios.</w:t>
      </w:r>
    </w:p>
    <w:p w14:paraId="6DD16BC0" w14:textId="77777777" w:rsidR="00614438" w:rsidRPr="003978FA" w:rsidRDefault="00614438" w:rsidP="00485CA7">
      <w:pPr>
        <w:pStyle w:val="ListParagraph"/>
        <w:numPr>
          <w:ilvl w:val="0"/>
          <w:numId w:val="261"/>
        </w:numPr>
        <w:jc w:val="both"/>
        <w:rPr>
          <w:rFonts w:ascii="Times New Roman" w:hAnsi="Times New Roman" w:cs="Times New Roman"/>
          <w:sz w:val="24"/>
          <w:szCs w:val="24"/>
          <w:lang w:val="en-GB"/>
        </w:rPr>
      </w:pPr>
      <w:r w:rsidRPr="003978FA">
        <w:rPr>
          <w:rFonts w:ascii="Times New Roman" w:hAnsi="Times New Roman" w:cs="Times New Roman"/>
          <w:sz w:val="24"/>
          <w:szCs w:val="24"/>
          <w:lang w:val="en-GB"/>
        </w:rPr>
        <w:t>Planning and promoting proposals for energy policies and actions and making recommendations on taking corrective measures in the event of deviations.</w:t>
      </w:r>
    </w:p>
    <w:p w14:paraId="161F8E70" w14:textId="77777777" w:rsidR="00614438" w:rsidRPr="003978FA" w:rsidRDefault="00614438" w:rsidP="00485CA7">
      <w:pPr>
        <w:pStyle w:val="ListParagraph"/>
        <w:numPr>
          <w:ilvl w:val="0"/>
          <w:numId w:val="261"/>
        </w:numPr>
        <w:jc w:val="both"/>
        <w:rPr>
          <w:rFonts w:ascii="Times New Roman" w:hAnsi="Times New Roman" w:cs="Times New Roman"/>
          <w:sz w:val="24"/>
          <w:szCs w:val="24"/>
          <w:lang w:val="en-GB"/>
        </w:rPr>
      </w:pPr>
      <w:r w:rsidRPr="003978FA">
        <w:rPr>
          <w:rFonts w:ascii="Times New Roman" w:hAnsi="Times New Roman" w:cs="Times New Roman"/>
          <w:sz w:val="24"/>
          <w:szCs w:val="24"/>
          <w:lang w:val="en-GB"/>
        </w:rPr>
        <w:t>Providing guidelines to institutional bodies.</w:t>
      </w:r>
    </w:p>
    <w:p w14:paraId="53A82D49" w14:textId="77777777" w:rsidR="00614438" w:rsidRPr="00614438" w:rsidRDefault="00614438" w:rsidP="008905DD">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Furthermore, stakeholders should take into account the provisions of the </w:t>
      </w:r>
      <w:r w:rsidR="00E910B6">
        <w:rPr>
          <w:rFonts w:ascii="Times New Roman" w:hAnsi="Times New Roman" w:cs="Times New Roman"/>
          <w:sz w:val="24"/>
          <w:szCs w:val="24"/>
          <w:lang w:val="en-GB"/>
        </w:rPr>
        <w:t>I</w:t>
      </w:r>
      <w:r w:rsidRPr="00614438">
        <w:rPr>
          <w:rFonts w:ascii="Times New Roman" w:hAnsi="Times New Roman" w:cs="Times New Roman"/>
          <w:sz w:val="24"/>
          <w:szCs w:val="24"/>
          <w:lang w:val="en-GB"/>
        </w:rPr>
        <w:t xml:space="preserve">NECP in their own development policies in order to contribute towards the smooth and effective implementation of the policy measures laid down in the </w:t>
      </w:r>
      <w:r w:rsidR="008905DD">
        <w:rPr>
          <w:rFonts w:ascii="Times New Roman" w:hAnsi="Times New Roman" w:cs="Times New Roman"/>
          <w:sz w:val="24"/>
          <w:szCs w:val="24"/>
          <w:lang w:val="en-GB"/>
        </w:rPr>
        <w:t>I</w:t>
      </w:r>
      <w:r w:rsidRPr="00614438">
        <w:rPr>
          <w:rFonts w:ascii="Times New Roman" w:hAnsi="Times New Roman" w:cs="Times New Roman"/>
          <w:sz w:val="24"/>
          <w:szCs w:val="24"/>
          <w:lang w:val="en-GB"/>
        </w:rPr>
        <w:t>NECP.</w:t>
      </w:r>
    </w:p>
    <w:p w14:paraId="75DE381C" w14:textId="77777777" w:rsidR="00614438" w:rsidRPr="00614438" w:rsidRDefault="00614438" w:rsidP="008905DD">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To that end, a coordination mechanism will be developed, consisting of committees or groups intended to ensure the relevance of other related national strategies, such as waste management, circular economy and climate change adaptation.</w:t>
      </w:r>
    </w:p>
    <w:p w14:paraId="691B8E45" w14:textId="77777777" w:rsidR="00614438" w:rsidRPr="00614438" w:rsidRDefault="00614438" w:rsidP="008905DD">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implementation of the governance framework will result in ensuring continuity of the policies and measures to be implemented and consistency of both public and private institutional bodies involved in the implementation of these policies and measures.</w:t>
      </w:r>
    </w:p>
    <w:p w14:paraId="612DCFE5" w14:textId="77777777" w:rsidR="00614438" w:rsidRPr="00614438" w:rsidRDefault="00614438" w:rsidP="008905DD">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 xml:space="preserve">A fundamental component of the governance framework will be the development of integrated monitoring mechanism for the policies and measures under implementation. This mechanism will include procedures for ongoing monitoring of both the attainment of the individual </w:t>
      </w:r>
      <w:r w:rsidR="008905DD">
        <w:rPr>
          <w:rFonts w:ascii="Times New Roman" w:hAnsi="Times New Roman" w:cs="Times New Roman"/>
          <w:sz w:val="24"/>
          <w:szCs w:val="24"/>
          <w:lang w:val="en-GB"/>
        </w:rPr>
        <w:t>I</w:t>
      </w:r>
      <w:r w:rsidRPr="00614438">
        <w:rPr>
          <w:rFonts w:ascii="Times New Roman" w:hAnsi="Times New Roman" w:cs="Times New Roman"/>
          <w:sz w:val="24"/>
          <w:szCs w:val="24"/>
          <w:lang w:val="en-GB"/>
        </w:rPr>
        <w:t>NECP objectives and the performance and impact of each policy measure individually, including by the use of relevant critical performance indicators.</w:t>
      </w:r>
    </w:p>
    <w:p w14:paraId="358D746F" w14:textId="77777777" w:rsidR="00614438" w:rsidRPr="00614438" w:rsidRDefault="00614438" w:rsidP="00E910B6">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Naturally, in the course of implementing the </w:t>
      </w:r>
      <w:r w:rsidR="00E910B6">
        <w:rPr>
          <w:rFonts w:ascii="Times New Roman" w:hAnsi="Times New Roman" w:cs="Times New Roman"/>
          <w:sz w:val="24"/>
          <w:szCs w:val="24"/>
          <w:lang w:val="en-GB"/>
        </w:rPr>
        <w:t>I</w:t>
      </w:r>
      <w:r w:rsidRPr="00614438">
        <w:rPr>
          <w:rFonts w:ascii="Times New Roman" w:hAnsi="Times New Roman" w:cs="Times New Roman"/>
          <w:sz w:val="24"/>
          <w:szCs w:val="24"/>
          <w:lang w:val="en-GB"/>
        </w:rPr>
        <w:t>NECP, any deviations</w:t>
      </w:r>
      <w:r w:rsidR="00E910B6">
        <w:rPr>
          <w:rFonts w:ascii="Times New Roman" w:hAnsi="Times New Roman" w:cs="Times New Roman"/>
          <w:sz w:val="24"/>
          <w:szCs w:val="24"/>
          <w:lang w:val="en-GB"/>
        </w:rPr>
        <w:t xml:space="preserve"> will be </w:t>
      </w:r>
      <w:r w:rsidR="00E910B6" w:rsidRPr="00614438">
        <w:rPr>
          <w:rFonts w:ascii="Times New Roman" w:hAnsi="Times New Roman" w:cs="Times New Roman"/>
          <w:sz w:val="24"/>
          <w:szCs w:val="24"/>
          <w:lang w:val="en-GB"/>
        </w:rPr>
        <w:t>taken</w:t>
      </w:r>
      <w:r w:rsidR="00E910B6">
        <w:rPr>
          <w:rFonts w:ascii="Times New Roman" w:hAnsi="Times New Roman" w:cs="Times New Roman"/>
          <w:sz w:val="24"/>
          <w:szCs w:val="24"/>
          <w:lang w:val="en-GB"/>
        </w:rPr>
        <w:t xml:space="preserve"> into account</w:t>
      </w:r>
      <w:r w:rsidRPr="00614438">
        <w:rPr>
          <w:rFonts w:ascii="Times New Roman" w:hAnsi="Times New Roman" w:cs="Times New Roman"/>
          <w:sz w:val="24"/>
          <w:szCs w:val="24"/>
          <w:lang w:val="en-GB"/>
        </w:rPr>
        <w:t xml:space="preserve">, firstly </w:t>
      </w:r>
      <w:r w:rsidR="00E910B6">
        <w:rPr>
          <w:rFonts w:ascii="Times New Roman" w:hAnsi="Times New Roman" w:cs="Times New Roman"/>
          <w:sz w:val="24"/>
          <w:szCs w:val="24"/>
          <w:lang w:val="en-GB"/>
        </w:rPr>
        <w:t xml:space="preserve">so that </w:t>
      </w:r>
      <w:r w:rsidRPr="00614438">
        <w:rPr>
          <w:rFonts w:ascii="Times New Roman" w:hAnsi="Times New Roman" w:cs="Times New Roman"/>
          <w:sz w:val="24"/>
          <w:szCs w:val="24"/>
          <w:lang w:val="en-GB"/>
        </w:rPr>
        <w:t xml:space="preserve">the above bodies </w:t>
      </w:r>
      <w:r w:rsidR="00E910B6">
        <w:rPr>
          <w:rFonts w:ascii="Times New Roman" w:hAnsi="Times New Roman" w:cs="Times New Roman"/>
          <w:sz w:val="24"/>
          <w:szCs w:val="24"/>
          <w:lang w:val="en-GB"/>
        </w:rPr>
        <w:t>could</w:t>
      </w:r>
      <w:r w:rsidRPr="00614438">
        <w:rPr>
          <w:rFonts w:ascii="Times New Roman" w:hAnsi="Times New Roman" w:cs="Times New Roman"/>
          <w:sz w:val="24"/>
          <w:szCs w:val="24"/>
          <w:lang w:val="en-GB"/>
        </w:rPr>
        <w:t xml:space="preserve"> take possible corrective measures and</w:t>
      </w:r>
      <w:r w:rsidR="00E910B6">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secondly</w:t>
      </w:r>
      <w:r w:rsidR="00E910B6">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to ensure the security of supply in the Republic of Serbia.</w:t>
      </w:r>
    </w:p>
    <w:p w14:paraId="0EB8A3EA" w14:textId="77777777" w:rsidR="00614438" w:rsidRPr="00614438" w:rsidRDefault="00614438" w:rsidP="00E910B6">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 relevant model will be used in designing and implementing financing mechanisms and programmes. These financing mechanisms and programmes will be designed including, inter alia, maximising the expected leverage of resources, using available public funds more efficiently, adopting innovative funding tools, ensuring more active mobilisation of the domestic financial sector and maximising synergies between different policy objectives.</w:t>
      </w:r>
    </w:p>
    <w:p w14:paraId="5C74F676" w14:textId="77777777" w:rsidR="00614438" w:rsidRPr="00614438" w:rsidRDefault="00E910B6" w:rsidP="00E910B6">
      <w:pPr>
        <w:jc w:val="center"/>
        <w:rPr>
          <w:rFonts w:ascii="Times New Roman" w:hAnsi="Times New Roman" w:cs="Times New Roman"/>
          <w:sz w:val="24"/>
          <w:szCs w:val="24"/>
          <w:lang w:val="en-GB"/>
        </w:rPr>
      </w:pPr>
      <w:bookmarkStart w:id="81" w:name="_Toc151036036"/>
      <w:bookmarkStart w:id="82" w:name="_Toc153545036"/>
      <w:bookmarkStart w:id="83" w:name="_Toc118991766"/>
      <w:bookmarkEnd w:id="80"/>
      <w:bookmarkEnd w:id="81"/>
      <w:r>
        <w:rPr>
          <w:rFonts w:ascii="Times New Roman" w:hAnsi="Times New Roman" w:cs="Times New Roman"/>
          <w:sz w:val="24"/>
          <w:szCs w:val="24"/>
          <w:lang w:val="en-GB"/>
        </w:rPr>
        <w:t xml:space="preserve">2.1 </w:t>
      </w:r>
      <w:r w:rsidR="00614438" w:rsidRPr="00614438">
        <w:rPr>
          <w:rFonts w:ascii="Times New Roman" w:hAnsi="Times New Roman" w:cs="Times New Roman"/>
          <w:sz w:val="24"/>
          <w:szCs w:val="24"/>
          <w:lang w:val="en-GB"/>
        </w:rPr>
        <w:t>Climate change, emissions and reduction of greenhouse gases</w:t>
      </w:r>
      <w:bookmarkEnd w:id="82"/>
      <w:bookmarkEnd w:id="83"/>
    </w:p>
    <w:p w14:paraId="0E1FFE63" w14:textId="77777777" w:rsidR="00614438" w:rsidRPr="00614438" w:rsidRDefault="00614438" w:rsidP="00E910B6">
      <w:pPr>
        <w:ind w:firstLine="720"/>
        <w:jc w:val="both"/>
        <w:rPr>
          <w:rFonts w:ascii="Times New Roman" w:hAnsi="Times New Roman" w:cs="Times New Roman"/>
          <w:sz w:val="24"/>
          <w:szCs w:val="24"/>
          <w:lang w:val="en-GB"/>
        </w:rPr>
      </w:pPr>
      <w:bookmarkStart w:id="84" w:name="_bookmark25"/>
      <w:bookmarkEnd w:id="84"/>
      <w:r w:rsidRPr="00614438">
        <w:rPr>
          <w:rFonts w:ascii="Times New Roman" w:hAnsi="Times New Roman" w:cs="Times New Roman"/>
          <w:sz w:val="24"/>
          <w:szCs w:val="24"/>
          <w:lang w:val="en-GB"/>
        </w:rPr>
        <w:t>A central target has been set for reducing the GHG emissions by 40.3% in 2030 compared to 1990 including agriculture, waste and LULUCF. This target is in line with Article 4 of Decision no. 2022/02/MC-EnC</w:t>
      </w:r>
      <w:r w:rsidRPr="00614438">
        <w:rPr>
          <w:rFonts w:ascii="Times New Roman" w:hAnsi="Times New Roman" w:cs="Times New Roman"/>
          <w:sz w:val="24"/>
          <w:szCs w:val="24"/>
          <w:lang w:val="sr-Cyrl-CS"/>
        </w:rPr>
        <w:t xml:space="preserve"> </w:t>
      </w:r>
      <w:r w:rsidRPr="00614438">
        <w:rPr>
          <w:rFonts w:ascii="Times New Roman" w:hAnsi="Times New Roman" w:cs="Times New Roman"/>
          <w:sz w:val="24"/>
          <w:szCs w:val="24"/>
        </w:rPr>
        <w:t>of the Energy Community Ministerial Council,</w:t>
      </w:r>
      <w:r w:rsidRPr="00614438">
        <w:rPr>
          <w:rFonts w:ascii="Times New Roman" w:hAnsi="Times New Roman" w:cs="Times New Roman"/>
          <w:sz w:val="24"/>
          <w:szCs w:val="24"/>
          <w:lang w:val="en-GB"/>
        </w:rPr>
        <w:t xml:space="preserve"> point (13). This is also consistent with the targets set in the recently updated Nationally Determined Contribution (NDC). A well-balanced mixture of policies and measures will be initiated in order to mitigate the GHG emissions in all supply and demand sectors.</w:t>
      </w:r>
      <w:bookmarkStart w:id="85" w:name="_bookmark26"/>
      <w:bookmarkEnd w:id="85"/>
    </w:p>
    <w:p w14:paraId="7C6ED68E" w14:textId="77777777" w:rsidR="00614438" w:rsidRPr="00614438" w:rsidRDefault="00614438" w:rsidP="00E910B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annual trajectory from 2025 until 2030 for reaching the national contribution can be seen in the following Table.</w:t>
      </w:r>
    </w:p>
    <w:p w14:paraId="432A0770" w14:textId="77777777" w:rsidR="00614438" w:rsidRPr="00614438" w:rsidRDefault="00614438" w:rsidP="00614438">
      <w:pPr>
        <w:jc w:val="both"/>
        <w:rPr>
          <w:rFonts w:ascii="Times New Roman" w:hAnsi="Times New Roman" w:cs="Times New Roman"/>
          <w:sz w:val="24"/>
          <w:szCs w:val="24"/>
          <w:lang w:val="en-GB"/>
        </w:rPr>
      </w:pPr>
    </w:p>
    <w:p w14:paraId="3E6C2549" w14:textId="77777777" w:rsidR="00614438" w:rsidRPr="00614438" w:rsidRDefault="00614438" w:rsidP="00614438">
      <w:pPr>
        <w:jc w:val="both"/>
        <w:rPr>
          <w:rFonts w:ascii="Times New Roman" w:hAnsi="Times New Roman" w:cs="Times New Roman"/>
          <w:sz w:val="24"/>
          <w:szCs w:val="24"/>
        </w:rPr>
      </w:pPr>
      <w:bookmarkStart w:id="86" w:name="_Toc153545067"/>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Annual trajectory of GHG emissions reduction</w:t>
      </w:r>
      <w:bookmarkEnd w:id="86"/>
    </w:p>
    <w:tbl>
      <w:tblPr>
        <w:tblStyle w:val="GridTable4-Accent11"/>
        <w:tblW w:w="7901" w:type="dxa"/>
        <w:jc w:val="center"/>
        <w:tblLook w:val="04A0" w:firstRow="1" w:lastRow="0" w:firstColumn="1" w:lastColumn="0" w:noHBand="0" w:noVBand="1"/>
      </w:tblPr>
      <w:tblGrid>
        <w:gridCol w:w="2255"/>
        <w:gridCol w:w="941"/>
        <w:gridCol w:w="941"/>
        <w:gridCol w:w="941"/>
        <w:gridCol w:w="941"/>
        <w:gridCol w:w="941"/>
        <w:gridCol w:w="941"/>
      </w:tblGrid>
      <w:tr w:rsidR="00614438" w:rsidRPr="003E0710" w14:paraId="20D88894" w14:textId="77777777" w:rsidTr="00614438">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55" w:type="dxa"/>
          </w:tcPr>
          <w:p w14:paraId="55DF33F1" w14:textId="77777777" w:rsidR="00614438" w:rsidRPr="003E0710" w:rsidRDefault="00614438" w:rsidP="00614438">
            <w:pPr>
              <w:spacing w:after="160" w:line="259" w:lineRule="auto"/>
              <w:jc w:val="both"/>
              <w:rPr>
                <w:rFonts w:ascii="Times New Roman" w:hAnsi="Times New Roman" w:cs="Times New Roman"/>
                <w:b w:val="0"/>
                <w:bCs w:val="0"/>
                <w:color w:val="auto"/>
                <w:kern w:val="2"/>
                <w:sz w:val="20"/>
                <w:szCs w:val="20"/>
              </w:rPr>
            </w:pPr>
          </w:p>
        </w:tc>
        <w:tc>
          <w:tcPr>
            <w:tcW w:w="941" w:type="dxa"/>
            <w:noWrap/>
            <w:hideMark/>
          </w:tcPr>
          <w:p w14:paraId="6ED876E5" w14:textId="77777777" w:rsidR="00614438" w:rsidRPr="003E0710" w:rsidRDefault="00614438" w:rsidP="00614438">
            <w:pPr>
              <w:spacing w:after="160" w:line="259"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kern w:val="2"/>
                <w:sz w:val="20"/>
                <w:szCs w:val="20"/>
              </w:rPr>
            </w:pPr>
            <w:r w:rsidRPr="003E0710">
              <w:rPr>
                <w:rFonts w:ascii="Times New Roman" w:hAnsi="Times New Roman" w:cs="Times New Roman"/>
                <w:b w:val="0"/>
                <w:bCs w:val="0"/>
                <w:color w:val="auto"/>
                <w:kern w:val="2"/>
                <w:sz w:val="20"/>
                <w:szCs w:val="20"/>
                <w:lang w:val="en-GB"/>
              </w:rPr>
              <w:t>2025</w:t>
            </w:r>
          </w:p>
        </w:tc>
        <w:tc>
          <w:tcPr>
            <w:tcW w:w="941" w:type="dxa"/>
            <w:noWrap/>
            <w:hideMark/>
          </w:tcPr>
          <w:p w14:paraId="015620F0" w14:textId="77777777" w:rsidR="00614438" w:rsidRPr="003E0710" w:rsidRDefault="00614438" w:rsidP="00614438">
            <w:pPr>
              <w:spacing w:after="160" w:line="259"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kern w:val="2"/>
                <w:sz w:val="20"/>
                <w:szCs w:val="20"/>
                <w:lang w:val="en-GB"/>
              </w:rPr>
            </w:pPr>
            <w:r w:rsidRPr="003E0710">
              <w:rPr>
                <w:rFonts w:ascii="Times New Roman" w:hAnsi="Times New Roman" w:cs="Times New Roman"/>
                <w:b w:val="0"/>
                <w:bCs w:val="0"/>
                <w:color w:val="auto"/>
                <w:kern w:val="2"/>
                <w:sz w:val="20"/>
                <w:szCs w:val="20"/>
                <w:lang w:val="en-GB"/>
              </w:rPr>
              <w:t>2026</w:t>
            </w:r>
          </w:p>
        </w:tc>
        <w:tc>
          <w:tcPr>
            <w:tcW w:w="941" w:type="dxa"/>
            <w:noWrap/>
            <w:hideMark/>
          </w:tcPr>
          <w:p w14:paraId="603A4079" w14:textId="77777777" w:rsidR="00614438" w:rsidRPr="003E0710" w:rsidRDefault="00614438" w:rsidP="00614438">
            <w:pPr>
              <w:spacing w:after="160" w:line="259"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kern w:val="2"/>
                <w:sz w:val="20"/>
                <w:szCs w:val="20"/>
                <w:lang w:val="en-GB"/>
              </w:rPr>
            </w:pPr>
            <w:r w:rsidRPr="003E0710">
              <w:rPr>
                <w:rFonts w:ascii="Times New Roman" w:hAnsi="Times New Roman" w:cs="Times New Roman"/>
                <w:b w:val="0"/>
                <w:bCs w:val="0"/>
                <w:color w:val="auto"/>
                <w:kern w:val="2"/>
                <w:sz w:val="20"/>
                <w:szCs w:val="20"/>
                <w:lang w:val="en-GB"/>
              </w:rPr>
              <w:t>2027</w:t>
            </w:r>
          </w:p>
        </w:tc>
        <w:tc>
          <w:tcPr>
            <w:tcW w:w="941" w:type="dxa"/>
            <w:noWrap/>
            <w:hideMark/>
          </w:tcPr>
          <w:p w14:paraId="35C83F05" w14:textId="77777777" w:rsidR="00614438" w:rsidRPr="003E0710" w:rsidRDefault="00614438" w:rsidP="00614438">
            <w:pPr>
              <w:spacing w:after="160" w:line="259"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kern w:val="2"/>
                <w:sz w:val="20"/>
                <w:szCs w:val="20"/>
                <w:lang w:val="en-GB"/>
              </w:rPr>
            </w:pPr>
            <w:r w:rsidRPr="003E0710">
              <w:rPr>
                <w:rFonts w:ascii="Times New Roman" w:hAnsi="Times New Roman" w:cs="Times New Roman"/>
                <w:b w:val="0"/>
                <w:bCs w:val="0"/>
                <w:color w:val="auto"/>
                <w:kern w:val="2"/>
                <w:sz w:val="20"/>
                <w:szCs w:val="20"/>
                <w:lang w:val="en-GB"/>
              </w:rPr>
              <w:t>2028</w:t>
            </w:r>
          </w:p>
        </w:tc>
        <w:tc>
          <w:tcPr>
            <w:tcW w:w="941" w:type="dxa"/>
            <w:noWrap/>
            <w:hideMark/>
          </w:tcPr>
          <w:p w14:paraId="5E2678AF" w14:textId="77777777" w:rsidR="00614438" w:rsidRPr="003E0710" w:rsidRDefault="00614438" w:rsidP="00614438">
            <w:pPr>
              <w:spacing w:after="160" w:line="259"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kern w:val="2"/>
                <w:sz w:val="20"/>
                <w:szCs w:val="20"/>
                <w:lang w:val="en-GB"/>
              </w:rPr>
            </w:pPr>
            <w:r w:rsidRPr="003E0710">
              <w:rPr>
                <w:rFonts w:ascii="Times New Roman" w:hAnsi="Times New Roman" w:cs="Times New Roman"/>
                <w:b w:val="0"/>
                <w:bCs w:val="0"/>
                <w:color w:val="auto"/>
                <w:kern w:val="2"/>
                <w:sz w:val="20"/>
                <w:szCs w:val="20"/>
                <w:lang w:val="en-GB"/>
              </w:rPr>
              <w:t>2029</w:t>
            </w:r>
          </w:p>
        </w:tc>
        <w:tc>
          <w:tcPr>
            <w:tcW w:w="941" w:type="dxa"/>
            <w:noWrap/>
            <w:hideMark/>
          </w:tcPr>
          <w:p w14:paraId="04F0B190" w14:textId="77777777" w:rsidR="00614438" w:rsidRPr="003E0710" w:rsidRDefault="00614438" w:rsidP="00614438">
            <w:pPr>
              <w:spacing w:after="160" w:line="259"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kern w:val="2"/>
                <w:sz w:val="20"/>
                <w:szCs w:val="20"/>
                <w:lang w:val="en-GB"/>
              </w:rPr>
            </w:pPr>
            <w:r w:rsidRPr="003E0710">
              <w:rPr>
                <w:rFonts w:ascii="Times New Roman" w:hAnsi="Times New Roman" w:cs="Times New Roman"/>
                <w:b w:val="0"/>
                <w:bCs w:val="0"/>
                <w:color w:val="auto"/>
                <w:kern w:val="2"/>
                <w:sz w:val="20"/>
                <w:szCs w:val="20"/>
                <w:lang w:val="en-GB"/>
              </w:rPr>
              <w:t>2030</w:t>
            </w:r>
          </w:p>
        </w:tc>
      </w:tr>
      <w:tr w:rsidR="00614438" w:rsidRPr="003E0710" w14:paraId="00DE766C" w14:textId="77777777" w:rsidTr="0061443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55"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14:paraId="2DFC5023" w14:textId="77777777" w:rsidR="00614438" w:rsidRPr="003E0710" w:rsidRDefault="00614438" w:rsidP="00614438">
            <w:pPr>
              <w:spacing w:after="160" w:line="259" w:lineRule="auto"/>
              <w:jc w:val="both"/>
              <w:rPr>
                <w:rFonts w:ascii="Times New Roman" w:hAnsi="Times New Roman" w:cs="Times New Roman"/>
                <w:b w:val="0"/>
                <w:bCs w:val="0"/>
                <w:kern w:val="2"/>
                <w:sz w:val="20"/>
                <w:szCs w:val="20"/>
                <w:lang w:val="en-GB"/>
              </w:rPr>
            </w:pPr>
            <w:r w:rsidRPr="003E0710">
              <w:rPr>
                <w:rFonts w:ascii="Times New Roman" w:hAnsi="Times New Roman" w:cs="Times New Roman"/>
                <w:b w:val="0"/>
                <w:bCs w:val="0"/>
                <w:kern w:val="2"/>
                <w:sz w:val="20"/>
                <w:szCs w:val="20"/>
                <w:lang w:val="en-GB"/>
              </w:rPr>
              <w:t>Reduction w.r.t. 1990</w:t>
            </w:r>
          </w:p>
        </w:tc>
        <w:tc>
          <w:tcPr>
            <w:tcW w:w="941"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439B154C" w14:textId="77777777" w:rsidR="00614438" w:rsidRPr="003E0710" w:rsidRDefault="00614438" w:rsidP="00614438">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-30.7%</w:t>
            </w:r>
          </w:p>
        </w:tc>
        <w:tc>
          <w:tcPr>
            <w:tcW w:w="941"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2F8CE27F" w14:textId="77777777" w:rsidR="00614438" w:rsidRPr="003E0710" w:rsidRDefault="00614438" w:rsidP="00614438">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-32.0%</w:t>
            </w:r>
          </w:p>
        </w:tc>
        <w:tc>
          <w:tcPr>
            <w:tcW w:w="941"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4AD9EC77" w14:textId="77777777" w:rsidR="00614438" w:rsidRPr="003E0710" w:rsidRDefault="00614438" w:rsidP="00614438">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-32.5%</w:t>
            </w:r>
          </w:p>
        </w:tc>
        <w:tc>
          <w:tcPr>
            <w:tcW w:w="941"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25517244" w14:textId="77777777" w:rsidR="00614438" w:rsidRPr="003E0710" w:rsidRDefault="00614438" w:rsidP="00614438">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-33.7%</w:t>
            </w:r>
          </w:p>
        </w:tc>
        <w:tc>
          <w:tcPr>
            <w:tcW w:w="941"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409956CC" w14:textId="77777777" w:rsidR="00614438" w:rsidRPr="003E0710" w:rsidRDefault="00614438" w:rsidP="00614438">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-36.0%</w:t>
            </w:r>
          </w:p>
        </w:tc>
        <w:tc>
          <w:tcPr>
            <w:tcW w:w="941"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55A39D82" w14:textId="77777777" w:rsidR="00614438" w:rsidRPr="003E0710" w:rsidRDefault="00614438" w:rsidP="00614438">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-40.3%</w:t>
            </w:r>
          </w:p>
        </w:tc>
      </w:tr>
    </w:tbl>
    <w:p w14:paraId="32F263B0" w14:textId="77777777" w:rsidR="007B7D4A" w:rsidRPr="00614438" w:rsidRDefault="007B7D4A" w:rsidP="007B7D4A">
      <w:pPr>
        <w:ind w:firstLine="720"/>
        <w:jc w:val="both"/>
        <w:rPr>
          <w:rFonts w:ascii="Times New Roman" w:hAnsi="Times New Roman" w:cs="Times New Roman"/>
          <w:sz w:val="24"/>
          <w:szCs w:val="24"/>
          <w:lang w:val="en-GB"/>
        </w:rPr>
      </w:pPr>
      <w:bookmarkStart w:id="87" w:name="_bookmark27"/>
      <w:bookmarkEnd w:id="87"/>
      <w:r w:rsidRPr="007B7D4A">
        <w:rPr>
          <w:rFonts w:ascii="Times New Roman" w:hAnsi="Times New Roman" w:cs="Times New Roman"/>
          <w:sz w:val="24"/>
          <w:szCs w:val="24"/>
          <w:lang w:val="en-GB"/>
        </w:rPr>
        <w:t>Priority is also given to the area of ​​adaptation to changed climate conditions, taking into account that the Government, in accordance with the Law on Climate Change, obligations under the UN Framework Convention on Climate Change, the Paris Agreement and relevant EU legislation, adopted the Program of Adaptation to Changed Climate Conditions for the period from 2023 to 2030, in order to identify the impact of climate change on the most affected sectors and systems and to determine adaptation measures to the changed climate conditions.</w:t>
      </w:r>
    </w:p>
    <w:p w14:paraId="17E7375F" w14:textId="77777777" w:rsidR="00614438" w:rsidRPr="00614438" w:rsidRDefault="00614438" w:rsidP="007B7D4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Finally, the promotion of the circular economy and bioeconomy will be fostered also contributing to the attainment of the climate change mitigation objective. The shift to a circular pattern can lead to a significant reduction in GHG emissions through the recycling and re-use of materials, the more efficient use of resources and more eco-friendly product design, as well as the introduction of new circular business models, especially in industry, transport and the built environment.</w:t>
      </w:r>
    </w:p>
    <w:p w14:paraId="1C440896" w14:textId="77777777" w:rsidR="00614438" w:rsidRPr="00614438" w:rsidRDefault="00474F6C" w:rsidP="00474F6C">
      <w:pPr>
        <w:jc w:val="center"/>
        <w:rPr>
          <w:rFonts w:ascii="Times New Roman" w:hAnsi="Times New Roman" w:cs="Times New Roman"/>
          <w:sz w:val="24"/>
          <w:szCs w:val="24"/>
          <w:lang w:val="en-GB"/>
        </w:rPr>
      </w:pPr>
      <w:bookmarkStart w:id="88" w:name="_Toc118991767"/>
      <w:bookmarkStart w:id="89" w:name="_Toc153545037"/>
      <w:bookmarkStart w:id="90" w:name="_Hlk151026145"/>
      <w:r>
        <w:rPr>
          <w:rFonts w:ascii="Times New Roman" w:hAnsi="Times New Roman" w:cs="Times New Roman"/>
          <w:sz w:val="24"/>
          <w:szCs w:val="24"/>
          <w:lang w:val="en-GB"/>
        </w:rPr>
        <w:t xml:space="preserve">2.2 </w:t>
      </w:r>
      <w:r w:rsidR="00614438" w:rsidRPr="00614438">
        <w:rPr>
          <w:rFonts w:ascii="Times New Roman" w:hAnsi="Times New Roman" w:cs="Times New Roman"/>
          <w:sz w:val="24"/>
          <w:szCs w:val="24"/>
          <w:lang w:val="en-GB"/>
        </w:rPr>
        <w:t>Renewable energy sources</w:t>
      </w:r>
      <w:bookmarkEnd w:id="88"/>
      <w:bookmarkEnd w:id="89"/>
    </w:p>
    <w:p w14:paraId="790A2A7F" w14:textId="77777777" w:rsidR="00614438" w:rsidRPr="00614438" w:rsidRDefault="00614438" w:rsidP="00474F6C">
      <w:pPr>
        <w:ind w:firstLine="720"/>
        <w:jc w:val="both"/>
        <w:rPr>
          <w:rFonts w:ascii="Times New Roman" w:hAnsi="Times New Roman" w:cs="Times New Roman"/>
          <w:sz w:val="24"/>
          <w:szCs w:val="24"/>
          <w:lang w:val="en-GB"/>
        </w:rPr>
      </w:pPr>
      <w:bookmarkStart w:id="91" w:name="_bookmark30"/>
      <w:bookmarkStart w:id="92" w:name="_bookmark31"/>
      <w:bookmarkStart w:id="93" w:name="_bookmark32"/>
      <w:bookmarkEnd w:id="91"/>
      <w:bookmarkEnd w:id="92"/>
      <w:bookmarkEnd w:id="93"/>
      <w:r w:rsidRPr="00614438">
        <w:rPr>
          <w:rFonts w:ascii="Times New Roman" w:hAnsi="Times New Roman" w:cs="Times New Roman"/>
          <w:sz w:val="24"/>
          <w:szCs w:val="24"/>
          <w:lang w:val="en-GB"/>
        </w:rPr>
        <w:t>According to Article 2 of Decision no. 2022/02/MC-EnC</w:t>
      </w:r>
      <w:r w:rsidRPr="00614438">
        <w:rPr>
          <w:rFonts w:ascii="Times New Roman" w:hAnsi="Times New Roman" w:cs="Times New Roman"/>
          <w:sz w:val="24"/>
          <w:szCs w:val="24"/>
          <w:lang w:val="sr-Cyrl-CS"/>
        </w:rPr>
        <w:t xml:space="preserve"> </w:t>
      </w:r>
      <w:r w:rsidRPr="00614438">
        <w:rPr>
          <w:rFonts w:ascii="Times New Roman" w:hAnsi="Times New Roman" w:cs="Times New Roman"/>
          <w:sz w:val="24"/>
          <w:szCs w:val="24"/>
        </w:rPr>
        <w:t>of the Energy Community Ministerial Council,</w:t>
      </w:r>
      <w:r w:rsidRPr="00614438">
        <w:rPr>
          <w:rFonts w:ascii="Times New Roman" w:hAnsi="Times New Roman" w:cs="Times New Roman"/>
          <w:sz w:val="24"/>
          <w:szCs w:val="24"/>
          <w:lang w:val="en-GB"/>
        </w:rPr>
        <w:t xml:space="preserve"> point (5), a national contribution target of 40.7% for RES in the Gross Final Energy Consumption was decided for the Republic of Serbia.</w:t>
      </w:r>
    </w:p>
    <w:p w14:paraId="160D3955" w14:textId="77777777" w:rsidR="00614438" w:rsidRPr="00614438" w:rsidRDefault="00614438" w:rsidP="00474F6C">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 xml:space="preserve">The current INECP specifies the national contribution target for the RES share in the gross final energy consumption to at least 33.6% in 2030. Additional objectives have been set per sector and the share of RES in electricity generation shall reach at least 45.2%, the share of RES in covering heating and cooling demand 41.4%, and the </w:t>
      </w:r>
      <w:bookmarkStart w:id="94" w:name="_Hlk137198365"/>
      <w:r w:rsidRPr="00614438">
        <w:rPr>
          <w:rFonts w:ascii="Times New Roman" w:hAnsi="Times New Roman" w:cs="Times New Roman"/>
          <w:sz w:val="24"/>
          <w:szCs w:val="24"/>
          <w:lang w:val="en-GB"/>
        </w:rPr>
        <w:t xml:space="preserve">share of RES in the transport sector to reach 7% </w:t>
      </w:r>
      <w:bookmarkEnd w:id="94"/>
      <w:r w:rsidRPr="00614438">
        <w:rPr>
          <w:rFonts w:ascii="Times New Roman" w:hAnsi="Times New Roman" w:cs="Times New Roman"/>
          <w:sz w:val="24"/>
          <w:szCs w:val="24"/>
          <w:lang w:val="en-GB"/>
        </w:rPr>
        <w:t xml:space="preserve">(with multipliers) </w:t>
      </w:r>
      <w:r w:rsidR="00D857FF">
        <w:rPr>
          <w:rFonts w:ascii="Times New Roman" w:hAnsi="Times New Roman" w:cs="Times New Roman"/>
          <w:sz w:val="24"/>
          <w:szCs w:val="24"/>
          <w:lang w:val="en-GB"/>
        </w:rPr>
        <w:t>respectively</w:t>
      </w:r>
      <w:r w:rsidRPr="00614438">
        <w:rPr>
          <w:rFonts w:ascii="Times New Roman" w:hAnsi="Times New Roman" w:cs="Times New Roman"/>
          <w:sz w:val="24"/>
          <w:szCs w:val="24"/>
          <w:lang w:val="en-GB"/>
        </w:rPr>
        <w:t xml:space="preserve"> 3.2% (without multipliers) in alignment with the relevant EU calculation methodology.</w:t>
      </w:r>
    </w:p>
    <w:p w14:paraId="145D3AA3" w14:textId="77777777" w:rsidR="00614438" w:rsidRPr="00614438" w:rsidRDefault="00614438" w:rsidP="00D857FF">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annual trajectory of the targets until 2030 can be seen in the following table.</w:t>
      </w:r>
    </w:p>
    <w:p w14:paraId="579F4100" w14:textId="77777777" w:rsidR="00614438" w:rsidRPr="00614438" w:rsidRDefault="00614438" w:rsidP="00614438">
      <w:pPr>
        <w:jc w:val="both"/>
        <w:rPr>
          <w:rFonts w:ascii="Times New Roman" w:hAnsi="Times New Roman" w:cs="Times New Roman"/>
          <w:sz w:val="24"/>
          <w:szCs w:val="24"/>
        </w:rPr>
      </w:pPr>
      <w:bookmarkStart w:id="95" w:name="_Toc153545068"/>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Annual trajectory of RES share</w:t>
      </w:r>
      <w:bookmarkEnd w:id="95"/>
    </w:p>
    <w:tbl>
      <w:tblPr>
        <w:tblStyle w:val="GridTable4-Accent11"/>
        <w:tblW w:w="9735" w:type="dxa"/>
        <w:jc w:val="center"/>
        <w:tblLayout w:type="fixed"/>
        <w:tblLook w:val="04A0" w:firstRow="1" w:lastRow="0" w:firstColumn="1" w:lastColumn="0" w:noHBand="0" w:noVBand="1"/>
      </w:tblPr>
      <w:tblGrid>
        <w:gridCol w:w="3761"/>
        <w:gridCol w:w="996"/>
        <w:gridCol w:w="996"/>
        <w:gridCol w:w="996"/>
        <w:gridCol w:w="995"/>
        <w:gridCol w:w="995"/>
        <w:gridCol w:w="996"/>
      </w:tblGrid>
      <w:tr w:rsidR="00614438" w:rsidRPr="003E0710" w14:paraId="0CA67B6D" w14:textId="77777777" w:rsidTr="00614438">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 w:type="dxa"/>
          </w:tcPr>
          <w:p w14:paraId="138D8946" w14:textId="77777777" w:rsidR="00614438" w:rsidRPr="003E0710" w:rsidRDefault="00614438" w:rsidP="003E0710">
            <w:pPr>
              <w:spacing w:line="259" w:lineRule="auto"/>
              <w:jc w:val="both"/>
              <w:rPr>
                <w:rFonts w:ascii="Times New Roman" w:hAnsi="Times New Roman" w:cs="Times New Roman"/>
                <w:b w:val="0"/>
                <w:bCs w:val="0"/>
                <w:color w:val="auto"/>
                <w:kern w:val="2"/>
                <w:sz w:val="20"/>
                <w:szCs w:val="20"/>
              </w:rPr>
            </w:pPr>
          </w:p>
        </w:tc>
        <w:tc>
          <w:tcPr>
            <w:tcW w:w="6" w:type="dxa"/>
            <w:noWrap/>
            <w:vAlign w:val="center"/>
            <w:hideMark/>
          </w:tcPr>
          <w:p w14:paraId="37D807F7" w14:textId="77777777" w:rsidR="00614438" w:rsidRPr="003E0710" w:rsidRDefault="00614438" w:rsidP="003E0710">
            <w:pPr>
              <w:spacing w:line="259"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kern w:val="2"/>
                <w:sz w:val="20"/>
                <w:szCs w:val="20"/>
              </w:rPr>
            </w:pPr>
            <w:r w:rsidRPr="003E0710">
              <w:rPr>
                <w:rFonts w:ascii="Times New Roman" w:hAnsi="Times New Roman" w:cs="Times New Roman"/>
                <w:b w:val="0"/>
                <w:bCs w:val="0"/>
                <w:color w:val="auto"/>
                <w:kern w:val="2"/>
                <w:sz w:val="20"/>
                <w:szCs w:val="20"/>
                <w:lang w:val="en-GB"/>
              </w:rPr>
              <w:t>2025</w:t>
            </w:r>
          </w:p>
        </w:tc>
        <w:tc>
          <w:tcPr>
            <w:tcW w:w="6" w:type="dxa"/>
            <w:noWrap/>
            <w:vAlign w:val="center"/>
            <w:hideMark/>
          </w:tcPr>
          <w:p w14:paraId="75B657C8" w14:textId="77777777" w:rsidR="00614438" w:rsidRPr="003E0710" w:rsidRDefault="00614438" w:rsidP="003E0710">
            <w:pPr>
              <w:spacing w:line="259"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kern w:val="2"/>
                <w:sz w:val="20"/>
                <w:szCs w:val="20"/>
                <w:lang w:val="en-GB"/>
              </w:rPr>
            </w:pPr>
            <w:r w:rsidRPr="003E0710">
              <w:rPr>
                <w:rFonts w:ascii="Times New Roman" w:hAnsi="Times New Roman" w:cs="Times New Roman"/>
                <w:b w:val="0"/>
                <w:bCs w:val="0"/>
                <w:color w:val="auto"/>
                <w:kern w:val="2"/>
                <w:sz w:val="20"/>
                <w:szCs w:val="20"/>
                <w:lang w:val="en-GB"/>
              </w:rPr>
              <w:t>2026</w:t>
            </w:r>
          </w:p>
        </w:tc>
        <w:tc>
          <w:tcPr>
            <w:tcW w:w="6" w:type="dxa"/>
            <w:noWrap/>
            <w:vAlign w:val="center"/>
            <w:hideMark/>
          </w:tcPr>
          <w:p w14:paraId="6F5297AD" w14:textId="77777777" w:rsidR="00614438" w:rsidRPr="003E0710" w:rsidRDefault="00614438" w:rsidP="003E0710">
            <w:pPr>
              <w:spacing w:line="259"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kern w:val="2"/>
                <w:sz w:val="20"/>
                <w:szCs w:val="20"/>
                <w:lang w:val="en-GB"/>
              </w:rPr>
            </w:pPr>
            <w:r w:rsidRPr="003E0710">
              <w:rPr>
                <w:rFonts w:ascii="Times New Roman" w:hAnsi="Times New Roman" w:cs="Times New Roman"/>
                <w:b w:val="0"/>
                <w:bCs w:val="0"/>
                <w:color w:val="auto"/>
                <w:kern w:val="2"/>
                <w:sz w:val="20"/>
                <w:szCs w:val="20"/>
                <w:lang w:val="en-GB"/>
              </w:rPr>
              <w:t>2027</w:t>
            </w:r>
          </w:p>
        </w:tc>
        <w:tc>
          <w:tcPr>
            <w:tcW w:w="6" w:type="dxa"/>
            <w:noWrap/>
            <w:vAlign w:val="center"/>
            <w:hideMark/>
          </w:tcPr>
          <w:p w14:paraId="4E91CA26" w14:textId="77777777" w:rsidR="00614438" w:rsidRPr="003E0710" w:rsidRDefault="00614438" w:rsidP="003E0710">
            <w:pPr>
              <w:spacing w:line="259"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kern w:val="2"/>
                <w:sz w:val="20"/>
                <w:szCs w:val="20"/>
                <w:lang w:val="en-GB"/>
              </w:rPr>
            </w:pPr>
            <w:r w:rsidRPr="003E0710">
              <w:rPr>
                <w:rFonts w:ascii="Times New Roman" w:hAnsi="Times New Roman" w:cs="Times New Roman"/>
                <w:b w:val="0"/>
                <w:bCs w:val="0"/>
                <w:color w:val="auto"/>
                <w:kern w:val="2"/>
                <w:sz w:val="20"/>
                <w:szCs w:val="20"/>
                <w:lang w:val="en-GB"/>
              </w:rPr>
              <w:t>2028</w:t>
            </w:r>
          </w:p>
        </w:tc>
        <w:tc>
          <w:tcPr>
            <w:tcW w:w="6" w:type="dxa"/>
            <w:noWrap/>
            <w:vAlign w:val="center"/>
            <w:hideMark/>
          </w:tcPr>
          <w:p w14:paraId="4A04E8D9" w14:textId="77777777" w:rsidR="00614438" w:rsidRPr="003E0710" w:rsidRDefault="00614438" w:rsidP="003E0710">
            <w:pPr>
              <w:spacing w:line="259"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kern w:val="2"/>
                <w:sz w:val="20"/>
                <w:szCs w:val="20"/>
                <w:lang w:val="en-GB"/>
              </w:rPr>
            </w:pPr>
            <w:r w:rsidRPr="003E0710">
              <w:rPr>
                <w:rFonts w:ascii="Times New Roman" w:hAnsi="Times New Roman" w:cs="Times New Roman"/>
                <w:b w:val="0"/>
                <w:bCs w:val="0"/>
                <w:color w:val="auto"/>
                <w:kern w:val="2"/>
                <w:sz w:val="20"/>
                <w:szCs w:val="20"/>
                <w:lang w:val="en-GB"/>
              </w:rPr>
              <w:t>2029</w:t>
            </w:r>
          </w:p>
        </w:tc>
        <w:tc>
          <w:tcPr>
            <w:tcW w:w="6" w:type="dxa"/>
            <w:noWrap/>
            <w:vAlign w:val="center"/>
            <w:hideMark/>
          </w:tcPr>
          <w:p w14:paraId="3965ACE4" w14:textId="77777777" w:rsidR="00614438" w:rsidRPr="003E0710" w:rsidRDefault="00614438" w:rsidP="003E0710">
            <w:pPr>
              <w:spacing w:line="259"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kern w:val="2"/>
                <w:sz w:val="20"/>
                <w:szCs w:val="20"/>
                <w:lang w:val="en-GB"/>
              </w:rPr>
            </w:pPr>
            <w:r w:rsidRPr="003E0710">
              <w:rPr>
                <w:rFonts w:ascii="Times New Roman" w:hAnsi="Times New Roman" w:cs="Times New Roman"/>
                <w:b w:val="0"/>
                <w:bCs w:val="0"/>
                <w:color w:val="auto"/>
                <w:kern w:val="2"/>
                <w:sz w:val="20"/>
                <w:szCs w:val="20"/>
                <w:lang w:val="en-GB"/>
              </w:rPr>
              <w:t>2030</w:t>
            </w:r>
          </w:p>
        </w:tc>
      </w:tr>
      <w:tr w:rsidR="00614438" w:rsidRPr="003E0710" w14:paraId="266101FE" w14:textId="77777777" w:rsidTr="0061443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63"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69D9BAD8" w14:textId="77777777" w:rsidR="00614438" w:rsidRPr="003E0710" w:rsidRDefault="00614438" w:rsidP="003E0710">
            <w:pPr>
              <w:spacing w:line="259" w:lineRule="auto"/>
              <w:jc w:val="both"/>
              <w:rPr>
                <w:rFonts w:ascii="Times New Roman" w:hAnsi="Times New Roman" w:cs="Times New Roman"/>
                <w:b w:val="0"/>
                <w:bCs w:val="0"/>
                <w:kern w:val="2"/>
                <w:sz w:val="20"/>
                <w:szCs w:val="20"/>
              </w:rPr>
            </w:pPr>
            <w:r w:rsidRPr="003E0710">
              <w:rPr>
                <w:rFonts w:ascii="Times New Roman" w:hAnsi="Times New Roman" w:cs="Times New Roman"/>
                <w:b w:val="0"/>
                <w:bCs w:val="0"/>
                <w:kern w:val="2"/>
                <w:sz w:val="20"/>
                <w:szCs w:val="20"/>
              </w:rPr>
              <w:t>Share of RES in GFEC</w:t>
            </w:r>
          </w:p>
        </w:tc>
        <w:tc>
          <w:tcPr>
            <w:tcW w:w="996"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60E1DDCA" w14:textId="77777777" w:rsidR="00614438" w:rsidRPr="003E0710" w:rsidRDefault="00614438" w:rsidP="003E0710">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rPr>
            </w:pPr>
            <w:r w:rsidRPr="003E0710">
              <w:rPr>
                <w:rFonts w:ascii="Times New Roman" w:hAnsi="Times New Roman" w:cs="Times New Roman"/>
                <w:kern w:val="2"/>
                <w:sz w:val="20"/>
                <w:szCs w:val="20"/>
                <w:lang w:val="en-GB"/>
              </w:rPr>
              <w:t>29.8%</w:t>
            </w:r>
          </w:p>
        </w:tc>
        <w:tc>
          <w:tcPr>
            <w:tcW w:w="996"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540668BF" w14:textId="77777777" w:rsidR="00614438" w:rsidRPr="003E0710" w:rsidRDefault="00614438" w:rsidP="003E0710">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30.6%</w:t>
            </w:r>
          </w:p>
        </w:tc>
        <w:tc>
          <w:tcPr>
            <w:tcW w:w="997"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14ED437A" w14:textId="77777777" w:rsidR="00614438" w:rsidRPr="003E0710" w:rsidRDefault="00614438" w:rsidP="003E0710">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31.2%</w:t>
            </w:r>
          </w:p>
        </w:tc>
        <w:tc>
          <w:tcPr>
            <w:tcW w:w="996"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6D425BDC" w14:textId="77777777" w:rsidR="00614438" w:rsidRPr="003E0710" w:rsidRDefault="00614438" w:rsidP="003E0710">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31.9%</w:t>
            </w:r>
          </w:p>
        </w:tc>
        <w:tc>
          <w:tcPr>
            <w:tcW w:w="996"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25CAFE22" w14:textId="77777777" w:rsidR="00614438" w:rsidRPr="003E0710" w:rsidRDefault="00614438" w:rsidP="003E0710">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32.6%</w:t>
            </w:r>
          </w:p>
        </w:tc>
        <w:tc>
          <w:tcPr>
            <w:tcW w:w="997"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778437E3" w14:textId="77777777" w:rsidR="00614438" w:rsidRPr="003E0710" w:rsidRDefault="00614438" w:rsidP="003E0710">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33.6%</w:t>
            </w:r>
          </w:p>
        </w:tc>
      </w:tr>
      <w:tr w:rsidR="00614438" w:rsidRPr="003E0710" w14:paraId="1A6298BF" w14:textId="77777777" w:rsidTr="00614438">
        <w:trPr>
          <w:trHeight w:val="300"/>
          <w:jc w:val="center"/>
        </w:trPr>
        <w:tc>
          <w:tcPr>
            <w:cnfStyle w:val="001000000000" w:firstRow="0" w:lastRow="0" w:firstColumn="1" w:lastColumn="0" w:oddVBand="0" w:evenVBand="0" w:oddHBand="0" w:evenHBand="0" w:firstRowFirstColumn="0" w:firstRowLastColumn="0" w:lastRowFirstColumn="0" w:lastRowLastColumn="0"/>
            <w:tcW w:w="6"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729630EE" w14:textId="77777777" w:rsidR="00614438" w:rsidRPr="003E0710" w:rsidRDefault="00614438" w:rsidP="003E0710">
            <w:pPr>
              <w:spacing w:line="259" w:lineRule="auto"/>
              <w:jc w:val="both"/>
              <w:rPr>
                <w:rFonts w:ascii="Times New Roman" w:hAnsi="Times New Roman" w:cs="Times New Roman"/>
                <w:b w:val="0"/>
                <w:bCs w:val="0"/>
                <w:kern w:val="2"/>
                <w:sz w:val="20"/>
                <w:szCs w:val="20"/>
              </w:rPr>
            </w:pPr>
            <w:r w:rsidRPr="003E0710">
              <w:rPr>
                <w:rFonts w:ascii="Times New Roman" w:hAnsi="Times New Roman" w:cs="Times New Roman"/>
                <w:b w:val="0"/>
                <w:bCs w:val="0"/>
                <w:kern w:val="2"/>
                <w:sz w:val="20"/>
                <w:szCs w:val="20"/>
              </w:rPr>
              <w:t>RES in Electricity</w:t>
            </w:r>
          </w:p>
        </w:tc>
        <w:tc>
          <w:tcPr>
            <w:tcW w:w="996"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06E01B7E" w14:textId="77777777" w:rsidR="00614438" w:rsidRPr="003E0710" w:rsidRDefault="00614438" w:rsidP="003E0710">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rPr>
            </w:pPr>
            <w:r w:rsidRPr="003E0710">
              <w:rPr>
                <w:rFonts w:ascii="Times New Roman" w:hAnsi="Times New Roman" w:cs="Times New Roman"/>
                <w:kern w:val="2"/>
                <w:sz w:val="20"/>
                <w:szCs w:val="20"/>
                <w:lang w:val="en-GB"/>
              </w:rPr>
              <w:t>34.7%</w:t>
            </w:r>
          </w:p>
        </w:tc>
        <w:tc>
          <w:tcPr>
            <w:tcW w:w="996"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5E8B5C28" w14:textId="77777777" w:rsidR="00614438" w:rsidRPr="003E0710" w:rsidRDefault="00614438" w:rsidP="003E0710">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36.7%</w:t>
            </w:r>
          </w:p>
        </w:tc>
        <w:tc>
          <w:tcPr>
            <w:tcW w:w="997"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235B4AE4" w14:textId="77777777" w:rsidR="00614438" w:rsidRPr="003E0710" w:rsidRDefault="00614438" w:rsidP="003E0710">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38.0%</w:t>
            </w:r>
          </w:p>
        </w:tc>
        <w:tc>
          <w:tcPr>
            <w:tcW w:w="996"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0054D6F0" w14:textId="77777777" w:rsidR="00614438" w:rsidRPr="003E0710" w:rsidRDefault="00614438" w:rsidP="003E0710">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39.8%</w:t>
            </w:r>
          </w:p>
        </w:tc>
        <w:tc>
          <w:tcPr>
            <w:tcW w:w="996"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51C65AF3" w14:textId="77777777" w:rsidR="00614438" w:rsidRPr="003E0710" w:rsidRDefault="00614438" w:rsidP="003E0710">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41.5%</w:t>
            </w:r>
          </w:p>
        </w:tc>
        <w:tc>
          <w:tcPr>
            <w:tcW w:w="997"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419C0B19" w14:textId="77777777" w:rsidR="00614438" w:rsidRPr="003E0710" w:rsidRDefault="00614438" w:rsidP="003E0710">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45.2%</w:t>
            </w:r>
          </w:p>
        </w:tc>
      </w:tr>
      <w:tr w:rsidR="00614438" w:rsidRPr="003E0710" w14:paraId="27454FA0" w14:textId="77777777" w:rsidTr="0061443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538AA8FC" w14:textId="77777777" w:rsidR="00614438" w:rsidRPr="003E0710" w:rsidRDefault="00614438" w:rsidP="003E0710">
            <w:pPr>
              <w:spacing w:line="259" w:lineRule="auto"/>
              <w:jc w:val="both"/>
              <w:rPr>
                <w:rFonts w:ascii="Times New Roman" w:hAnsi="Times New Roman" w:cs="Times New Roman"/>
                <w:b w:val="0"/>
                <w:bCs w:val="0"/>
                <w:kern w:val="2"/>
                <w:sz w:val="20"/>
                <w:szCs w:val="20"/>
              </w:rPr>
            </w:pPr>
            <w:r w:rsidRPr="003E0710">
              <w:rPr>
                <w:rFonts w:ascii="Times New Roman" w:hAnsi="Times New Roman" w:cs="Times New Roman"/>
                <w:b w:val="0"/>
                <w:bCs w:val="0"/>
                <w:kern w:val="2"/>
                <w:sz w:val="20"/>
                <w:szCs w:val="20"/>
              </w:rPr>
              <w:t>RES in Heating and Cooling</w:t>
            </w:r>
          </w:p>
        </w:tc>
        <w:tc>
          <w:tcPr>
            <w:tcW w:w="996"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09819DF9" w14:textId="77777777" w:rsidR="00614438" w:rsidRPr="003E0710" w:rsidRDefault="00614438" w:rsidP="003E0710">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rPr>
            </w:pPr>
            <w:r w:rsidRPr="003E0710">
              <w:rPr>
                <w:rFonts w:ascii="Times New Roman" w:hAnsi="Times New Roman" w:cs="Times New Roman"/>
                <w:kern w:val="2"/>
                <w:sz w:val="20"/>
                <w:szCs w:val="20"/>
                <w:lang w:val="en-GB"/>
              </w:rPr>
              <w:t>41.1%</w:t>
            </w:r>
          </w:p>
        </w:tc>
        <w:tc>
          <w:tcPr>
            <w:tcW w:w="996"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4C960571" w14:textId="77777777" w:rsidR="00614438" w:rsidRPr="003E0710" w:rsidRDefault="00614438" w:rsidP="003E0710">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41.5%</w:t>
            </w:r>
          </w:p>
        </w:tc>
        <w:tc>
          <w:tcPr>
            <w:tcW w:w="997"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325B8B6E" w14:textId="77777777" w:rsidR="00614438" w:rsidRPr="003E0710" w:rsidRDefault="00614438" w:rsidP="003E0710">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41.2%</w:t>
            </w:r>
          </w:p>
        </w:tc>
        <w:tc>
          <w:tcPr>
            <w:tcW w:w="996"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7D00CA75" w14:textId="77777777" w:rsidR="00614438" w:rsidRPr="003E0710" w:rsidRDefault="00614438" w:rsidP="003E0710">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41.1%</w:t>
            </w:r>
          </w:p>
        </w:tc>
        <w:tc>
          <w:tcPr>
            <w:tcW w:w="996"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2263DFFE" w14:textId="77777777" w:rsidR="00614438" w:rsidRPr="003E0710" w:rsidRDefault="00614438" w:rsidP="003E0710">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41.0%</w:t>
            </w:r>
          </w:p>
        </w:tc>
        <w:tc>
          <w:tcPr>
            <w:tcW w:w="997"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6C94E5EB" w14:textId="77777777" w:rsidR="00614438" w:rsidRPr="003E0710" w:rsidRDefault="00614438" w:rsidP="003E0710">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41.4%</w:t>
            </w:r>
          </w:p>
        </w:tc>
      </w:tr>
      <w:tr w:rsidR="00614438" w:rsidRPr="003E0710" w14:paraId="3E56BFC9" w14:textId="77777777" w:rsidTr="00614438">
        <w:trPr>
          <w:trHeight w:val="300"/>
          <w:jc w:val="center"/>
        </w:trPr>
        <w:tc>
          <w:tcPr>
            <w:cnfStyle w:val="001000000000" w:firstRow="0" w:lastRow="0" w:firstColumn="1" w:lastColumn="0" w:oddVBand="0" w:evenVBand="0" w:oddHBand="0" w:evenHBand="0" w:firstRowFirstColumn="0" w:firstRowLastColumn="0" w:lastRowFirstColumn="0" w:lastRowLastColumn="0"/>
            <w:tcW w:w="6"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290C6C4B" w14:textId="77777777" w:rsidR="00614438" w:rsidRPr="003E0710" w:rsidRDefault="00614438" w:rsidP="003E0710">
            <w:pPr>
              <w:spacing w:line="259" w:lineRule="auto"/>
              <w:jc w:val="both"/>
              <w:rPr>
                <w:rFonts w:ascii="Times New Roman" w:hAnsi="Times New Roman" w:cs="Times New Roman"/>
                <w:b w:val="0"/>
                <w:bCs w:val="0"/>
                <w:kern w:val="2"/>
                <w:sz w:val="20"/>
                <w:szCs w:val="20"/>
              </w:rPr>
            </w:pPr>
            <w:r w:rsidRPr="003E0710">
              <w:rPr>
                <w:rFonts w:ascii="Times New Roman" w:hAnsi="Times New Roman" w:cs="Times New Roman"/>
                <w:b w:val="0"/>
                <w:bCs w:val="0"/>
                <w:kern w:val="2"/>
                <w:sz w:val="20"/>
                <w:szCs w:val="20"/>
              </w:rPr>
              <w:t>RES in transportation</w:t>
            </w:r>
          </w:p>
        </w:tc>
        <w:tc>
          <w:tcPr>
            <w:tcW w:w="996"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5CA33171" w14:textId="77777777" w:rsidR="00614438" w:rsidRPr="003E0710" w:rsidRDefault="00614438" w:rsidP="003E0710">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rPr>
            </w:pPr>
            <w:r w:rsidRPr="003E0710">
              <w:rPr>
                <w:rFonts w:ascii="Times New Roman" w:hAnsi="Times New Roman" w:cs="Times New Roman"/>
                <w:kern w:val="2"/>
                <w:sz w:val="20"/>
                <w:szCs w:val="20"/>
                <w:lang w:val="en-GB"/>
              </w:rPr>
              <w:t>1.8%</w:t>
            </w:r>
          </w:p>
        </w:tc>
        <w:tc>
          <w:tcPr>
            <w:tcW w:w="996"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7BAC9EBA" w14:textId="77777777" w:rsidR="00614438" w:rsidRPr="003E0710" w:rsidRDefault="00614438" w:rsidP="003E0710">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2.1%</w:t>
            </w:r>
          </w:p>
        </w:tc>
        <w:tc>
          <w:tcPr>
            <w:tcW w:w="997"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28524E3E" w14:textId="77777777" w:rsidR="00614438" w:rsidRPr="003E0710" w:rsidRDefault="00614438" w:rsidP="003E0710">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2.3%</w:t>
            </w:r>
          </w:p>
        </w:tc>
        <w:tc>
          <w:tcPr>
            <w:tcW w:w="996"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78905FFC" w14:textId="77777777" w:rsidR="00614438" w:rsidRPr="003E0710" w:rsidRDefault="00614438" w:rsidP="003E0710">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2.6%</w:t>
            </w:r>
          </w:p>
        </w:tc>
        <w:tc>
          <w:tcPr>
            <w:tcW w:w="996"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55BF40FB" w14:textId="77777777" w:rsidR="00614438" w:rsidRPr="003E0710" w:rsidRDefault="00614438" w:rsidP="003E0710">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2.9%</w:t>
            </w:r>
          </w:p>
        </w:tc>
        <w:tc>
          <w:tcPr>
            <w:tcW w:w="997"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252CAF88" w14:textId="77777777" w:rsidR="00614438" w:rsidRPr="003E0710" w:rsidRDefault="00614438" w:rsidP="003E0710">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3.2%</w:t>
            </w:r>
          </w:p>
        </w:tc>
      </w:tr>
      <w:tr w:rsidR="00614438" w:rsidRPr="003E0710" w14:paraId="57856310" w14:textId="77777777" w:rsidTr="0061443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21085185" w14:textId="77777777" w:rsidR="00614438" w:rsidRPr="003E0710" w:rsidRDefault="00614438" w:rsidP="003E0710">
            <w:pPr>
              <w:spacing w:line="259" w:lineRule="auto"/>
              <w:jc w:val="both"/>
              <w:rPr>
                <w:rFonts w:ascii="Times New Roman" w:hAnsi="Times New Roman" w:cs="Times New Roman"/>
                <w:b w:val="0"/>
                <w:bCs w:val="0"/>
                <w:kern w:val="2"/>
                <w:sz w:val="20"/>
                <w:szCs w:val="20"/>
              </w:rPr>
            </w:pPr>
            <w:r w:rsidRPr="003E0710">
              <w:rPr>
                <w:rFonts w:ascii="Times New Roman" w:hAnsi="Times New Roman" w:cs="Times New Roman"/>
                <w:b w:val="0"/>
                <w:bCs w:val="0"/>
                <w:kern w:val="2"/>
                <w:sz w:val="20"/>
                <w:szCs w:val="20"/>
              </w:rPr>
              <w:t>Contribution of biofuels in the RES in transportation share</w:t>
            </w:r>
          </w:p>
        </w:tc>
        <w:tc>
          <w:tcPr>
            <w:tcW w:w="996"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572C2A71" w14:textId="77777777" w:rsidR="00614438" w:rsidRPr="003E0710" w:rsidRDefault="00614438" w:rsidP="003E0710">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rPr>
            </w:pPr>
            <w:r w:rsidRPr="003E0710">
              <w:rPr>
                <w:rFonts w:ascii="Times New Roman" w:hAnsi="Times New Roman" w:cs="Times New Roman"/>
                <w:kern w:val="2"/>
                <w:sz w:val="20"/>
                <w:szCs w:val="20"/>
                <w:lang w:val="en-GB"/>
              </w:rPr>
              <w:t>1.3%</w:t>
            </w:r>
          </w:p>
        </w:tc>
        <w:tc>
          <w:tcPr>
            <w:tcW w:w="996"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546503B2" w14:textId="77777777" w:rsidR="00614438" w:rsidRPr="003E0710" w:rsidRDefault="00614438" w:rsidP="003E0710">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1.5%</w:t>
            </w:r>
          </w:p>
        </w:tc>
        <w:tc>
          <w:tcPr>
            <w:tcW w:w="997"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424BAAEA" w14:textId="77777777" w:rsidR="00614438" w:rsidRPr="003E0710" w:rsidRDefault="00614438" w:rsidP="003E0710">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1.6%</w:t>
            </w:r>
          </w:p>
        </w:tc>
        <w:tc>
          <w:tcPr>
            <w:tcW w:w="996"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6BE8B862" w14:textId="77777777" w:rsidR="00614438" w:rsidRPr="003E0710" w:rsidRDefault="00614438" w:rsidP="003E0710">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1.8%</w:t>
            </w:r>
          </w:p>
        </w:tc>
        <w:tc>
          <w:tcPr>
            <w:tcW w:w="996"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59F67E96" w14:textId="77777777" w:rsidR="00614438" w:rsidRPr="003E0710" w:rsidRDefault="00614438" w:rsidP="003E0710">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2.0%</w:t>
            </w:r>
          </w:p>
        </w:tc>
        <w:tc>
          <w:tcPr>
            <w:tcW w:w="997"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14:paraId="60632B6A" w14:textId="77777777" w:rsidR="00614438" w:rsidRPr="003E0710" w:rsidRDefault="00614438" w:rsidP="003E0710">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2.1%</w:t>
            </w:r>
          </w:p>
        </w:tc>
      </w:tr>
    </w:tbl>
    <w:p w14:paraId="333649AF" w14:textId="77777777" w:rsidR="00614438" w:rsidRPr="00614438" w:rsidRDefault="00614438" w:rsidP="00614438">
      <w:pPr>
        <w:jc w:val="both"/>
        <w:rPr>
          <w:rFonts w:ascii="Times New Roman" w:hAnsi="Times New Roman" w:cs="Times New Roman"/>
          <w:sz w:val="24"/>
          <w:szCs w:val="24"/>
          <w:lang w:val="en-GB"/>
        </w:rPr>
      </w:pPr>
    </w:p>
    <w:p w14:paraId="44B5957E" w14:textId="77777777" w:rsidR="00614438" w:rsidRPr="00614438" w:rsidRDefault="000E35FA" w:rsidP="00D857FF">
      <w:pPr>
        <w:ind w:firstLine="360"/>
        <w:jc w:val="both"/>
        <w:rPr>
          <w:rFonts w:ascii="Times New Roman" w:hAnsi="Times New Roman" w:cs="Times New Roman"/>
          <w:sz w:val="24"/>
          <w:szCs w:val="24"/>
          <w:lang w:val="en-GB"/>
        </w:rPr>
      </w:pPr>
      <w:r w:rsidRPr="000E35FA">
        <w:rPr>
          <w:rFonts w:ascii="Times New Roman" w:hAnsi="Times New Roman" w:cs="Times New Roman"/>
          <w:sz w:val="24"/>
          <w:szCs w:val="24"/>
          <w:lang w:val="en-GB"/>
        </w:rPr>
        <w:t>The mismatch of the national contribution of 33.6% of the share of RES in BFPE in relation to the goal of 40.7% from the Decision of the Ministerial Council is a consequence of justified circumstances that the Republic of Serbia points out in accordance with Article 6 of the Decision of the Ministerial Council, and based on the fulfilled conditions from criteria in Article 31 of the Management Regulation:</w:t>
      </w:r>
    </w:p>
    <w:p w14:paraId="0534D13A" w14:textId="77777777" w:rsidR="00614438" w:rsidRPr="00614438" w:rsidRDefault="00614438" w:rsidP="001D7898">
      <w:pPr>
        <w:numPr>
          <w:ilvl w:val="0"/>
          <w:numId w:val="9"/>
        </w:numPr>
        <w:jc w:val="both"/>
        <w:rPr>
          <w:rFonts w:ascii="Times New Roman" w:hAnsi="Times New Roman" w:cs="Times New Roman"/>
          <w:sz w:val="24"/>
          <w:szCs w:val="24"/>
        </w:rPr>
      </w:pPr>
      <w:r w:rsidRPr="00614438">
        <w:rPr>
          <w:rFonts w:ascii="Times New Roman" w:hAnsi="Times New Roman" w:cs="Times New Roman"/>
          <w:sz w:val="24"/>
          <w:szCs w:val="24"/>
        </w:rPr>
        <w:t>According to criterion (ii) economic conditions and potential, including GDP per capita; potential for cost-effective renewable energy deployment</w:t>
      </w:r>
    </w:p>
    <w:p w14:paraId="564B585D" w14:textId="77777777" w:rsidR="00614438" w:rsidRPr="00614438" w:rsidRDefault="00614438" w:rsidP="00614438">
      <w:pPr>
        <w:jc w:val="both"/>
        <w:rPr>
          <w:rFonts w:ascii="Times New Roman" w:hAnsi="Times New Roman" w:cs="Times New Roman"/>
          <w:sz w:val="24"/>
          <w:szCs w:val="24"/>
        </w:rPr>
      </w:pPr>
    </w:p>
    <w:p w14:paraId="2389CDC4" w14:textId="77777777" w:rsidR="000E35FA" w:rsidRPr="000E35FA" w:rsidRDefault="00614438" w:rsidP="00485CA7">
      <w:pPr>
        <w:pStyle w:val="ListParagraph"/>
        <w:numPr>
          <w:ilvl w:val="0"/>
          <w:numId w:val="261"/>
        </w:numPr>
        <w:jc w:val="both"/>
        <w:rPr>
          <w:rFonts w:ascii="Times New Roman" w:hAnsi="Times New Roman" w:cs="Times New Roman"/>
          <w:sz w:val="24"/>
          <w:szCs w:val="24"/>
          <w:lang w:val="en-GB"/>
        </w:rPr>
      </w:pPr>
      <w:r w:rsidRPr="00E50432">
        <w:rPr>
          <w:rFonts w:ascii="Times New Roman" w:hAnsi="Times New Roman" w:cs="Times New Roman"/>
          <w:sz w:val="24"/>
          <w:szCs w:val="24"/>
        </w:rPr>
        <w:t>The analysis indicated that the achievement of the national contribution proposed by the M</w:t>
      </w:r>
      <w:r w:rsidR="00E50432" w:rsidRPr="00E50432">
        <w:rPr>
          <w:rFonts w:ascii="Times New Roman" w:hAnsi="Times New Roman" w:cs="Times New Roman"/>
          <w:sz w:val="24"/>
          <w:szCs w:val="24"/>
        </w:rPr>
        <w:t>C</w:t>
      </w:r>
      <w:r w:rsidRPr="00E50432">
        <w:rPr>
          <w:rFonts w:ascii="Times New Roman" w:hAnsi="Times New Roman" w:cs="Times New Roman"/>
          <w:sz w:val="24"/>
          <w:szCs w:val="24"/>
        </w:rPr>
        <w:t>, would require an unrealistic increase in the use of heat pumps in households and in the tertiary sector, reaching 11.1 GWth by 2030, corresponding to 444 thousand units</w:t>
      </w:r>
      <w:r w:rsidR="00E50432" w:rsidRPr="00E50432">
        <w:rPr>
          <w:rFonts w:ascii="Times New Roman" w:hAnsi="Times New Roman" w:cs="Times New Roman"/>
          <w:sz w:val="24"/>
          <w:szCs w:val="24"/>
        </w:rPr>
        <w:t xml:space="preserve"> in 2030</w:t>
      </w:r>
      <w:r w:rsidRPr="00E50432">
        <w:rPr>
          <w:rFonts w:ascii="Times New Roman" w:hAnsi="Times New Roman" w:cs="Times New Roman"/>
          <w:sz w:val="24"/>
          <w:szCs w:val="24"/>
        </w:rPr>
        <w:t>, which means an unrealistic addition of 1.6 GWth,</w:t>
      </w:r>
      <w:r w:rsidR="00E50432" w:rsidRPr="00E50432">
        <w:rPr>
          <w:rFonts w:ascii="Times New Roman" w:hAnsi="Times New Roman" w:cs="Times New Roman"/>
          <w:sz w:val="24"/>
          <w:szCs w:val="24"/>
        </w:rPr>
        <w:t xml:space="preserve"> or</w:t>
      </w:r>
      <w:r w:rsidRPr="00E50432">
        <w:rPr>
          <w:rFonts w:ascii="Times New Roman" w:hAnsi="Times New Roman" w:cs="Times New Roman"/>
          <w:sz w:val="24"/>
          <w:szCs w:val="24"/>
        </w:rPr>
        <w:t xml:space="preserve"> almost 63 thousand units per year until 2030, while according to the current trends</w:t>
      </w:r>
      <w:r w:rsidR="00E50432" w:rsidRPr="00E50432">
        <w:rPr>
          <w:rFonts w:ascii="Times New Roman" w:hAnsi="Times New Roman" w:cs="Times New Roman"/>
          <w:sz w:val="24"/>
          <w:szCs w:val="24"/>
        </w:rPr>
        <w:t>,</w:t>
      </w:r>
      <w:r w:rsidRPr="00E50432">
        <w:rPr>
          <w:rFonts w:ascii="Times New Roman" w:hAnsi="Times New Roman" w:cs="Times New Roman"/>
          <w:sz w:val="24"/>
          <w:szCs w:val="24"/>
        </w:rPr>
        <w:t xml:space="preserve"> only 4 thousand heat pumps were sold in Serbia in 2021</w:t>
      </w:r>
      <w:r w:rsidR="00E50432" w:rsidRPr="00E50432">
        <w:rPr>
          <w:rFonts w:ascii="Times New Roman" w:hAnsi="Times New Roman" w:cs="Times New Roman"/>
          <w:sz w:val="24"/>
          <w:szCs w:val="24"/>
        </w:rPr>
        <w:t>. On the other hand</w:t>
      </w:r>
      <w:r w:rsidRPr="00E50432">
        <w:rPr>
          <w:rFonts w:ascii="Times New Roman" w:hAnsi="Times New Roman" w:cs="Times New Roman"/>
          <w:sz w:val="24"/>
          <w:szCs w:val="24"/>
        </w:rPr>
        <w:t xml:space="preserve">, </w:t>
      </w:r>
      <w:r w:rsidR="00E50432" w:rsidRPr="00E50432">
        <w:rPr>
          <w:rFonts w:ascii="Times New Roman" w:hAnsi="Times New Roman" w:cs="Times New Roman"/>
          <w:sz w:val="24"/>
          <w:szCs w:val="24"/>
        </w:rPr>
        <w:t>with additional efforts, it can be expected that around 30 to 40 thousand heat pumps could be installed in the next 7 years.</w:t>
      </w:r>
      <w:r w:rsidRPr="00E50432">
        <w:rPr>
          <w:rFonts w:ascii="Times New Roman" w:hAnsi="Times New Roman" w:cs="Times New Roman"/>
          <w:sz w:val="24"/>
          <w:szCs w:val="24"/>
        </w:rPr>
        <w:t xml:space="preserve"> </w:t>
      </w:r>
      <w:r w:rsidR="00E50432" w:rsidRPr="00E50432">
        <w:rPr>
          <w:rFonts w:ascii="Times New Roman" w:hAnsi="Times New Roman" w:cs="Times New Roman"/>
          <w:sz w:val="24"/>
          <w:szCs w:val="24"/>
        </w:rPr>
        <w:t>The proposed national contribution foreseen in the INECP regarding the installation of heat pumps reaches 7 GWth (282 thousand units) by 2030, which corresponds to an average annual addition of about 40 thousand units, which is still an ambitious figure. Additionally, INECP predicts an average Seasonal Performance Factor (SPF) of 3.3 until 2030, which is closer to the average efficiency of current equipment trends, while reaching the goal from the Decision of the Ministerial Council would require an SPF at the level of 5TWh until 2030, which corresponds to the performance of exclusively high-quality products.</w:t>
      </w:r>
    </w:p>
    <w:p w14:paraId="78A793D8" w14:textId="77777777" w:rsidR="00614438" w:rsidRDefault="00614438" w:rsidP="00485CA7">
      <w:pPr>
        <w:pStyle w:val="ListParagraph"/>
        <w:numPr>
          <w:ilvl w:val="0"/>
          <w:numId w:val="261"/>
        </w:numPr>
        <w:jc w:val="both"/>
        <w:rPr>
          <w:rFonts w:ascii="Times New Roman" w:hAnsi="Times New Roman" w:cs="Times New Roman"/>
          <w:sz w:val="24"/>
          <w:szCs w:val="24"/>
        </w:rPr>
      </w:pPr>
      <w:r w:rsidRPr="000E35FA">
        <w:rPr>
          <w:rFonts w:ascii="Times New Roman" w:hAnsi="Times New Roman" w:cs="Times New Roman"/>
          <w:sz w:val="24"/>
          <w:szCs w:val="24"/>
        </w:rPr>
        <w:t>The M</w:t>
      </w:r>
      <w:r w:rsidR="00E50432">
        <w:rPr>
          <w:rFonts w:ascii="Times New Roman" w:hAnsi="Times New Roman" w:cs="Times New Roman"/>
          <w:sz w:val="24"/>
          <w:szCs w:val="24"/>
        </w:rPr>
        <w:t>C</w:t>
      </w:r>
      <w:r w:rsidRPr="000E35FA">
        <w:rPr>
          <w:rFonts w:ascii="Times New Roman" w:hAnsi="Times New Roman" w:cs="Times New Roman"/>
          <w:sz w:val="24"/>
          <w:szCs w:val="24"/>
        </w:rPr>
        <w:t xml:space="preserve"> proposed national contribution would imply a high level of export of electricity which can be considered unsuitable to a rational planning of the use of the natural resources of Serbia. The analysis indicated net exports at the level of 5TWh by 2030 which is rather high and cannot be justified by relevant studies. The INECP analysis projects 0.7TWh of net exports by 2030, indicating a power system which is self-sufficient.</w:t>
      </w:r>
    </w:p>
    <w:p w14:paraId="4FDFB5C9" w14:textId="77777777" w:rsidR="00E50432" w:rsidRPr="000E35FA" w:rsidRDefault="00E50432" w:rsidP="00485CA7">
      <w:pPr>
        <w:pStyle w:val="ListParagraph"/>
        <w:numPr>
          <w:ilvl w:val="0"/>
          <w:numId w:val="261"/>
        </w:numPr>
        <w:jc w:val="both"/>
        <w:rPr>
          <w:rFonts w:ascii="Times New Roman" w:hAnsi="Times New Roman" w:cs="Times New Roman"/>
          <w:sz w:val="24"/>
          <w:szCs w:val="24"/>
        </w:rPr>
      </w:pPr>
      <w:r w:rsidRPr="00E50432">
        <w:rPr>
          <w:rFonts w:ascii="Times New Roman" w:hAnsi="Times New Roman" w:cs="Times New Roman"/>
          <w:sz w:val="24"/>
          <w:szCs w:val="24"/>
        </w:rPr>
        <w:t xml:space="preserve">The proposed national contribution based on the decision of the Ministerial Council would require at least 88 ktoe of advanced biofuels and the introduction of 89 thousand electric </w:t>
      </w:r>
      <w:r w:rsidRPr="00E50432">
        <w:rPr>
          <w:rFonts w:ascii="Times New Roman" w:hAnsi="Times New Roman" w:cs="Times New Roman"/>
          <w:sz w:val="24"/>
          <w:szCs w:val="24"/>
        </w:rPr>
        <w:lastRenderedPageBreak/>
        <w:t>vehicles in 2030. The national contribution provided by INEKP includes more realistic assumptions for biofuels (49 ktoe in 2030) and the introduction of 44 thousand electric vehicles by 2030.</w:t>
      </w:r>
    </w:p>
    <w:p w14:paraId="544DC4A6" w14:textId="77777777" w:rsidR="00614438" w:rsidRPr="001F6B09" w:rsidRDefault="00614438" w:rsidP="00485CA7">
      <w:pPr>
        <w:pStyle w:val="ListParagraph"/>
        <w:numPr>
          <w:ilvl w:val="0"/>
          <w:numId w:val="261"/>
        </w:numPr>
        <w:jc w:val="both"/>
        <w:rPr>
          <w:rFonts w:ascii="Times New Roman" w:hAnsi="Times New Roman" w:cs="Times New Roman"/>
          <w:sz w:val="24"/>
          <w:szCs w:val="24"/>
        </w:rPr>
      </w:pPr>
      <w:r w:rsidRPr="001F6B09">
        <w:rPr>
          <w:rFonts w:ascii="Times New Roman" w:hAnsi="Times New Roman" w:cs="Times New Roman"/>
          <w:sz w:val="24"/>
          <w:szCs w:val="24"/>
        </w:rPr>
        <w:t>The M</w:t>
      </w:r>
      <w:r w:rsidR="001F6B09">
        <w:rPr>
          <w:rFonts w:ascii="Times New Roman" w:hAnsi="Times New Roman" w:cs="Times New Roman"/>
          <w:sz w:val="24"/>
          <w:szCs w:val="24"/>
        </w:rPr>
        <w:t>C</w:t>
      </w:r>
      <w:r w:rsidRPr="001F6B09">
        <w:rPr>
          <w:rFonts w:ascii="Times New Roman" w:hAnsi="Times New Roman" w:cs="Times New Roman"/>
          <w:sz w:val="24"/>
          <w:szCs w:val="24"/>
        </w:rPr>
        <w:t xml:space="preserve"> proposed national contribution would require higher capacities of variable renewable technologies in the network, which would require higher balancing reserve (more than the available in the market for 2030) and expose the system to risk. The analysis showed that this would further require the installation of hydro pump storage stations at an over optimistic timeframe, requiring that Bistrica will be operational by 2028 and Djerdap 3 by 2030. In the IN</w:t>
      </w:r>
      <w:r w:rsidR="001F6B09">
        <w:rPr>
          <w:rFonts w:ascii="Times New Roman" w:hAnsi="Times New Roman" w:cs="Times New Roman"/>
          <w:sz w:val="24"/>
          <w:szCs w:val="24"/>
        </w:rPr>
        <w:t>E</w:t>
      </w:r>
      <w:r w:rsidRPr="001F6B09">
        <w:rPr>
          <w:rFonts w:ascii="Times New Roman" w:hAnsi="Times New Roman" w:cs="Times New Roman"/>
          <w:sz w:val="24"/>
          <w:szCs w:val="24"/>
        </w:rPr>
        <w:t>C</w:t>
      </w:r>
      <w:r w:rsidR="001F6B09">
        <w:rPr>
          <w:rFonts w:ascii="Times New Roman" w:hAnsi="Times New Roman" w:cs="Times New Roman"/>
          <w:sz w:val="24"/>
          <w:szCs w:val="24"/>
        </w:rPr>
        <w:t>P</w:t>
      </w:r>
      <w:r w:rsidRPr="001F6B09">
        <w:rPr>
          <w:rFonts w:ascii="Times New Roman" w:hAnsi="Times New Roman" w:cs="Times New Roman"/>
          <w:sz w:val="24"/>
          <w:szCs w:val="24"/>
        </w:rPr>
        <w:t xml:space="preserve"> analysis a more realistic schedule is applied with Bistrica operational by 2032 and Djerdap 3 by 2035, providing the additional flexibility and balancing requirements for the system.</w:t>
      </w:r>
    </w:p>
    <w:p w14:paraId="467DEBF9" w14:textId="77777777" w:rsidR="00614438" w:rsidRPr="00614438" w:rsidRDefault="00614438" w:rsidP="001D7898">
      <w:pPr>
        <w:numPr>
          <w:ilvl w:val="0"/>
          <w:numId w:val="9"/>
        </w:numPr>
        <w:jc w:val="both"/>
        <w:rPr>
          <w:rFonts w:ascii="Times New Roman" w:hAnsi="Times New Roman" w:cs="Times New Roman"/>
          <w:sz w:val="24"/>
          <w:szCs w:val="24"/>
        </w:rPr>
      </w:pPr>
      <w:r w:rsidRPr="00614438">
        <w:rPr>
          <w:rFonts w:ascii="Times New Roman" w:hAnsi="Times New Roman" w:cs="Times New Roman"/>
          <w:sz w:val="24"/>
          <w:szCs w:val="24"/>
        </w:rPr>
        <w:t>According to criterion (iii) geographical, environmental and natural constraints, including those of non-interconnected areas and regions:</w:t>
      </w:r>
    </w:p>
    <w:p w14:paraId="67D276DD" w14:textId="77777777" w:rsidR="00614438" w:rsidRPr="00614438" w:rsidRDefault="00614438" w:rsidP="001D7898">
      <w:pPr>
        <w:numPr>
          <w:ilvl w:val="0"/>
          <w:numId w:val="10"/>
        </w:numPr>
        <w:jc w:val="both"/>
        <w:rPr>
          <w:rFonts w:ascii="Times New Roman" w:hAnsi="Times New Roman" w:cs="Times New Roman"/>
          <w:sz w:val="24"/>
          <w:szCs w:val="24"/>
        </w:rPr>
      </w:pPr>
      <w:r w:rsidRPr="00614438">
        <w:rPr>
          <w:rFonts w:ascii="Times New Roman" w:hAnsi="Times New Roman" w:cs="Times New Roman"/>
          <w:sz w:val="24"/>
          <w:szCs w:val="24"/>
        </w:rPr>
        <w:t>The M</w:t>
      </w:r>
      <w:r w:rsidR="001F6B09">
        <w:rPr>
          <w:rFonts w:ascii="Times New Roman" w:hAnsi="Times New Roman" w:cs="Times New Roman"/>
          <w:sz w:val="24"/>
          <w:szCs w:val="24"/>
        </w:rPr>
        <w:t>C</w:t>
      </w:r>
      <w:r w:rsidRPr="00614438">
        <w:rPr>
          <w:rFonts w:ascii="Times New Roman" w:hAnsi="Times New Roman" w:cs="Times New Roman"/>
          <w:sz w:val="24"/>
          <w:szCs w:val="24"/>
        </w:rPr>
        <w:t xml:space="preserve"> national contribution would require the use of biomass above the resources that can be exploited in a sustainable manner in Serbia. The necessary primary production of biomass to reach this target was estimated to be 1.9 Mtoe by 2030 which is above the level the estimated sustainable potential for agricultural and forest biomass (current studies put the technical potential at the level of 1.</w:t>
      </w:r>
      <w:r w:rsidR="001F6B09">
        <w:rPr>
          <w:rFonts w:ascii="Times New Roman" w:hAnsi="Times New Roman" w:cs="Times New Roman"/>
          <w:sz w:val="24"/>
          <w:szCs w:val="24"/>
        </w:rPr>
        <w:t>623</w:t>
      </w:r>
      <w:r w:rsidRPr="00614438">
        <w:rPr>
          <w:rFonts w:ascii="Times New Roman" w:hAnsi="Times New Roman" w:cs="Times New Roman"/>
          <w:sz w:val="24"/>
          <w:szCs w:val="24"/>
        </w:rPr>
        <w:t>-</w:t>
      </w:r>
      <w:r w:rsidR="001F6B09">
        <w:rPr>
          <w:rFonts w:ascii="Times New Roman" w:hAnsi="Times New Roman" w:cs="Times New Roman"/>
          <w:sz w:val="24"/>
          <w:szCs w:val="24"/>
        </w:rPr>
        <w:t>1.758</w:t>
      </w:r>
      <w:r w:rsidRPr="00614438">
        <w:rPr>
          <w:rFonts w:ascii="Times New Roman" w:hAnsi="Times New Roman" w:cs="Times New Roman"/>
          <w:sz w:val="24"/>
          <w:szCs w:val="24"/>
        </w:rPr>
        <w:t>0</w:t>
      </w:r>
      <w:r w:rsidR="001F6B09">
        <w:rPr>
          <w:rFonts w:ascii="Times New Roman" w:hAnsi="Times New Roman" w:cs="Times New Roman"/>
          <w:sz w:val="24"/>
          <w:szCs w:val="24"/>
        </w:rPr>
        <w:t xml:space="preserve"> </w:t>
      </w:r>
      <w:r w:rsidRPr="00614438">
        <w:rPr>
          <w:rFonts w:ascii="Times New Roman" w:hAnsi="Times New Roman" w:cs="Times New Roman"/>
          <w:sz w:val="24"/>
          <w:szCs w:val="24"/>
        </w:rPr>
        <w:t>Mtoe</w:t>
      </w:r>
      <w:r w:rsidR="001F6B09">
        <w:rPr>
          <w:rFonts w:ascii="Times New Roman" w:hAnsi="Times New Roman" w:cs="Times New Roman"/>
          <w:sz w:val="24"/>
          <w:szCs w:val="24"/>
        </w:rPr>
        <w:t>,</w:t>
      </w:r>
      <w:r w:rsidRPr="00614438">
        <w:rPr>
          <w:rFonts w:ascii="Times New Roman" w:hAnsi="Times New Roman" w:cs="Times New Roman"/>
          <w:sz w:val="24"/>
          <w:szCs w:val="24"/>
        </w:rPr>
        <w:t xml:space="preserve"> but sustainability criteria considerations reduce this level). The INECP national contribution requires a primary production of 1.7Mtoe of biomass in 2030, close to today’s level, but consumed in more efficient devices.</w:t>
      </w:r>
    </w:p>
    <w:p w14:paraId="1026DA19" w14:textId="77777777" w:rsidR="00614438" w:rsidRPr="00614438" w:rsidRDefault="00614438" w:rsidP="001F6B09">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For the specific case of the target in the heating and cooling sector, it should be noted that the indicative targets from Article 23 of RED II, are not binding and the EnC members are not obliged to </w:t>
      </w:r>
      <w:r w:rsidR="001F6B09">
        <w:rPr>
          <w:rFonts w:ascii="Times New Roman" w:hAnsi="Times New Roman" w:cs="Times New Roman"/>
          <w:sz w:val="24"/>
          <w:szCs w:val="24"/>
          <w:lang w:val="en-GB"/>
        </w:rPr>
        <w:t>follow</w:t>
      </w:r>
      <w:r w:rsidRPr="00614438">
        <w:rPr>
          <w:rFonts w:ascii="Times New Roman" w:hAnsi="Times New Roman" w:cs="Times New Roman"/>
          <w:sz w:val="24"/>
          <w:szCs w:val="24"/>
          <w:lang w:val="en-GB"/>
        </w:rPr>
        <w:t xml:space="preserve"> the growth of 1,1% RES per year in the heating and cooling sector. Achieving an average growth rate of 1.1% per year would require the over-optimistic assumptions described above regarding the sustainable potential of biomass and the rate of introduction and SPF of heat pumps. With the more realistic assumptions applied for the calculation of the INECP national contribution, an average annual growth rate of 0.6% per year until 2030 is achieved.</w:t>
      </w:r>
    </w:p>
    <w:p w14:paraId="3D89B471" w14:textId="77777777" w:rsidR="00614438" w:rsidRPr="00614438" w:rsidRDefault="00614438" w:rsidP="001F6B09">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above considerations indicate that the national contribution of 33,6% of RES in GFEC as documented in this INECP is acceptable, achievable but also very ambitious to be met in the short time period until 2030.</w:t>
      </w:r>
    </w:p>
    <w:p w14:paraId="66DC3834" w14:textId="77777777" w:rsidR="00614438" w:rsidRPr="00614438" w:rsidRDefault="00614438" w:rsidP="001F6B09">
      <w:pPr>
        <w:ind w:firstLine="360"/>
        <w:jc w:val="both"/>
        <w:rPr>
          <w:rFonts w:ascii="Times New Roman" w:hAnsi="Times New Roman" w:cs="Times New Roman"/>
          <w:sz w:val="24"/>
          <w:szCs w:val="24"/>
        </w:rPr>
      </w:pPr>
      <w:r w:rsidRPr="00614438">
        <w:rPr>
          <w:rFonts w:ascii="Times New Roman" w:hAnsi="Times New Roman" w:cs="Times New Roman"/>
          <w:sz w:val="24"/>
          <w:szCs w:val="24"/>
          <w:lang w:val="en-GB"/>
        </w:rPr>
        <w:t xml:space="preserve">However, intensive discussions with all relevant stakeholders and taking into account the </w:t>
      </w:r>
      <w:r w:rsidRPr="00614438">
        <w:rPr>
          <w:rFonts w:ascii="Times New Roman" w:hAnsi="Times New Roman" w:cs="Times New Roman"/>
          <w:sz w:val="24"/>
          <w:szCs w:val="24"/>
        </w:rPr>
        <w:t>“Basic Principles of Energy Infrastructure Development Plan and Energy Efficiency Measures for the period until 2028 with projections until 2030“ (Gover</w:t>
      </w:r>
      <w:r w:rsidR="001F6B09">
        <w:rPr>
          <w:rFonts w:ascii="Times New Roman" w:hAnsi="Times New Roman" w:cs="Times New Roman"/>
          <w:sz w:val="24"/>
          <w:szCs w:val="24"/>
        </w:rPr>
        <w:t>n</w:t>
      </w:r>
      <w:r w:rsidRPr="00614438">
        <w:rPr>
          <w:rFonts w:ascii="Times New Roman" w:hAnsi="Times New Roman" w:cs="Times New Roman"/>
          <w:sz w:val="24"/>
          <w:szCs w:val="24"/>
        </w:rPr>
        <w:t xml:space="preserve">ment’s Conclusion on adoption  05 no. </w:t>
      </w:r>
      <w:bookmarkStart w:id="96" w:name="_Hlk148697763"/>
      <w:r w:rsidRPr="00614438">
        <w:rPr>
          <w:rFonts w:ascii="Times New Roman" w:hAnsi="Times New Roman" w:cs="Times New Roman"/>
          <w:sz w:val="24"/>
          <w:szCs w:val="24"/>
        </w:rPr>
        <w:t>312-5262/2023-1</w:t>
      </w:r>
      <w:bookmarkEnd w:id="96"/>
      <w:r w:rsidRPr="00614438">
        <w:rPr>
          <w:rFonts w:ascii="Times New Roman" w:hAnsi="Times New Roman" w:cs="Times New Roman"/>
          <w:sz w:val="24"/>
          <w:szCs w:val="24"/>
        </w:rPr>
        <w:t xml:space="preserve"> from </w:t>
      </w:r>
      <w:bookmarkStart w:id="97" w:name="_Hlk148697771"/>
      <w:r w:rsidRPr="00614438">
        <w:rPr>
          <w:rFonts w:ascii="Times New Roman" w:hAnsi="Times New Roman" w:cs="Times New Roman"/>
          <w:sz w:val="24"/>
          <w:szCs w:val="24"/>
        </w:rPr>
        <w:t>15/6/2023</w:t>
      </w:r>
      <w:bookmarkEnd w:id="97"/>
      <w:r w:rsidRPr="00614438">
        <w:rPr>
          <w:rFonts w:ascii="Times New Roman" w:hAnsi="Times New Roman" w:cs="Times New Roman"/>
          <w:sz w:val="24"/>
          <w:szCs w:val="24"/>
        </w:rPr>
        <w:t>) - “EIDP&amp;EEM”, a further update has been implemented with:</w:t>
      </w:r>
    </w:p>
    <w:p w14:paraId="296504F9" w14:textId="77777777" w:rsidR="00614438" w:rsidRPr="001F6B09" w:rsidRDefault="00614438" w:rsidP="001D7898">
      <w:pPr>
        <w:pStyle w:val="ListParagraph"/>
        <w:numPr>
          <w:ilvl w:val="0"/>
          <w:numId w:val="11"/>
        </w:numPr>
        <w:jc w:val="both"/>
        <w:rPr>
          <w:rFonts w:ascii="Times New Roman" w:hAnsi="Times New Roman" w:cs="Times New Roman"/>
          <w:sz w:val="24"/>
          <w:szCs w:val="24"/>
        </w:rPr>
      </w:pPr>
      <w:r w:rsidRPr="001F6B09">
        <w:rPr>
          <w:rFonts w:ascii="Times New Roman" w:hAnsi="Times New Roman" w:cs="Times New Roman"/>
          <w:sz w:val="24"/>
          <w:szCs w:val="24"/>
        </w:rPr>
        <w:t>The introduction of a gas fired power plant operating by 2029, which supports the reduction of generation from lignite but also offers the necessary stability to the power system. This led to a slight reduction of the share of RES in electricity generation.</w:t>
      </w:r>
    </w:p>
    <w:p w14:paraId="237C9562" w14:textId="77777777" w:rsidR="00614438" w:rsidRPr="00614438" w:rsidRDefault="00614438" w:rsidP="001D7898">
      <w:pPr>
        <w:numPr>
          <w:ilvl w:val="0"/>
          <w:numId w:val="11"/>
        </w:numPr>
        <w:jc w:val="both"/>
        <w:rPr>
          <w:rFonts w:ascii="Times New Roman" w:hAnsi="Times New Roman" w:cs="Times New Roman"/>
          <w:sz w:val="24"/>
          <w:szCs w:val="24"/>
        </w:rPr>
      </w:pPr>
      <w:r w:rsidRPr="00614438">
        <w:rPr>
          <w:rFonts w:ascii="Times New Roman" w:hAnsi="Times New Roman" w:cs="Times New Roman"/>
          <w:sz w:val="24"/>
          <w:szCs w:val="24"/>
        </w:rPr>
        <w:t xml:space="preserve">A reduced operation of the lignite fired plants (reduced by 25% in 2030 compared to 2021) as a result of </w:t>
      </w:r>
      <w:r w:rsidR="00844F9F">
        <w:rPr>
          <w:rFonts w:ascii="Times New Roman" w:hAnsi="Times New Roman" w:cs="Times New Roman"/>
          <w:sz w:val="24"/>
          <w:szCs w:val="24"/>
        </w:rPr>
        <w:t>introducing a</w:t>
      </w:r>
      <w:r w:rsidRPr="00614438">
        <w:rPr>
          <w:rFonts w:ascii="Times New Roman" w:hAnsi="Times New Roman" w:cs="Times New Roman"/>
          <w:sz w:val="24"/>
          <w:szCs w:val="24"/>
        </w:rPr>
        <w:t xml:space="preserve"> gas fired plant.</w:t>
      </w:r>
    </w:p>
    <w:p w14:paraId="7D7B8AAB" w14:textId="77777777" w:rsidR="00614438" w:rsidRPr="00614438" w:rsidRDefault="00614438" w:rsidP="001D7898">
      <w:pPr>
        <w:numPr>
          <w:ilvl w:val="0"/>
          <w:numId w:val="11"/>
        </w:numPr>
        <w:jc w:val="both"/>
        <w:rPr>
          <w:rFonts w:ascii="Times New Roman" w:hAnsi="Times New Roman" w:cs="Times New Roman"/>
          <w:sz w:val="24"/>
          <w:szCs w:val="24"/>
        </w:rPr>
      </w:pPr>
      <w:r w:rsidRPr="00614438">
        <w:rPr>
          <w:rFonts w:ascii="Times New Roman" w:hAnsi="Times New Roman" w:cs="Times New Roman"/>
          <w:sz w:val="24"/>
          <w:szCs w:val="24"/>
        </w:rPr>
        <w:t>Incorporating a more realistic cost of investing in transmission system expansion in the case of introducing more variable RES in electricity generation.</w:t>
      </w:r>
    </w:p>
    <w:p w14:paraId="0783B990" w14:textId="77777777" w:rsidR="00614438" w:rsidRPr="00614438" w:rsidRDefault="00614438" w:rsidP="001D7898">
      <w:pPr>
        <w:numPr>
          <w:ilvl w:val="0"/>
          <w:numId w:val="11"/>
        </w:numPr>
        <w:jc w:val="both"/>
        <w:rPr>
          <w:rFonts w:ascii="Times New Roman" w:hAnsi="Times New Roman" w:cs="Times New Roman"/>
          <w:sz w:val="24"/>
          <w:szCs w:val="24"/>
        </w:rPr>
      </w:pPr>
      <w:r w:rsidRPr="00614438">
        <w:rPr>
          <w:rFonts w:ascii="Times New Roman" w:hAnsi="Times New Roman" w:cs="Times New Roman"/>
          <w:sz w:val="24"/>
          <w:szCs w:val="24"/>
        </w:rPr>
        <w:t xml:space="preserve">A more realistic penetration of biofuels in transportation (reducing the total amount of biofuels in 2030 from </w:t>
      </w:r>
      <w:bookmarkStart w:id="98" w:name="_Hlk148698957"/>
      <w:r w:rsidRPr="00614438">
        <w:rPr>
          <w:rFonts w:ascii="Times New Roman" w:hAnsi="Times New Roman" w:cs="Times New Roman"/>
          <w:sz w:val="24"/>
          <w:szCs w:val="24"/>
        </w:rPr>
        <w:t>70ktoe to 49ktoe</w:t>
      </w:r>
      <w:bookmarkEnd w:id="98"/>
      <w:r w:rsidRPr="00614438">
        <w:rPr>
          <w:rFonts w:ascii="Times New Roman" w:hAnsi="Times New Roman" w:cs="Times New Roman"/>
          <w:sz w:val="24"/>
          <w:szCs w:val="24"/>
        </w:rPr>
        <w:t xml:space="preserve">) and a more realistic introduction of electric vehicles (reducing </w:t>
      </w:r>
      <w:r w:rsidRPr="00614438">
        <w:rPr>
          <w:rFonts w:ascii="Times New Roman" w:hAnsi="Times New Roman" w:cs="Times New Roman"/>
          <w:sz w:val="24"/>
          <w:szCs w:val="24"/>
        </w:rPr>
        <w:lastRenderedPageBreak/>
        <w:t>the total number of EVs in 2030 from 77.6 thousand to 44.8 thousand), which led to a slightly lower share of RES in transportation.</w:t>
      </w:r>
    </w:p>
    <w:p w14:paraId="63726B1A" w14:textId="77777777" w:rsidR="00614438" w:rsidRPr="00614438" w:rsidRDefault="00614438" w:rsidP="00844F9F">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This analysis led to a share of 33.6% of RES in the GFEC as an acceptable and achievable target aligned with the same level of ambition for the reduction of greenhouse gas emissions which remains at the same level as before, consistent with the country’s Low Carbon Development Strategy. The sectoral shares were reviewed to be 45.2% RES in electricity generation, 3.2% RES in transportation (without multipliers) and 41.4% RES in heating.</w:t>
      </w:r>
    </w:p>
    <w:p w14:paraId="3783C194" w14:textId="77777777" w:rsidR="00614438" w:rsidRPr="00614438" w:rsidRDefault="00614438" w:rsidP="00215F5A">
      <w:pPr>
        <w:ind w:firstLine="360"/>
        <w:jc w:val="both"/>
        <w:rPr>
          <w:rFonts w:ascii="Times New Roman" w:hAnsi="Times New Roman" w:cs="Times New Roman"/>
          <w:sz w:val="24"/>
          <w:szCs w:val="24"/>
        </w:rPr>
      </w:pPr>
      <w:r w:rsidRPr="00614438">
        <w:rPr>
          <w:rFonts w:ascii="Times New Roman" w:hAnsi="Times New Roman" w:cs="Times New Roman"/>
          <w:sz w:val="24"/>
          <w:szCs w:val="24"/>
          <w:lang w:val="en-GB"/>
        </w:rPr>
        <w:t>The specified objectives for the penetration of RES are related directly to the evolution of final consumption necessitating the achievement of the relevant energy efficiency targets. Apparently, the key pillar for fulfilling the national objective for the penetration of RES is the contribution of RES in the electricity consumption, which highly demands for the timely and efficient implementation of the planned policies and measures.</w:t>
      </w:r>
    </w:p>
    <w:p w14:paraId="54A60B47" w14:textId="77777777" w:rsidR="00614438" w:rsidRPr="00614438" w:rsidRDefault="00614438" w:rsidP="00215F5A">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Despite the fact that the target can be assessed as ambitious, it can be assessed also as realistic taking into consideration both the technical and economic potential and the entrepreneurial interest already expressed.</w:t>
      </w:r>
    </w:p>
    <w:p w14:paraId="010B8BB2" w14:textId="77777777" w:rsidR="00614438" w:rsidRPr="00614438" w:rsidRDefault="00614438" w:rsidP="00215F5A">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electrification and the coupling of the final consumption sectors are also promoted in order to increase the share of RES in the final energy consumption. Initially, the gradual electrification of the transport sector comprises a major challenge until 2030. More specifically, a considerable penetration of electric vehicles is expected to substantially influence a number of dimensions in the INECP. The aim is to achieve this penetration at the most cost-effective approach for the national economy, while ensuring that certain prerequisites for the electrification of the transport sector, such as the simultaneous development of the charging infrastructure and the adoption of the regulatory framework are timely fulfilled.</w:t>
      </w:r>
    </w:p>
    <w:p w14:paraId="32FAEA88" w14:textId="77777777" w:rsidR="00614438" w:rsidRPr="00614438" w:rsidRDefault="00614438" w:rsidP="00215F5A">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Moreover, the sector coupling will contribute to the maximization of the RES in the different end-uses and, </w:t>
      </w:r>
      <w:r w:rsidR="00215F5A">
        <w:rPr>
          <w:rFonts w:ascii="Times New Roman" w:hAnsi="Times New Roman" w:cs="Times New Roman"/>
          <w:sz w:val="24"/>
          <w:szCs w:val="24"/>
          <w:lang w:val="en-GB"/>
        </w:rPr>
        <w:t>evidentl</w:t>
      </w:r>
      <w:r w:rsidRPr="00614438">
        <w:rPr>
          <w:rFonts w:ascii="Times New Roman" w:hAnsi="Times New Roman" w:cs="Times New Roman"/>
          <w:sz w:val="24"/>
          <w:szCs w:val="24"/>
          <w:lang w:val="en-GB"/>
        </w:rPr>
        <w:t>y, the electrification of different end-uses is an essential component in achieving this aim. The role of heat pumps, along with the energy storage systems and the self-consumption schemes, is critical for the fulfilment of the sector coupling. Similarly, the mixing of hydrogen or biomethane into the natural gas network will contribute also to sector coupling.</w:t>
      </w:r>
    </w:p>
    <w:p w14:paraId="5F042618" w14:textId="77777777" w:rsidR="00614438" w:rsidRPr="00614438" w:rsidRDefault="00614438" w:rsidP="003C5D65">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An objective has also been set for promoting RES technologies in buildings through self-consumption schemes. More specifically, the installed capacity of the RES technologies for electricity production (mainly Roof top photovoltaic systems) are expected to reach up to 0.5 GW in 2030 being capable of covering approximately 5% of the electricity consumption in residential sector.</w:t>
      </w:r>
    </w:p>
    <w:p w14:paraId="3D363F06" w14:textId="77777777" w:rsidR="00614438" w:rsidRPr="00614438" w:rsidRDefault="00614438" w:rsidP="003C5D65">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New innovative RES technologies for electricity production will be promoted also within the INECP through pilot projects in order to assess their effectiveness, such as: small wind turbines, use of renewable hydrogen production for storing electricity generated from variable RES, etc.</w:t>
      </w:r>
    </w:p>
    <w:p w14:paraId="651C924F" w14:textId="77777777" w:rsidR="00614438" w:rsidRPr="00614438" w:rsidRDefault="00614438" w:rsidP="007C44AE">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use of RES for covering the heating and cooling demand will be achieved mainly through the large installation of heat pumps (approximately 7 GW</w:t>
      </w:r>
      <w:bookmarkStart w:id="99" w:name="_Hlk148701258"/>
      <w:r w:rsidRPr="00614438">
        <w:rPr>
          <w:rFonts w:ascii="Times New Roman" w:hAnsi="Times New Roman" w:cs="Times New Roman"/>
          <w:sz w:val="24"/>
          <w:szCs w:val="24"/>
          <w:lang w:val="en-GB"/>
        </w:rPr>
        <w:t>th</w:t>
      </w:r>
      <w:bookmarkEnd w:id="99"/>
      <w:r w:rsidRPr="00614438">
        <w:rPr>
          <w:rFonts w:ascii="Times New Roman" w:hAnsi="Times New Roman" w:cs="Times New Roman"/>
          <w:sz w:val="24"/>
          <w:szCs w:val="24"/>
          <w:lang w:val="en-GB"/>
        </w:rPr>
        <w:t>), while the role of solar thermal systems, geothermal energy, and biomass is also essential.</w:t>
      </w:r>
    </w:p>
    <w:p w14:paraId="1425C555" w14:textId="77777777" w:rsidR="00614438" w:rsidRPr="00614438" w:rsidRDefault="00614438" w:rsidP="007C44AE">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proposed target under Article 2 Decision no. 2022/02/MC-EnC for increasing the utilization of RES in heating and cooling by 1.1% in 2030 is not realistic and feasible to be achieved, since it can be attained mainly through the massive deployment of heat pumps. However, the existing biomass potential has almost been exploited and the other remaining RES technologies don’t have meaningful prospects for further penetration.</w:t>
      </w:r>
    </w:p>
    <w:p w14:paraId="080FFF2F" w14:textId="77777777" w:rsidR="00614438" w:rsidRPr="00614438" w:rsidRDefault="00614438" w:rsidP="007C44AE">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Moreover, the further utilization of RES in the district heating networks will be achieved mainly through biomass (2.7 ktoe), while the gradual exploitation of other RES is intended, such as biomethane, hydrogen and geothermal energy. In accordance with the Energy Law and Rulebook on the detailed content and guidelines for determining the national goals of the Integrated National Energy and Climate Plan, the method of its preparation and reporting on its implementation, there is obligation to revise INECP every 4 years. In the process of the revision of INECP, target for RES in heating and cooling will be analysed in order to include biomethane and other RES for heating and cooling.</w:t>
      </w:r>
    </w:p>
    <w:p w14:paraId="68BD757B" w14:textId="77777777" w:rsidR="00614438" w:rsidRPr="00614438" w:rsidRDefault="007C44AE" w:rsidP="007C44AE">
      <w:pPr>
        <w:ind w:firstLine="360"/>
        <w:jc w:val="both"/>
        <w:rPr>
          <w:rFonts w:ascii="Times New Roman" w:hAnsi="Times New Roman" w:cs="Times New Roman"/>
          <w:sz w:val="24"/>
          <w:szCs w:val="24"/>
          <w:lang w:val="en-GB"/>
        </w:rPr>
      </w:pPr>
      <w:r>
        <w:rPr>
          <w:rFonts w:ascii="Times New Roman" w:hAnsi="Times New Roman" w:cs="Times New Roman"/>
          <w:sz w:val="24"/>
          <w:szCs w:val="24"/>
          <w:lang w:val="en-GB"/>
        </w:rPr>
        <w:t>A m</w:t>
      </w:r>
      <w:r w:rsidR="00614438" w:rsidRPr="00614438">
        <w:rPr>
          <w:rFonts w:ascii="Times New Roman" w:hAnsi="Times New Roman" w:cs="Times New Roman"/>
          <w:sz w:val="24"/>
          <w:szCs w:val="24"/>
          <w:lang w:val="en-GB"/>
        </w:rPr>
        <w:t>ore detailed analysis regarding the potential of sustainable biomass and biogas is required in order to see the potential of increasing the contribution of bioenergy in the longer term. Currently the use of biomass is mainly in appliances with very low efficiency (wood stoves) therefore large quantities of biomass are consumed to cover the heating demand, having as a result unrealistically high shares of RES calculations.</w:t>
      </w:r>
    </w:p>
    <w:p w14:paraId="4750CD7E" w14:textId="77777777" w:rsidR="00614438" w:rsidRPr="00614438" w:rsidRDefault="00614438" w:rsidP="007C44AE">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Furthermore, new technologies will be considered for the period towards 2050 (for example centralised heat pump) which are currently very expensive and are not </w:t>
      </w:r>
      <w:r w:rsidR="007C44AE">
        <w:rPr>
          <w:rFonts w:ascii="Times New Roman" w:hAnsi="Times New Roman" w:cs="Times New Roman"/>
          <w:sz w:val="24"/>
          <w:szCs w:val="24"/>
          <w:lang w:val="en-GB"/>
        </w:rPr>
        <w:t>listed as a</w:t>
      </w:r>
      <w:r w:rsidRPr="00614438">
        <w:rPr>
          <w:rFonts w:ascii="Times New Roman" w:hAnsi="Times New Roman" w:cs="Times New Roman"/>
          <w:sz w:val="24"/>
          <w:szCs w:val="24"/>
          <w:lang w:val="en-GB"/>
        </w:rPr>
        <w:t xml:space="preserve"> solution.</w:t>
      </w:r>
    </w:p>
    <w:p w14:paraId="01E84480" w14:textId="77777777" w:rsidR="00614438" w:rsidRPr="00614438" w:rsidRDefault="00614438" w:rsidP="007C44AE">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Finally, the contribution of electric vehicles is expected to be substantial for the further promotion of RES. It should be noted that </w:t>
      </w:r>
      <w:r w:rsidR="007C44AE" w:rsidRPr="00614438">
        <w:rPr>
          <w:rFonts w:ascii="Times New Roman" w:hAnsi="Times New Roman" w:cs="Times New Roman"/>
          <w:sz w:val="24"/>
          <w:szCs w:val="24"/>
          <w:lang w:val="en-GB"/>
        </w:rPr>
        <w:t xml:space="preserve">approximately </w:t>
      </w:r>
      <w:r w:rsidRPr="00614438">
        <w:rPr>
          <w:rFonts w:ascii="Times New Roman" w:hAnsi="Times New Roman" w:cs="Times New Roman"/>
          <w:sz w:val="24"/>
          <w:szCs w:val="24"/>
          <w:lang w:val="en-GB"/>
        </w:rPr>
        <w:t xml:space="preserve">44.8 thousand electric vehicles (both passenger and light-duty) will be registered </w:t>
      </w:r>
      <w:r w:rsidR="007C44AE">
        <w:rPr>
          <w:rFonts w:ascii="Times New Roman" w:hAnsi="Times New Roman" w:cs="Times New Roman"/>
          <w:sz w:val="24"/>
          <w:szCs w:val="24"/>
          <w:lang w:val="en-GB"/>
        </w:rPr>
        <w:t>by</w:t>
      </w:r>
      <w:r w:rsidRPr="00614438">
        <w:rPr>
          <w:rFonts w:ascii="Times New Roman" w:hAnsi="Times New Roman" w:cs="Times New Roman"/>
          <w:sz w:val="24"/>
          <w:szCs w:val="24"/>
          <w:lang w:val="en-GB"/>
        </w:rPr>
        <w:t xml:space="preserve"> 2030. </w:t>
      </w:r>
      <w:r w:rsidR="007C44AE">
        <w:rPr>
          <w:rFonts w:ascii="Times New Roman" w:hAnsi="Times New Roman" w:cs="Times New Roman"/>
          <w:sz w:val="24"/>
          <w:szCs w:val="24"/>
          <w:lang w:val="en-GB"/>
        </w:rPr>
        <w:t>T</w:t>
      </w:r>
      <w:r w:rsidRPr="00614438">
        <w:rPr>
          <w:rFonts w:ascii="Times New Roman" w:hAnsi="Times New Roman" w:cs="Times New Roman"/>
          <w:sz w:val="24"/>
          <w:szCs w:val="24"/>
          <w:lang w:val="en-GB"/>
        </w:rPr>
        <w:t>he contribution of biofuels will remain dominant, with a particularly increasing share of advanced biofuels until 2030 (49 ktoe without assuming the foreseen multipliers).</w:t>
      </w:r>
    </w:p>
    <w:p w14:paraId="4698A14A" w14:textId="77777777" w:rsidR="00614438" w:rsidRPr="00614438" w:rsidRDefault="007C44AE" w:rsidP="007C44AE">
      <w:pPr>
        <w:jc w:val="center"/>
        <w:rPr>
          <w:rFonts w:ascii="Times New Roman" w:hAnsi="Times New Roman" w:cs="Times New Roman"/>
          <w:sz w:val="24"/>
          <w:szCs w:val="24"/>
          <w:lang w:val="en-GB"/>
        </w:rPr>
      </w:pPr>
      <w:bookmarkStart w:id="100" w:name="_bookmark38"/>
      <w:bookmarkStart w:id="101" w:name="_bookmark39"/>
      <w:bookmarkStart w:id="102" w:name="_Toc153545038"/>
      <w:bookmarkStart w:id="103" w:name="_Toc118991768"/>
      <w:bookmarkEnd w:id="90"/>
      <w:bookmarkEnd w:id="100"/>
      <w:bookmarkEnd w:id="101"/>
      <w:r>
        <w:rPr>
          <w:rFonts w:ascii="Times New Roman" w:hAnsi="Times New Roman" w:cs="Times New Roman"/>
          <w:sz w:val="24"/>
          <w:szCs w:val="24"/>
          <w:lang w:val="en-GB"/>
        </w:rPr>
        <w:t xml:space="preserve">2.3 </w:t>
      </w:r>
      <w:r w:rsidR="00614438" w:rsidRPr="00614438">
        <w:rPr>
          <w:rFonts w:ascii="Times New Roman" w:hAnsi="Times New Roman" w:cs="Times New Roman"/>
          <w:sz w:val="24"/>
          <w:szCs w:val="24"/>
          <w:lang w:val="en-GB"/>
        </w:rPr>
        <w:t>Improvement in energy efficiency</w:t>
      </w:r>
      <w:bookmarkEnd w:id="102"/>
      <w:bookmarkEnd w:id="103"/>
    </w:p>
    <w:p w14:paraId="687075F7" w14:textId="77777777" w:rsidR="00614438" w:rsidRPr="00614438" w:rsidRDefault="00614438" w:rsidP="007C44AE">
      <w:pPr>
        <w:ind w:firstLine="720"/>
        <w:jc w:val="both"/>
        <w:rPr>
          <w:rFonts w:ascii="Times New Roman" w:hAnsi="Times New Roman" w:cs="Times New Roman"/>
          <w:sz w:val="24"/>
          <w:szCs w:val="24"/>
          <w:lang w:val="en-GB"/>
        </w:rPr>
      </w:pPr>
      <w:bookmarkStart w:id="104" w:name="_bookmark40"/>
      <w:bookmarkStart w:id="105" w:name="_bookmark41"/>
      <w:bookmarkEnd w:id="104"/>
      <w:bookmarkEnd w:id="105"/>
      <w:r w:rsidRPr="00614438">
        <w:rPr>
          <w:rFonts w:ascii="Times New Roman" w:hAnsi="Times New Roman" w:cs="Times New Roman"/>
          <w:sz w:val="24"/>
          <w:szCs w:val="24"/>
          <w:lang w:val="en-GB"/>
        </w:rPr>
        <w:t>An objective with significant importance within the INECP is the improvement of energy efficiency managing to restrain the final energy consumption at a level that doesn’t exceed 9.7 Mtoe in 2030. The same tendency is observed also for the case of primary energy consumption, which should be less than 14.68 Mtoe in 2030.</w:t>
      </w:r>
    </w:p>
    <w:p w14:paraId="3D6A6CA8" w14:textId="77777777" w:rsidR="00614438" w:rsidRPr="00614438" w:rsidRDefault="00614438" w:rsidP="00962CD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These targets are in line with Article 3 of Decision no. 2022/02/MC-EnC</w:t>
      </w:r>
      <w:r w:rsidRPr="00614438">
        <w:rPr>
          <w:rFonts w:ascii="Times New Roman" w:hAnsi="Times New Roman" w:cs="Times New Roman"/>
          <w:sz w:val="24"/>
          <w:szCs w:val="24"/>
          <w:lang w:val="sr-Cyrl-CS"/>
        </w:rPr>
        <w:t xml:space="preserve"> </w:t>
      </w:r>
      <w:r w:rsidRPr="00614438">
        <w:rPr>
          <w:rFonts w:ascii="Times New Roman" w:hAnsi="Times New Roman" w:cs="Times New Roman"/>
          <w:sz w:val="24"/>
          <w:szCs w:val="24"/>
        </w:rPr>
        <w:t>of the Energy Community Ministerial Council,</w:t>
      </w:r>
      <w:r w:rsidRPr="00614438">
        <w:rPr>
          <w:rFonts w:ascii="Times New Roman" w:hAnsi="Times New Roman" w:cs="Times New Roman"/>
          <w:sz w:val="24"/>
          <w:szCs w:val="24"/>
          <w:lang w:val="en-GB"/>
        </w:rPr>
        <w:t xml:space="preserve"> point (4), where the differences are in the sense of statistical error.</w:t>
      </w:r>
    </w:p>
    <w:p w14:paraId="36D74066" w14:textId="77777777" w:rsidR="00614438" w:rsidRPr="00614438" w:rsidRDefault="00614438" w:rsidP="00962CD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annual trajectory for achieving the targets of 2030 can be seen in </w:t>
      </w:r>
      <w:r w:rsidR="00FA29EF">
        <w:fldChar w:fldCharType="begin"/>
      </w:r>
      <w:r w:rsidR="00FA29EF">
        <w:instrText xml:space="preserve"> REF _Ref153541764 \h  \* MERGEFORMAT </w:instrText>
      </w:r>
      <w:r w:rsidR="00FA29EF">
        <w:fldChar w:fldCharType="separate"/>
      </w:r>
      <w:r w:rsidRPr="00614438">
        <w:rPr>
          <w:rFonts w:ascii="Times New Roman" w:hAnsi="Times New Roman" w:cs="Times New Roman"/>
          <w:sz w:val="24"/>
          <w:szCs w:val="24"/>
          <w:lang w:val="en-GB"/>
        </w:rPr>
        <w:t>Table 2.3</w:t>
      </w:r>
      <w:r w:rsidR="00FA29EF">
        <w:fldChar w:fldCharType="end"/>
      </w:r>
      <w:r w:rsidRPr="00614438">
        <w:rPr>
          <w:rFonts w:ascii="Times New Roman" w:hAnsi="Times New Roman" w:cs="Times New Roman"/>
          <w:sz w:val="24"/>
          <w:szCs w:val="24"/>
          <w:lang w:val="en-GB"/>
        </w:rPr>
        <w:t>.</w:t>
      </w:r>
    </w:p>
    <w:p w14:paraId="7ACE5AF3" w14:textId="77777777" w:rsidR="00614438" w:rsidRPr="00614438" w:rsidRDefault="00614438" w:rsidP="00614438">
      <w:pPr>
        <w:jc w:val="both"/>
        <w:rPr>
          <w:rFonts w:ascii="Times New Roman" w:hAnsi="Times New Roman" w:cs="Times New Roman"/>
          <w:sz w:val="24"/>
          <w:szCs w:val="24"/>
        </w:rPr>
      </w:pPr>
      <w:bookmarkStart w:id="106" w:name="_Ref153541764"/>
      <w:bookmarkStart w:id="107" w:name="_Toc153545069"/>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w:t>
      </w:r>
      <w:r w:rsidR="00C83251" w:rsidRPr="00614438">
        <w:rPr>
          <w:rFonts w:ascii="Times New Roman" w:hAnsi="Times New Roman" w:cs="Times New Roman"/>
          <w:sz w:val="24"/>
          <w:szCs w:val="24"/>
        </w:rPr>
        <w:fldChar w:fldCharType="end"/>
      </w:r>
      <w:bookmarkEnd w:id="106"/>
      <w:r w:rsidRPr="00614438">
        <w:rPr>
          <w:rFonts w:ascii="Times New Roman" w:hAnsi="Times New Roman" w:cs="Times New Roman"/>
          <w:sz w:val="24"/>
          <w:szCs w:val="24"/>
        </w:rPr>
        <w:t>: Annual trajectory of FEC and PEC</w:t>
      </w:r>
      <w:bookmarkEnd w:id="107"/>
    </w:p>
    <w:tbl>
      <w:tblPr>
        <w:tblStyle w:val="GridTable4-Accent11"/>
        <w:tblW w:w="0" w:type="auto"/>
        <w:jc w:val="center"/>
        <w:tblLayout w:type="fixed"/>
        <w:tblLook w:val="04A0" w:firstRow="1" w:lastRow="0" w:firstColumn="1" w:lastColumn="0" w:noHBand="0" w:noVBand="1"/>
      </w:tblPr>
      <w:tblGrid>
        <w:gridCol w:w="2990"/>
        <w:gridCol w:w="828"/>
        <w:gridCol w:w="828"/>
        <w:gridCol w:w="828"/>
        <w:gridCol w:w="828"/>
        <w:gridCol w:w="828"/>
        <w:gridCol w:w="828"/>
      </w:tblGrid>
      <w:tr w:rsidR="00614438" w:rsidRPr="003E0710" w14:paraId="536E1356" w14:textId="77777777" w:rsidTr="00614438">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90" w:type="dxa"/>
            <w:hideMark/>
          </w:tcPr>
          <w:p w14:paraId="59840A92" w14:textId="77777777" w:rsidR="00614438" w:rsidRPr="003E0710" w:rsidRDefault="00614438" w:rsidP="003E0710">
            <w:pPr>
              <w:spacing w:line="259" w:lineRule="auto"/>
              <w:jc w:val="both"/>
              <w:rPr>
                <w:rFonts w:ascii="Times New Roman" w:hAnsi="Times New Roman" w:cs="Times New Roman"/>
                <w:b w:val="0"/>
                <w:bCs w:val="0"/>
                <w:color w:val="auto"/>
                <w:kern w:val="2"/>
                <w:sz w:val="20"/>
                <w:szCs w:val="20"/>
                <w:lang w:val="en-GB"/>
              </w:rPr>
            </w:pPr>
            <w:r w:rsidRPr="003E0710">
              <w:rPr>
                <w:rFonts w:ascii="Times New Roman" w:hAnsi="Times New Roman" w:cs="Times New Roman"/>
                <w:b w:val="0"/>
                <w:bCs w:val="0"/>
                <w:color w:val="auto"/>
                <w:kern w:val="2"/>
                <w:sz w:val="20"/>
                <w:szCs w:val="20"/>
                <w:lang w:val="en-GB"/>
              </w:rPr>
              <w:t>(Mtoe)</w:t>
            </w:r>
          </w:p>
        </w:tc>
        <w:tc>
          <w:tcPr>
            <w:tcW w:w="828" w:type="dxa"/>
            <w:noWrap/>
            <w:hideMark/>
          </w:tcPr>
          <w:p w14:paraId="39966B44" w14:textId="77777777" w:rsidR="00614438" w:rsidRPr="003E0710" w:rsidRDefault="00614438" w:rsidP="003E0710">
            <w:pPr>
              <w:spacing w:line="259"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kern w:val="2"/>
                <w:sz w:val="20"/>
                <w:szCs w:val="20"/>
                <w:lang w:val="en-GB"/>
              </w:rPr>
            </w:pPr>
            <w:r w:rsidRPr="003E0710">
              <w:rPr>
                <w:rFonts w:ascii="Times New Roman" w:hAnsi="Times New Roman" w:cs="Times New Roman"/>
                <w:b w:val="0"/>
                <w:bCs w:val="0"/>
                <w:color w:val="auto"/>
                <w:kern w:val="2"/>
                <w:sz w:val="20"/>
                <w:szCs w:val="20"/>
                <w:lang w:val="en-GB"/>
              </w:rPr>
              <w:t>2025</w:t>
            </w:r>
          </w:p>
        </w:tc>
        <w:tc>
          <w:tcPr>
            <w:tcW w:w="828" w:type="dxa"/>
            <w:noWrap/>
            <w:hideMark/>
          </w:tcPr>
          <w:p w14:paraId="5A9DDC94" w14:textId="77777777" w:rsidR="00614438" w:rsidRPr="003E0710" w:rsidRDefault="00614438" w:rsidP="003E0710">
            <w:pPr>
              <w:spacing w:line="259"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kern w:val="2"/>
                <w:sz w:val="20"/>
                <w:szCs w:val="20"/>
                <w:lang w:val="en-GB"/>
              </w:rPr>
            </w:pPr>
            <w:r w:rsidRPr="003E0710">
              <w:rPr>
                <w:rFonts w:ascii="Times New Roman" w:hAnsi="Times New Roman" w:cs="Times New Roman"/>
                <w:b w:val="0"/>
                <w:bCs w:val="0"/>
                <w:color w:val="auto"/>
                <w:kern w:val="2"/>
                <w:sz w:val="20"/>
                <w:szCs w:val="20"/>
                <w:lang w:val="en-GB"/>
              </w:rPr>
              <w:t>2026</w:t>
            </w:r>
          </w:p>
        </w:tc>
        <w:tc>
          <w:tcPr>
            <w:tcW w:w="828" w:type="dxa"/>
            <w:noWrap/>
            <w:hideMark/>
          </w:tcPr>
          <w:p w14:paraId="7524018A" w14:textId="77777777" w:rsidR="00614438" w:rsidRPr="003E0710" w:rsidRDefault="00614438" w:rsidP="003E0710">
            <w:pPr>
              <w:spacing w:line="259"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kern w:val="2"/>
                <w:sz w:val="20"/>
                <w:szCs w:val="20"/>
                <w:lang w:val="en-GB"/>
              </w:rPr>
            </w:pPr>
            <w:r w:rsidRPr="003E0710">
              <w:rPr>
                <w:rFonts w:ascii="Times New Roman" w:hAnsi="Times New Roman" w:cs="Times New Roman"/>
                <w:b w:val="0"/>
                <w:bCs w:val="0"/>
                <w:color w:val="auto"/>
                <w:kern w:val="2"/>
                <w:sz w:val="20"/>
                <w:szCs w:val="20"/>
                <w:lang w:val="en-GB"/>
              </w:rPr>
              <w:t>2027</w:t>
            </w:r>
          </w:p>
        </w:tc>
        <w:tc>
          <w:tcPr>
            <w:tcW w:w="828" w:type="dxa"/>
            <w:noWrap/>
            <w:hideMark/>
          </w:tcPr>
          <w:p w14:paraId="015BFAEE" w14:textId="77777777" w:rsidR="00614438" w:rsidRPr="003E0710" w:rsidRDefault="00614438" w:rsidP="003E0710">
            <w:pPr>
              <w:spacing w:line="259"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kern w:val="2"/>
                <w:sz w:val="20"/>
                <w:szCs w:val="20"/>
                <w:lang w:val="en-GB"/>
              </w:rPr>
            </w:pPr>
            <w:r w:rsidRPr="003E0710">
              <w:rPr>
                <w:rFonts w:ascii="Times New Roman" w:hAnsi="Times New Roman" w:cs="Times New Roman"/>
                <w:b w:val="0"/>
                <w:bCs w:val="0"/>
                <w:color w:val="auto"/>
                <w:kern w:val="2"/>
                <w:sz w:val="20"/>
                <w:szCs w:val="20"/>
                <w:lang w:val="en-GB"/>
              </w:rPr>
              <w:t>2028</w:t>
            </w:r>
          </w:p>
        </w:tc>
        <w:tc>
          <w:tcPr>
            <w:tcW w:w="828" w:type="dxa"/>
            <w:noWrap/>
            <w:hideMark/>
          </w:tcPr>
          <w:p w14:paraId="40B6303D" w14:textId="77777777" w:rsidR="00614438" w:rsidRPr="003E0710" w:rsidRDefault="00614438" w:rsidP="003E0710">
            <w:pPr>
              <w:spacing w:line="259"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kern w:val="2"/>
                <w:sz w:val="20"/>
                <w:szCs w:val="20"/>
                <w:lang w:val="en-GB"/>
              </w:rPr>
            </w:pPr>
            <w:r w:rsidRPr="003E0710">
              <w:rPr>
                <w:rFonts w:ascii="Times New Roman" w:hAnsi="Times New Roman" w:cs="Times New Roman"/>
                <w:b w:val="0"/>
                <w:bCs w:val="0"/>
                <w:color w:val="auto"/>
                <w:kern w:val="2"/>
                <w:sz w:val="20"/>
                <w:szCs w:val="20"/>
                <w:lang w:val="en-GB"/>
              </w:rPr>
              <w:t>2029</w:t>
            </w:r>
          </w:p>
        </w:tc>
        <w:tc>
          <w:tcPr>
            <w:tcW w:w="828" w:type="dxa"/>
            <w:noWrap/>
            <w:hideMark/>
          </w:tcPr>
          <w:p w14:paraId="28655B58" w14:textId="77777777" w:rsidR="00614438" w:rsidRPr="003E0710" w:rsidRDefault="00614438" w:rsidP="003E0710">
            <w:pPr>
              <w:spacing w:line="259"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kern w:val="2"/>
                <w:sz w:val="20"/>
                <w:szCs w:val="20"/>
                <w:lang w:val="en-GB"/>
              </w:rPr>
            </w:pPr>
            <w:r w:rsidRPr="003E0710">
              <w:rPr>
                <w:rFonts w:ascii="Times New Roman" w:hAnsi="Times New Roman" w:cs="Times New Roman"/>
                <w:b w:val="0"/>
                <w:bCs w:val="0"/>
                <w:color w:val="auto"/>
                <w:kern w:val="2"/>
                <w:sz w:val="20"/>
                <w:szCs w:val="20"/>
                <w:lang w:val="en-GB"/>
              </w:rPr>
              <w:t>2030</w:t>
            </w:r>
          </w:p>
        </w:tc>
      </w:tr>
      <w:tr w:rsidR="00614438" w:rsidRPr="003E0710" w14:paraId="09B07F5F" w14:textId="77777777" w:rsidTr="0061443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9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14:paraId="40E8B850" w14:textId="77777777" w:rsidR="00614438" w:rsidRPr="003E0710" w:rsidRDefault="00614438" w:rsidP="003E0710">
            <w:pPr>
              <w:spacing w:line="259" w:lineRule="auto"/>
              <w:jc w:val="both"/>
              <w:rPr>
                <w:rFonts w:ascii="Times New Roman" w:hAnsi="Times New Roman" w:cs="Times New Roman"/>
                <w:b w:val="0"/>
                <w:bCs w:val="0"/>
                <w:kern w:val="2"/>
                <w:sz w:val="20"/>
                <w:szCs w:val="20"/>
                <w:lang w:val="en-GB"/>
              </w:rPr>
            </w:pPr>
            <w:r w:rsidRPr="003E0710">
              <w:rPr>
                <w:rFonts w:ascii="Times New Roman" w:hAnsi="Times New Roman" w:cs="Times New Roman"/>
                <w:b w:val="0"/>
                <w:bCs w:val="0"/>
                <w:kern w:val="2"/>
                <w:sz w:val="20"/>
                <w:szCs w:val="20"/>
                <w:lang w:val="en-GB"/>
              </w:rPr>
              <w:t>Final Energy Consumption</w:t>
            </w:r>
          </w:p>
        </w:tc>
        <w:tc>
          <w:tcPr>
            <w:tcW w:w="828"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3AF3A862" w14:textId="77777777" w:rsidR="00614438" w:rsidRPr="003E0710" w:rsidRDefault="00614438" w:rsidP="003E0710">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9.3</w:t>
            </w:r>
          </w:p>
        </w:tc>
        <w:tc>
          <w:tcPr>
            <w:tcW w:w="828"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308F90D8" w14:textId="77777777" w:rsidR="00614438" w:rsidRPr="003E0710" w:rsidRDefault="00614438" w:rsidP="003E0710">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9.3</w:t>
            </w:r>
          </w:p>
        </w:tc>
        <w:tc>
          <w:tcPr>
            <w:tcW w:w="828"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0EB46EC3" w14:textId="77777777" w:rsidR="00614438" w:rsidRPr="003E0710" w:rsidRDefault="00614438" w:rsidP="003E0710">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9.4</w:t>
            </w:r>
          </w:p>
        </w:tc>
        <w:tc>
          <w:tcPr>
            <w:tcW w:w="828"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3B09DC79" w14:textId="77777777" w:rsidR="00614438" w:rsidRPr="003E0710" w:rsidRDefault="00614438" w:rsidP="003E0710">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9.5</w:t>
            </w:r>
          </w:p>
        </w:tc>
        <w:tc>
          <w:tcPr>
            <w:tcW w:w="828"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045BD930" w14:textId="77777777" w:rsidR="00614438" w:rsidRPr="003E0710" w:rsidRDefault="00614438" w:rsidP="003E0710">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9.6</w:t>
            </w:r>
          </w:p>
        </w:tc>
        <w:tc>
          <w:tcPr>
            <w:tcW w:w="828"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52A7C800" w14:textId="77777777" w:rsidR="00614438" w:rsidRPr="003E0710" w:rsidRDefault="00614438" w:rsidP="003E0710">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9.7</w:t>
            </w:r>
          </w:p>
        </w:tc>
      </w:tr>
      <w:tr w:rsidR="00614438" w:rsidRPr="003E0710" w14:paraId="7E19E177" w14:textId="77777777" w:rsidTr="00614438">
        <w:trPr>
          <w:trHeight w:val="300"/>
          <w:jc w:val="center"/>
        </w:trPr>
        <w:tc>
          <w:tcPr>
            <w:cnfStyle w:val="001000000000" w:firstRow="0" w:lastRow="0" w:firstColumn="1" w:lastColumn="0" w:oddVBand="0" w:evenVBand="0" w:oddHBand="0" w:evenHBand="0" w:firstRowFirstColumn="0" w:firstRowLastColumn="0" w:lastRowFirstColumn="0" w:lastRowLastColumn="0"/>
            <w:tcW w:w="299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14:paraId="53130B0B" w14:textId="77777777" w:rsidR="00614438" w:rsidRPr="003E0710" w:rsidRDefault="00614438" w:rsidP="003E0710">
            <w:pPr>
              <w:spacing w:line="259" w:lineRule="auto"/>
              <w:jc w:val="both"/>
              <w:rPr>
                <w:rFonts w:ascii="Times New Roman" w:hAnsi="Times New Roman" w:cs="Times New Roman"/>
                <w:b w:val="0"/>
                <w:bCs w:val="0"/>
                <w:kern w:val="2"/>
                <w:sz w:val="20"/>
                <w:szCs w:val="20"/>
                <w:lang w:val="en-GB"/>
              </w:rPr>
            </w:pPr>
            <w:r w:rsidRPr="003E0710">
              <w:rPr>
                <w:rFonts w:ascii="Times New Roman" w:hAnsi="Times New Roman" w:cs="Times New Roman"/>
                <w:b w:val="0"/>
                <w:bCs w:val="0"/>
                <w:kern w:val="2"/>
                <w:sz w:val="20"/>
                <w:szCs w:val="20"/>
                <w:lang w:val="en-GB"/>
              </w:rPr>
              <w:t>Primary Energy Consumption</w:t>
            </w:r>
          </w:p>
        </w:tc>
        <w:tc>
          <w:tcPr>
            <w:tcW w:w="828"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1C9B934B" w14:textId="77777777" w:rsidR="00614438" w:rsidRPr="003E0710" w:rsidRDefault="00614438" w:rsidP="003E0710">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15.15</w:t>
            </w:r>
          </w:p>
        </w:tc>
        <w:tc>
          <w:tcPr>
            <w:tcW w:w="828"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176E661C" w14:textId="77777777" w:rsidR="00614438" w:rsidRPr="003E0710" w:rsidRDefault="00614438" w:rsidP="003E0710">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15.09</w:t>
            </w:r>
          </w:p>
        </w:tc>
        <w:tc>
          <w:tcPr>
            <w:tcW w:w="828"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01500D0D" w14:textId="77777777" w:rsidR="00614438" w:rsidRPr="003E0710" w:rsidRDefault="00614438" w:rsidP="003E0710">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15.11</w:t>
            </w:r>
          </w:p>
        </w:tc>
        <w:tc>
          <w:tcPr>
            <w:tcW w:w="828"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77116D22" w14:textId="77777777" w:rsidR="00614438" w:rsidRPr="003E0710" w:rsidRDefault="00614438" w:rsidP="003E0710">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15.06</w:t>
            </w:r>
          </w:p>
        </w:tc>
        <w:tc>
          <w:tcPr>
            <w:tcW w:w="828"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7294A125" w14:textId="77777777" w:rsidR="00614438" w:rsidRPr="003E0710" w:rsidRDefault="00614438" w:rsidP="003E0710">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14.83</w:t>
            </w:r>
          </w:p>
        </w:tc>
        <w:tc>
          <w:tcPr>
            <w:tcW w:w="828"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4AF6EE1E" w14:textId="77777777" w:rsidR="00614438" w:rsidRPr="003E0710" w:rsidRDefault="00614438" w:rsidP="003E0710">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lang w:val="en-GB"/>
              </w:rPr>
            </w:pPr>
            <w:r w:rsidRPr="003E0710">
              <w:rPr>
                <w:rFonts w:ascii="Times New Roman" w:hAnsi="Times New Roman" w:cs="Times New Roman"/>
                <w:kern w:val="2"/>
                <w:sz w:val="20"/>
                <w:szCs w:val="20"/>
                <w:lang w:val="en-GB"/>
              </w:rPr>
              <w:t>14.68</w:t>
            </w:r>
          </w:p>
        </w:tc>
      </w:tr>
    </w:tbl>
    <w:p w14:paraId="41EB9A00" w14:textId="77777777" w:rsidR="00962CD2" w:rsidRDefault="00962CD2" w:rsidP="00614438">
      <w:pPr>
        <w:jc w:val="both"/>
        <w:rPr>
          <w:rFonts w:ascii="Times New Roman" w:hAnsi="Times New Roman" w:cs="Times New Roman"/>
          <w:sz w:val="24"/>
          <w:szCs w:val="24"/>
          <w:lang w:val="en-GB"/>
        </w:rPr>
      </w:pPr>
    </w:p>
    <w:p w14:paraId="067FD0F0" w14:textId="77777777" w:rsidR="00614438" w:rsidRPr="00614438" w:rsidRDefault="00614438" w:rsidP="00962CD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An additional energy saving target has been specified according to the provisions of Article 7 of Directive 2012/27/EU. Moreover, specifically, 506 ktoe of cumulative final energy savings should be achieved by the implementation of energy efficiency measures over the period 2024-2030.</w:t>
      </w:r>
    </w:p>
    <w:p w14:paraId="707F3FFB" w14:textId="77777777" w:rsidR="00614438" w:rsidRPr="00614438" w:rsidRDefault="00614438" w:rsidP="00962CD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need to renovate the existing building stock is indisputable, leading not only to significant energy and cost savings but improving simultaneously the comfort, safety and health conditions in the renovated buildings. The renovation rates, estimated within the framework of the Long-term Strategy for Encouraging Investments in Renovation of the National Building Stock of the Republic of Serbia by 2050 </w:t>
      </w:r>
      <w:r w:rsidR="00962CD2">
        <w:rPr>
          <w:rFonts w:ascii="Times New Roman" w:hAnsi="Times New Roman" w:cs="Times New Roman"/>
          <w:sz w:val="24"/>
          <w:szCs w:val="24"/>
          <w:lang w:val="en-GB"/>
        </w:rPr>
        <w:t>in</w:t>
      </w:r>
      <w:r w:rsidRPr="00614438">
        <w:rPr>
          <w:rFonts w:ascii="Times New Roman" w:hAnsi="Times New Roman" w:cs="Times New Roman"/>
          <w:sz w:val="24"/>
          <w:szCs w:val="24"/>
          <w:lang w:val="en-GB"/>
        </w:rPr>
        <w:t xml:space="preserve"> the case of the residential and non-residential buildings have been taken into </w:t>
      </w:r>
      <w:r w:rsidRPr="00614438">
        <w:rPr>
          <w:rFonts w:ascii="Times New Roman" w:hAnsi="Times New Roman" w:cs="Times New Roman"/>
          <w:sz w:val="24"/>
          <w:szCs w:val="24"/>
          <w:lang w:val="en-GB"/>
        </w:rPr>
        <w:lastRenderedPageBreak/>
        <w:t>consideration within the framework of the INECP until 2030 in order to ensure their full alignment and to facilitate the sufficient renovation of the building stock.</w:t>
      </w:r>
    </w:p>
    <w:p w14:paraId="5CC6743F" w14:textId="77777777" w:rsidR="00614438" w:rsidRPr="00614438" w:rsidRDefault="00614438" w:rsidP="00962CD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Finally, the implementation of the planned policies and measures in the end-users for improving the energy efficiency requires the design of efficient financing mechanisms in order to increase and maximize the current levels of own funds leverage. The active involvement of the financial sector and the promotion of innovative financing instruments, including the promotion of energy performance contracts and energy services, are critical parameters for attaining this objective. The Energy Efficiency Directorate will play a special role for the creation and implementation of financing mechanism. The capacities of the Directorate should be strengthened in the coming period, and its legal status should be further improved. This will enable the implementation of adequate financial mechanisms for the promotion of EE. The Directorate is already implementing activities for the financing of energy efficiency improvements in households and in public sector buildings at the local level as previously described.</w:t>
      </w:r>
    </w:p>
    <w:p w14:paraId="44667CAA" w14:textId="77777777" w:rsidR="00614438" w:rsidRPr="00614438" w:rsidRDefault="00962CD2" w:rsidP="00962CD2">
      <w:pPr>
        <w:jc w:val="center"/>
        <w:rPr>
          <w:rFonts w:ascii="Times New Roman" w:hAnsi="Times New Roman" w:cs="Times New Roman"/>
          <w:sz w:val="24"/>
          <w:szCs w:val="24"/>
          <w:lang w:val="en-GB"/>
        </w:rPr>
      </w:pPr>
      <w:bookmarkStart w:id="108" w:name="_bookmark43"/>
      <w:bookmarkStart w:id="109" w:name="_Toc153545039"/>
      <w:bookmarkStart w:id="110" w:name="_Toc118991769"/>
      <w:bookmarkEnd w:id="108"/>
      <w:r>
        <w:rPr>
          <w:rFonts w:ascii="Times New Roman" w:hAnsi="Times New Roman" w:cs="Times New Roman"/>
          <w:sz w:val="24"/>
          <w:szCs w:val="24"/>
          <w:lang w:val="en-GB"/>
        </w:rPr>
        <w:t xml:space="preserve">2.4 </w:t>
      </w:r>
      <w:r w:rsidR="00614438" w:rsidRPr="00614438">
        <w:rPr>
          <w:rFonts w:ascii="Times New Roman" w:hAnsi="Times New Roman" w:cs="Times New Roman"/>
          <w:sz w:val="24"/>
          <w:szCs w:val="24"/>
          <w:lang w:val="en-GB"/>
        </w:rPr>
        <w:t>Energy security</w:t>
      </w:r>
      <w:bookmarkEnd w:id="109"/>
      <w:bookmarkEnd w:id="110"/>
    </w:p>
    <w:p w14:paraId="2AC94F30" w14:textId="77777777" w:rsidR="00614438" w:rsidRPr="00614438" w:rsidRDefault="00614438" w:rsidP="00665B49">
      <w:pPr>
        <w:ind w:firstLine="720"/>
        <w:jc w:val="both"/>
        <w:rPr>
          <w:rFonts w:ascii="Times New Roman" w:hAnsi="Times New Roman" w:cs="Times New Roman"/>
          <w:sz w:val="24"/>
          <w:szCs w:val="24"/>
          <w:lang w:val="en-GB"/>
        </w:rPr>
      </w:pPr>
      <w:bookmarkStart w:id="111" w:name="_bookmark44"/>
      <w:bookmarkEnd w:id="111"/>
      <w:r w:rsidRPr="00614438">
        <w:rPr>
          <w:rFonts w:ascii="Times New Roman" w:hAnsi="Times New Roman" w:cs="Times New Roman"/>
          <w:sz w:val="24"/>
          <w:szCs w:val="24"/>
          <w:lang w:val="en-GB"/>
        </w:rPr>
        <w:t>The diversification of energy sources and fuel supplying countries is the main objective of the INECP for the dimension of energy security. More specifically, policies and measures will be launched to strengthen the diversification of energy sources in order to prevent the dependence on just one fuel or just one country. The achieved diversification will increase the competitiveness between fuels and suppliers from third countries leading to reduced energy prices, enhancing the security of supply and also protecting the supply of energy in the event of an energy crisis at regional level.</w:t>
      </w:r>
    </w:p>
    <w:p w14:paraId="07EFBE94" w14:textId="77777777" w:rsidR="00614438" w:rsidRPr="00614438" w:rsidRDefault="00614438" w:rsidP="00665B49">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Obviously, the optimal utilization of domestic energy sources should be ensured to enhance the energy security. The identification of the existing potential and the most cost-effective utilization of domestic energy sources is essential target within the framework of the INECP. Emphasis will be given on the utilization and use of RES potential, both for electricity production and for direct use in end-uses contributing substantially towards energy security.</w:t>
      </w:r>
    </w:p>
    <w:p w14:paraId="136EFAF3" w14:textId="77777777" w:rsidR="00614438" w:rsidRPr="00614438" w:rsidRDefault="00614438" w:rsidP="00665B49">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Strengthening the geopolitical role of the Republic of Serbia constitutes another vital objective. Therefore, it is urgent to complete the existing interconnections and to design new international interconnections with pipelines from neighbouring countries. Furthermore, these actions will also contribute to the diversification of energy sources and supply routes from third countries. Several cross-border / international natural gas transportation projects will be promoted, enhancing the diversification of energy sources and, in conjunction with the promotion of natural gas storage projects, ensuring the adequacy in the case of a natural gas shortage.</w:t>
      </w:r>
    </w:p>
    <w:p w14:paraId="239E052F" w14:textId="77777777" w:rsidR="00614438" w:rsidRPr="00614438" w:rsidRDefault="00614438" w:rsidP="00665B49">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stabilization of the energy dependency rate is another important objective within the INECP. The current energy dependency is relatively low and it is imperative to restrain it in similar levels due to the high penetration of petroleum products and, to a lesser degree, natural gas. Consequently, the energy dependency should not surpass the level of 41% in 2030.</w:t>
      </w:r>
    </w:p>
    <w:p w14:paraId="0039ABCD" w14:textId="77777777" w:rsidR="00614438" w:rsidRPr="00614438" w:rsidRDefault="00614438" w:rsidP="00207EE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Finally, another objective is to ensure the required electricity system adequacy in order to attain a minimum level of reliability for covering the demand for electricity, in conjunction with the decision to reduce the electricity production by lignite plants. To attain this objective, it will be necessary to adopt mechanisms for strengthening the flexibility of the system with additional electricity production capacity or promoting a demand response scheme.</w:t>
      </w:r>
    </w:p>
    <w:p w14:paraId="3F809524" w14:textId="77777777" w:rsidR="00614438" w:rsidRPr="00614438" w:rsidRDefault="00FF4407" w:rsidP="00FF4407">
      <w:pPr>
        <w:jc w:val="center"/>
        <w:rPr>
          <w:rFonts w:ascii="Times New Roman" w:hAnsi="Times New Roman" w:cs="Times New Roman"/>
          <w:sz w:val="24"/>
          <w:szCs w:val="24"/>
          <w:lang w:val="en-GB"/>
        </w:rPr>
      </w:pPr>
      <w:bookmarkStart w:id="112" w:name="_bookmark46"/>
      <w:bookmarkStart w:id="113" w:name="_Toc153545040"/>
      <w:bookmarkStart w:id="114" w:name="_Toc118991770"/>
      <w:bookmarkEnd w:id="112"/>
      <w:r>
        <w:rPr>
          <w:rFonts w:ascii="Times New Roman" w:hAnsi="Times New Roman" w:cs="Times New Roman"/>
          <w:sz w:val="24"/>
          <w:szCs w:val="24"/>
          <w:lang w:val="en-GB"/>
        </w:rPr>
        <w:t xml:space="preserve">2.5 </w:t>
      </w:r>
      <w:r w:rsidR="00614438" w:rsidRPr="00614438">
        <w:rPr>
          <w:rFonts w:ascii="Times New Roman" w:hAnsi="Times New Roman" w:cs="Times New Roman"/>
          <w:sz w:val="24"/>
          <w:szCs w:val="24"/>
          <w:lang w:val="en-GB"/>
        </w:rPr>
        <w:t>Internal energy market</w:t>
      </w:r>
      <w:bookmarkEnd w:id="113"/>
      <w:bookmarkEnd w:id="114"/>
    </w:p>
    <w:p w14:paraId="42E64C5D" w14:textId="77777777" w:rsidR="00614438" w:rsidRPr="00614438" w:rsidRDefault="00614438" w:rsidP="00A73ABD">
      <w:pPr>
        <w:ind w:firstLine="720"/>
        <w:jc w:val="both"/>
        <w:rPr>
          <w:rFonts w:ascii="Times New Roman" w:hAnsi="Times New Roman" w:cs="Times New Roman"/>
          <w:sz w:val="24"/>
          <w:szCs w:val="24"/>
          <w:lang w:val="en-GB"/>
        </w:rPr>
      </w:pPr>
      <w:bookmarkStart w:id="115" w:name="_bookmark47"/>
      <w:bookmarkEnd w:id="115"/>
      <w:r w:rsidRPr="00614438">
        <w:rPr>
          <w:rFonts w:ascii="Times New Roman" w:hAnsi="Times New Roman" w:cs="Times New Roman"/>
          <w:sz w:val="24"/>
          <w:szCs w:val="24"/>
          <w:lang w:val="en-GB"/>
        </w:rPr>
        <w:lastRenderedPageBreak/>
        <w:t>The market integration and the establishment of competitive energy markets will be promoted within the dimension of internal energy market. The required reforms will be initiated for harmonizing the domestic markets in electricity and natural gas with the EU directives and regulations on the respective markets.</w:t>
      </w:r>
    </w:p>
    <w:p w14:paraId="180C5C30" w14:textId="77777777" w:rsidR="00614438" w:rsidRPr="00614438" w:rsidRDefault="00614438" w:rsidP="00A73ABD">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coupling of the energy markets will, due to improved energy flows via the interconnections (minimum cross-zonal capacity target of 70%), help to increase the liquidity of the interconnected markets and enable the participation of RES in the cross-border trade of electricity.</w:t>
      </w:r>
    </w:p>
    <w:p w14:paraId="2D394D18" w14:textId="77777777" w:rsidR="00614438" w:rsidRPr="00614438" w:rsidRDefault="00614438" w:rsidP="00A73ABD">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participation in the new energy markets will allow RES to have the incentive and the capability to balance their production closer to real time, thus reducing the needs and the associated costs for reserves and increasing the system security.</w:t>
      </w:r>
    </w:p>
    <w:p w14:paraId="0A4F5947" w14:textId="77777777" w:rsidR="00614438" w:rsidRPr="00614438" w:rsidRDefault="00614438" w:rsidP="00A73ABD">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Another objective is also to strengthen the role of electricity market consumers by increasing demand-side participation in the electricity market and to promote the deployment of storage systems that will ensure lower energy prices and will strengthen the penetration of RES and electricity system adequacy.</w:t>
      </w:r>
    </w:p>
    <w:p w14:paraId="2120BE2E" w14:textId="77777777" w:rsidR="00614438" w:rsidRPr="00614438" w:rsidRDefault="00614438" w:rsidP="00A73ABD">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digitization of the energy system is a prerequisite for the development of properly operational and competitive domestic energy markets and for the optimal implementation and use of all technological applications and market mechanisms that can be developed in the context of the energy markets. Emphasis will be placed, through the operators’ development programmes, on planning and implementing the relevant infrastructure projects, information systems, control centres and metering devices that will allow for the complete transition from the current energy system to a fully digitized one, also ensuring the secure management of the consumer data.</w:t>
      </w:r>
    </w:p>
    <w:p w14:paraId="002CA5D5" w14:textId="77777777" w:rsidR="00614438" w:rsidRPr="00614438" w:rsidRDefault="00614438" w:rsidP="00A73ABD">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alleviation of energy poverty is perceived also as an objective taking into account that it has worsened gradually due to the energy crisis. The reduction of energy poverty by 75% in 2030 compared to 2020 has been set as national target.</w:t>
      </w:r>
    </w:p>
    <w:p w14:paraId="4BE29BEB" w14:textId="77777777" w:rsidR="00614438" w:rsidRPr="00614438" w:rsidRDefault="00614438" w:rsidP="000F3E4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Finally, the contribution of self-consumption and local energy community schemes is twofold, as they will contribute both to the implementation of RES and energy efficiency investments, as presented previously, and to the more active participation of the local community strengthening of the role of consumers. The quantitative objective has been specified to install and operate new self-consumption scheme with an installed capacity equal to 0.5 GW (mainly Roof top photovoltaic systems) in 2030.</w:t>
      </w:r>
      <w:bookmarkStart w:id="116" w:name="_bookmark48"/>
      <w:bookmarkEnd w:id="116"/>
    </w:p>
    <w:p w14:paraId="4F846169" w14:textId="77777777" w:rsidR="00614438" w:rsidRPr="00614438" w:rsidRDefault="00EC02F6" w:rsidP="00EC02F6">
      <w:pPr>
        <w:jc w:val="center"/>
        <w:rPr>
          <w:rFonts w:ascii="Times New Roman" w:hAnsi="Times New Roman" w:cs="Times New Roman"/>
          <w:sz w:val="24"/>
          <w:szCs w:val="24"/>
          <w:lang w:val="en-GB"/>
        </w:rPr>
      </w:pPr>
      <w:bookmarkStart w:id="117" w:name="_bookmark49"/>
      <w:bookmarkStart w:id="118" w:name="_Toc153545041"/>
      <w:bookmarkStart w:id="119" w:name="_Toc118991771"/>
      <w:bookmarkEnd w:id="117"/>
      <w:r>
        <w:rPr>
          <w:rFonts w:ascii="Times New Roman" w:hAnsi="Times New Roman" w:cs="Times New Roman"/>
          <w:sz w:val="24"/>
          <w:szCs w:val="24"/>
          <w:lang w:val="en-GB"/>
        </w:rPr>
        <w:t xml:space="preserve">2.6 </w:t>
      </w:r>
      <w:r w:rsidR="00614438" w:rsidRPr="00614438">
        <w:rPr>
          <w:rFonts w:ascii="Times New Roman" w:hAnsi="Times New Roman" w:cs="Times New Roman"/>
          <w:sz w:val="24"/>
          <w:szCs w:val="24"/>
          <w:lang w:val="en-GB"/>
        </w:rPr>
        <w:t>Research, innovation and competitiveness</w:t>
      </w:r>
      <w:bookmarkEnd w:id="118"/>
      <w:bookmarkEnd w:id="119"/>
    </w:p>
    <w:p w14:paraId="2499D59C" w14:textId="77777777" w:rsidR="00614438" w:rsidRPr="00614438" w:rsidRDefault="00614438" w:rsidP="000F3E42">
      <w:pPr>
        <w:ind w:firstLine="720"/>
        <w:jc w:val="both"/>
        <w:rPr>
          <w:rFonts w:ascii="Times New Roman" w:hAnsi="Times New Roman" w:cs="Times New Roman"/>
          <w:sz w:val="24"/>
          <w:szCs w:val="24"/>
          <w:lang w:val="en-GB"/>
        </w:rPr>
      </w:pPr>
      <w:bookmarkStart w:id="120" w:name="_bookmark50"/>
      <w:bookmarkEnd w:id="120"/>
      <w:r w:rsidRPr="00614438">
        <w:rPr>
          <w:rFonts w:ascii="Times New Roman" w:hAnsi="Times New Roman" w:cs="Times New Roman"/>
          <w:sz w:val="24"/>
          <w:szCs w:val="24"/>
          <w:lang w:val="en-GB"/>
        </w:rPr>
        <w:t>The promotion of research and innovation will continue to be a priority through supporting innovative technologies, which will contribute to the fulfilment of the energy and climate targets. The annual expenditure for the further support of the research and technological development is expected to double in 2030 compared to 2020.</w:t>
      </w:r>
    </w:p>
    <w:p w14:paraId="3CA47AB1" w14:textId="77777777" w:rsidR="00614438" w:rsidRPr="00614438" w:rsidRDefault="00614438" w:rsidP="00035E21">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improvement of the energy intensity and greenhouse gas emissions intensity will manage to increase the competitiveness of Serbian economy. More specifically, the adoption of targeted energy efficiency policies and measures will contribute to both to reduce energy costs and to enhance the competitiveness of the various economic sectors.</w:t>
      </w:r>
    </w:p>
    <w:p w14:paraId="0D03BAE9" w14:textId="77777777" w:rsidR="00614438" w:rsidRPr="00614438" w:rsidRDefault="00614438" w:rsidP="00035E21">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view of the commitment of the Government of Serbia </w:t>
      </w:r>
      <w:r w:rsidR="00035E21">
        <w:rPr>
          <w:rFonts w:ascii="Times New Roman" w:hAnsi="Times New Roman" w:cs="Times New Roman"/>
          <w:sz w:val="24"/>
          <w:szCs w:val="24"/>
          <w:lang w:val="en-GB"/>
        </w:rPr>
        <w:t>to</w:t>
      </w:r>
      <w:r w:rsidRPr="00614438">
        <w:rPr>
          <w:rFonts w:ascii="Times New Roman" w:hAnsi="Times New Roman" w:cs="Times New Roman"/>
          <w:sz w:val="24"/>
          <w:szCs w:val="24"/>
          <w:lang w:val="en-GB"/>
        </w:rPr>
        <w:t xml:space="preserve"> the </w:t>
      </w:r>
      <w:r w:rsidR="00035E21">
        <w:rPr>
          <w:rFonts w:ascii="Times New Roman" w:hAnsi="Times New Roman" w:cs="Times New Roman"/>
          <w:sz w:val="24"/>
          <w:szCs w:val="24"/>
          <w:lang w:val="en-GB"/>
        </w:rPr>
        <w:t xml:space="preserve">goal of the </w:t>
      </w:r>
      <w:r w:rsidRPr="00614438">
        <w:rPr>
          <w:rFonts w:ascii="Times New Roman" w:hAnsi="Times New Roman" w:cs="Times New Roman"/>
          <w:sz w:val="24"/>
          <w:szCs w:val="24"/>
          <w:lang w:val="en-GB"/>
        </w:rPr>
        <w:t>Sofia declaration, the potential of Carbon Capture, Utilisation and Storage (CCUS</w:t>
      </w:r>
      <w:r w:rsidRPr="00614438">
        <w:rPr>
          <w:rFonts w:ascii="Times New Roman" w:hAnsi="Times New Roman" w:cs="Times New Roman"/>
          <w:sz w:val="24"/>
          <w:szCs w:val="24"/>
        </w:rPr>
        <w:t xml:space="preserve">) </w:t>
      </w:r>
      <w:r w:rsidRPr="00614438">
        <w:rPr>
          <w:rFonts w:ascii="Times New Roman" w:hAnsi="Times New Roman" w:cs="Times New Roman"/>
          <w:sz w:val="24"/>
          <w:szCs w:val="24"/>
          <w:lang w:val="en-GB"/>
        </w:rPr>
        <w:t xml:space="preserve">options should be investigated in detail </w:t>
      </w:r>
      <w:r w:rsidR="00035E21">
        <w:rPr>
          <w:rFonts w:ascii="Times New Roman" w:hAnsi="Times New Roman" w:cs="Times New Roman"/>
          <w:sz w:val="24"/>
          <w:szCs w:val="24"/>
          <w:lang w:val="en-GB"/>
        </w:rPr>
        <w:t>on</w:t>
      </w:r>
      <w:r w:rsidRPr="00614438">
        <w:rPr>
          <w:rFonts w:ascii="Times New Roman" w:hAnsi="Times New Roman" w:cs="Times New Roman"/>
          <w:sz w:val="24"/>
          <w:szCs w:val="24"/>
          <w:lang w:val="en-GB"/>
        </w:rPr>
        <w:t xml:space="preserve"> the long-term. The aim would be to capture unavoidable carbon dioxide emissions and utilize them further in industrial applications or store them. An analysis of the potential of </w:t>
      </w:r>
      <w:r w:rsidR="00035E21" w:rsidRPr="00F10D1E">
        <w:rPr>
          <w:rFonts w:ascii="Times New Roman" w:eastAsia="Times New Roman" w:hAnsi="Times New Roman" w:cs="Times New Roman"/>
          <w:sz w:val="24"/>
          <w:szCs w:val="24"/>
        </w:rPr>
        <w:t>CO</w:t>
      </w:r>
      <w:r w:rsidR="00035E21" w:rsidRPr="00F10D1E">
        <w:rPr>
          <w:rFonts w:ascii="Times New Roman" w:eastAsia="Times New Roman" w:hAnsi="Times New Roman" w:cs="Times New Roman"/>
          <w:sz w:val="24"/>
          <w:szCs w:val="24"/>
          <w:vertAlign w:val="subscript"/>
        </w:rPr>
        <w:t>2</w:t>
      </w:r>
      <w:r w:rsidR="00035E21" w:rsidRPr="00F10D1E">
        <w:rPr>
          <w:rFonts w:ascii="Times New Roman" w:eastAsia="Times New Roman" w:hAnsi="Times New Roman" w:cs="Times New Roman"/>
          <w:sz w:val="24"/>
          <w:szCs w:val="24"/>
        </w:rPr>
        <w:t xml:space="preserve"> </w:t>
      </w:r>
      <w:r w:rsidRPr="00614438">
        <w:rPr>
          <w:rFonts w:ascii="Times New Roman" w:hAnsi="Times New Roman" w:cs="Times New Roman"/>
          <w:sz w:val="24"/>
          <w:szCs w:val="24"/>
          <w:lang w:val="en-GB"/>
        </w:rPr>
        <w:t xml:space="preserve">storage </w:t>
      </w:r>
      <w:r w:rsidRPr="00614438">
        <w:rPr>
          <w:rFonts w:ascii="Times New Roman" w:hAnsi="Times New Roman" w:cs="Times New Roman"/>
          <w:sz w:val="24"/>
          <w:szCs w:val="24"/>
          <w:lang w:val="en-GB"/>
        </w:rPr>
        <w:lastRenderedPageBreak/>
        <w:t>options in Serbia would be necessary and further research and demonstration activities would be implemented. The expected adoption of the Directive 2009/31/EC on the geological storage of carbon dioxide by the Ministerial Council of the EnC, will set the scene for the future implementation of CCUS projects in the region and in Serbia in particular.</w:t>
      </w:r>
    </w:p>
    <w:p w14:paraId="6326319E" w14:textId="77777777" w:rsidR="00614438" w:rsidRPr="00614438" w:rsidRDefault="00614438" w:rsidP="009E2740">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reduction of the energy cost will make the energy products more accessible to all consumers. The design of the required policies and measures will take into account the purchasing power of consumers and their special groups, as well as any specificities related to local characteristics, such as those of rural areas. Maintaining an average cost of energy products below the European average end-user level has been set as a goal within the INECP.</w:t>
      </w:r>
    </w:p>
    <w:p w14:paraId="4B4A6459"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domestic added value of the energy sector will be increased with the identification and promotion of innovative applications and services in the energy sector with high domestic added value increasing the gross domestic product and enhancing the sustainability of the energy sector. In addition, this objective also ensures an increase in the number of direct and indirect jobs due to activities in the energy sector.</w:t>
      </w:r>
    </w:p>
    <w:p w14:paraId="7FF87E06"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Finally, the policies and measures, which will be integrated into the Just Transition Action Plan, will be implemented in the areas that will be affected most by the transition to a low-carbon economy. The challenges faced in the lignite-dependent areas during the transition to a low-carbon economy can be tackled with tailored solutions to support the structural transformation and to accelerate the process of economic diversification and technological transition. The aim is to elaborate a sustainable even regional development strategy, focusing on sectors with dynamic prospects in terms of output, employment and income indicators.</w:t>
      </w:r>
    </w:p>
    <w:p w14:paraId="7B07A842" w14:textId="77777777" w:rsidR="00614438" w:rsidRPr="00614438" w:rsidRDefault="00614438" w:rsidP="00614438">
      <w:pPr>
        <w:jc w:val="both"/>
        <w:rPr>
          <w:rFonts w:ascii="Times New Roman" w:hAnsi="Times New Roman" w:cs="Times New Roman"/>
          <w:sz w:val="24"/>
          <w:szCs w:val="24"/>
          <w:lang w:val="en-GB"/>
        </w:rPr>
      </w:pPr>
    </w:p>
    <w:p w14:paraId="6FCEE462" w14:textId="77777777" w:rsidR="00614438" w:rsidRPr="00614438" w:rsidRDefault="008C60AA" w:rsidP="008C60AA">
      <w:pPr>
        <w:jc w:val="center"/>
        <w:rPr>
          <w:rFonts w:ascii="Times New Roman" w:hAnsi="Times New Roman" w:cs="Times New Roman"/>
          <w:sz w:val="24"/>
          <w:szCs w:val="24"/>
          <w:lang w:val="en-GB"/>
        </w:rPr>
      </w:pPr>
      <w:bookmarkStart w:id="121" w:name="_Toc153544449"/>
      <w:bookmarkStart w:id="122" w:name="_Toc153545042"/>
      <w:bookmarkStart w:id="123" w:name="_Toc153544450"/>
      <w:bookmarkStart w:id="124" w:name="_Toc153545043"/>
      <w:bookmarkStart w:id="125" w:name="_Toc79772552"/>
      <w:bookmarkEnd w:id="121"/>
      <w:bookmarkEnd w:id="122"/>
      <w:bookmarkEnd w:id="123"/>
      <w:bookmarkEnd w:id="124"/>
      <w:r>
        <w:rPr>
          <w:rFonts w:ascii="Times New Roman" w:hAnsi="Times New Roman" w:cs="Times New Roman"/>
          <w:sz w:val="24"/>
          <w:szCs w:val="24"/>
          <w:lang w:val="en-GB"/>
        </w:rPr>
        <w:t xml:space="preserve">3. </w:t>
      </w:r>
      <w:r w:rsidR="00614438" w:rsidRPr="00614438">
        <w:rPr>
          <w:rFonts w:ascii="Times New Roman" w:hAnsi="Times New Roman" w:cs="Times New Roman"/>
          <w:sz w:val="24"/>
          <w:szCs w:val="24"/>
          <w:lang w:val="en-GB"/>
        </w:rPr>
        <w:t xml:space="preserve"> </w:t>
      </w:r>
      <w:bookmarkStart w:id="126" w:name="_Toc118991772"/>
      <w:bookmarkStart w:id="127" w:name="_Toc153545044"/>
      <w:r w:rsidR="00614438" w:rsidRPr="00614438">
        <w:rPr>
          <w:rFonts w:ascii="Times New Roman" w:hAnsi="Times New Roman" w:cs="Times New Roman"/>
          <w:sz w:val="24"/>
          <w:szCs w:val="24"/>
          <w:lang w:val="en-GB"/>
        </w:rPr>
        <w:t>POLICIES AND MEASURES</w:t>
      </w:r>
      <w:bookmarkEnd w:id="125"/>
      <w:bookmarkEnd w:id="126"/>
      <w:bookmarkEnd w:id="127"/>
    </w:p>
    <w:p w14:paraId="6F1C7FE8" w14:textId="77777777" w:rsidR="00614438" w:rsidRPr="00614438" w:rsidRDefault="00614438" w:rsidP="008C60A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main existing and planned policies and measures to achieve the objectives and targets presented in Chapter 2, are analysed in the following sections. The analysis includes among others, details on quantified objectives, the timeframe for the implementation, the progress indicators, implementing and monitoring entities, estimated implementation costs and appropriate financing sources where feasible.</w:t>
      </w:r>
    </w:p>
    <w:p w14:paraId="3363CE4F" w14:textId="77777777" w:rsidR="00614438" w:rsidRPr="00614438" w:rsidRDefault="008C60AA" w:rsidP="008C60AA">
      <w:pPr>
        <w:jc w:val="center"/>
        <w:rPr>
          <w:rFonts w:ascii="Times New Roman" w:hAnsi="Times New Roman" w:cs="Times New Roman"/>
          <w:sz w:val="24"/>
          <w:szCs w:val="24"/>
          <w:lang w:val="en-GB"/>
        </w:rPr>
      </w:pPr>
      <w:bookmarkStart w:id="128" w:name="_Toc151036044"/>
      <w:bookmarkStart w:id="129" w:name="_Toc153545045"/>
      <w:bookmarkStart w:id="130" w:name="_Toc118991773"/>
      <w:bookmarkStart w:id="131" w:name="_Toc79772553"/>
      <w:bookmarkEnd w:id="128"/>
      <w:r>
        <w:rPr>
          <w:rFonts w:ascii="Times New Roman" w:hAnsi="Times New Roman" w:cs="Times New Roman"/>
          <w:sz w:val="24"/>
          <w:szCs w:val="24"/>
          <w:lang w:val="en-GB"/>
        </w:rPr>
        <w:t xml:space="preserve">2.7 The </w:t>
      </w:r>
      <w:r w:rsidR="00614438" w:rsidRPr="00614438">
        <w:rPr>
          <w:rFonts w:ascii="Times New Roman" w:hAnsi="Times New Roman" w:cs="Times New Roman"/>
          <w:sz w:val="24"/>
          <w:szCs w:val="24"/>
          <w:lang w:val="en-GB"/>
        </w:rPr>
        <w:t>Decarbonisation</w:t>
      </w:r>
      <w:bookmarkEnd w:id="129"/>
      <w:bookmarkEnd w:id="130"/>
      <w:bookmarkEnd w:id="131"/>
      <w:r w:rsidRPr="008C60AA">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Dimension</w:t>
      </w:r>
    </w:p>
    <w:p w14:paraId="16EE7D40" w14:textId="77777777" w:rsidR="00614438" w:rsidRPr="008C60AA" w:rsidRDefault="00614438" w:rsidP="00485CA7">
      <w:pPr>
        <w:pStyle w:val="ListParagraph"/>
        <w:numPr>
          <w:ilvl w:val="2"/>
          <w:numId w:val="266"/>
        </w:numPr>
        <w:jc w:val="center"/>
        <w:rPr>
          <w:rFonts w:ascii="Times New Roman" w:hAnsi="Times New Roman" w:cs="Times New Roman"/>
          <w:sz w:val="24"/>
          <w:szCs w:val="24"/>
          <w:lang w:val="en-GB"/>
        </w:rPr>
      </w:pPr>
      <w:r w:rsidRPr="008C60AA">
        <w:rPr>
          <w:rFonts w:ascii="Times New Roman" w:hAnsi="Times New Roman" w:cs="Times New Roman"/>
          <w:sz w:val="24"/>
          <w:szCs w:val="24"/>
          <w:lang w:val="en-GB"/>
        </w:rPr>
        <w:t>GHG emissions and</w:t>
      </w:r>
      <w:r w:rsidR="008C60AA" w:rsidRPr="008C60AA">
        <w:rPr>
          <w:rFonts w:ascii="Times New Roman" w:hAnsi="Times New Roman" w:cs="Times New Roman"/>
          <w:sz w:val="24"/>
          <w:szCs w:val="24"/>
          <w:lang w:val="en-GB"/>
        </w:rPr>
        <w:t xml:space="preserve"> their</w:t>
      </w:r>
      <w:r w:rsidRPr="008C60AA">
        <w:rPr>
          <w:rFonts w:ascii="Times New Roman" w:hAnsi="Times New Roman" w:cs="Times New Roman"/>
          <w:sz w:val="24"/>
          <w:szCs w:val="24"/>
          <w:lang w:val="en-GB"/>
        </w:rPr>
        <w:t xml:space="preserve"> reduction</w:t>
      </w:r>
    </w:p>
    <w:p w14:paraId="5647BDD7" w14:textId="77777777" w:rsidR="00614438" w:rsidRPr="00614438" w:rsidRDefault="008C60AA" w:rsidP="008C60AA">
      <w:pPr>
        <w:ind w:left="720"/>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2.7.1.1 </w:t>
      </w:r>
      <w:r w:rsidRPr="008C60AA">
        <w:rPr>
          <w:rFonts w:ascii="Times New Roman" w:hAnsi="Times New Roman" w:cs="Times New Roman"/>
          <w:sz w:val="24"/>
          <w:szCs w:val="24"/>
          <w:lang w:val="en-GB"/>
        </w:rPr>
        <w:t xml:space="preserve">Policies and measures to achieve the goal established on the basis of the Low Carbon Development Strategy of the Republic of Serbia for the period 2023-2030, which include all </w:t>
      </w:r>
      <w:r>
        <w:rPr>
          <w:rFonts w:ascii="Times New Roman" w:hAnsi="Times New Roman" w:cs="Times New Roman"/>
          <w:sz w:val="24"/>
          <w:szCs w:val="24"/>
          <w:lang w:val="en-GB"/>
        </w:rPr>
        <w:t xml:space="preserve">producing </w:t>
      </w:r>
      <w:r w:rsidRPr="008C60AA">
        <w:rPr>
          <w:rFonts w:ascii="Times New Roman" w:hAnsi="Times New Roman" w:cs="Times New Roman"/>
          <w:sz w:val="24"/>
          <w:szCs w:val="24"/>
          <w:lang w:val="en-GB"/>
        </w:rPr>
        <w:t>sectors in which greenhouse gas emissions occur, i.e. in which a reduction of emissions is achieved, with the aim of achieving long-term vision of low-carbon economic development and the fulfillment of the goals of the Paris Agreement</w:t>
      </w:r>
    </w:p>
    <w:p w14:paraId="194AC6C9" w14:textId="77777777" w:rsidR="00E9632E" w:rsidRDefault="00614438" w:rsidP="008C60A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INECP envisages a number of decarbonisation-related policy measures in terms of energy and non-energy related GHG emissions. The existing and planned policy measures in the energy field, which generates about 80% of GHG emissions in the Republic of Serbia, will have a major contribution to decarbonisation process. </w:t>
      </w:r>
    </w:p>
    <w:p w14:paraId="64B8D327" w14:textId="77777777" w:rsidR="00E9632E" w:rsidRDefault="00614438" w:rsidP="00E9632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Work on improving greenhouse gas inventories and updating Serbia’s Nationally Determined Contribution to the Paris Agreement is progressing. </w:t>
      </w:r>
      <w:r w:rsidR="00E9632E" w:rsidRPr="00E9632E">
        <w:rPr>
          <w:rFonts w:ascii="Times New Roman" w:hAnsi="Times New Roman" w:cs="Times New Roman"/>
          <w:sz w:val="24"/>
          <w:szCs w:val="24"/>
          <w:lang w:val="en-GB"/>
        </w:rPr>
        <w:t xml:space="preserve">Harmonization of national legislation has been completed through the adoption of by-laws operationalizing the provisions of the Climate Change </w:t>
      </w:r>
      <w:r w:rsidR="00E9632E" w:rsidRPr="00E9632E">
        <w:rPr>
          <w:rFonts w:ascii="Times New Roman" w:hAnsi="Times New Roman" w:cs="Times New Roman"/>
          <w:sz w:val="24"/>
          <w:szCs w:val="24"/>
          <w:lang w:val="en-GB"/>
        </w:rPr>
        <w:lastRenderedPageBreak/>
        <w:t>Act on monitoring, reporting and verification of GHG emissions, in accordance with the requirements of EU legislation regulated by the Emission Trading System (hereinafter: EU ETS).</w:t>
      </w:r>
      <w:r w:rsidR="00E9632E">
        <w:rPr>
          <w:rFonts w:ascii="Times New Roman" w:hAnsi="Times New Roman" w:cs="Times New Roman"/>
          <w:sz w:val="24"/>
          <w:szCs w:val="24"/>
          <w:lang w:val="en-GB"/>
        </w:rPr>
        <w:t xml:space="preserve"> The e</w:t>
      </w:r>
      <w:r w:rsidR="00E9632E" w:rsidRPr="00E9632E">
        <w:rPr>
          <w:rFonts w:ascii="Times New Roman" w:hAnsi="Times New Roman" w:cs="Times New Roman"/>
          <w:sz w:val="24"/>
          <w:szCs w:val="24"/>
          <w:lang w:val="en-GB"/>
        </w:rPr>
        <w:t>stablishment of monitoring, reporting and verification of GHG emissions is a prerequisite for the establishment of a mechanism for setting a carbon price in accordance with measure P</w:t>
      </w:r>
      <w:r w:rsidR="00E9632E">
        <w:rPr>
          <w:rFonts w:ascii="Times New Roman" w:hAnsi="Times New Roman" w:cs="Times New Roman"/>
          <w:sz w:val="24"/>
          <w:szCs w:val="24"/>
          <w:lang w:val="en-GB"/>
        </w:rPr>
        <w:t>M</w:t>
      </w:r>
      <w:r w:rsidR="00E9632E" w:rsidRPr="00E9632E">
        <w:rPr>
          <w:rFonts w:ascii="Times New Roman" w:hAnsi="Times New Roman" w:cs="Times New Roman"/>
          <w:sz w:val="24"/>
          <w:szCs w:val="24"/>
          <w:lang w:val="en-GB"/>
        </w:rPr>
        <w:t>_D1.), Based on Article 58, paragraph 8, of the Law on Climate Change, the Ministry of Environmental Protection adopted the Rulebook on the contents of the National Inventory of gases with a greenhouse effect and the National report on the inventory of gases with a greenhouse effect ("Official Gazette of RS" no. 55/23). and on the basis of Article 59, para. 2 and 3</w:t>
      </w:r>
      <w:r w:rsidR="00E9632E">
        <w:rPr>
          <w:rFonts w:ascii="Times New Roman" w:hAnsi="Times New Roman" w:cs="Times New Roman"/>
          <w:sz w:val="24"/>
          <w:szCs w:val="24"/>
          <w:lang w:val="en-GB"/>
        </w:rPr>
        <w:t>,</w:t>
      </w:r>
      <w:r w:rsidR="00E9632E" w:rsidRPr="00E9632E">
        <w:rPr>
          <w:rFonts w:ascii="Times New Roman" w:hAnsi="Times New Roman" w:cs="Times New Roman"/>
          <w:sz w:val="24"/>
          <w:szCs w:val="24"/>
          <w:lang w:val="en-GB"/>
        </w:rPr>
        <w:t xml:space="preserve"> </w:t>
      </w:r>
      <w:r w:rsidR="00E9632E">
        <w:rPr>
          <w:rFonts w:ascii="Times New Roman" w:hAnsi="Times New Roman" w:cs="Times New Roman"/>
          <w:sz w:val="24"/>
          <w:szCs w:val="24"/>
          <w:lang w:val="en-GB"/>
        </w:rPr>
        <w:t>t</w:t>
      </w:r>
      <w:r w:rsidR="00E9632E" w:rsidRPr="00E9632E">
        <w:rPr>
          <w:rFonts w:ascii="Times New Roman" w:hAnsi="Times New Roman" w:cs="Times New Roman"/>
          <w:sz w:val="24"/>
          <w:szCs w:val="24"/>
          <w:lang w:val="en-GB"/>
        </w:rPr>
        <w:t>he Government adopted the Regulation on the types of data, bodies and organizations and other physical and legal entities that submit data for the preparation of the national inventory of greenhouse gases ("Official Gazette of the RS", number 43/23). In accordance with the Rulebook</w:t>
      </w:r>
      <w:r w:rsidR="00E9632E">
        <w:rPr>
          <w:rFonts w:ascii="Times New Roman" w:hAnsi="Times New Roman" w:cs="Times New Roman"/>
          <w:sz w:val="24"/>
          <w:szCs w:val="24"/>
          <w:lang w:val="en-GB"/>
        </w:rPr>
        <w:t xml:space="preserve"> and</w:t>
      </w:r>
      <w:r w:rsidR="00E9632E" w:rsidRPr="00E9632E">
        <w:rPr>
          <w:rFonts w:ascii="Times New Roman" w:hAnsi="Times New Roman" w:cs="Times New Roman"/>
          <w:sz w:val="24"/>
          <w:szCs w:val="24"/>
          <w:lang w:val="en-GB"/>
        </w:rPr>
        <w:t xml:space="preserve"> by-laws, requirements related to the inventory of greenhouse gases are aligned with the provisions of Regulation (EU) 2018/1999. It is necessary for the Republic of Serbia to improve administrative and technical capacities at all levels and to additionally increase investments for the transition to green energy.</w:t>
      </w:r>
    </w:p>
    <w:p w14:paraId="2189599C" w14:textId="77777777" w:rsidR="00614438" w:rsidRPr="00614438" w:rsidRDefault="00614438" w:rsidP="00E9632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Regulatory Measures</w:t>
      </w:r>
    </w:p>
    <w:p w14:paraId="2D3F725E" w14:textId="77777777" w:rsidR="00614438" w:rsidRPr="00614438" w:rsidRDefault="00614438" w:rsidP="00E9632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Apart from proposed policy measures regarding energy and non-energy related GHG emission reduction targets, 6 policy measures are also proposed in order to improve the existing regulatory framework and </w:t>
      </w:r>
      <w:r w:rsidR="00E9632E">
        <w:rPr>
          <w:rFonts w:ascii="Times New Roman" w:hAnsi="Times New Roman" w:cs="Times New Roman"/>
          <w:sz w:val="24"/>
          <w:szCs w:val="24"/>
          <w:lang w:val="en-GB"/>
        </w:rPr>
        <w:t>make</w:t>
      </w:r>
      <w:r w:rsidRPr="00614438">
        <w:rPr>
          <w:rFonts w:ascii="Times New Roman" w:hAnsi="Times New Roman" w:cs="Times New Roman"/>
          <w:sz w:val="24"/>
          <w:szCs w:val="24"/>
          <w:lang w:val="en-GB"/>
        </w:rPr>
        <w:t xml:space="preserve"> the public </w:t>
      </w:r>
      <w:r w:rsidR="00E9632E">
        <w:rPr>
          <w:rFonts w:ascii="Times New Roman" w:hAnsi="Times New Roman" w:cs="Times New Roman"/>
          <w:sz w:val="24"/>
          <w:szCs w:val="24"/>
          <w:lang w:val="en-GB"/>
        </w:rPr>
        <w:t xml:space="preserve">aware about </w:t>
      </w:r>
      <w:r w:rsidRPr="00614438">
        <w:rPr>
          <w:rFonts w:ascii="Times New Roman" w:hAnsi="Times New Roman" w:cs="Times New Roman"/>
          <w:sz w:val="24"/>
          <w:szCs w:val="24"/>
          <w:lang w:val="en-GB"/>
        </w:rPr>
        <w:t>the environmental impact of energy consumption with the aim of motivating, stimulating and informing the</w:t>
      </w:r>
      <w:r w:rsidR="00E9632E">
        <w:rPr>
          <w:rFonts w:ascii="Times New Roman" w:hAnsi="Times New Roman" w:cs="Times New Roman"/>
          <w:sz w:val="24"/>
          <w:szCs w:val="24"/>
          <w:lang w:val="en-GB"/>
        </w:rPr>
        <w:t xml:space="preserve"> public</w:t>
      </w:r>
      <w:r w:rsidRPr="00614438">
        <w:rPr>
          <w:rFonts w:ascii="Times New Roman" w:hAnsi="Times New Roman" w:cs="Times New Roman"/>
          <w:sz w:val="24"/>
          <w:szCs w:val="24"/>
          <w:lang w:val="en-GB"/>
        </w:rPr>
        <w:t xml:space="preserve"> to change their behaviour and continue to engage.</w:t>
      </w:r>
    </w:p>
    <w:p w14:paraId="76133891"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402"/>
        <w:gridCol w:w="973"/>
        <w:gridCol w:w="967"/>
        <w:gridCol w:w="4338"/>
      </w:tblGrid>
      <w:tr w:rsidR="00614438" w:rsidRPr="003E0710" w14:paraId="28297FF5" w14:textId="77777777" w:rsidTr="00614438">
        <w:trPr>
          <w:trHeight w:val="349"/>
        </w:trPr>
        <w:tc>
          <w:tcPr>
            <w:tcW w:w="3402"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5A6E0A4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73" w:type="dxa"/>
            <w:tcBorders>
              <w:top w:val="single" w:sz="8" w:space="0" w:color="auto"/>
              <w:left w:val="nil"/>
              <w:bottom w:val="single" w:sz="8" w:space="0" w:color="auto"/>
              <w:right w:val="single" w:sz="8" w:space="0" w:color="auto"/>
            </w:tcBorders>
            <w:shd w:val="clear" w:color="auto" w:fill="E7E6E6" w:themeFill="background2"/>
            <w:vAlign w:val="center"/>
            <w:hideMark/>
          </w:tcPr>
          <w:p w14:paraId="4A8C824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PM_D1</w:t>
            </w:r>
          </w:p>
        </w:tc>
        <w:tc>
          <w:tcPr>
            <w:tcW w:w="967" w:type="dxa"/>
            <w:tcBorders>
              <w:top w:val="single" w:sz="8" w:space="0" w:color="auto"/>
              <w:left w:val="nil"/>
              <w:bottom w:val="single" w:sz="8" w:space="0" w:color="auto"/>
              <w:right w:val="single" w:sz="8" w:space="0" w:color="auto"/>
            </w:tcBorders>
            <w:shd w:val="clear" w:color="auto" w:fill="244062"/>
            <w:vAlign w:val="center"/>
            <w:hideMark/>
          </w:tcPr>
          <w:p w14:paraId="0B6EEB1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338" w:type="dxa"/>
            <w:tcBorders>
              <w:top w:val="single" w:sz="8" w:space="0" w:color="auto"/>
              <w:left w:val="nil"/>
              <w:bottom w:val="single" w:sz="8" w:space="0" w:color="auto"/>
              <w:right w:val="single" w:sz="8" w:space="0" w:color="auto"/>
            </w:tcBorders>
            <w:shd w:val="clear" w:color="auto" w:fill="E7E6E6" w:themeFill="background2"/>
            <w:vAlign w:val="center"/>
            <w:hideMark/>
          </w:tcPr>
          <w:p w14:paraId="393E5AAD" w14:textId="77777777" w:rsidR="00614438" w:rsidRPr="003E0710" w:rsidRDefault="00E9632E"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measures to align with the EU emissions trading system and/or introducing other carbon pricing instruments</w:t>
            </w:r>
          </w:p>
        </w:tc>
      </w:tr>
      <w:tr w:rsidR="00614438" w:rsidRPr="003E0710" w14:paraId="7E407AB4" w14:textId="77777777" w:rsidTr="00614438">
        <w:trPr>
          <w:trHeight w:val="271"/>
        </w:trPr>
        <w:tc>
          <w:tcPr>
            <w:tcW w:w="3402" w:type="dxa"/>
            <w:tcBorders>
              <w:top w:val="nil"/>
              <w:left w:val="single" w:sz="8" w:space="0" w:color="auto"/>
              <w:bottom w:val="single" w:sz="8" w:space="0" w:color="auto"/>
              <w:right w:val="nil"/>
            </w:tcBorders>
            <w:shd w:val="clear" w:color="auto" w:fill="244062"/>
            <w:vAlign w:val="center"/>
            <w:hideMark/>
          </w:tcPr>
          <w:p w14:paraId="5B1E9D1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278" w:type="dxa"/>
            <w:gridSpan w:val="3"/>
            <w:tcBorders>
              <w:top w:val="single" w:sz="8" w:space="0" w:color="auto"/>
              <w:left w:val="nil"/>
              <w:bottom w:val="single" w:sz="8" w:space="0" w:color="auto"/>
              <w:right w:val="single" w:sz="8" w:space="0" w:color="000000"/>
            </w:tcBorders>
            <w:vAlign w:val="center"/>
            <w:hideMark/>
          </w:tcPr>
          <w:p w14:paraId="407C5E75" w14:textId="77777777" w:rsidR="00614438" w:rsidRPr="003E0710" w:rsidRDefault="00E9632E"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Reduction of greenhouse gas emissions</w:t>
            </w:r>
          </w:p>
        </w:tc>
      </w:tr>
      <w:tr w:rsidR="00614438" w:rsidRPr="003E0710" w14:paraId="603BA06A" w14:textId="77777777" w:rsidTr="00614438">
        <w:trPr>
          <w:trHeight w:val="315"/>
        </w:trPr>
        <w:tc>
          <w:tcPr>
            <w:tcW w:w="3402" w:type="dxa"/>
            <w:tcBorders>
              <w:top w:val="nil"/>
              <w:left w:val="single" w:sz="8" w:space="0" w:color="auto"/>
              <w:bottom w:val="single" w:sz="8" w:space="0" w:color="auto"/>
              <w:right w:val="single" w:sz="8" w:space="0" w:color="auto"/>
            </w:tcBorders>
            <w:shd w:val="clear" w:color="auto" w:fill="244062"/>
            <w:vAlign w:val="center"/>
            <w:hideMark/>
          </w:tcPr>
          <w:p w14:paraId="0AB0412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278" w:type="dxa"/>
            <w:gridSpan w:val="3"/>
            <w:tcBorders>
              <w:top w:val="single" w:sz="8" w:space="0" w:color="auto"/>
              <w:left w:val="nil"/>
              <w:bottom w:val="single" w:sz="8" w:space="0" w:color="auto"/>
              <w:right w:val="single" w:sz="8" w:space="0" w:color="000000"/>
            </w:tcBorders>
            <w:vAlign w:val="center"/>
            <w:hideMark/>
          </w:tcPr>
          <w:p w14:paraId="26C149D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Contribution to the objective of reduction of GHG emissions by 33.3% (without LULUCF) by 2030 compared to 1990 levels </w:t>
            </w:r>
          </w:p>
        </w:tc>
      </w:tr>
      <w:tr w:rsidR="00614438" w:rsidRPr="003E0710" w14:paraId="63DF3CBA" w14:textId="77777777" w:rsidTr="00614438">
        <w:trPr>
          <w:trHeight w:val="563"/>
        </w:trPr>
        <w:tc>
          <w:tcPr>
            <w:tcW w:w="3402" w:type="dxa"/>
            <w:tcBorders>
              <w:top w:val="nil"/>
              <w:left w:val="single" w:sz="8" w:space="0" w:color="auto"/>
              <w:bottom w:val="single" w:sz="8" w:space="0" w:color="auto"/>
              <w:right w:val="single" w:sz="8" w:space="0" w:color="auto"/>
            </w:tcBorders>
            <w:shd w:val="clear" w:color="auto" w:fill="244062"/>
            <w:vAlign w:val="center"/>
            <w:hideMark/>
          </w:tcPr>
          <w:p w14:paraId="6A85E96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278" w:type="dxa"/>
            <w:gridSpan w:val="3"/>
            <w:tcBorders>
              <w:top w:val="single" w:sz="8" w:space="0" w:color="auto"/>
              <w:left w:val="nil"/>
              <w:bottom w:val="single" w:sz="8" w:space="0" w:color="auto"/>
              <w:right w:val="single" w:sz="8" w:space="0" w:color="000000"/>
            </w:tcBorders>
            <w:vAlign w:val="center"/>
            <w:hideMark/>
          </w:tcPr>
          <w:p w14:paraId="2E573D8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PM_D1, with implementation of the ETS or other instruments of carbon pricing, will speed up the phasing-out of conventional fuels. The funds collected from carbon pricing will be used to stimulate the investments in RES, increase the penetration of energy efficiency measures and mitigate social and economic consequences of decarbonisation. The establishment of a mechanism on carbon pricing will decrease or eliminate costs of implementation of the EU Carbon Border Adjustment Mechanism, which entered into force in its transitional phase as of 1 October 2023.</w:t>
            </w:r>
          </w:p>
        </w:tc>
      </w:tr>
      <w:tr w:rsidR="00614438" w:rsidRPr="003E0710" w14:paraId="5C19C91E" w14:textId="77777777" w:rsidTr="00614438">
        <w:trPr>
          <w:trHeight w:val="315"/>
        </w:trPr>
        <w:tc>
          <w:tcPr>
            <w:tcW w:w="3402" w:type="dxa"/>
            <w:tcBorders>
              <w:top w:val="nil"/>
              <w:left w:val="single" w:sz="8" w:space="0" w:color="auto"/>
              <w:bottom w:val="single" w:sz="8" w:space="0" w:color="auto"/>
              <w:right w:val="single" w:sz="8" w:space="0" w:color="auto"/>
            </w:tcBorders>
            <w:shd w:val="clear" w:color="auto" w:fill="244062"/>
            <w:vAlign w:val="center"/>
            <w:hideMark/>
          </w:tcPr>
          <w:p w14:paraId="062994A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278" w:type="dxa"/>
            <w:gridSpan w:val="3"/>
            <w:tcBorders>
              <w:top w:val="single" w:sz="8" w:space="0" w:color="auto"/>
              <w:left w:val="nil"/>
              <w:bottom w:val="single" w:sz="8" w:space="0" w:color="auto"/>
              <w:right w:val="single" w:sz="8" w:space="0" w:color="000000"/>
            </w:tcBorders>
            <w:vAlign w:val="center"/>
            <w:hideMark/>
          </w:tcPr>
          <w:p w14:paraId="0437649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2024-2030 including the preparation period</w:t>
            </w:r>
          </w:p>
        </w:tc>
      </w:tr>
      <w:tr w:rsidR="00614438" w:rsidRPr="003E0710" w14:paraId="4F3AA138" w14:textId="77777777" w:rsidTr="00614438">
        <w:trPr>
          <w:trHeight w:val="315"/>
        </w:trPr>
        <w:tc>
          <w:tcPr>
            <w:tcW w:w="3402" w:type="dxa"/>
            <w:tcBorders>
              <w:top w:val="nil"/>
              <w:left w:val="single" w:sz="8" w:space="0" w:color="auto"/>
              <w:bottom w:val="single" w:sz="8" w:space="0" w:color="auto"/>
              <w:right w:val="single" w:sz="8" w:space="0" w:color="auto"/>
            </w:tcBorders>
            <w:shd w:val="clear" w:color="auto" w:fill="244062"/>
            <w:vAlign w:val="center"/>
            <w:hideMark/>
          </w:tcPr>
          <w:p w14:paraId="644577D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278" w:type="dxa"/>
            <w:gridSpan w:val="3"/>
            <w:tcBorders>
              <w:top w:val="single" w:sz="8" w:space="0" w:color="auto"/>
              <w:left w:val="nil"/>
              <w:bottom w:val="single" w:sz="8" w:space="0" w:color="auto"/>
              <w:right w:val="single" w:sz="8" w:space="0" w:color="000000"/>
            </w:tcBorders>
            <w:vAlign w:val="center"/>
            <w:hideMark/>
          </w:tcPr>
          <w:p w14:paraId="5812405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Reform</w:t>
            </w:r>
          </w:p>
        </w:tc>
      </w:tr>
      <w:tr w:rsidR="00614438" w:rsidRPr="003E0710" w14:paraId="40E37C6B" w14:textId="77777777" w:rsidTr="00614438">
        <w:trPr>
          <w:trHeight w:val="315"/>
        </w:trPr>
        <w:tc>
          <w:tcPr>
            <w:tcW w:w="3402" w:type="dxa"/>
            <w:tcBorders>
              <w:top w:val="nil"/>
              <w:left w:val="single" w:sz="8" w:space="0" w:color="auto"/>
              <w:bottom w:val="single" w:sz="8" w:space="0" w:color="auto"/>
              <w:right w:val="single" w:sz="8" w:space="0" w:color="auto"/>
            </w:tcBorders>
            <w:shd w:val="clear" w:color="auto" w:fill="244062"/>
            <w:vAlign w:val="center"/>
            <w:hideMark/>
          </w:tcPr>
          <w:p w14:paraId="1747BED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278" w:type="dxa"/>
            <w:gridSpan w:val="3"/>
            <w:tcBorders>
              <w:top w:val="single" w:sz="8" w:space="0" w:color="auto"/>
              <w:left w:val="nil"/>
              <w:bottom w:val="single" w:sz="8" w:space="0" w:color="auto"/>
              <w:right w:val="single" w:sz="8" w:space="0" w:color="000000"/>
            </w:tcBorders>
            <w:vAlign w:val="center"/>
            <w:hideMark/>
          </w:tcPr>
          <w:p w14:paraId="3671A56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All INECP subject fields</w:t>
            </w:r>
          </w:p>
        </w:tc>
      </w:tr>
      <w:tr w:rsidR="00614438" w:rsidRPr="003E0710" w14:paraId="06362128" w14:textId="77777777" w:rsidTr="00614438">
        <w:trPr>
          <w:trHeight w:val="315"/>
        </w:trPr>
        <w:tc>
          <w:tcPr>
            <w:tcW w:w="3402" w:type="dxa"/>
            <w:tcBorders>
              <w:top w:val="nil"/>
              <w:left w:val="single" w:sz="8" w:space="0" w:color="auto"/>
              <w:bottom w:val="single" w:sz="8" w:space="0" w:color="auto"/>
              <w:right w:val="single" w:sz="8" w:space="0" w:color="auto"/>
            </w:tcBorders>
            <w:shd w:val="clear" w:color="auto" w:fill="244062"/>
            <w:vAlign w:val="center"/>
            <w:hideMark/>
          </w:tcPr>
          <w:p w14:paraId="7228F57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278" w:type="dxa"/>
            <w:gridSpan w:val="3"/>
            <w:tcBorders>
              <w:top w:val="single" w:sz="8" w:space="0" w:color="auto"/>
              <w:left w:val="nil"/>
              <w:bottom w:val="single" w:sz="8" w:space="0" w:color="auto"/>
              <w:right w:val="single" w:sz="8" w:space="0" w:color="000000"/>
            </w:tcBorders>
            <w:vAlign w:val="center"/>
          </w:tcPr>
          <w:p w14:paraId="285D4227" w14:textId="77777777" w:rsidR="00614438" w:rsidRPr="003E0710" w:rsidRDefault="00614438" w:rsidP="003E0710">
            <w:pPr>
              <w:spacing w:after="0"/>
              <w:ind w:left="720"/>
              <w:jc w:val="both"/>
              <w:rPr>
                <w:rFonts w:ascii="Times New Roman" w:hAnsi="Times New Roman" w:cs="Times New Roman"/>
                <w:sz w:val="20"/>
                <w:szCs w:val="20"/>
                <w:lang w:val="en-GB"/>
              </w:rPr>
            </w:pPr>
          </w:p>
          <w:p w14:paraId="1CBF91EF" w14:textId="77777777" w:rsidR="00614438" w:rsidRPr="003E0710" w:rsidRDefault="00614438" w:rsidP="003E0710">
            <w:pPr>
              <w:numPr>
                <w:ilvl w:val="0"/>
                <w:numId w:val="12"/>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Ministry of Finance</w:t>
            </w:r>
          </w:p>
          <w:p w14:paraId="7C4E4767" w14:textId="77777777" w:rsidR="00614438" w:rsidRPr="003E0710" w:rsidRDefault="00614438" w:rsidP="003E0710">
            <w:pPr>
              <w:numPr>
                <w:ilvl w:val="0"/>
                <w:numId w:val="12"/>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Ministry of Mining and Energy</w:t>
            </w:r>
          </w:p>
          <w:p w14:paraId="6216227E" w14:textId="77777777" w:rsidR="00614438" w:rsidRPr="003E0710" w:rsidRDefault="00614438" w:rsidP="003E0710">
            <w:pPr>
              <w:numPr>
                <w:ilvl w:val="0"/>
                <w:numId w:val="12"/>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Ministry of Environmental Protection</w:t>
            </w:r>
          </w:p>
        </w:tc>
      </w:tr>
      <w:tr w:rsidR="00614438" w:rsidRPr="003E0710" w14:paraId="27F96C85" w14:textId="77777777" w:rsidTr="00614438">
        <w:trPr>
          <w:trHeight w:val="315"/>
        </w:trPr>
        <w:tc>
          <w:tcPr>
            <w:tcW w:w="3402" w:type="dxa"/>
            <w:tcBorders>
              <w:top w:val="nil"/>
              <w:left w:val="single" w:sz="8" w:space="0" w:color="auto"/>
              <w:bottom w:val="single" w:sz="8" w:space="0" w:color="auto"/>
              <w:right w:val="nil"/>
            </w:tcBorders>
            <w:shd w:val="clear" w:color="auto" w:fill="244062"/>
            <w:vAlign w:val="center"/>
            <w:hideMark/>
          </w:tcPr>
          <w:p w14:paraId="65A2A5C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278" w:type="dxa"/>
            <w:gridSpan w:val="3"/>
            <w:tcBorders>
              <w:top w:val="single" w:sz="8" w:space="0" w:color="auto"/>
              <w:left w:val="nil"/>
              <w:bottom w:val="single" w:sz="8" w:space="0" w:color="auto"/>
              <w:right w:val="single" w:sz="8" w:space="0" w:color="000000"/>
            </w:tcBorders>
            <w:vAlign w:val="center"/>
            <w:hideMark/>
          </w:tcPr>
          <w:p w14:paraId="2BBF214F" w14:textId="77777777" w:rsidR="00614438" w:rsidRPr="003E0710" w:rsidRDefault="00614438" w:rsidP="003E0710">
            <w:pPr>
              <w:numPr>
                <w:ilvl w:val="0"/>
                <w:numId w:val="12"/>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Finance</w:t>
            </w:r>
          </w:p>
          <w:p w14:paraId="5E6D8EE4" w14:textId="77777777" w:rsidR="00614438" w:rsidRPr="003E0710" w:rsidRDefault="00614438" w:rsidP="003E0710">
            <w:pPr>
              <w:numPr>
                <w:ilvl w:val="0"/>
                <w:numId w:val="12"/>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Ministry of Environmental Protection</w:t>
            </w:r>
          </w:p>
          <w:p w14:paraId="2C0FADB3" w14:textId="77777777" w:rsidR="00614438" w:rsidRPr="003E0710" w:rsidRDefault="00614438" w:rsidP="003E0710">
            <w:pPr>
              <w:numPr>
                <w:ilvl w:val="0"/>
                <w:numId w:val="12"/>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Ministry of Mining and Energy</w:t>
            </w:r>
          </w:p>
          <w:p w14:paraId="708782F1" w14:textId="77777777" w:rsidR="00614438" w:rsidRPr="003E0710" w:rsidRDefault="00614438" w:rsidP="003E0710">
            <w:pPr>
              <w:numPr>
                <w:ilvl w:val="0"/>
                <w:numId w:val="12"/>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Public utility companies</w:t>
            </w:r>
          </w:p>
          <w:p w14:paraId="19B74C5E" w14:textId="77777777" w:rsidR="00614438" w:rsidRPr="003E0710" w:rsidRDefault="00614438" w:rsidP="003E0710">
            <w:pPr>
              <w:numPr>
                <w:ilvl w:val="0"/>
                <w:numId w:val="12"/>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Private investors</w:t>
            </w:r>
          </w:p>
        </w:tc>
      </w:tr>
      <w:tr w:rsidR="00614438" w:rsidRPr="003E0710" w14:paraId="67BE0A61" w14:textId="77777777" w:rsidTr="00614438">
        <w:trPr>
          <w:trHeight w:val="315"/>
        </w:trPr>
        <w:tc>
          <w:tcPr>
            <w:tcW w:w="3402" w:type="dxa"/>
            <w:tcBorders>
              <w:top w:val="nil"/>
              <w:left w:val="single" w:sz="8" w:space="0" w:color="auto"/>
              <w:bottom w:val="single" w:sz="8" w:space="0" w:color="auto"/>
              <w:right w:val="nil"/>
            </w:tcBorders>
            <w:shd w:val="clear" w:color="auto" w:fill="244062"/>
            <w:vAlign w:val="center"/>
            <w:hideMark/>
          </w:tcPr>
          <w:p w14:paraId="26C4F0E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278" w:type="dxa"/>
            <w:gridSpan w:val="3"/>
            <w:tcBorders>
              <w:top w:val="single" w:sz="8" w:space="0" w:color="auto"/>
              <w:left w:val="nil"/>
              <w:bottom w:val="single" w:sz="8" w:space="0" w:color="auto"/>
              <w:right w:val="single" w:sz="8" w:space="0" w:color="000000"/>
            </w:tcBorders>
            <w:vAlign w:val="center"/>
            <w:hideMark/>
          </w:tcPr>
          <w:p w14:paraId="6C5A857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Annual emissions reduction (Gg CO</w:t>
            </w:r>
            <w:r w:rsidRPr="003E0710">
              <w:rPr>
                <w:rFonts w:ascii="Times New Roman" w:hAnsi="Times New Roman" w:cs="Times New Roman"/>
                <w:sz w:val="20"/>
                <w:szCs w:val="20"/>
                <w:vertAlign w:val="subscript"/>
                <w:lang w:val="en-GB"/>
              </w:rPr>
              <w:t>2</w:t>
            </w:r>
            <w:r w:rsidRPr="003E0710">
              <w:rPr>
                <w:rFonts w:ascii="Times New Roman" w:hAnsi="Times New Roman" w:cs="Times New Roman"/>
                <w:sz w:val="20"/>
                <w:szCs w:val="20"/>
                <w:lang w:val="en-GB"/>
              </w:rPr>
              <w:t>-eq)</w:t>
            </w:r>
          </w:p>
        </w:tc>
      </w:tr>
      <w:tr w:rsidR="00614438" w:rsidRPr="003E0710" w14:paraId="3D550315" w14:textId="77777777" w:rsidTr="00614438">
        <w:trPr>
          <w:trHeight w:val="561"/>
        </w:trPr>
        <w:tc>
          <w:tcPr>
            <w:tcW w:w="3402" w:type="dxa"/>
            <w:tcBorders>
              <w:top w:val="nil"/>
              <w:left w:val="single" w:sz="8" w:space="0" w:color="auto"/>
              <w:bottom w:val="single" w:sz="8" w:space="0" w:color="auto"/>
              <w:right w:val="single" w:sz="8" w:space="0" w:color="auto"/>
            </w:tcBorders>
            <w:shd w:val="clear" w:color="auto" w:fill="244062"/>
            <w:vAlign w:val="center"/>
            <w:hideMark/>
          </w:tcPr>
          <w:p w14:paraId="00A10C4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Other relevant Energy Union dimension(s) affected</w:t>
            </w:r>
          </w:p>
        </w:tc>
        <w:tc>
          <w:tcPr>
            <w:tcW w:w="6278" w:type="dxa"/>
            <w:gridSpan w:val="3"/>
            <w:tcBorders>
              <w:top w:val="single" w:sz="8" w:space="0" w:color="auto"/>
              <w:left w:val="nil"/>
              <w:bottom w:val="single" w:sz="8" w:space="0" w:color="auto"/>
              <w:right w:val="single" w:sz="8" w:space="0" w:color="000000"/>
            </w:tcBorders>
            <w:vAlign w:val="center"/>
          </w:tcPr>
          <w:p w14:paraId="3D609586"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82EB8D0" w14:textId="77777777" w:rsidTr="00614438">
        <w:trPr>
          <w:trHeight w:val="450"/>
        </w:trPr>
        <w:tc>
          <w:tcPr>
            <w:tcW w:w="3402" w:type="dxa"/>
            <w:tcBorders>
              <w:top w:val="nil"/>
              <w:left w:val="single" w:sz="8" w:space="0" w:color="auto"/>
              <w:bottom w:val="single" w:sz="8" w:space="0" w:color="000000"/>
              <w:right w:val="single" w:sz="8" w:space="0" w:color="auto"/>
            </w:tcBorders>
            <w:shd w:val="clear" w:color="auto" w:fill="244062"/>
            <w:vAlign w:val="center"/>
            <w:hideMark/>
          </w:tcPr>
          <w:p w14:paraId="016413E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278" w:type="dxa"/>
            <w:gridSpan w:val="3"/>
            <w:tcBorders>
              <w:top w:val="single" w:sz="8" w:space="0" w:color="auto"/>
              <w:left w:val="single" w:sz="8" w:space="0" w:color="auto"/>
              <w:bottom w:val="single" w:sz="8" w:space="0" w:color="000000"/>
              <w:right w:val="single" w:sz="8" w:space="0" w:color="000000"/>
            </w:tcBorders>
            <w:vAlign w:val="center"/>
            <w:hideMark/>
          </w:tcPr>
          <w:p w14:paraId="775D0FA9" w14:textId="77777777" w:rsidR="00614438" w:rsidRPr="003E0710" w:rsidRDefault="0037139F"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Regulation 2018/1999 of Directives 2023/959 and 2009/29/EC amending Directive 2003/87/ΕC</w:t>
            </w:r>
          </w:p>
        </w:tc>
      </w:tr>
      <w:tr w:rsidR="00614438" w:rsidRPr="003E0710" w14:paraId="0C221C56" w14:textId="77777777" w:rsidTr="00614438">
        <w:trPr>
          <w:trHeight w:val="297"/>
        </w:trPr>
        <w:tc>
          <w:tcPr>
            <w:tcW w:w="3402" w:type="dxa"/>
            <w:tcBorders>
              <w:top w:val="nil"/>
              <w:left w:val="single" w:sz="8" w:space="0" w:color="auto"/>
              <w:bottom w:val="single" w:sz="8" w:space="0" w:color="auto"/>
              <w:right w:val="single" w:sz="8" w:space="0" w:color="auto"/>
            </w:tcBorders>
            <w:shd w:val="clear" w:color="auto" w:fill="244062"/>
            <w:vAlign w:val="center"/>
            <w:hideMark/>
          </w:tcPr>
          <w:p w14:paraId="4374D0A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278" w:type="dxa"/>
            <w:gridSpan w:val="3"/>
            <w:tcBorders>
              <w:top w:val="single" w:sz="8" w:space="0" w:color="auto"/>
              <w:left w:val="nil"/>
              <w:bottom w:val="single" w:sz="8" w:space="0" w:color="auto"/>
              <w:right w:val="single" w:sz="8" w:space="0" w:color="000000"/>
            </w:tcBorders>
            <w:vAlign w:val="center"/>
            <w:hideMark/>
          </w:tcPr>
          <w:p w14:paraId="7375E013" w14:textId="77777777" w:rsidR="00614438" w:rsidRPr="003E0710" w:rsidRDefault="00614438" w:rsidP="003E0710">
            <w:pPr>
              <w:numPr>
                <w:ilvl w:val="0"/>
                <w:numId w:val="13"/>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Low-carbon Development Strategy for the period 2023-2030 with projections until 2050</w:t>
            </w:r>
          </w:p>
        </w:tc>
      </w:tr>
      <w:tr w:rsidR="00614438" w:rsidRPr="003E0710" w14:paraId="20848D28" w14:textId="77777777" w:rsidTr="00614438">
        <w:trPr>
          <w:trHeight w:val="315"/>
        </w:trPr>
        <w:tc>
          <w:tcPr>
            <w:tcW w:w="3402" w:type="dxa"/>
            <w:tcBorders>
              <w:top w:val="nil"/>
              <w:left w:val="single" w:sz="8" w:space="0" w:color="auto"/>
              <w:bottom w:val="single" w:sz="8" w:space="0" w:color="auto"/>
              <w:right w:val="single" w:sz="8" w:space="0" w:color="auto"/>
            </w:tcBorders>
            <w:shd w:val="clear" w:color="auto" w:fill="244062"/>
            <w:vAlign w:val="center"/>
            <w:hideMark/>
          </w:tcPr>
          <w:p w14:paraId="13A5C43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278" w:type="dxa"/>
            <w:gridSpan w:val="3"/>
            <w:tcBorders>
              <w:top w:val="single" w:sz="8" w:space="0" w:color="auto"/>
              <w:left w:val="nil"/>
              <w:bottom w:val="single" w:sz="8" w:space="0" w:color="auto"/>
              <w:right w:val="single" w:sz="8" w:space="0" w:color="000000"/>
            </w:tcBorders>
            <w:vAlign w:val="center"/>
            <w:hideMark/>
          </w:tcPr>
          <w:p w14:paraId="59655BE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0.2 M€</w:t>
            </w:r>
          </w:p>
        </w:tc>
      </w:tr>
      <w:tr w:rsidR="00614438" w:rsidRPr="003E0710" w14:paraId="01DD937B" w14:textId="77777777" w:rsidTr="0037139F">
        <w:trPr>
          <w:trHeight w:val="315"/>
        </w:trPr>
        <w:tc>
          <w:tcPr>
            <w:tcW w:w="3402" w:type="dxa"/>
            <w:tcBorders>
              <w:top w:val="nil"/>
              <w:left w:val="single" w:sz="8" w:space="0" w:color="auto"/>
              <w:bottom w:val="nil"/>
              <w:right w:val="single" w:sz="8" w:space="0" w:color="auto"/>
            </w:tcBorders>
            <w:shd w:val="clear" w:color="auto" w:fill="244062"/>
            <w:vAlign w:val="center"/>
            <w:hideMark/>
          </w:tcPr>
          <w:p w14:paraId="18280D4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278" w:type="dxa"/>
            <w:gridSpan w:val="3"/>
            <w:tcBorders>
              <w:top w:val="single" w:sz="8" w:space="0" w:color="auto"/>
              <w:left w:val="nil"/>
              <w:bottom w:val="single" w:sz="8" w:space="0" w:color="auto"/>
              <w:right w:val="single" w:sz="8" w:space="0" w:color="000000"/>
            </w:tcBorders>
            <w:vAlign w:val="center"/>
            <w:hideMark/>
          </w:tcPr>
          <w:p w14:paraId="5391224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r>
      <w:tr w:rsidR="0037139F" w:rsidRPr="003E0710" w14:paraId="06CF851B" w14:textId="77777777" w:rsidTr="00614438">
        <w:trPr>
          <w:trHeight w:val="315"/>
        </w:trPr>
        <w:tc>
          <w:tcPr>
            <w:tcW w:w="3402" w:type="dxa"/>
            <w:tcBorders>
              <w:top w:val="nil"/>
              <w:left w:val="single" w:sz="8" w:space="0" w:color="auto"/>
              <w:bottom w:val="single" w:sz="8" w:space="0" w:color="auto"/>
              <w:right w:val="single" w:sz="8" w:space="0" w:color="auto"/>
            </w:tcBorders>
            <w:shd w:val="clear" w:color="auto" w:fill="244062"/>
            <w:vAlign w:val="center"/>
          </w:tcPr>
          <w:p w14:paraId="2C6F8F4E" w14:textId="77777777" w:rsidR="0037139F" w:rsidRPr="003E0710" w:rsidRDefault="0037139F" w:rsidP="003E0710">
            <w:pPr>
              <w:spacing w:after="0"/>
              <w:jc w:val="both"/>
              <w:rPr>
                <w:rFonts w:ascii="Times New Roman" w:hAnsi="Times New Roman" w:cs="Times New Roman"/>
                <w:sz w:val="20"/>
                <w:szCs w:val="20"/>
                <w:lang w:val="en-GB"/>
              </w:rPr>
            </w:pPr>
          </w:p>
        </w:tc>
        <w:tc>
          <w:tcPr>
            <w:tcW w:w="6278" w:type="dxa"/>
            <w:gridSpan w:val="3"/>
            <w:tcBorders>
              <w:top w:val="single" w:sz="8" w:space="0" w:color="auto"/>
              <w:left w:val="nil"/>
              <w:bottom w:val="single" w:sz="8" w:space="0" w:color="auto"/>
              <w:right w:val="single" w:sz="8" w:space="0" w:color="000000"/>
            </w:tcBorders>
            <w:vAlign w:val="center"/>
          </w:tcPr>
          <w:p w14:paraId="4ED970F7" w14:textId="77777777" w:rsidR="0037139F" w:rsidRPr="003E0710" w:rsidRDefault="0037139F" w:rsidP="003E0710">
            <w:pPr>
              <w:spacing w:after="0"/>
              <w:jc w:val="both"/>
              <w:rPr>
                <w:rFonts w:ascii="Times New Roman" w:hAnsi="Times New Roman" w:cs="Times New Roman"/>
                <w:sz w:val="20"/>
                <w:szCs w:val="20"/>
                <w:lang w:val="en-GB"/>
              </w:rPr>
            </w:pPr>
          </w:p>
        </w:tc>
      </w:tr>
    </w:tbl>
    <w:p w14:paraId="62321A53"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23"/>
        <w:gridCol w:w="951"/>
        <w:gridCol w:w="945"/>
        <w:gridCol w:w="4239"/>
        <w:gridCol w:w="222"/>
      </w:tblGrid>
      <w:tr w:rsidR="00614438" w:rsidRPr="003E0710" w14:paraId="09CFAA21" w14:textId="77777777" w:rsidTr="00614438">
        <w:trPr>
          <w:trHeight w:val="349"/>
        </w:trPr>
        <w:tc>
          <w:tcPr>
            <w:tcW w:w="3323"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728C0D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51" w:type="dxa"/>
            <w:tcBorders>
              <w:top w:val="single" w:sz="8" w:space="0" w:color="auto"/>
              <w:left w:val="nil"/>
              <w:bottom w:val="single" w:sz="8" w:space="0" w:color="auto"/>
              <w:right w:val="single" w:sz="8" w:space="0" w:color="auto"/>
            </w:tcBorders>
            <w:shd w:val="clear" w:color="auto" w:fill="E7E6E6" w:themeFill="background2"/>
            <w:vAlign w:val="center"/>
            <w:hideMark/>
          </w:tcPr>
          <w:p w14:paraId="317BA88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PM_D2</w:t>
            </w:r>
          </w:p>
        </w:tc>
        <w:tc>
          <w:tcPr>
            <w:tcW w:w="945" w:type="dxa"/>
            <w:tcBorders>
              <w:top w:val="single" w:sz="8" w:space="0" w:color="auto"/>
              <w:left w:val="nil"/>
              <w:bottom w:val="single" w:sz="8" w:space="0" w:color="auto"/>
              <w:right w:val="single" w:sz="8" w:space="0" w:color="auto"/>
            </w:tcBorders>
            <w:shd w:val="clear" w:color="auto" w:fill="244062"/>
            <w:vAlign w:val="center"/>
            <w:hideMark/>
          </w:tcPr>
          <w:p w14:paraId="6FFD903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39" w:type="dxa"/>
            <w:gridSpan w:val="2"/>
            <w:tcBorders>
              <w:top w:val="single" w:sz="8" w:space="0" w:color="auto"/>
              <w:left w:val="nil"/>
              <w:bottom w:val="single" w:sz="8" w:space="0" w:color="auto"/>
              <w:right w:val="single" w:sz="8" w:space="0" w:color="auto"/>
            </w:tcBorders>
            <w:shd w:val="clear" w:color="auto" w:fill="E7E6E6" w:themeFill="background2"/>
            <w:vAlign w:val="center"/>
            <w:hideMark/>
          </w:tcPr>
          <w:p w14:paraId="6D91B4BD" w14:textId="77777777" w:rsidR="00614438" w:rsidRPr="003E0710" w:rsidRDefault="0037139F"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the implementation of the Low Carbon Development Strategy of the Republic of Serbia for the period 2023-2030, with projections until 2050, and the Program for Adaptation to Changed Climate Conditions for the period 2023 to 2030</w:t>
            </w:r>
          </w:p>
        </w:tc>
      </w:tr>
      <w:tr w:rsidR="00614438" w:rsidRPr="003E0710" w14:paraId="1FD89D57" w14:textId="77777777" w:rsidTr="00614438">
        <w:trPr>
          <w:trHeight w:val="271"/>
        </w:trPr>
        <w:tc>
          <w:tcPr>
            <w:tcW w:w="3323" w:type="dxa"/>
            <w:tcBorders>
              <w:top w:val="nil"/>
              <w:left w:val="single" w:sz="8" w:space="0" w:color="auto"/>
              <w:bottom w:val="single" w:sz="8" w:space="0" w:color="auto"/>
              <w:right w:val="nil"/>
            </w:tcBorders>
            <w:shd w:val="clear" w:color="auto" w:fill="244062"/>
            <w:vAlign w:val="center"/>
            <w:hideMark/>
          </w:tcPr>
          <w:p w14:paraId="7EBE640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35" w:type="dxa"/>
            <w:gridSpan w:val="4"/>
            <w:tcBorders>
              <w:top w:val="single" w:sz="8" w:space="0" w:color="auto"/>
              <w:left w:val="nil"/>
              <w:bottom w:val="single" w:sz="8" w:space="0" w:color="auto"/>
              <w:right w:val="single" w:sz="8" w:space="0" w:color="000000"/>
            </w:tcBorders>
            <w:vAlign w:val="center"/>
            <w:hideMark/>
          </w:tcPr>
          <w:p w14:paraId="690FD7D9" w14:textId="77777777" w:rsidR="00614438" w:rsidRPr="003E0710" w:rsidRDefault="0037139F"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Reducing GHG emissions and increasing resilience to climate change.</w:t>
            </w:r>
          </w:p>
        </w:tc>
      </w:tr>
      <w:tr w:rsidR="00614438" w:rsidRPr="003E0710" w14:paraId="0F1F1C7B" w14:textId="77777777" w:rsidTr="00614438">
        <w:trPr>
          <w:trHeight w:val="315"/>
        </w:trPr>
        <w:tc>
          <w:tcPr>
            <w:tcW w:w="3323" w:type="dxa"/>
            <w:tcBorders>
              <w:top w:val="nil"/>
              <w:left w:val="single" w:sz="8" w:space="0" w:color="auto"/>
              <w:bottom w:val="single" w:sz="8" w:space="0" w:color="auto"/>
              <w:right w:val="single" w:sz="8" w:space="0" w:color="auto"/>
            </w:tcBorders>
            <w:shd w:val="clear" w:color="auto" w:fill="244062"/>
            <w:vAlign w:val="center"/>
            <w:hideMark/>
          </w:tcPr>
          <w:p w14:paraId="5418CF9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35" w:type="dxa"/>
            <w:gridSpan w:val="4"/>
            <w:tcBorders>
              <w:top w:val="single" w:sz="8" w:space="0" w:color="auto"/>
              <w:left w:val="nil"/>
              <w:bottom w:val="single" w:sz="8" w:space="0" w:color="auto"/>
              <w:right w:val="single" w:sz="8" w:space="0" w:color="000000"/>
            </w:tcBorders>
            <w:vAlign w:val="center"/>
            <w:hideMark/>
          </w:tcPr>
          <w:p w14:paraId="56E0F4E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Contribution to the objective of reduction of GHG emissions by 33.3% (without LULUCF) by 2030 compared to 1990 levels</w:t>
            </w:r>
          </w:p>
        </w:tc>
      </w:tr>
      <w:tr w:rsidR="00614438" w:rsidRPr="003E0710" w14:paraId="4BC3F390" w14:textId="77777777" w:rsidTr="00614438">
        <w:trPr>
          <w:trHeight w:val="1447"/>
        </w:trPr>
        <w:tc>
          <w:tcPr>
            <w:tcW w:w="3323" w:type="dxa"/>
            <w:tcBorders>
              <w:top w:val="nil"/>
              <w:left w:val="single" w:sz="8" w:space="0" w:color="auto"/>
              <w:bottom w:val="single" w:sz="8" w:space="0" w:color="auto"/>
              <w:right w:val="single" w:sz="8" w:space="0" w:color="auto"/>
            </w:tcBorders>
            <w:shd w:val="clear" w:color="auto" w:fill="244062"/>
            <w:vAlign w:val="center"/>
            <w:hideMark/>
          </w:tcPr>
          <w:p w14:paraId="37944BC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35" w:type="dxa"/>
            <w:gridSpan w:val="4"/>
            <w:tcBorders>
              <w:top w:val="single" w:sz="8" w:space="0" w:color="auto"/>
              <w:left w:val="nil"/>
              <w:bottom w:val="single" w:sz="8" w:space="0" w:color="auto"/>
              <w:right w:val="single" w:sz="8" w:space="0" w:color="000000"/>
            </w:tcBorders>
            <w:vAlign w:val="center"/>
            <w:hideMark/>
          </w:tcPr>
          <w:p w14:paraId="4F2B50B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PM_D2 will facilitate the process of monitoring and revision of the adopted Low-Carbon Development Strategy, taking into account its main goals that are the fulfilment of obligations under the Paris Agreement and the proposal of recommendations for the alignment of Serbia’s GHG emissions pathway. </w:t>
            </w:r>
            <w:r w:rsidR="0037139F" w:rsidRPr="003E0710">
              <w:rPr>
                <w:rFonts w:ascii="Times New Roman" w:hAnsi="Times New Roman" w:cs="Times New Roman"/>
                <w:sz w:val="20"/>
                <w:szCs w:val="20"/>
                <w:lang w:val="en-GB"/>
              </w:rPr>
              <w:t>In addition, in December 2023, the Government adopted the Program of adaptation to changed climate conditions for the period 2023 to 2030, which as its integral part also contains the Action Plan for the period 2024-2026 with a total of 25 priority adaptation measures in the following sectors: agriculture, forestry, human health, biodiversity, road infrastructure, energy, urban planning. In addition, adaptation measures intended to be implemented at the national level should also be planned and implemented at the local level. It is necessary to strengthen the institutions that will carry out activities at the local level and in general that will monitor and supervise the implementation of these local plans, projects, etc., in the field of energy and climate.</w:t>
            </w:r>
          </w:p>
        </w:tc>
      </w:tr>
      <w:tr w:rsidR="00614438" w:rsidRPr="003E0710" w14:paraId="37240FF5" w14:textId="77777777" w:rsidTr="00614438">
        <w:trPr>
          <w:trHeight w:val="315"/>
        </w:trPr>
        <w:tc>
          <w:tcPr>
            <w:tcW w:w="3323" w:type="dxa"/>
            <w:tcBorders>
              <w:top w:val="nil"/>
              <w:left w:val="single" w:sz="8" w:space="0" w:color="auto"/>
              <w:bottom w:val="single" w:sz="8" w:space="0" w:color="auto"/>
              <w:right w:val="single" w:sz="8" w:space="0" w:color="auto"/>
            </w:tcBorders>
            <w:shd w:val="clear" w:color="auto" w:fill="244062"/>
            <w:vAlign w:val="center"/>
            <w:hideMark/>
          </w:tcPr>
          <w:p w14:paraId="3763C3E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35" w:type="dxa"/>
            <w:gridSpan w:val="4"/>
            <w:tcBorders>
              <w:top w:val="single" w:sz="8" w:space="0" w:color="auto"/>
              <w:left w:val="nil"/>
              <w:bottom w:val="single" w:sz="8" w:space="0" w:color="auto"/>
              <w:right w:val="single" w:sz="8" w:space="0" w:color="000000"/>
            </w:tcBorders>
            <w:vAlign w:val="center"/>
            <w:hideMark/>
          </w:tcPr>
          <w:p w14:paraId="095FB15E" w14:textId="77777777" w:rsidR="00614438" w:rsidRPr="003E0710" w:rsidRDefault="0037139F"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Until </w:t>
            </w:r>
            <w:r w:rsidR="00614438" w:rsidRPr="003E0710">
              <w:rPr>
                <w:rFonts w:ascii="Times New Roman" w:hAnsi="Times New Roman" w:cs="Times New Roman"/>
                <w:sz w:val="20"/>
                <w:szCs w:val="20"/>
                <w:lang w:val="en-GB"/>
              </w:rPr>
              <w:t>2030</w:t>
            </w:r>
          </w:p>
        </w:tc>
      </w:tr>
      <w:tr w:rsidR="00614438" w:rsidRPr="003E0710" w14:paraId="1BE6CAAE" w14:textId="77777777" w:rsidTr="00614438">
        <w:trPr>
          <w:trHeight w:val="315"/>
        </w:trPr>
        <w:tc>
          <w:tcPr>
            <w:tcW w:w="3323" w:type="dxa"/>
            <w:tcBorders>
              <w:top w:val="nil"/>
              <w:left w:val="single" w:sz="8" w:space="0" w:color="auto"/>
              <w:bottom w:val="single" w:sz="8" w:space="0" w:color="auto"/>
              <w:right w:val="single" w:sz="8" w:space="0" w:color="auto"/>
            </w:tcBorders>
            <w:shd w:val="clear" w:color="auto" w:fill="244062"/>
            <w:vAlign w:val="center"/>
            <w:hideMark/>
          </w:tcPr>
          <w:p w14:paraId="7D84F54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35" w:type="dxa"/>
            <w:gridSpan w:val="4"/>
            <w:tcBorders>
              <w:top w:val="single" w:sz="8" w:space="0" w:color="auto"/>
              <w:left w:val="nil"/>
              <w:bottom w:val="single" w:sz="8" w:space="0" w:color="auto"/>
              <w:right w:val="single" w:sz="8" w:space="0" w:color="000000"/>
            </w:tcBorders>
            <w:vAlign w:val="center"/>
            <w:hideMark/>
          </w:tcPr>
          <w:p w14:paraId="70C3A03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Reform</w:t>
            </w:r>
          </w:p>
        </w:tc>
      </w:tr>
      <w:tr w:rsidR="00614438" w:rsidRPr="003E0710" w14:paraId="45EADA2A" w14:textId="77777777" w:rsidTr="00614438">
        <w:trPr>
          <w:trHeight w:val="315"/>
        </w:trPr>
        <w:tc>
          <w:tcPr>
            <w:tcW w:w="3323" w:type="dxa"/>
            <w:tcBorders>
              <w:top w:val="nil"/>
              <w:left w:val="single" w:sz="8" w:space="0" w:color="auto"/>
              <w:bottom w:val="single" w:sz="8" w:space="0" w:color="auto"/>
              <w:right w:val="single" w:sz="8" w:space="0" w:color="auto"/>
            </w:tcBorders>
            <w:shd w:val="clear" w:color="auto" w:fill="244062"/>
            <w:vAlign w:val="center"/>
            <w:hideMark/>
          </w:tcPr>
          <w:p w14:paraId="7FFA478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35" w:type="dxa"/>
            <w:gridSpan w:val="4"/>
            <w:tcBorders>
              <w:top w:val="single" w:sz="8" w:space="0" w:color="auto"/>
              <w:left w:val="nil"/>
              <w:bottom w:val="single" w:sz="8" w:space="0" w:color="auto"/>
              <w:right w:val="single" w:sz="8" w:space="0" w:color="000000"/>
            </w:tcBorders>
            <w:vAlign w:val="center"/>
            <w:hideMark/>
          </w:tcPr>
          <w:p w14:paraId="3F98045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All INECP subject fields</w:t>
            </w:r>
          </w:p>
        </w:tc>
      </w:tr>
      <w:tr w:rsidR="00614438" w:rsidRPr="003E0710" w14:paraId="70A12DCC" w14:textId="77777777" w:rsidTr="00614438">
        <w:trPr>
          <w:trHeight w:val="315"/>
        </w:trPr>
        <w:tc>
          <w:tcPr>
            <w:tcW w:w="3323" w:type="dxa"/>
            <w:tcBorders>
              <w:top w:val="nil"/>
              <w:left w:val="single" w:sz="8" w:space="0" w:color="auto"/>
              <w:bottom w:val="single" w:sz="8" w:space="0" w:color="auto"/>
              <w:right w:val="single" w:sz="8" w:space="0" w:color="auto"/>
            </w:tcBorders>
            <w:shd w:val="clear" w:color="auto" w:fill="244062"/>
            <w:vAlign w:val="center"/>
            <w:hideMark/>
          </w:tcPr>
          <w:p w14:paraId="5DC05A5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35" w:type="dxa"/>
            <w:gridSpan w:val="4"/>
            <w:tcBorders>
              <w:top w:val="single" w:sz="8" w:space="0" w:color="auto"/>
              <w:left w:val="nil"/>
              <w:bottom w:val="single" w:sz="8" w:space="0" w:color="auto"/>
              <w:right w:val="single" w:sz="8" w:space="0" w:color="000000"/>
            </w:tcBorders>
            <w:vAlign w:val="center"/>
            <w:hideMark/>
          </w:tcPr>
          <w:p w14:paraId="3755C632" w14:textId="77777777" w:rsidR="00614438" w:rsidRPr="003E0710" w:rsidRDefault="00614438" w:rsidP="003E0710">
            <w:pPr>
              <w:numPr>
                <w:ilvl w:val="0"/>
                <w:numId w:val="12"/>
              </w:numPr>
              <w:spacing w:after="0"/>
              <w:jc w:val="both"/>
              <w:rPr>
                <w:rFonts w:ascii="Times New Roman" w:hAnsi="Times New Roman" w:cs="Times New Roman"/>
                <w:sz w:val="20"/>
                <w:szCs w:val="20"/>
              </w:rPr>
            </w:pPr>
            <w:r w:rsidRPr="003E0710">
              <w:rPr>
                <w:rFonts w:ascii="Times New Roman" w:hAnsi="Times New Roman" w:cs="Times New Roman"/>
                <w:sz w:val="20"/>
                <w:szCs w:val="20"/>
              </w:rPr>
              <w:t xml:space="preserve">Ministry of Environmental Protection </w:t>
            </w:r>
          </w:p>
        </w:tc>
      </w:tr>
      <w:tr w:rsidR="00614438" w:rsidRPr="003E0710" w14:paraId="004FAF1E" w14:textId="77777777" w:rsidTr="00614438">
        <w:trPr>
          <w:gridAfter w:val="1"/>
          <w:wAfter w:w="222" w:type="dxa"/>
          <w:trHeight w:val="315"/>
        </w:trPr>
        <w:tc>
          <w:tcPr>
            <w:tcW w:w="3323" w:type="dxa"/>
            <w:tcBorders>
              <w:top w:val="nil"/>
              <w:left w:val="single" w:sz="8" w:space="0" w:color="auto"/>
              <w:bottom w:val="single" w:sz="8" w:space="0" w:color="auto"/>
              <w:right w:val="nil"/>
            </w:tcBorders>
            <w:shd w:val="clear" w:color="auto" w:fill="244062"/>
            <w:vAlign w:val="center"/>
            <w:hideMark/>
          </w:tcPr>
          <w:p w14:paraId="7266EFC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35" w:type="dxa"/>
            <w:gridSpan w:val="3"/>
            <w:tcBorders>
              <w:top w:val="single" w:sz="8" w:space="0" w:color="auto"/>
              <w:left w:val="nil"/>
              <w:bottom w:val="single" w:sz="8" w:space="0" w:color="auto"/>
              <w:right w:val="single" w:sz="8" w:space="0" w:color="000000"/>
            </w:tcBorders>
            <w:vAlign w:val="center"/>
            <w:hideMark/>
          </w:tcPr>
          <w:p w14:paraId="720AA60C" w14:textId="77777777" w:rsidR="00614438" w:rsidRPr="003E0710" w:rsidRDefault="00614438" w:rsidP="003E0710">
            <w:pPr>
              <w:numPr>
                <w:ilvl w:val="0"/>
                <w:numId w:val="12"/>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Environmental Protection</w:t>
            </w:r>
          </w:p>
          <w:p w14:paraId="1D911013" w14:textId="77777777" w:rsidR="00614438" w:rsidRPr="003E0710" w:rsidRDefault="00614438" w:rsidP="003E0710">
            <w:pPr>
              <w:numPr>
                <w:ilvl w:val="0"/>
                <w:numId w:val="12"/>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Mining and Energy</w:t>
            </w:r>
          </w:p>
          <w:p w14:paraId="61226A2A" w14:textId="77777777" w:rsidR="00614438" w:rsidRPr="003E0710" w:rsidRDefault="00614438" w:rsidP="003E0710">
            <w:pPr>
              <w:numPr>
                <w:ilvl w:val="0"/>
                <w:numId w:val="12"/>
              </w:numPr>
              <w:spacing w:after="0"/>
              <w:jc w:val="both"/>
              <w:rPr>
                <w:rFonts w:ascii="Times New Roman" w:hAnsi="Times New Roman" w:cs="Times New Roman"/>
                <w:sz w:val="20"/>
                <w:szCs w:val="20"/>
              </w:rPr>
            </w:pPr>
            <w:r w:rsidRPr="003E0710">
              <w:rPr>
                <w:rFonts w:ascii="Times New Roman" w:hAnsi="Times New Roman" w:cs="Times New Roman"/>
                <w:sz w:val="20"/>
                <w:szCs w:val="20"/>
              </w:rPr>
              <w:t>Other relevant institutions</w:t>
            </w:r>
          </w:p>
        </w:tc>
      </w:tr>
      <w:tr w:rsidR="00614438" w:rsidRPr="003E0710" w14:paraId="58C79B29" w14:textId="77777777" w:rsidTr="00614438">
        <w:trPr>
          <w:gridAfter w:val="1"/>
          <w:wAfter w:w="222" w:type="dxa"/>
          <w:trHeight w:val="315"/>
        </w:trPr>
        <w:tc>
          <w:tcPr>
            <w:tcW w:w="3323" w:type="dxa"/>
            <w:tcBorders>
              <w:top w:val="nil"/>
              <w:left w:val="single" w:sz="8" w:space="0" w:color="auto"/>
              <w:bottom w:val="single" w:sz="8" w:space="0" w:color="auto"/>
              <w:right w:val="nil"/>
            </w:tcBorders>
            <w:shd w:val="clear" w:color="auto" w:fill="244062"/>
            <w:vAlign w:val="center"/>
            <w:hideMark/>
          </w:tcPr>
          <w:p w14:paraId="0BFDCDE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35" w:type="dxa"/>
            <w:gridSpan w:val="3"/>
            <w:tcBorders>
              <w:top w:val="single" w:sz="8" w:space="0" w:color="auto"/>
              <w:left w:val="nil"/>
              <w:bottom w:val="single" w:sz="8" w:space="0" w:color="auto"/>
              <w:right w:val="single" w:sz="8" w:space="0" w:color="000000"/>
            </w:tcBorders>
            <w:vAlign w:val="center"/>
            <w:hideMark/>
          </w:tcPr>
          <w:p w14:paraId="22D176C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Annual emissions reduction (Gg CO</w:t>
            </w:r>
            <w:r w:rsidRPr="003E0710">
              <w:rPr>
                <w:rFonts w:ascii="Times New Roman" w:hAnsi="Times New Roman" w:cs="Times New Roman"/>
                <w:sz w:val="20"/>
                <w:szCs w:val="20"/>
                <w:vertAlign w:val="subscript"/>
                <w:lang w:val="en-GB"/>
              </w:rPr>
              <w:t>2</w:t>
            </w:r>
            <w:r w:rsidRPr="003E0710">
              <w:rPr>
                <w:rFonts w:ascii="Times New Roman" w:hAnsi="Times New Roman" w:cs="Times New Roman"/>
                <w:sz w:val="20"/>
                <w:szCs w:val="20"/>
                <w:lang w:val="en-GB"/>
              </w:rPr>
              <w:t>-eq)</w:t>
            </w:r>
          </w:p>
        </w:tc>
      </w:tr>
      <w:tr w:rsidR="00614438" w:rsidRPr="003E0710" w14:paraId="4FA4D44A" w14:textId="77777777" w:rsidTr="00614438">
        <w:trPr>
          <w:gridAfter w:val="1"/>
          <w:wAfter w:w="222" w:type="dxa"/>
          <w:trHeight w:val="561"/>
        </w:trPr>
        <w:tc>
          <w:tcPr>
            <w:tcW w:w="3323" w:type="dxa"/>
            <w:tcBorders>
              <w:top w:val="nil"/>
              <w:left w:val="single" w:sz="8" w:space="0" w:color="auto"/>
              <w:bottom w:val="single" w:sz="8" w:space="0" w:color="auto"/>
              <w:right w:val="single" w:sz="8" w:space="0" w:color="auto"/>
            </w:tcBorders>
            <w:shd w:val="clear" w:color="auto" w:fill="244062"/>
            <w:vAlign w:val="center"/>
            <w:hideMark/>
          </w:tcPr>
          <w:p w14:paraId="7C9858C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35" w:type="dxa"/>
            <w:gridSpan w:val="3"/>
            <w:tcBorders>
              <w:top w:val="single" w:sz="8" w:space="0" w:color="auto"/>
              <w:left w:val="nil"/>
              <w:bottom w:val="single" w:sz="8" w:space="0" w:color="auto"/>
              <w:right w:val="single" w:sz="8" w:space="0" w:color="000000"/>
            </w:tcBorders>
            <w:vAlign w:val="center"/>
          </w:tcPr>
          <w:p w14:paraId="7B92F3ED"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9BC5E54" w14:textId="77777777" w:rsidTr="00614438">
        <w:trPr>
          <w:gridAfter w:val="1"/>
          <w:wAfter w:w="222" w:type="dxa"/>
          <w:trHeight w:val="458"/>
        </w:trPr>
        <w:tc>
          <w:tcPr>
            <w:tcW w:w="3323" w:type="dxa"/>
            <w:vMerge w:val="restart"/>
            <w:tcBorders>
              <w:top w:val="nil"/>
              <w:left w:val="single" w:sz="8" w:space="0" w:color="auto"/>
              <w:bottom w:val="single" w:sz="8" w:space="0" w:color="000000"/>
              <w:right w:val="single" w:sz="8" w:space="0" w:color="auto"/>
            </w:tcBorders>
            <w:shd w:val="clear" w:color="auto" w:fill="244062"/>
            <w:vAlign w:val="center"/>
            <w:hideMark/>
          </w:tcPr>
          <w:p w14:paraId="01710B3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35"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8C78814" w14:textId="77777777" w:rsidR="00614438" w:rsidRPr="003E0710" w:rsidRDefault="00614438" w:rsidP="003E0710">
            <w:pPr>
              <w:numPr>
                <w:ilvl w:val="0"/>
                <w:numId w:val="14"/>
              </w:numPr>
              <w:spacing w:after="0"/>
              <w:jc w:val="both"/>
              <w:rPr>
                <w:rFonts w:ascii="Times New Roman" w:hAnsi="Times New Roman" w:cs="Times New Roman"/>
                <w:sz w:val="20"/>
                <w:szCs w:val="20"/>
              </w:rPr>
            </w:pPr>
            <w:r w:rsidRPr="003E0710">
              <w:rPr>
                <w:rFonts w:ascii="Times New Roman" w:hAnsi="Times New Roman" w:cs="Times New Roman"/>
                <w:sz w:val="20"/>
                <w:szCs w:val="20"/>
              </w:rPr>
              <w:t>Regulation 2018/1999</w:t>
            </w:r>
          </w:p>
        </w:tc>
      </w:tr>
      <w:tr w:rsidR="00614438" w:rsidRPr="003E0710" w14:paraId="5BBB5BAC"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5A7B9382"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1D6B7A5"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3550117B"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05A5ECDF"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3DB8B3F8"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1DD0CCE"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48412143"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42DFF9FF" w14:textId="77777777" w:rsidTr="00614438">
        <w:trPr>
          <w:trHeight w:val="297"/>
        </w:trPr>
        <w:tc>
          <w:tcPr>
            <w:tcW w:w="3323" w:type="dxa"/>
            <w:tcBorders>
              <w:top w:val="nil"/>
              <w:left w:val="single" w:sz="8" w:space="0" w:color="auto"/>
              <w:bottom w:val="single" w:sz="8" w:space="0" w:color="auto"/>
              <w:right w:val="single" w:sz="8" w:space="0" w:color="auto"/>
            </w:tcBorders>
            <w:shd w:val="clear" w:color="auto" w:fill="244062"/>
            <w:vAlign w:val="center"/>
            <w:hideMark/>
          </w:tcPr>
          <w:p w14:paraId="497CDF3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35" w:type="dxa"/>
            <w:gridSpan w:val="3"/>
            <w:tcBorders>
              <w:top w:val="single" w:sz="8" w:space="0" w:color="auto"/>
              <w:left w:val="nil"/>
              <w:bottom w:val="single" w:sz="8" w:space="0" w:color="auto"/>
              <w:right w:val="single" w:sz="8" w:space="0" w:color="000000"/>
            </w:tcBorders>
            <w:vAlign w:val="center"/>
            <w:hideMark/>
          </w:tcPr>
          <w:p w14:paraId="568BD6EF" w14:textId="77777777" w:rsidR="00614438" w:rsidRPr="003E0710" w:rsidRDefault="00614438" w:rsidP="003E0710">
            <w:pPr>
              <w:numPr>
                <w:ilvl w:val="0"/>
                <w:numId w:val="13"/>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Climate Change</w:t>
            </w:r>
          </w:p>
          <w:p w14:paraId="4DC17121" w14:textId="77777777" w:rsidR="00614438" w:rsidRPr="003E0710" w:rsidRDefault="00614438" w:rsidP="003E0710">
            <w:pPr>
              <w:numPr>
                <w:ilvl w:val="0"/>
                <w:numId w:val="13"/>
              </w:numPr>
              <w:spacing w:after="0"/>
              <w:jc w:val="both"/>
              <w:rPr>
                <w:rFonts w:ascii="Times New Roman" w:hAnsi="Times New Roman" w:cs="Times New Roman"/>
                <w:sz w:val="20"/>
                <w:szCs w:val="20"/>
              </w:rPr>
            </w:pPr>
            <w:r w:rsidRPr="003E0710">
              <w:rPr>
                <w:rFonts w:ascii="Times New Roman" w:hAnsi="Times New Roman" w:cs="Times New Roman"/>
                <w:sz w:val="20"/>
                <w:szCs w:val="20"/>
              </w:rPr>
              <w:t>Low-carbon Development Strategy for the period 2023-2030 with projections until 2050</w:t>
            </w:r>
          </w:p>
        </w:tc>
        <w:tc>
          <w:tcPr>
            <w:tcW w:w="222" w:type="dxa"/>
            <w:vAlign w:val="center"/>
            <w:hideMark/>
          </w:tcPr>
          <w:p w14:paraId="111DE4D2"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153B324E" w14:textId="77777777" w:rsidTr="00614438">
        <w:trPr>
          <w:trHeight w:val="315"/>
        </w:trPr>
        <w:tc>
          <w:tcPr>
            <w:tcW w:w="3323" w:type="dxa"/>
            <w:tcBorders>
              <w:top w:val="nil"/>
              <w:left w:val="single" w:sz="8" w:space="0" w:color="auto"/>
              <w:bottom w:val="single" w:sz="8" w:space="0" w:color="auto"/>
              <w:right w:val="single" w:sz="8" w:space="0" w:color="auto"/>
            </w:tcBorders>
            <w:shd w:val="clear" w:color="auto" w:fill="244062"/>
            <w:vAlign w:val="center"/>
            <w:hideMark/>
          </w:tcPr>
          <w:p w14:paraId="25867DD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35" w:type="dxa"/>
            <w:gridSpan w:val="3"/>
            <w:tcBorders>
              <w:top w:val="single" w:sz="8" w:space="0" w:color="auto"/>
              <w:left w:val="nil"/>
              <w:bottom w:val="single" w:sz="8" w:space="0" w:color="auto"/>
              <w:right w:val="single" w:sz="8" w:space="0" w:color="000000"/>
            </w:tcBorders>
            <w:vAlign w:val="center"/>
            <w:hideMark/>
          </w:tcPr>
          <w:p w14:paraId="3396382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1.4 M€</w:t>
            </w:r>
          </w:p>
        </w:tc>
        <w:tc>
          <w:tcPr>
            <w:tcW w:w="222" w:type="dxa"/>
            <w:vAlign w:val="center"/>
          </w:tcPr>
          <w:p w14:paraId="24F63AD1"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FEAE042" w14:textId="77777777" w:rsidTr="00614438">
        <w:trPr>
          <w:trHeight w:val="315"/>
        </w:trPr>
        <w:tc>
          <w:tcPr>
            <w:tcW w:w="3323" w:type="dxa"/>
            <w:tcBorders>
              <w:top w:val="nil"/>
              <w:left w:val="single" w:sz="8" w:space="0" w:color="auto"/>
              <w:bottom w:val="single" w:sz="8" w:space="0" w:color="auto"/>
              <w:right w:val="single" w:sz="8" w:space="0" w:color="auto"/>
            </w:tcBorders>
            <w:shd w:val="clear" w:color="auto" w:fill="244062"/>
            <w:vAlign w:val="center"/>
            <w:hideMark/>
          </w:tcPr>
          <w:p w14:paraId="1B058DA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35" w:type="dxa"/>
            <w:gridSpan w:val="3"/>
            <w:tcBorders>
              <w:top w:val="single" w:sz="8" w:space="0" w:color="auto"/>
              <w:left w:val="nil"/>
              <w:bottom w:val="single" w:sz="8" w:space="0" w:color="auto"/>
              <w:right w:val="single" w:sz="8" w:space="0" w:color="000000"/>
            </w:tcBorders>
            <w:vAlign w:val="center"/>
            <w:hideMark/>
          </w:tcPr>
          <w:p w14:paraId="3F18767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2886A168" w14:textId="77777777" w:rsidR="00614438" w:rsidRPr="003E0710" w:rsidRDefault="00614438" w:rsidP="003E0710">
            <w:pPr>
              <w:spacing w:after="0"/>
              <w:jc w:val="both"/>
              <w:rPr>
                <w:rFonts w:ascii="Times New Roman" w:hAnsi="Times New Roman" w:cs="Times New Roman"/>
                <w:sz w:val="20"/>
                <w:szCs w:val="20"/>
                <w:lang w:val="en-GB"/>
              </w:rPr>
            </w:pPr>
          </w:p>
        </w:tc>
      </w:tr>
    </w:tbl>
    <w:p w14:paraId="00AA16C7"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30"/>
        <w:gridCol w:w="951"/>
        <w:gridCol w:w="946"/>
        <w:gridCol w:w="4231"/>
        <w:gridCol w:w="222"/>
      </w:tblGrid>
      <w:tr w:rsidR="00614438" w:rsidRPr="003E0710" w14:paraId="47778892" w14:textId="77777777" w:rsidTr="00614438">
        <w:trPr>
          <w:gridAfter w:val="1"/>
          <w:wAfter w:w="222" w:type="dxa"/>
          <w:trHeight w:val="421"/>
        </w:trPr>
        <w:tc>
          <w:tcPr>
            <w:tcW w:w="3330"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183878C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 xml:space="preserve">Policy measure code: </w:t>
            </w:r>
          </w:p>
        </w:tc>
        <w:tc>
          <w:tcPr>
            <w:tcW w:w="951" w:type="dxa"/>
            <w:tcBorders>
              <w:top w:val="single" w:sz="8" w:space="0" w:color="auto"/>
              <w:left w:val="nil"/>
              <w:bottom w:val="single" w:sz="8" w:space="0" w:color="auto"/>
              <w:right w:val="single" w:sz="8" w:space="0" w:color="auto"/>
            </w:tcBorders>
            <w:shd w:val="clear" w:color="auto" w:fill="E7E6E6" w:themeFill="background2"/>
            <w:vAlign w:val="center"/>
            <w:hideMark/>
          </w:tcPr>
          <w:p w14:paraId="497D614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PM_D3</w:t>
            </w:r>
          </w:p>
        </w:tc>
        <w:tc>
          <w:tcPr>
            <w:tcW w:w="946" w:type="dxa"/>
            <w:tcBorders>
              <w:top w:val="single" w:sz="8" w:space="0" w:color="auto"/>
              <w:left w:val="nil"/>
              <w:bottom w:val="single" w:sz="8" w:space="0" w:color="auto"/>
              <w:right w:val="single" w:sz="8" w:space="0" w:color="auto"/>
            </w:tcBorders>
            <w:shd w:val="clear" w:color="auto" w:fill="244062"/>
            <w:vAlign w:val="center"/>
            <w:hideMark/>
          </w:tcPr>
          <w:p w14:paraId="6A08B11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31" w:type="dxa"/>
            <w:tcBorders>
              <w:top w:val="single" w:sz="8" w:space="0" w:color="auto"/>
              <w:left w:val="nil"/>
              <w:bottom w:val="single" w:sz="8" w:space="0" w:color="auto"/>
              <w:right w:val="single" w:sz="8" w:space="0" w:color="auto"/>
            </w:tcBorders>
            <w:shd w:val="clear" w:color="auto" w:fill="E7E6E6" w:themeFill="background2"/>
            <w:vAlign w:val="center"/>
            <w:hideMark/>
          </w:tcPr>
          <w:p w14:paraId="6A7FE4C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Promoting circular economy</w:t>
            </w:r>
          </w:p>
        </w:tc>
      </w:tr>
      <w:tr w:rsidR="00614438" w:rsidRPr="003E0710" w14:paraId="02BD2E54" w14:textId="77777777" w:rsidTr="00614438">
        <w:trPr>
          <w:gridAfter w:val="1"/>
          <w:wAfter w:w="222" w:type="dxa"/>
          <w:trHeight w:val="474"/>
        </w:trPr>
        <w:tc>
          <w:tcPr>
            <w:tcW w:w="3330" w:type="dxa"/>
            <w:tcBorders>
              <w:top w:val="nil"/>
              <w:left w:val="single" w:sz="8" w:space="0" w:color="auto"/>
              <w:bottom w:val="single" w:sz="8" w:space="0" w:color="auto"/>
              <w:right w:val="nil"/>
            </w:tcBorders>
            <w:shd w:val="clear" w:color="auto" w:fill="244062"/>
            <w:vAlign w:val="center"/>
            <w:hideMark/>
          </w:tcPr>
          <w:p w14:paraId="4FBF155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28" w:type="dxa"/>
            <w:gridSpan w:val="3"/>
            <w:tcBorders>
              <w:top w:val="single" w:sz="8" w:space="0" w:color="auto"/>
              <w:left w:val="nil"/>
              <w:bottom w:val="single" w:sz="8" w:space="0" w:color="auto"/>
              <w:right w:val="single" w:sz="8" w:space="0" w:color="000000"/>
            </w:tcBorders>
            <w:vAlign w:val="center"/>
            <w:hideMark/>
          </w:tcPr>
          <w:p w14:paraId="70A19AD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GHG emissions reduction</w:t>
            </w:r>
          </w:p>
        </w:tc>
      </w:tr>
      <w:tr w:rsidR="00614438" w:rsidRPr="003E0710" w14:paraId="348D443E"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2EA6FD4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28" w:type="dxa"/>
            <w:gridSpan w:val="3"/>
            <w:tcBorders>
              <w:top w:val="single" w:sz="8" w:space="0" w:color="auto"/>
              <w:left w:val="nil"/>
              <w:bottom w:val="single" w:sz="8" w:space="0" w:color="auto"/>
              <w:right w:val="single" w:sz="8" w:space="0" w:color="000000"/>
            </w:tcBorders>
            <w:vAlign w:val="center"/>
            <w:hideMark/>
          </w:tcPr>
          <w:p w14:paraId="5750099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Reduce GHG emissions in the waste sector by 13% by 2030, compared to 2010</w:t>
            </w:r>
          </w:p>
        </w:tc>
      </w:tr>
      <w:tr w:rsidR="00614438" w:rsidRPr="003E0710" w14:paraId="74BC40C5" w14:textId="77777777" w:rsidTr="00614438">
        <w:trPr>
          <w:gridAfter w:val="1"/>
          <w:wAfter w:w="222" w:type="dxa"/>
          <w:trHeight w:val="229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2A7FDC8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28" w:type="dxa"/>
            <w:gridSpan w:val="3"/>
            <w:tcBorders>
              <w:top w:val="single" w:sz="8" w:space="0" w:color="auto"/>
              <w:left w:val="nil"/>
              <w:bottom w:val="single" w:sz="8" w:space="0" w:color="auto"/>
              <w:right w:val="single" w:sz="8" w:space="0" w:color="000000"/>
            </w:tcBorders>
            <w:vAlign w:val="center"/>
            <w:hideMark/>
          </w:tcPr>
          <w:p w14:paraId="063D323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PM_D3 will promote actions in accordance with the Circular economy development programme in the Republic of Serbia for the period 202</w:t>
            </w:r>
            <w:r w:rsidR="0037139F" w:rsidRPr="003E0710">
              <w:rPr>
                <w:rFonts w:ascii="Times New Roman" w:hAnsi="Times New Roman" w:cs="Times New Roman"/>
                <w:sz w:val="20"/>
                <w:szCs w:val="20"/>
                <w:lang w:val="en-GB"/>
              </w:rPr>
              <w:t>5</w:t>
            </w:r>
            <w:r w:rsidRPr="003E0710">
              <w:rPr>
                <w:rFonts w:ascii="Times New Roman" w:hAnsi="Times New Roman" w:cs="Times New Roman"/>
                <w:sz w:val="20"/>
                <w:szCs w:val="20"/>
                <w:lang w:val="en-GB"/>
              </w:rPr>
              <w:t>-20</w:t>
            </w:r>
            <w:r w:rsidR="0037139F" w:rsidRPr="003E0710">
              <w:rPr>
                <w:rFonts w:ascii="Times New Roman" w:hAnsi="Times New Roman" w:cs="Times New Roman"/>
                <w:sz w:val="20"/>
                <w:szCs w:val="20"/>
                <w:lang w:val="en-GB"/>
              </w:rPr>
              <w:t>30</w:t>
            </w:r>
            <w:r w:rsidRPr="003E0710">
              <w:rPr>
                <w:rFonts w:ascii="Times New Roman" w:hAnsi="Times New Roman" w:cs="Times New Roman"/>
                <w:sz w:val="20"/>
                <w:szCs w:val="20"/>
                <w:lang w:val="en-GB"/>
              </w:rPr>
              <w:t xml:space="preserve"> aiming at shifting to a circular pattern that can lead to a significant reduction in GHG emissions through recycling and reuse of materials, more efficient use of resources and more eco-friendly product design, as well as through the introduction of new ‘circular’ business models, especially in industry, transport and the built environment. A series of actions for the development of financial instruments, planning and establishment of a regulatory framework will also be examined.</w:t>
            </w:r>
          </w:p>
        </w:tc>
      </w:tr>
      <w:tr w:rsidR="00614438" w:rsidRPr="003E0710" w14:paraId="1B3031F1"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750DA8C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28" w:type="dxa"/>
            <w:gridSpan w:val="3"/>
            <w:tcBorders>
              <w:top w:val="single" w:sz="8" w:space="0" w:color="auto"/>
              <w:left w:val="nil"/>
              <w:bottom w:val="single" w:sz="8" w:space="0" w:color="auto"/>
              <w:right w:val="single" w:sz="8" w:space="0" w:color="000000"/>
            </w:tcBorders>
            <w:vAlign w:val="center"/>
            <w:hideMark/>
          </w:tcPr>
          <w:p w14:paraId="28107A4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w:t>
            </w:r>
            <w:r w:rsidR="0037139F" w:rsidRPr="003E0710">
              <w:rPr>
                <w:rFonts w:ascii="Times New Roman" w:hAnsi="Times New Roman" w:cs="Times New Roman"/>
                <w:sz w:val="20"/>
                <w:szCs w:val="20"/>
                <w:lang w:val="en-GB"/>
              </w:rPr>
              <w:t>5</w:t>
            </w:r>
            <w:r w:rsidRPr="003E0710">
              <w:rPr>
                <w:rFonts w:ascii="Times New Roman" w:hAnsi="Times New Roman" w:cs="Times New Roman"/>
                <w:sz w:val="20"/>
                <w:szCs w:val="20"/>
                <w:lang w:val="en-GB"/>
              </w:rPr>
              <w:t>-2030</w:t>
            </w:r>
          </w:p>
        </w:tc>
      </w:tr>
      <w:tr w:rsidR="00614438" w:rsidRPr="003E0710" w14:paraId="59F3E3CB"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22F8A1D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28" w:type="dxa"/>
            <w:gridSpan w:val="3"/>
            <w:tcBorders>
              <w:top w:val="single" w:sz="8" w:space="0" w:color="auto"/>
              <w:left w:val="nil"/>
              <w:bottom w:val="single" w:sz="8" w:space="0" w:color="auto"/>
              <w:right w:val="single" w:sz="8" w:space="0" w:color="000000"/>
            </w:tcBorders>
            <w:vAlign w:val="center"/>
            <w:hideMark/>
          </w:tcPr>
          <w:p w14:paraId="3765DD9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 Reform </w:t>
            </w:r>
          </w:p>
        </w:tc>
      </w:tr>
      <w:tr w:rsidR="00614438" w:rsidRPr="003E0710" w14:paraId="6DB4B9DC"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7C76C41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28" w:type="dxa"/>
            <w:gridSpan w:val="3"/>
            <w:tcBorders>
              <w:top w:val="single" w:sz="8" w:space="0" w:color="auto"/>
              <w:left w:val="nil"/>
              <w:bottom w:val="single" w:sz="8" w:space="0" w:color="auto"/>
              <w:right w:val="single" w:sz="8" w:space="0" w:color="000000"/>
            </w:tcBorders>
            <w:vAlign w:val="center"/>
            <w:hideMark/>
          </w:tcPr>
          <w:p w14:paraId="734D0B3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All INECP subject fields</w:t>
            </w:r>
          </w:p>
        </w:tc>
      </w:tr>
      <w:tr w:rsidR="00614438" w:rsidRPr="003E0710" w14:paraId="4A8EC0AF"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494B2E9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28" w:type="dxa"/>
            <w:gridSpan w:val="3"/>
            <w:tcBorders>
              <w:top w:val="single" w:sz="8" w:space="0" w:color="auto"/>
              <w:left w:val="nil"/>
              <w:bottom w:val="single" w:sz="8" w:space="0" w:color="auto"/>
              <w:right w:val="single" w:sz="8" w:space="0" w:color="000000"/>
            </w:tcBorders>
            <w:vAlign w:val="center"/>
            <w:hideMark/>
          </w:tcPr>
          <w:p w14:paraId="644873C9" w14:textId="77777777" w:rsidR="00614438" w:rsidRPr="003E0710" w:rsidRDefault="00614438" w:rsidP="003E0710">
            <w:pPr>
              <w:numPr>
                <w:ilvl w:val="0"/>
                <w:numId w:val="13"/>
              </w:numPr>
              <w:spacing w:after="0"/>
              <w:jc w:val="both"/>
              <w:rPr>
                <w:rFonts w:ascii="Times New Roman" w:hAnsi="Times New Roman" w:cs="Times New Roman"/>
                <w:sz w:val="20"/>
                <w:szCs w:val="20"/>
              </w:rPr>
            </w:pPr>
            <w:r w:rsidRPr="003E0710">
              <w:rPr>
                <w:rFonts w:ascii="Times New Roman" w:hAnsi="Times New Roman" w:cs="Times New Roman"/>
                <w:sz w:val="20"/>
                <w:szCs w:val="20"/>
              </w:rPr>
              <w:t xml:space="preserve">Ministry of Environmental Protection </w:t>
            </w:r>
          </w:p>
        </w:tc>
      </w:tr>
      <w:tr w:rsidR="00614438" w:rsidRPr="003E0710" w14:paraId="4079B671" w14:textId="77777777" w:rsidTr="00614438">
        <w:trPr>
          <w:gridAfter w:val="1"/>
          <w:wAfter w:w="222" w:type="dxa"/>
          <w:trHeight w:val="315"/>
        </w:trPr>
        <w:tc>
          <w:tcPr>
            <w:tcW w:w="3330" w:type="dxa"/>
            <w:tcBorders>
              <w:top w:val="nil"/>
              <w:left w:val="single" w:sz="8" w:space="0" w:color="auto"/>
              <w:bottom w:val="single" w:sz="8" w:space="0" w:color="auto"/>
              <w:right w:val="nil"/>
            </w:tcBorders>
            <w:shd w:val="clear" w:color="auto" w:fill="244062"/>
            <w:vAlign w:val="center"/>
            <w:hideMark/>
          </w:tcPr>
          <w:p w14:paraId="6182CB2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28" w:type="dxa"/>
            <w:gridSpan w:val="3"/>
            <w:tcBorders>
              <w:top w:val="single" w:sz="8" w:space="0" w:color="auto"/>
              <w:left w:val="nil"/>
              <w:bottom w:val="single" w:sz="8" w:space="0" w:color="auto"/>
              <w:right w:val="single" w:sz="8" w:space="0" w:color="000000"/>
            </w:tcBorders>
            <w:vAlign w:val="center"/>
            <w:hideMark/>
          </w:tcPr>
          <w:p w14:paraId="71B92967" w14:textId="77777777" w:rsidR="00614438" w:rsidRPr="003E0710" w:rsidRDefault="00614438" w:rsidP="003E0710">
            <w:pPr>
              <w:numPr>
                <w:ilvl w:val="0"/>
                <w:numId w:val="1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Environmental Protection</w:t>
            </w:r>
          </w:p>
          <w:p w14:paraId="67764D20" w14:textId="77777777" w:rsidR="00614438" w:rsidRPr="003E0710" w:rsidRDefault="00614438" w:rsidP="003E0710">
            <w:pPr>
              <w:numPr>
                <w:ilvl w:val="0"/>
                <w:numId w:val="13"/>
              </w:numPr>
              <w:spacing w:after="0"/>
              <w:jc w:val="both"/>
              <w:rPr>
                <w:rFonts w:ascii="Times New Roman" w:hAnsi="Times New Roman" w:cs="Times New Roman"/>
                <w:sz w:val="20"/>
                <w:szCs w:val="20"/>
              </w:rPr>
            </w:pPr>
            <w:r w:rsidRPr="003E0710">
              <w:rPr>
                <w:rFonts w:ascii="Times New Roman" w:hAnsi="Times New Roman" w:cs="Times New Roman"/>
                <w:sz w:val="20"/>
                <w:szCs w:val="20"/>
              </w:rPr>
              <w:t>Agency for Environmental Protection</w:t>
            </w:r>
          </w:p>
        </w:tc>
      </w:tr>
      <w:tr w:rsidR="00614438" w:rsidRPr="003E0710" w14:paraId="6BD38CCF" w14:textId="77777777" w:rsidTr="00614438">
        <w:trPr>
          <w:gridAfter w:val="1"/>
          <w:wAfter w:w="222" w:type="dxa"/>
          <w:trHeight w:val="315"/>
        </w:trPr>
        <w:tc>
          <w:tcPr>
            <w:tcW w:w="3330" w:type="dxa"/>
            <w:tcBorders>
              <w:top w:val="nil"/>
              <w:left w:val="single" w:sz="8" w:space="0" w:color="auto"/>
              <w:bottom w:val="single" w:sz="8" w:space="0" w:color="auto"/>
              <w:right w:val="nil"/>
            </w:tcBorders>
            <w:shd w:val="clear" w:color="auto" w:fill="244062"/>
            <w:vAlign w:val="center"/>
            <w:hideMark/>
          </w:tcPr>
          <w:p w14:paraId="1858E38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28" w:type="dxa"/>
            <w:gridSpan w:val="3"/>
            <w:tcBorders>
              <w:top w:val="single" w:sz="8" w:space="0" w:color="auto"/>
              <w:left w:val="nil"/>
              <w:bottom w:val="single" w:sz="8" w:space="0" w:color="auto"/>
              <w:right w:val="single" w:sz="8" w:space="0" w:color="000000"/>
            </w:tcBorders>
            <w:vAlign w:val="center"/>
            <w:hideMark/>
          </w:tcPr>
          <w:p w14:paraId="251D305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Annual emissions reduction (Gg CO2-eq)</w:t>
            </w:r>
          </w:p>
        </w:tc>
      </w:tr>
      <w:tr w:rsidR="00614438" w:rsidRPr="003E0710" w14:paraId="4A3A432A" w14:textId="77777777" w:rsidTr="00614438">
        <w:trPr>
          <w:gridAfter w:val="1"/>
          <w:wAfter w:w="222" w:type="dxa"/>
          <w:trHeight w:val="621"/>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2DCDC4E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28" w:type="dxa"/>
            <w:gridSpan w:val="3"/>
            <w:tcBorders>
              <w:top w:val="single" w:sz="8" w:space="0" w:color="auto"/>
              <w:left w:val="nil"/>
              <w:bottom w:val="single" w:sz="8" w:space="0" w:color="auto"/>
              <w:right w:val="single" w:sz="8" w:space="0" w:color="000000"/>
            </w:tcBorders>
            <w:vAlign w:val="center"/>
          </w:tcPr>
          <w:p w14:paraId="4A08AF4F"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6054CC48" w14:textId="77777777" w:rsidTr="00614438">
        <w:trPr>
          <w:gridAfter w:val="1"/>
          <w:wAfter w:w="222" w:type="dxa"/>
          <w:trHeight w:val="458"/>
        </w:trPr>
        <w:tc>
          <w:tcPr>
            <w:tcW w:w="3330" w:type="dxa"/>
            <w:vMerge w:val="restart"/>
            <w:tcBorders>
              <w:top w:val="nil"/>
              <w:left w:val="single" w:sz="8" w:space="0" w:color="auto"/>
              <w:bottom w:val="single" w:sz="8" w:space="0" w:color="000000"/>
              <w:right w:val="single" w:sz="8" w:space="0" w:color="auto"/>
            </w:tcBorders>
            <w:shd w:val="clear" w:color="auto" w:fill="244062"/>
            <w:vAlign w:val="center"/>
            <w:hideMark/>
          </w:tcPr>
          <w:p w14:paraId="382F777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28"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00664C6" w14:textId="77777777" w:rsidR="00614438" w:rsidRPr="003E0710" w:rsidRDefault="00614438" w:rsidP="003E0710">
            <w:pPr>
              <w:numPr>
                <w:ilvl w:val="0"/>
                <w:numId w:val="13"/>
              </w:numPr>
              <w:spacing w:after="0"/>
              <w:jc w:val="both"/>
              <w:rPr>
                <w:rFonts w:ascii="Times New Roman" w:hAnsi="Times New Roman" w:cs="Times New Roman"/>
                <w:sz w:val="20"/>
                <w:szCs w:val="20"/>
              </w:rPr>
            </w:pPr>
            <w:r w:rsidRPr="003E0710">
              <w:rPr>
                <w:rFonts w:ascii="Times New Roman" w:hAnsi="Times New Roman" w:cs="Times New Roman"/>
                <w:sz w:val="20"/>
                <w:szCs w:val="20"/>
              </w:rPr>
              <w:t>Regulation 2018/1999</w:t>
            </w:r>
          </w:p>
        </w:tc>
      </w:tr>
      <w:tr w:rsidR="00614438" w:rsidRPr="003E0710" w14:paraId="5340ED1C"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302DC385"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6B2853A"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69ADFFF3"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0A543D95"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7CD53139"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9CE40AF"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18943F7C"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009A8463" w14:textId="77777777" w:rsidTr="00614438">
        <w:trPr>
          <w:trHeight w:val="571"/>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5CCB462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28" w:type="dxa"/>
            <w:gridSpan w:val="3"/>
            <w:tcBorders>
              <w:top w:val="single" w:sz="8" w:space="0" w:color="auto"/>
              <w:left w:val="nil"/>
              <w:bottom w:val="single" w:sz="8" w:space="0" w:color="auto"/>
              <w:right w:val="single" w:sz="8" w:space="0" w:color="000000"/>
            </w:tcBorders>
            <w:vAlign w:val="center"/>
            <w:hideMark/>
          </w:tcPr>
          <w:p w14:paraId="7D5056BB" w14:textId="77777777" w:rsidR="00614438" w:rsidRPr="003E0710" w:rsidRDefault="00614438" w:rsidP="003E0710">
            <w:pPr>
              <w:numPr>
                <w:ilvl w:val="0"/>
                <w:numId w:val="15"/>
              </w:numPr>
              <w:spacing w:after="0"/>
              <w:jc w:val="both"/>
              <w:rPr>
                <w:rFonts w:ascii="Times New Roman" w:hAnsi="Times New Roman" w:cs="Times New Roman"/>
                <w:sz w:val="20"/>
                <w:szCs w:val="20"/>
              </w:rPr>
            </w:pPr>
            <w:r w:rsidRPr="003E0710">
              <w:rPr>
                <w:rFonts w:ascii="Times New Roman" w:hAnsi="Times New Roman" w:cs="Times New Roman"/>
                <w:sz w:val="20"/>
                <w:szCs w:val="20"/>
              </w:rPr>
              <w:t>Circular Economy Development Programme in the Republic of Serbia 202</w:t>
            </w:r>
            <w:r w:rsidR="0037139F" w:rsidRPr="003E0710">
              <w:rPr>
                <w:rFonts w:ascii="Times New Roman" w:hAnsi="Times New Roman" w:cs="Times New Roman"/>
                <w:sz w:val="20"/>
                <w:szCs w:val="20"/>
              </w:rPr>
              <w:t>5</w:t>
            </w:r>
            <w:r w:rsidRPr="003E0710">
              <w:rPr>
                <w:rFonts w:ascii="Times New Roman" w:hAnsi="Times New Roman" w:cs="Times New Roman"/>
                <w:sz w:val="20"/>
                <w:szCs w:val="20"/>
              </w:rPr>
              <w:t>-20</w:t>
            </w:r>
            <w:r w:rsidR="0037139F" w:rsidRPr="003E0710">
              <w:rPr>
                <w:rFonts w:ascii="Times New Roman" w:hAnsi="Times New Roman" w:cs="Times New Roman"/>
                <w:sz w:val="20"/>
                <w:szCs w:val="20"/>
              </w:rPr>
              <w:t>30</w:t>
            </w:r>
          </w:p>
          <w:p w14:paraId="0E1C4616" w14:textId="77777777" w:rsidR="00614438" w:rsidRPr="003E0710" w:rsidRDefault="00614438" w:rsidP="003E0710">
            <w:pPr>
              <w:numPr>
                <w:ilvl w:val="0"/>
                <w:numId w:val="15"/>
              </w:numPr>
              <w:spacing w:after="0"/>
              <w:jc w:val="both"/>
              <w:rPr>
                <w:rFonts w:ascii="Times New Roman" w:hAnsi="Times New Roman" w:cs="Times New Roman"/>
                <w:sz w:val="20"/>
                <w:szCs w:val="20"/>
              </w:rPr>
            </w:pPr>
            <w:r w:rsidRPr="003E0710">
              <w:rPr>
                <w:rFonts w:ascii="Times New Roman" w:hAnsi="Times New Roman" w:cs="Times New Roman"/>
                <w:sz w:val="20"/>
                <w:szCs w:val="20"/>
              </w:rPr>
              <w:t>Waste Management Programme of the Republic of Serbia for the period 2022-2031</w:t>
            </w:r>
          </w:p>
        </w:tc>
        <w:tc>
          <w:tcPr>
            <w:tcW w:w="222" w:type="dxa"/>
            <w:vAlign w:val="center"/>
            <w:hideMark/>
          </w:tcPr>
          <w:p w14:paraId="6DB98119"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185AB2CD" w14:textId="77777777" w:rsidTr="00614438">
        <w:trPr>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42D5777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28" w:type="dxa"/>
            <w:gridSpan w:val="3"/>
            <w:tcBorders>
              <w:top w:val="single" w:sz="8" w:space="0" w:color="auto"/>
              <w:left w:val="nil"/>
              <w:bottom w:val="single" w:sz="8" w:space="0" w:color="auto"/>
              <w:right w:val="single" w:sz="8" w:space="0" w:color="000000"/>
            </w:tcBorders>
            <w:vAlign w:val="center"/>
            <w:hideMark/>
          </w:tcPr>
          <w:p w14:paraId="12543413" w14:textId="77777777" w:rsidR="00614438" w:rsidRPr="003E0710" w:rsidRDefault="0037139F"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Under advisement</w:t>
            </w:r>
          </w:p>
        </w:tc>
        <w:tc>
          <w:tcPr>
            <w:tcW w:w="222" w:type="dxa"/>
            <w:vAlign w:val="center"/>
            <w:hideMark/>
          </w:tcPr>
          <w:p w14:paraId="435E6BCF"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58E14983" w14:textId="77777777" w:rsidTr="00614438">
        <w:trPr>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6A8A2AB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28" w:type="dxa"/>
            <w:gridSpan w:val="3"/>
            <w:tcBorders>
              <w:top w:val="single" w:sz="8" w:space="0" w:color="auto"/>
              <w:left w:val="nil"/>
              <w:bottom w:val="single" w:sz="8" w:space="0" w:color="auto"/>
              <w:right w:val="single" w:sz="8" w:space="0" w:color="000000"/>
            </w:tcBorders>
            <w:vAlign w:val="center"/>
            <w:hideMark/>
          </w:tcPr>
          <w:p w14:paraId="5195192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5FF1C361" w14:textId="77777777" w:rsidR="00614438" w:rsidRPr="003E0710" w:rsidRDefault="00614438" w:rsidP="003E0710">
            <w:pPr>
              <w:spacing w:after="0"/>
              <w:jc w:val="both"/>
              <w:rPr>
                <w:rFonts w:ascii="Times New Roman" w:hAnsi="Times New Roman" w:cs="Times New Roman"/>
                <w:sz w:val="20"/>
                <w:szCs w:val="20"/>
                <w:lang w:val="en-GB"/>
              </w:rPr>
            </w:pPr>
          </w:p>
        </w:tc>
      </w:tr>
    </w:tbl>
    <w:p w14:paraId="55CE084C"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11"/>
        <w:gridCol w:w="939"/>
        <w:gridCol w:w="942"/>
        <w:gridCol w:w="4211"/>
        <w:gridCol w:w="277"/>
      </w:tblGrid>
      <w:tr w:rsidR="00614438" w:rsidRPr="003E0710" w14:paraId="001B73E4" w14:textId="77777777" w:rsidTr="00614438">
        <w:trPr>
          <w:gridAfter w:val="1"/>
          <w:wAfter w:w="277" w:type="dxa"/>
          <w:trHeight w:val="508"/>
        </w:trPr>
        <w:tc>
          <w:tcPr>
            <w:tcW w:w="3311"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5C21200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39" w:type="dxa"/>
            <w:tcBorders>
              <w:top w:val="single" w:sz="8" w:space="0" w:color="auto"/>
              <w:left w:val="nil"/>
              <w:bottom w:val="single" w:sz="8" w:space="0" w:color="auto"/>
              <w:right w:val="single" w:sz="8" w:space="0" w:color="auto"/>
            </w:tcBorders>
            <w:shd w:val="clear" w:color="auto" w:fill="E7E6E6" w:themeFill="background2"/>
            <w:vAlign w:val="center"/>
            <w:hideMark/>
          </w:tcPr>
          <w:p w14:paraId="7DD787C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PM_D4</w:t>
            </w:r>
          </w:p>
        </w:tc>
        <w:tc>
          <w:tcPr>
            <w:tcW w:w="942" w:type="dxa"/>
            <w:tcBorders>
              <w:top w:val="single" w:sz="8" w:space="0" w:color="auto"/>
              <w:left w:val="nil"/>
              <w:bottom w:val="single" w:sz="8" w:space="0" w:color="auto"/>
              <w:right w:val="single" w:sz="8" w:space="0" w:color="auto"/>
            </w:tcBorders>
            <w:shd w:val="clear" w:color="auto" w:fill="244062"/>
            <w:vAlign w:val="center"/>
            <w:hideMark/>
          </w:tcPr>
          <w:p w14:paraId="5080130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11" w:type="dxa"/>
            <w:tcBorders>
              <w:top w:val="single" w:sz="8" w:space="0" w:color="auto"/>
              <w:left w:val="nil"/>
              <w:bottom w:val="single" w:sz="8" w:space="0" w:color="auto"/>
              <w:right w:val="single" w:sz="8" w:space="0" w:color="auto"/>
            </w:tcBorders>
            <w:shd w:val="clear" w:color="auto" w:fill="E7E6E6" w:themeFill="background2"/>
            <w:vAlign w:val="center"/>
            <w:hideMark/>
          </w:tcPr>
          <w:p w14:paraId="5C67405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Organizing awareness campaigns for better information dissemination about climate change</w:t>
            </w:r>
          </w:p>
        </w:tc>
      </w:tr>
      <w:tr w:rsidR="00614438" w:rsidRPr="003E0710" w14:paraId="31EF0022" w14:textId="77777777" w:rsidTr="00614438">
        <w:trPr>
          <w:gridAfter w:val="1"/>
          <w:wAfter w:w="277" w:type="dxa"/>
          <w:trHeight w:val="402"/>
        </w:trPr>
        <w:tc>
          <w:tcPr>
            <w:tcW w:w="3311" w:type="dxa"/>
            <w:tcBorders>
              <w:top w:val="nil"/>
              <w:left w:val="single" w:sz="8" w:space="0" w:color="auto"/>
              <w:bottom w:val="single" w:sz="8" w:space="0" w:color="auto"/>
              <w:right w:val="nil"/>
            </w:tcBorders>
            <w:shd w:val="clear" w:color="auto" w:fill="244062"/>
            <w:vAlign w:val="center"/>
            <w:hideMark/>
          </w:tcPr>
          <w:p w14:paraId="3839AD1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092" w:type="dxa"/>
            <w:gridSpan w:val="3"/>
            <w:tcBorders>
              <w:top w:val="single" w:sz="8" w:space="0" w:color="auto"/>
              <w:left w:val="nil"/>
              <w:bottom w:val="single" w:sz="8" w:space="0" w:color="auto"/>
              <w:right w:val="single" w:sz="8" w:space="0" w:color="000000"/>
            </w:tcBorders>
            <w:vAlign w:val="center"/>
            <w:hideMark/>
          </w:tcPr>
          <w:p w14:paraId="17B2659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 GHG emissions reduction</w:t>
            </w:r>
          </w:p>
        </w:tc>
      </w:tr>
      <w:tr w:rsidR="00614438" w:rsidRPr="003E0710" w14:paraId="4BEA9B6B" w14:textId="77777777" w:rsidTr="00614438">
        <w:trPr>
          <w:gridAfter w:val="1"/>
          <w:wAfter w:w="277"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38E4E26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092" w:type="dxa"/>
            <w:gridSpan w:val="3"/>
            <w:tcBorders>
              <w:top w:val="single" w:sz="8" w:space="0" w:color="auto"/>
              <w:left w:val="nil"/>
              <w:bottom w:val="single" w:sz="8" w:space="0" w:color="auto"/>
              <w:right w:val="single" w:sz="8" w:space="0" w:color="000000"/>
            </w:tcBorders>
            <w:vAlign w:val="center"/>
            <w:hideMark/>
          </w:tcPr>
          <w:p w14:paraId="3FCD8EC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Contribution to the objective of reduction of GHG emissions by 33.3% (without LULUCF) by 2030 compared to 1990 levels</w:t>
            </w:r>
          </w:p>
        </w:tc>
      </w:tr>
      <w:tr w:rsidR="00614438" w:rsidRPr="003E0710" w14:paraId="41EB548A" w14:textId="77777777" w:rsidTr="00614438">
        <w:trPr>
          <w:gridAfter w:val="1"/>
          <w:wAfter w:w="277" w:type="dxa"/>
          <w:trHeight w:val="1619"/>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025923C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092" w:type="dxa"/>
            <w:gridSpan w:val="3"/>
            <w:tcBorders>
              <w:top w:val="single" w:sz="8" w:space="0" w:color="auto"/>
              <w:left w:val="nil"/>
              <w:bottom w:val="single" w:sz="8" w:space="0" w:color="auto"/>
              <w:right w:val="single" w:sz="8" w:space="0" w:color="000000"/>
            </w:tcBorders>
            <w:vAlign w:val="center"/>
            <w:hideMark/>
          </w:tcPr>
          <w:p w14:paraId="30BE3CD8" w14:textId="77777777" w:rsidR="0037139F" w:rsidRPr="003E0710" w:rsidRDefault="0037139F"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The fight against climate change requires changes in the behaviour of all social actors, from decision-making at the highest level in the public and private sectors, to patterns of everyday consumption. Change is best managed through a multitude of incentives, which can be effectively delivered through education, new skills training and awareness raising.</w:t>
            </w:r>
          </w:p>
          <w:p w14:paraId="0D31031D" w14:textId="77777777" w:rsidR="0037139F" w:rsidRPr="003E0710" w:rsidRDefault="0037139F"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The implementation of the measures included in this plan and the achievement of general and specific goals from the Strategy will determine the reduction of activities in some sectors and the increase of activities in others. This means that sectors with a decrease in activity will have a surplus of labour, while sectors with increased activity could face a labour shortage. Here, special attention should be paid to promoting the acquisition of skills relevant to sectors with increased activity, which especially applies to employees in sectors where a labour surplus is expected. The implementation of this measure will contribute to the social </w:t>
            </w:r>
            <w:r w:rsidRPr="003E0710">
              <w:rPr>
                <w:rFonts w:ascii="Times New Roman" w:hAnsi="Times New Roman" w:cs="Times New Roman"/>
                <w:sz w:val="20"/>
                <w:szCs w:val="20"/>
                <w:lang w:val="en-GB"/>
              </w:rPr>
              <w:lastRenderedPageBreak/>
              <w:t>equity of the transition to a low-carbon economy. The proposed national plan should cover the following areas:</w:t>
            </w:r>
          </w:p>
          <w:p w14:paraId="2C513572" w14:textId="77777777" w:rsidR="0037139F" w:rsidRPr="003E0710" w:rsidRDefault="0037139F"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1) education: focus on the period from pre-school education and education to the end of secondary education and education (kindergartens, primary and secondary schools) with the aim of identifying opportunities and issuing recommendations for the integration of climate change issues into teaching and learning programs; recommendations on university studies can also be included in this plan;</w:t>
            </w:r>
          </w:p>
          <w:p w14:paraId="427C1BF3" w14:textId="77777777" w:rsidR="0037139F" w:rsidRPr="003E0710" w:rsidRDefault="0037139F"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 training for the acquisition of new skills, needed for the transition to an economy with limited emissions: focus on adult education, which aims to identify the technical needs essential to combat climate change, especially for the implementation of the measures included in this strategy;</w:t>
            </w:r>
          </w:p>
          <w:p w14:paraId="2E490255" w14:textId="77777777" w:rsidR="00614438" w:rsidRPr="003E0710" w:rsidRDefault="0037139F"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3) raising awareness, which aims to include the widest possible public, focusing on key aspects / behaviours that can contribute to the successful implementation of the measures included in this strategy."</w:t>
            </w:r>
          </w:p>
        </w:tc>
      </w:tr>
      <w:tr w:rsidR="00614438" w:rsidRPr="003E0710" w14:paraId="46B18989" w14:textId="77777777" w:rsidTr="00614438">
        <w:trPr>
          <w:gridAfter w:val="1"/>
          <w:wAfter w:w="277"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7C170DE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Implementation Timeframe</w:t>
            </w:r>
          </w:p>
        </w:tc>
        <w:tc>
          <w:tcPr>
            <w:tcW w:w="6092" w:type="dxa"/>
            <w:gridSpan w:val="3"/>
            <w:tcBorders>
              <w:top w:val="single" w:sz="8" w:space="0" w:color="auto"/>
              <w:left w:val="nil"/>
              <w:bottom w:val="single" w:sz="8" w:space="0" w:color="auto"/>
              <w:right w:val="single" w:sz="8" w:space="0" w:color="000000"/>
            </w:tcBorders>
            <w:vAlign w:val="center"/>
            <w:hideMark/>
          </w:tcPr>
          <w:p w14:paraId="1B7DDDC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2024-2030</w:t>
            </w:r>
          </w:p>
        </w:tc>
      </w:tr>
      <w:tr w:rsidR="00614438" w:rsidRPr="003E0710" w14:paraId="621DB217" w14:textId="77777777" w:rsidTr="00614438">
        <w:trPr>
          <w:gridAfter w:val="1"/>
          <w:wAfter w:w="277"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23F624B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092" w:type="dxa"/>
            <w:gridSpan w:val="3"/>
            <w:tcBorders>
              <w:top w:val="single" w:sz="8" w:space="0" w:color="auto"/>
              <w:left w:val="nil"/>
              <w:bottom w:val="single" w:sz="8" w:space="0" w:color="auto"/>
              <w:right w:val="single" w:sz="8" w:space="0" w:color="000000"/>
            </w:tcBorders>
            <w:vAlign w:val="center"/>
            <w:hideMark/>
          </w:tcPr>
          <w:p w14:paraId="34EC239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 </w:t>
            </w:r>
            <w:r w:rsidR="0037139F" w:rsidRPr="003E0710">
              <w:rPr>
                <w:rFonts w:ascii="Times New Roman" w:hAnsi="Times New Roman" w:cs="Times New Roman"/>
                <w:sz w:val="20"/>
                <w:szCs w:val="20"/>
              </w:rPr>
              <w:t>Informational and educational Reform</w:t>
            </w:r>
          </w:p>
        </w:tc>
      </w:tr>
      <w:tr w:rsidR="00614438" w:rsidRPr="003E0710" w14:paraId="34A3BAC4" w14:textId="77777777" w:rsidTr="00614438">
        <w:trPr>
          <w:gridAfter w:val="1"/>
          <w:wAfter w:w="277"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2846079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092" w:type="dxa"/>
            <w:gridSpan w:val="3"/>
            <w:tcBorders>
              <w:top w:val="single" w:sz="8" w:space="0" w:color="auto"/>
              <w:left w:val="nil"/>
              <w:bottom w:val="single" w:sz="8" w:space="0" w:color="auto"/>
              <w:right w:val="single" w:sz="8" w:space="0" w:color="000000"/>
            </w:tcBorders>
            <w:vAlign w:val="center"/>
            <w:hideMark/>
          </w:tcPr>
          <w:p w14:paraId="219D8FD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All INECP subject fields</w:t>
            </w:r>
          </w:p>
        </w:tc>
      </w:tr>
      <w:tr w:rsidR="00614438" w:rsidRPr="003E0710" w14:paraId="03570AF8" w14:textId="77777777" w:rsidTr="00614438">
        <w:trPr>
          <w:gridAfter w:val="1"/>
          <w:wAfter w:w="277"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0840C99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092" w:type="dxa"/>
            <w:gridSpan w:val="3"/>
            <w:tcBorders>
              <w:top w:val="single" w:sz="8" w:space="0" w:color="auto"/>
              <w:left w:val="nil"/>
              <w:bottom w:val="single" w:sz="8" w:space="0" w:color="auto"/>
              <w:right w:val="single" w:sz="8" w:space="0" w:color="000000"/>
            </w:tcBorders>
            <w:vAlign w:val="center"/>
            <w:hideMark/>
          </w:tcPr>
          <w:p w14:paraId="38839920" w14:textId="77777777" w:rsidR="00614438" w:rsidRPr="003E0710" w:rsidRDefault="00614438" w:rsidP="003E0710">
            <w:pPr>
              <w:numPr>
                <w:ilvl w:val="0"/>
                <w:numId w:val="15"/>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Environmental Protection</w:t>
            </w:r>
          </w:p>
          <w:p w14:paraId="2B963B97" w14:textId="77777777" w:rsidR="00614438" w:rsidRPr="003E0710" w:rsidRDefault="00614438" w:rsidP="003E0710">
            <w:pPr>
              <w:numPr>
                <w:ilvl w:val="0"/>
                <w:numId w:val="15"/>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Education, Science and Technological Development</w:t>
            </w:r>
          </w:p>
          <w:p w14:paraId="3D78D6F7" w14:textId="77777777" w:rsidR="00614438" w:rsidRPr="003E0710" w:rsidRDefault="00614438" w:rsidP="003E0710">
            <w:pPr>
              <w:numPr>
                <w:ilvl w:val="0"/>
                <w:numId w:val="15"/>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Labour, Employment, Veteran and Social Affairs</w:t>
            </w:r>
          </w:p>
          <w:p w14:paraId="5FDB83AA" w14:textId="77777777" w:rsidR="00614438" w:rsidRPr="003E0710" w:rsidRDefault="00614438" w:rsidP="003E0710">
            <w:pPr>
              <w:numPr>
                <w:ilvl w:val="0"/>
                <w:numId w:val="15"/>
              </w:numPr>
              <w:spacing w:after="0"/>
              <w:jc w:val="both"/>
              <w:rPr>
                <w:rFonts w:ascii="Times New Roman" w:hAnsi="Times New Roman" w:cs="Times New Roman"/>
                <w:sz w:val="20"/>
                <w:szCs w:val="20"/>
              </w:rPr>
            </w:pPr>
            <w:r w:rsidRPr="003E0710">
              <w:rPr>
                <w:rFonts w:ascii="Times New Roman" w:hAnsi="Times New Roman" w:cs="Times New Roman"/>
                <w:sz w:val="20"/>
                <w:szCs w:val="20"/>
              </w:rPr>
              <w:t>Chamber of Commerce and Industry</w:t>
            </w:r>
          </w:p>
        </w:tc>
      </w:tr>
      <w:tr w:rsidR="00614438" w:rsidRPr="003E0710" w14:paraId="6709B02E" w14:textId="77777777" w:rsidTr="00614438">
        <w:trPr>
          <w:gridAfter w:val="1"/>
          <w:wAfter w:w="277" w:type="dxa"/>
          <w:trHeight w:val="315"/>
        </w:trPr>
        <w:tc>
          <w:tcPr>
            <w:tcW w:w="3311" w:type="dxa"/>
            <w:tcBorders>
              <w:top w:val="nil"/>
              <w:left w:val="single" w:sz="8" w:space="0" w:color="auto"/>
              <w:bottom w:val="single" w:sz="8" w:space="0" w:color="auto"/>
              <w:right w:val="nil"/>
            </w:tcBorders>
            <w:shd w:val="clear" w:color="auto" w:fill="244062"/>
            <w:vAlign w:val="center"/>
            <w:hideMark/>
          </w:tcPr>
          <w:p w14:paraId="3D4C896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092" w:type="dxa"/>
            <w:gridSpan w:val="3"/>
            <w:tcBorders>
              <w:top w:val="single" w:sz="8" w:space="0" w:color="auto"/>
              <w:left w:val="nil"/>
              <w:bottom w:val="single" w:sz="8" w:space="0" w:color="auto"/>
              <w:right w:val="single" w:sz="8" w:space="0" w:color="000000"/>
            </w:tcBorders>
            <w:vAlign w:val="center"/>
            <w:hideMark/>
          </w:tcPr>
          <w:p w14:paraId="3C3F64C5" w14:textId="77777777" w:rsidR="00614438" w:rsidRPr="003E0710" w:rsidRDefault="00614438" w:rsidP="003E0710">
            <w:pPr>
              <w:numPr>
                <w:ilvl w:val="0"/>
                <w:numId w:val="15"/>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Environmental Protection</w:t>
            </w:r>
          </w:p>
        </w:tc>
      </w:tr>
      <w:tr w:rsidR="00614438" w:rsidRPr="003E0710" w14:paraId="1E6D8411" w14:textId="77777777" w:rsidTr="00614438">
        <w:trPr>
          <w:gridAfter w:val="1"/>
          <w:wAfter w:w="277" w:type="dxa"/>
          <w:trHeight w:val="315"/>
        </w:trPr>
        <w:tc>
          <w:tcPr>
            <w:tcW w:w="3311" w:type="dxa"/>
            <w:tcBorders>
              <w:top w:val="nil"/>
              <w:left w:val="single" w:sz="8" w:space="0" w:color="auto"/>
              <w:bottom w:val="single" w:sz="8" w:space="0" w:color="auto"/>
              <w:right w:val="nil"/>
            </w:tcBorders>
            <w:shd w:val="clear" w:color="auto" w:fill="244062"/>
            <w:vAlign w:val="center"/>
            <w:hideMark/>
          </w:tcPr>
          <w:p w14:paraId="79B8D40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092" w:type="dxa"/>
            <w:gridSpan w:val="3"/>
            <w:tcBorders>
              <w:top w:val="single" w:sz="8" w:space="0" w:color="auto"/>
              <w:left w:val="nil"/>
              <w:bottom w:val="single" w:sz="8" w:space="0" w:color="auto"/>
              <w:right w:val="single" w:sz="8" w:space="0" w:color="000000"/>
            </w:tcBorders>
            <w:vAlign w:val="center"/>
            <w:hideMark/>
          </w:tcPr>
          <w:p w14:paraId="42AA683B" w14:textId="77777777" w:rsidR="00614438" w:rsidRPr="003E0710" w:rsidRDefault="00245212"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The number of trainings</w:t>
            </w:r>
          </w:p>
        </w:tc>
      </w:tr>
      <w:tr w:rsidR="00614438" w:rsidRPr="003E0710" w14:paraId="0CAE672B" w14:textId="77777777" w:rsidTr="00614438">
        <w:trPr>
          <w:gridAfter w:val="1"/>
          <w:wAfter w:w="277" w:type="dxa"/>
          <w:trHeight w:val="301"/>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6A70317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092" w:type="dxa"/>
            <w:gridSpan w:val="3"/>
            <w:tcBorders>
              <w:top w:val="single" w:sz="8" w:space="0" w:color="auto"/>
              <w:left w:val="nil"/>
              <w:bottom w:val="single" w:sz="8" w:space="0" w:color="auto"/>
              <w:right w:val="single" w:sz="8" w:space="0" w:color="000000"/>
            </w:tcBorders>
            <w:vAlign w:val="center"/>
          </w:tcPr>
          <w:p w14:paraId="6D270316"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1C16D653" w14:textId="77777777" w:rsidTr="00614438">
        <w:trPr>
          <w:gridAfter w:val="1"/>
          <w:wAfter w:w="277" w:type="dxa"/>
          <w:trHeight w:val="458"/>
        </w:trPr>
        <w:tc>
          <w:tcPr>
            <w:tcW w:w="3311" w:type="dxa"/>
            <w:vMerge w:val="restart"/>
            <w:tcBorders>
              <w:top w:val="nil"/>
              <w:left w:val="single" w:sz="8" w:space="0" w:color="auto"/>
              <w:bottom w:val="single" w:sz="8" w:space="0" w:color="000000"/>
              <w:right w:val="single" w:sz="8" w:space="0" w:color="auto"/>
            </w:tcBorders>
            <w:shd w:val="clear" w:color="auto" w:fill="244062"/>
            <w:vAlign w:val="center"/>
            <w:hideMark/>
          </w:tcPr>
          <w:p w14:paraId="19B89FF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092"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ADE4556" w14:textId="77777777" w:rsidR="00614438" w:rsidRPr="003E0710" w:rsidRDefault="00614438" w:rsidP="003E0710">
            <w:pPr>
              <w:numPr>
                <w:ilvl w:val="0"/>
                <w:numId w:val="16"/>
              </w:numPr>
              <w:spacing w:after="0"/>
              <w:jc w:val="both"/>
              <w:rPr>
                <w:rFonts w:ascii="Times New Roman" w:hAnsi="Times New Roman" w:cs="Times New Roman"/>
                <w:sz w:val="20"/>
                <w:szCs w:val="20"/>
              </w:rPr>
            </w:pPr>
            <w:r w:rsidRPr="003E0710">
              <w:rPr>
                <w:rFonts w:ascii="Times New Roman" w:hAnsi="Times New Roman" w:cs="Times New Roman"/>
                <w:sz w:val="20"/>
                <w:szCs w:val="20"/>
              </w:rPr>
              <w:t>Regulation 2018/1999</w:t>
            </w:r>
          </w:p>
        </w:tc>
      </w:tr>
      <w:tr w:rsidR="00614438" w:rsidRPr="003E0710" w14:paraId="5A198B6E"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3328FF13"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6CE5C56" w14:textId="77777777" w:rsidR="00614438" w:rsidRPr="003E0710" w:rsidRDefault="00614438" w:rsidP="003E0710">
            <w:pPr>
              <w:spacing w:after="0"/>
              <w:jc w:val="both"/>
              <w:rPr>
                <w:rFonts w:ascii="Times New Roman" w:hAnsi="Times New Roman" w:cs="Times New Roman"/>
                <w:sz w:val="20"/>
                <w:szCs w:val="20"/>
                <w:lang w:val="en-GB"/>
              </w:rPr>
            </w:pPr>
          </w:p>
        </w:tc>
        <w:tc>
          <w:tcPr>
            <w:tcW w:w="277" w:type="dxa"/>
            <w:noWrap/>
            <w:vAlign w:val="bottom"/>
            <w:hideMark/>
          </w:tcPr>
          <w:p w14:paraId="75B92050"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01C82599"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2106EA3B"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154A929" w14:textId="77777777" w:rsidR="00614438" w:rsidRPr="003E0710" w:rsidRDefault="00614438" w:rsidP="003E0710">
            <w:pPr>
              <w:spacing w:after="0"/>
              <w:jc w:val="both"/>
              <w:rPr>
                <w:rFonts w:ascii="Times New Roman" w:hAnsi="Times New Roman" w:cs="Times New Roman"/>
                <w:sz w:val="20"/>
                <w:szCs w:val="20"/>
                <w:lang w:val="en-GB"/>
              </w:rPr>
            </w:pPr>
          </w:p>
        </w:tc>
        <w:tc>
          <w:tcPr>
            <w:tcW w:w="277" w:type="dxa"/>
            <w:noWrap/>
            <w:vAlign w:val="bottom"/>
            <w:hideMark/>
          </w:tcPr>
          <w:p w14:paraId="47EA478F"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45A36D66" w14:textId="77777777" w:rsidTr="00614438">
        <w:trPr>
          <w:trHeight w:val="493"/>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7657209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092" w:type="dxa"/>
            <w:gridSpan w:val="3"/>
            <w:tcBorders>
              <w:top w:val="single" w:sz="8" w:space="0" w:color="auto"/>
              <w:left w:val="nil"/>
              <w:bottom w:val="single" w:sz="8" w:space="0" w:color="auto"/>
              <w:right w:val="single" w:sz="8" w:space="0" w:color="000000"/>
            </w:tcBorders>
            <w:vAlign w:val="center"/>
            <w:hideMark/>
          </w:tcPr>
          <w:p w14:paraId="078A420A" w14:textId="77777777" w:rsidR="00614438" w:rsidRPr="003E0710" w:rsidRDefault="00614438" w:rsidP="003E0710">
            <w:pPr>
              <w:numPr>
                <w:ilvl w:val="0"/>
                <w:numId w:val="16"/>
              </w:numPr>
              <w:spacing w:after="0"/>
              <w:jc w:val="both"/>
              <w:rPr>
                <w:rFonts w:ascii="Times New Roman" w:hAnsi="Times New Roman" w:cs="Times New Roman"/>
                <w:sz w:val="20"/>
                <w:szCs w:val="20"/>
              </w:rPr>
            </w:pPr>
            <w:r w:rsidRPr="003E0710">
              <w:rPr>
                <w:rFonts w:ascii="Times New Roman" w:hAnsi="Times New Roman" w:cs="Times New Roman"/>
                <w:sz w:val="20"/>
                <w:szCs w:val="20"/>
              </w:rPr>
              <w:t>Low-carbon Development Strategy for the period 2023-2030 with projections until 2050</w:t>
            </w:r>
          </w:p>
        </w:tc>
        <w:tc>
          <w:tcPr>
            <w:tcW w:w="277" w:type="dxa"/>
            <w:vAlign w:val="center"/>
            <w:hideMark/>
          </w:tcPr>
          <w:p w14:paraId="5E142384"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5910D3E7" w14:textId="77777777" w:rsidTr="00614438">
        <w:trPr>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29A8B1D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092" w:type="dxa"/>
            <w:gridSpan w:val="3"/>
            <w:tcBorders>
              <w:top w:val="single" w:sz="8" w:space="0" w:color="auto"/>
              <w:left w:val="nil"/>
              <w:bottom w:val="single" w:sz="8" w:space="0" w:color="auto"/>
              <w:right w:val="single" w:sz="8" w:space="0" w:color="000000"/>
            </w:tcBorders>
            <w:vAlign w:val="center"/>
            <w:hideMark/>
          </w:tcPr>
          <w:p w14:paraId="47BBE33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Under </w:t>
            </w:r>
            <w:r w:rsidR="00245212" w:rsidRPr="003E0710">
              <w:rPr>
                <w:rFonts w:ascii="Times New Roman" w:hAnsi="Times New Roman" w:cs="Times New Roman"/>
                <w:sz w:val="20"/>
                <w:szCs w:val="20"/>
                <w:lang w:val="en-GB"/>
              </w:rPr>
              <w:t>advisement</w:t>
            </w:r>
          </w:p>
        </w:tc>
        <w:tc>
          <w:tcPr>
            <w:tcW w:w="277" w:type="dxa"/>
            <w:vAlign w:val="center"/>
            <w:hideMark/>
          </w:tcPr>
          <w:p w14:paraId="0E07B754"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2C0EBE7F" w14:textId="77777777" w:rsidTr="00614438">
        <w:trPr>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759E1C3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092" w:type="dxa"/>
            <w:gridSpan w:val="3"/>
            <w:tcBorders>
              <w:top w:val="single" w:sz="8" w:space="0" w:color="auto"/>
              <w:left w:val="nil"/>
              <w:bottom w:val="single" w:sz="8" w:space="0" w:color="auto"/>
              <w:right w:val="single" w:sz="8" w:space="0" w:color="000000"/>
            </w:tcBorders>
            <w:vAlign w:val="center"/>
            <w:hideMark/>
          </w:tcPr>
          <w:p w14:paraId="4DAD0E8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77" w:type="dxa"/>
            <w:vAlign w:val="center"/>
            <w:hideMark/>
          </w:tcPr>
          <w:p w14:paraId="0313DCEA" w14:textId="77777777" w:rsidR="00614438" w:rsidRPr="003E0710" w:rsidRDefault="00614438" w:rsidP="003E0710">
            <w:pPr>
              <w:spacing w:after="0"/>
              <w:jc w:val="both"/>
              <w:rPr>
                <w:rFonts w:ascii="Times New Roman" w:hAnsi="Times New Roman" w:cs="Times New Roman"/>
                <w:sz w:val="20"/>
                <w:szCs w:val="20"/>
                <w:lang w:val="en-GB"/>
              </w:rPr>
            </w:pPr>
          </w:p>
        </w:tc>
      </w:tr>
    </w:tbl>
    <w:p w14:paraId="4CAEDE89" w14:textId="77777777" w:rsidR="00614438" w:rsidRPr="003E0710" w:rsidRDefault="00614438" w:rsidP="003E0710">
      <w:pPr>
        <w:spacing w:after="0"/>
        <w:jc w:val="both"/>
        <w:rPr>
          <w:rFonts w:ascii="Times New Roman" w:hAnsi="Times New Roman" w:cs="Times New Roman"/>
          <w:sz w:val="20"/>
          <w:szCs w:val="20"/>
          <w:lang w:val="en-GB"/>
        </w:rPr>
      </w:pPr>
    </w:p>
    <w:p w14:paraId="6B9C1ACA" w14:textId="77777777" w:rsidR="00614438" w:rsidRPr="003E0710" w:rsidRDefault="00614438" w:rsidP="003E0710">
      <w:pPr>
        <w:spacing w:after="0"/>
        <w:jc w:val="both"/>
        <w:rPr>
          <w:rFonts w:ascii="Times New Roman" w:hAnsi="Times New Roman" w:cs="Times New Roman"/>
          <w:sz w:val="20"/>
          <w:szCs w:val="20"/>
          <w:lang w:val="en-GB"/>
        </w:rPr>
      </w:pPr>
    </w:p>
    <w:p w14:paraId="5EBC9C3C"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Ind w:w="-10" w:type="dxa"/>
        <w:tblLook w:val="04A0" w:firstRow="1" w:lastRow="0" w:firstColumn="1" w:lastColumn="0" w:noHBand="0" w:noVBand="1"/>
      </w:tblPr>
      <w:tblGrid>
        <w:gridCol w:w="3314"/>
        <w:gridCol w:w="977"/>
        <w:gridCol w:w="944"/>
        <w:gridCol w:w="4223"/>
        <w:gridCol w:w="222"/>
      </w:tblGrid>
      <w:tr w:rsidR="00614438" w:rsidRPr="003E0710" w14:paraId="5A4C5CC2" w14:textId="77777777" w:rsidTr="00245212">
        <w:trPr>
          <w:gridAfter w:val="1"/>
          <w:wAfter w:w="222" w:type="dxa"/>
          <w:trHeight w:val="349"/>
        </w:trPr>
        <w:tc>
          <w:tcPr>
            <w:tcW w:w="3314"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04C29686" w14:textId="77777777" w:rsidR="00614438" w:rsidRPr="003E0710" w:rsidRDefault="00614438" w:rsidP="003E0710">
            <w:pPr>
              <w:spacing w:after="0"/>
              <w:jc w:val="both"/>
              <w:rPr>
                <w:rFonts w:ascii="Times New Roman" w:hAnsi="Times New Roman" w:cs="Times New Roman"/>
                <w:sz w:val="20"/>
                <w:szCs w:val="20"/>
                <w:lang w:val="en-GB"/>
              </w:rPr>
            </w:pPr>
            <w:bookmarkStart w:id="132" w:name="_Hlk151389898"/>
            <w:r w:rsidRPr="003E0710">
              <w:rPr>
                <w:rFonts w:ascii="Times New Roman" w:hAnsi="Times New Roman" w:cs="Times New Roman"/>
                <w:sz w:val="20"/>
                <w:szCs w:val="20"/>
                <w:lang w:val="en-GB"/>
              </w:rPr>
              <w:t xml:space="preserve">Policy measure code: </w:t>
            </w:r>
          </w:p>
        </w:tc>
        <w:tc>
          <w:tcPr>
            <w:tcW w:w="977" w:type="dxa"/>
            <w:tcBorders>
              <w:top w:val="single" w:sz="8" w:space="0" w:color="auto"/>
              <w:left w:val="nil"/>
              <w:bottom w:val="single" w:sz="8" w:space="0" w:color="auto"/>
              <w:right w:val="single" w:sz="8" w:space="0" w:color="auto"/>
            </w:tcBorders>
            <w:shd w:val="clear" w:color="auto" w:fill="E7E6E6" w:themeFill="background2"/>
            <w:vAlign w:val="center"/>
            <w:hideMark/>
          </w:tcPr>
          <w:p w14:paraId="3815354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PM_D6</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20AA7B4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23" w:type="dxa"/>
            <w:tcBorders>
              <w:top w:val="single" w:sz="8" w:space="0" w:color="auto"/>
              <w:left w:val="nil"/>
              <w:bottom w:val="single" w:sz="8" w:space="0" w:color="auto"/>
              <w:right w:val="single" w:sz="8" w:space="0" w:color="auto"/>
            </w:tcBorders>
            <w:shd w:val="clear" w:color="auto" w:fill="E7E6E6" w:themeFill="background2"/>
            <w:vAlign w:val="center"/>
            <w:hideMark/>
          </w:tcPr>
          <w:p w14:paraId="474918E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Monitoring and revision of Just Transition Action Plan </w:t>
            </w:r>
          </w:p>
        </w:tc>
        <w:bookmarkEnd w:id="132"/>
      </w:tr>
      <w:tr w:rsidR="00245212" w:rsidRPr="003E0710" w14:paraId="14727F67" w14:textId="77777777" w:rsidTr="00245212">
        <w:trPr>
          <w:gridAfter w:val="1"/>
          <w:wAfter w:w="222" w:type="dxa"/>
          <w:trHeight w:val="271"/>
        </w:trPr>
        <w:tc>
          <w:tcPr>
            <w:tcW w:w="3314" w:type="dxa"/>
            <w:tcBorders>
              <w:top w:val="nil"/>
              <w:left w:val="single" w:sz="8" w:space="0" w:color="auto"/>
              <w:bottom w:val="single" w:sz="8" w:space="0" w:color="auto"/>
              <w:right w:val="nil"/>
            </w:tcBorders>
            <w:shd w:val="clear" w:color="auto" w:fill="244062"/>
            <w:vAlign w:val="center"/>
            <w:hideMark/>
          </w:tcPr>
          <w:p w14:paraId="3E8F6355" w14:textId="77777777" w:rsidR="00245212" w:rsidRPr="003E0710" w:rsidRDefault="00245212"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44" w:type="dxa"/>
            <w:gridSpan w:val="3"/>
            <w:tcBorders>
              <w:top w:val="single" w:sz="8" w:space="0" w:color="auto"/>
              <w:left w:val="nil"/>
              <w:bottom w:val="single" w:sz="8" w:space="0" w:color="auto"/>
              <w:right w:val="single" w:sz="8" w:space="0" w:color="000000"/>
            </w:tcBorders>
            <w:vAlign w:val="center"/>
            <w:hideMark/>
          </w:tcPr>
          <w:p w14:paraId="1DE27A17" w14:textId="77777777" w:rsidR="00245212" w:rsidRPr="003E0710" w:rsidRDefault="00245212"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 GHG emissions reduction</w:t>
            </w:r>
          </w:p>
        </w:tc>
      </w:tr>
      <w:tr w:rsidR="00614438" w:rsidRPr="003E0710" w14:paraId="37B29F3E" w14:textId="77777777" w:rsidTr="00245212">
        <w:trPr>
          <w:gridAfter w:val="1"/>
          <w:wAfter w:w="222" w:type="dxa"/>
          <w:trHeight w:val="315"/>
        </w:trPr>
        <w:tc>
          <w:tcPr>
            <w:tcW w:w="3314" w:type="dxa"/>
            <w:tcBorders>
              <w:top w:val="nil"/>
              <w:left w:val="single" w:sz="8" w:space="0" w:color="auto"/>
              <w:bottom w:val="single" w:sz="8" w:space="0" w:color="auto"/>
              <w:right w:val="single" w:sz="8" w:space="0" w:color="auto"/>
            </w:tcBorders>
            <w:shd w:val="clear" w:color="auto" w:fill="244062"/>
            <w:vAlign w:val="center"/>
            <w:hideMark/>
          </w:tcPr>
          <w:p w14:paraId="078E4AF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44" w:type="dxa"/>
            <w:gridSpan w:val="3"/>
            <w:tcBorders>
              <w:top w:val="single" w:sz="8" w:space="0" w:color="auto"/>
              <w:left w:val="nil"/>
              <w:bottom w:val="single" w:sz="8" w:space="0" w:color="auto"/>
              <w:right w:val="single" w:sz="8" w:space="0" w:color="000000"/>
            </w:tcBorders>
            <w:vAlign w:val="center"/>
            <w:hideMark/>
          </w:tcPr>
          <w:p w14:paraId="78DFAB1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Contribution to the objective of reduction of GHG emissions by </w:t>
            </w:r>
            <w:r w:rsidRPr="003E0710">
              <w:rPr>
                <w:rFonts w:ascii="Times New Roman" w:hAnsi="Times New Roman" w:cs="Times New Roman"/>
                <w:sz w:val="20"/>
                <w:szCs w:val="20"/>
              </w:rPr>
              <w:t>40.</w:t>
            </w:r>
            <w:r w:rsidRPr="003E0710">
              <w:rPr>
                <w:rFonts w:ascii="Times New Roman" w:hAnsi="Times New Roman" w:cs="Times New Roman"/>
                <w:sz w:val="20"/>
                <w:szCs w:val="20"/>
                <w:lang w:val="en-GB"/>
              </w:rPr>
              <w:t>3% by 2030 compared to 1990 levels</w:t>
            </w:r>
          </w:p>
        </w:tc>
      </w:tr>
      <w:tr w:rsidR="00614438" w:rsidRPr="003E0710" w14:paraId="024A4665" w14:textId="77777777" w:rsidTr="00245212">
        <w:trPr>
          <w:gridAfter w:val="1"/>
          <w:wAfter w:w="222" w:type="dxa"/>
          <w:trHeight w:val="836"/>
        </w:trPr>
        <w:tc>
          <w:tcPr>
            <w:tcW w:w="3314" w:type="dxa"/>
            <w:tcBorders>
              <w:top w:val="nil"/>
              <w:left w:val="single" w:sz="8" w:space="0" w:color="auto"/>
              <w:bottom w:val="single" w:sz="8" w:space="0" w:color="auto"/>
              <w:right w:val="single" w:sz="8" w:space="0" w:color="auto"/>
            </w:tcBorders>
            <w:shd w:val="clear" w:color="auto" w:fill="244062"/>
            <w:vAlign w:val="center"/>
            <w:hideMark/>
          </w:tcPr>
          <w:p w14:paraId="5A93CEE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44" w:type="dxa"/>
            <w:gridSpan w:val="3"/>
            <w:tcBorders>
              <w:top w:val="single" w:sz="8" w:space="0" w:color="auto"/>
              <w:left w:val="nil"/>
              <w:bottom w:val="single" w:sz="8" w:space="0" w:color="auto"/>
              <w:right w:val="single" w:sz="8" w:space="0" w:color="000000"/>
            </w:tcBorders>
            <w:vAlign w:val="center"/>
            <w:hideMark/>
          </w:tcPr>
          <w:p w14:paraId="7376969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PM_D6 will aim at the revival of the local economy, the securing of jobs and the creation of new ones, through a flexible developmental transformation of the areas involved. The Just Transition Action Plan will identify the pillars of development, which will contribute on the achievement of the goals, while emphasis will be given on the improvement of infrastructure and the alternative utilization of lands, currently occupied by lignite mines. In addition, stakeholder consultation and engagement in the preparation of the plans, including with social partners and civil society, is of crucial importance. It will also include tax incentives, along with the subsidies, to attract investments, the creation of spatial plans and measures of remediation and recultivation in order to identify the available land uses after the closure of lignite mines and the timetables for the implementation of investments. The Just Transition </w:t>
            </w:r>
            <w:r w:rsidRPr="003E0710">
              <w:rPr>
                <w:rFonts w:ascii="Times New Roman" w:hAnsi="Times New Roman" w:cs="Times New Roman"/>
                <w:sz w:val="20"/>
                <w:szCs w:val="20"/>
                <w:lang w:val="en-GB"/>
              </w:rPr>
              <w:lastRenderedPageBreak/>
              <w:t>Action Plan will include recommendations for enhanced institutional and governance structures, required policy reforms to support a Just Transition and a pipeline of potential targeted investments.</w:t>
            </w:r>
            <w:r w:rsidR="006D7E1D" w:rsidRPr="003E0710">
              <w:rPr>
                <w:rFonts w:ascii="Times New Roman" w:hAnsi="Times New Roman" w:cs="Times New Roman"/>
                <w:sz w:val="20"/>
                <w:szCs w:val="20"/>
                <w:lang w:val="en-GB"/>
              </w:rPr>
              <w:t xml:space="preserve"> </w:t>
            </w:r>
            <w:r w:rsidRPr="003E0710">
              <w:rPr>
                <w:rFonts w:ascii="Times New Roman" w:hAnsi="Times New Roman" w:cs="Times New Roman"/>
                <w:sz w:val="20"/>
                <w:szCs w:val="20"/>
                <w:lang w:val="en-GB"/>
              </w:rPr>
              <w:t xml:space="preserve">For example, the Just Transition Action Plan may include policy and investment recommendations such as the amendment of </w:t>
            </w:r>
            <w:r w:rsidR="006D7E1D" w:rsidRPr="003E0710">
              <w:rPr>
                <w:rFonts w:ascii="Times New Roman" w:hAnsi="Times New Roman" w:cs="Times New Roman"/>
                <w:sz w:val="20"/>
                <w:szCs w:val="20"/>
                <w:lang w:val="en-GB"/>
              </w:rPr>
              <w:t>the Rules on the operation of the natural gas transport system, development of the necessary infrastructure of TSOs and DSOs, the readiness plan of the transport sector and industry for the use of hydrogen.</w:t>
            </w:r>
          </w:p>
          <w:p w14:paraId="277D058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This PM refers to the monitoring and Revision of the Action Plan that will be prepared by the “Just Transition Diagnostics” document that is still in the preparation process. The Implementation cost of the measures of the Action Plan is under examination and it is not part of the implementation cost of this measure.</w:t>
            </w:r>
          </w:p>
        </w:tc>
      </w:tr>
      <w:tr w:rsidR="00614438" w:rsidRPr="003E0710" w14:paraId="4670E52E" w14:textId="77777777" w:rsidTr="00245212">
        <w:trPr>
          <w:gridAfter w:val="1"/>
          <w:wAfter w:w="222" w:type="dxa"/>
          <w:trHeight w:val="315"/>
        </w:trPr>
        <w:tc>
          <w:tcPr>
            <w:tcW w:w="3314" w:type="dxa"/>
            <w:tcBorders>
              <w:top w:val="nil"/>
              <w:left w:val="single" w:sz="8" w:space="0" w:color="auto"/>
              <w:bottom w:val="single" w:sz="8" w:space="0" w:color="auto"/>
              <w:right w:val="single" w:sz="8" w:space="0" w:color="auto"/>
            </w:tcBorders>
            <w:shd w:val="clear" w:color="auto" w:fill="244062"/>
            <w:vAlign w:val="center"/>
            <w:hideMark/>
          </w:tcPr>
          <w:p w14:paraId="767B3A3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Implementation Timeframe</w:t>
            </w:r>
          </w:p>
        </w:tc>
        <w:tc>
          <w:tcPr>
            <w:tcW w:w="6144" w:type="dxa"/>
            <w:gridSpan w:val="3"/>
            <w:tcBorders>
              <w:top w:val="single" w:sz="8" w:space="0" w:color="auto"/>
              <w:left w:val="nil"/>
              <w:bottom w:val="single" w:sz="8" w:space="0" w:color="auto"/>
              <w:right w:val="single" w:sz="8" w:space="0" w:color="000000"/>
            </w:tcBorders>
            <w:vAlign w:val="center"/>
            <w:hideMark/>
          </w:tcPr>
          <w:p w14:paraId="7074A87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2024-2030</w:t>
            </w:r>
          </w:p>
        </w:tc>
      </w:tr>
      <w:tr w:rsidR="00614438" w:rsidRPr="003E0710" w14:paraId="196D7A8D" w14:textId="77777777" w:rsidTr="00245212">
        <w:trPr>
          <w:gridAfter w:val="1"/>
          <w:wAfter w:w="222" w:type="dxa"/>
          <w:trHeight w:val="315"/>
        </w:trPr>
        <w:tc>
          <w:tcPr>
            <w:tcW w:w="3314" w:type="dxa"/>
            <w:tcBorders>
              <w:top w:val="nil"/>
              <w:left w:val="single" w:sz="8" w:space="0" w:color="auto"/>
              <w:bottom w:val="single" w:sz="8" w:space="0" w:color="auto"/>
              <w:right w:val="single" w:sz="8" w:space="0" w:color="auto"/>
            </w:tcBorders>
            <w:shd w:val="clear" w:color="auto" w:fill="244062"/>
            <w:vAlign w:val="center"/>
            <w:hideMark/>
          </w:tcPr>
          <w:p w14:paraId="7414F5D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44" w:type="dxa"/>
            <w:gridSpan w:val="3"/>
            <w:tcBorders>
              <w:top w:val="single" w:sz="8" w:space="0" w:color="auto"/>
              <w:left w:val="nil"/>
              <w:bottom w:val="single" w:sz="8" w:space="0" w:color="auto"/>
              <w:right w:val="single" w:sz="8" w:space="0" w:color="000000"/>
            </w:tcBorders>
            <w:vAlign w:val="center"/>
            <w:hideMark/>
          </w:tcPr>
          <w:p w14:paraId="63283B0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Reform</w:t>
            </w:r>
          </w:p>
        </w:tc>
      </w:tr>
      <w:tr w:rsidR="00614438" w:rsidRPr="003E0710" w14:paraId="1BA5DB17" w14:textId="77777777" w:rsidTr="00245212">
        <w:trPr>
          <w:gridAfter w:val="1"/>
          <w:wAfter w:w="222" w:type="dxa"/>
          <w:trHeight w:val="315"/>
        </w:trPr>
        <w:tc>
          <w:tcPr>
            <w:tcW w:w="3314" w:type="dxa"/>
            <w:tcBorders>
              <w:top w:val="nil"/>
              <w:left w:val="single" w:sz="8" w:space="0" w:color="auto"/>
              <w:bottom w:val="single" w:sz="8" w:space="0" w:color="auto"/>
              <w:right w:val="single" w:sz="8" w:space="0" w:color="auto"/>
            </w:tcBorders>
            <w:shd w:val="clear" w:color="auto" w:fill="244062"/>
            <w:vAlign w:val="center"/>
            <w:hideMark/>
          </w:tcPr>
          <w:p w14:paraId="1803222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44" w:type="dxa"/>
            <w:gridSpan w:val="3"/>
            <w:tcBorders>
              <w:top w:val="single" w:sz="8" w:space="0" w:color="auto"/>
              <w:left w:val="nil"/>
              <w:bottom w:val="single" w:sz="8" w:space="0" w:color="auto"/>
              <w:right w:val="single" w:sz="8" w:space="0" w:color="000000"/>
            </w:tcBorders>
            <w:vAlign w:val="center"/>
            <w:hideMark/>
          </w:tcPr>
          <w:p w14:paraId="4B411A9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All INECP subject fields</w:t>
            </w:r>
          </w:p>
        </w:tc>
      </w:tr>
      <w:tr w:rsidR="00614438" w:rsidRPr="003E0710" w14:paraId="7EA0764D" w14:textId="77777777" w:rsidTr="00245212">
        <w:trPr>
          <w:gridAfter w:val="1"/>
          <w:wAfter w:w="222" w:type="dxa"/>
          <w:trHeight w:val="315"/>
        </w:trPr>
        <w:tc>
          <w:tcPr>
            <w:tcW w:w="3314" w:type="dxa"/>
            <w:tcBorders>
              <w:top w:val="nil"/>
              <w:left w:val="single" w:sz="8" w:space="0" w:color="auto"/>
              <w:bottom w:val="single" w:sz="8" w:space="0" w:color="auto"/>
              <w:right w:val="single" w:sz="8" w:space="0" w:color="auto"/>
            </w:tcBorders>
            <w:shd w:val="clear" w:color="auto" w:fill="244062"/>
            <w:vAlign w:val="center"/>
            <w:hideMark/>
          </w:tcPr>
          <w:p w14:paraId="44D2B8B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44" w:type="dxa"/>
            <w:gridSpan w:val="3"/>
            <w:tcBorders>
              <w:top w:val="single" w:sz="8" w:space="0" w:color="auto"/>
              <w:left w:val="nil"/>
              <w:bottom w:val="single" w:sz="8" w:space="0" w:color="auto"/>
              <w:right w:val="single" w:sz="8" w:space="0" w:color="000000"/>
            </w:tcBorders>
            <w:vAlign w:val="center"/>
          </w:tcPr>
          <w:p w14:paraId="63059A53" w14:textId="77777777" w:rsidR="00614438" w:rsidRPr="003E0710" w:rsidRDefault="00614438" w:rsidP="003E0710">
            <w:pPr>
              <w:spacing w:after="0"/>
              <w:jc w:val="both"/>
              <w:rPr>
                <w:rFonts w:ascii="Times New Roman" w:hAnsi="Times New Roman" w:cs="Times New Roman"/>
                <w:sz w:val="20"/>
                <w:szCs w:val="20"/>
              </w:rPr>
            </w:pPr>
          </w:p>
          <w:p w14:paraId="68FE4B6D" w14:textId="77777777" w:rsidR="00614438" w:rsidRPr="003E0710" w:rsidRDefault="00614438" w:rsidP="003E0710">
            <w:pPr>
              <w:numPr>
                <w:ilvl w:val="0"/>
                <w:numId w:val="12"/>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Ministry of Mining and Energy</w:t>
            </w:r>
          </w:p>
        </w:tc>
      </w:tr>
      <w:tr w:rsidR="00614438" w:rsidRPr="003E0710" w14:paraId="2F46BAE2" w14:textId="77777777" w:rsidTr="00245212">
        <w:trPr>
          <w:gridAfter w:val="1"/>
          <w:wAfter w:w="222" w:type="dxa"/>
          <w:trHeight w:val="315"/>
        </w:trPr>
        <w:tc>
          <w:tcPr>
            <w:tcW w:w="3314" w:type="dxa"/>
            <w:tcBorders>
              <w:top w:val="nil"/>
              <w:left w:val="single" w:sz="8" w:space="0" w:color="auto"/>
              <w:bottom w:val="single" w:sz="8" w:space="0" w:color="auto"/>
              <w:right w:val="nil"/>
            </w:tcBorders>
            <w:shd w:val="clear" w:color="auto" w:fill="244062"/>
            <w:vAlign w:val="center"/>
            <w:hideMark/>
          </w:tcPr>
          <w:p w14:paraId="6CE762C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44" w:type="dxa"/>
            <w:gridSpan w:val="3"/>
            <w:tcBorders>
              <w:top w:val="single" w:sz="8" w:space="0" w:color="auto"/>
              <w:left w:val="nil"/>
              <w:bottom w:val="single" w:sz="8" w:space="0" w:color="auto"/>
              <w:right w:val="single" w:sz="8" w:space="0" w:color="000000"/>
            </w:tcBorders>
            <w:vAlign w:val="center"/>
            <w:hideMark/>
          </w:tcPr>
          <w:p w14:paraId="03C56169" w14:textId="77777777" w:rsidR="00614438" w:rsidRPr="003E0710" w:rsidRDefault="00614438" w:rsidP="003E0710">
            <w:pPr>
              <w:numPr>
                <w:ilvl w:val="0"/>
                <w:numId w:val="12"/>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Ministry of Environmental Protection</w:t>
            </w:r>
          </w:p>
          <w:p w14:paraId="4636A906" w14:textId="77777777" w:rsidR="00614438" w:rsidRPr="003E0710" w:rsidRDefault="00614438" w:rsidP="003E0710">
            <w:pPr>
              <w:numPr>
                <w:ilvl w:val="0"/>
                <w:numId w:val="12"/>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Ministry of Mining and Energy</w:t>
            </w:r>
          </w:p>
          <w:p w14:paraId="39FF27A4" w14:textId="77777777" w:rsidR="00614438" w:rsidRPr="003E0710" w:rsidRDefault="00614438" w:rsidP="003E0710">
            <w:pPr>
              <w:numPr>
                <w:ilvl w:val="0"/>
                <w:numId w:val="12"/>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Ministry of Labor, Employment, Veteran and Social Policy</w:t>
            </w:r>
          </w:p>
          <w:p w14:paraId="0CA09DF7" w14:textId="488DFF62" w:rsidR="006D7E1D" w:rsidRPr="003E0710" w:rsidRDefault="006D7E1D" w:rsidP="003E0710">
            <w:pPr>
              <w:numPr>
                <w:ilvl w:val="0"/>
                <w:numId w:val="12"/>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w:t>
            </w:r>
            <w:r w:rsidR="00B21B70" w:rsidRPr="003E0710">
              <w:rPr>
                <w:rFonts w:ascii="Times New Roman" w:hAnsi="Times New Roman" w:cs="Times New Roman"/>
                <w:sz w:val="20"/>
                <w:szCs w:val="20"/>
              </w:rPr>
              <w:t xml:space="preserve"> Science, </w:t>
            </w:r>
            <w:r w:rsidRPr="003E0710">
              <w:rPr>
                <w:rFonts w:ascii="Times New Roman" w:hAnsi="Times New Roman" w:cs="Times New Roman"/>
                <w:sz w:val="20"/>
                <w:szCs w:val="20"/>
              </w:rPr>
              <w:t>Technological Development</w:t>
            </w:r>
            <w:r w:rsidR="00B21B70" w:rsidRPr="003E0710">
              <w:rPr>
                <w:rFonts w:ascii="Times New Roman" w:hAnsi="Times New Roman" w:cs="Times New Roman"/>
                <w:sz w:val="20"/>
                <w:szCs w:val="20"/>
              </w:rPr>
              <w:t xml:space="preserve"> and Innovation</w:t>
            </w:r>
          </w:p>
          <w:p w14:paraId="08D8C8FA" w14:textId="77777777" w:rsidR="00614438" w:rsidRPr="003E0710" w:rsidRDefault="00614438" w:rsidP="003E0710">
            <w:pPr>
              <w:numPr>
                <w:ilvl w:val="0"/>
                <w:numId w:val="12"/>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Ministry of Economy</w:t>
            </w:r>
          </w:p>
          <w:p w14:paraId="7FA2D3CB" w14:textId="77777777" w:rsidR="00614438" w:rsidRPr="003E0710" w:rsidRDefault="00614438" w:rsidP="003E0710">
            <w:pPr>
              <w:numPr>
                <w:ilvl w:val="0"/>
                <w:numId w:val="12"/>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Chamber of Commerce and regional chambers of commerce</w:t>
            </w:r>
          </w:p>
          <w:p w14:paraId="24A3FCB2" w14:textId="77777777" w:rsidR="00614438" w:rsidRPr="003E0710" w:rsidRDefault="00614438" w:rsidP="003E0710">
            <w:pPr>
              <w:numPr>
                <w:ilvl w:val="0"/>
                <w:numId w:val="12"/>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Local self-government units</w:t>
            </w:r>
          </w:p>
          <w:p w14:paraId="42220C82" w14:textId="77777777" w:rsidR="00614438" w:rsidRPr="003E0710" w:rsidRDefault="00614438" w:rsidP="003E0710">
            <w:pPr>
              <w:numPr>
                <w:ilvl w:val="0"/>
                <w:numId w:val="12"/>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Social and Economic Council</w:t>
            </w:r>
          </w:p>
        </w:tc>
      </w:tr>
      <w:tr w:rsidR="00614438" w:rsidRPr="003E0710" w14:paraId="42B89A7D" w14:textId="77777777" w:rsidTr="00245212">
        <w:trPr>
          <w:gridAfter w:val="1"/>
          <w:wAfter w:w="222" w:type="dxa"/>
          <w:trHeight w:val="315"/>
        </w:trPr>
        <w:tc>
          <w:tcPr>
            <w:tcW w:w="3314" w:type="dxa"/>
            <w:tcBorders>
              <w:top w:val="nil"/>
              <w:left w:val="single" w:sz="8" w:space="0" w:color="auto"/>
              <w:bottom w:val="single" w:sz="8" w:space="0" w:color="auto"/>
              <w:right w:val="nil"/>
            </w:tcBorders>
            <w:shd w:val="clear" w:color="auto" w:fill="244062"/>
            <w:vAlign w:val="center"/>
            <w:hideMark/>
          </w:tcPr>
          <w:p w14:paraId="477C39E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44" w:type="dxa"/>
            <w:gridSpan w:val="3"/>
            <w:tcBorders>
              <w:top w:val="single" w:sz="8" w:space="0" w:color="auto"/>
              <w:left w:val="nil"/>
              <w:bottom w:val="single" w:sz="8" w:space="0" w:color="auto"/>
              <w:right w:val="single" w:sz="8" w:space="0" w:color="000000"/>
            </w:tcBorders>
            <w:vAlign w:val="center"/>
            <w:hideMark/>
          </w:tcPr>
          <w:p w14:paraId="03C64FE7" w14:textId="77777777" w:rsidR="00614438" w:rsidRPr="003E0710" w:rsidRDefault="00614438" w:rsidP="003E0710">
            <w:pPr>
              <w:numPr>
                <w:ilvl w:val="0"/>
                <w:numId w:val="17"/>
              </w:numPr>
              <w:spacing w:after="0"/>
              <w:jc w:val="both"/>
              <w:rPr>
                <w:rFonts w:ascii="Times New Roman" w:hAnsi="Times New Roman" w:cs="Times New Roman"/>
                <w:sz w:val="20"/>
                <w:szCs w:val="20"/>
              </w:rPr>
            </w:pPr>
            <w:r w:rsidRPr="003E0710">
              <w:rPr>
                <w:rFonts w:ascii="Times New Roman" w:hAnsi="Times New Roman" w:cs="Times New Roman"/>
                <w:sz w:val="20"/>
                <w:szCs w:val="20"/>
              </w:rPr>
              <w:t>Emissions per capita tCO2e/capita</w:t>
            </w:r>
          </w:p>
          <w:p w14:paraId="69F4037E" w14:textId="77777777" w:rsidR="00614438" w:rsidRPr="003E0710" w:rsidRDefault="00614438" w:rsidP="003E0710">
            <w:pPr>
              <w:numPr>
                <w:ilvl w:val="0"/>
                <w:numId w:val="17"/>
              </w:numPr>
              <w:spacing w:after="0"/>
              <w:jc w:val="both"/>
              <w:rPr>
                <w:rFonts w:ascii="Times New Roman" w:hAnsi="Times New Roman" w:cs="Times New Roman"/>
                <w:sz w:val="20"/>
                <w:szCs w:val="20"/>
              </w:rPr>
            </w:pPr>
            <w:r w:rsidRPr="003E0710">
              <w:rPr>
                <w:rFonts w:ascii="Times New Roman" w:hAnsi="Times New Roman" w:cs="Times New Roman"/>
                <w:sz w:val="20"/>
                <w:szCs w:val="20"/>
              </w:rPr>
              <w:t>Carbon intensity of the economy tCO2e/GDP (MioEUR’13)</w:t>
            </w:r>
          </w:p>
          <w:p w14:paraId="5136E9EA" w14:textId="77777777" w:rsidR="00614438" w:rsidRPr="003E0710" w:rsidRDefault="00614438" w:rsidP="003E0710">
            <w:pPr>
              <w:numPr>
                <w:ilvl w:val="0"/>
                <w:numId w:val="17"/>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related CO2 intensity of GDP tCO2/GDP (MioEUR’13)</w:t>
            </w:r>
          </w:p>
        </w:tc>
      </w:tr>
      <w:tr w:rsidR="00614438" w:rsidRPr="003E0710" w14:paraId="64590FA1" w14:textId="77777777" w:rsidTr="00245212">
        <w:trPr>
          <w:gridAfter w:val="1"/>
          <w:wAfter w:w="222" w:type="dxa"/>
          <w:trHeight w:val="323"/>
        </w:trPr>
        <w:tc>
          <w:tcPr>
            <w:tcW w:w="3314" w:type="dxa"/>
            <w:tcBorders>
              <w:top w:val="nil"/>
              <w:left w:val="single" w:sz="8" w:space="0" w:color="auto"/>
              <w:bottom w:val="single" w:sz="8" w:space="0" w:color="auto"/>
              <w:right w:val="single" w:sz="8" w:space="0" w:color="auto"/>
            </w:tcBorders>
            <w:shd w:val="clear" w:color="auto" w:fill="244062"/>
            <w:vAlign w:val="center"/>
            <w:hideMark/>
          </w:tcPr>
          <w:p w14:paraId="3F0B772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44" w:type="dxa"/>
            <w:gridSpan w:val="3"/>
            <w:tcBorders>
              <w:top w:val="single" w:sz="8" w:space="0" w:color="auto"/>
              <w:left w:val="nil"/>
              <w:bottom w:val="single" w:sz="8" w:space="0" w:color="auto"/>
              <w:right w:val="single" w:sz="8" w:space="0" w:color="000000"/>
            </w:tcBorders>
            <w:vAlign w:val="center"/>
          </w:tcPr>
          <w:p w14:paraId="35E66FBA"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11F8FA5F" w14:textId="77777777" w:rsidTr="00245212">
        <w:trPr>
          <w:gridAfter w:val="1"/>
          <w:wAfter w:w="222" w:type="dxa"/>
          <w:trHeight w:val="458"/>
        </w:trPr>
        <w:tc>
          <w:tcPr>
            <w:tcW w:w="3314" w:type="dxa"/>
            <w:vMerge w:val="restart"/>
            <w:tcBorders>
              <w:top w:val="nil"/>
              <w:left w:val="single" w:sz="8" w:space="0" w:color="auto"/>
              <w:bottom w:val="single" w:sz="8" w:space="0" w:color="000000"/>
              <w:right w:val="single" w:sz="8" w:space="0" w:color="auto"/>
            </w:tcBorders>
            <w:shd w:val="clear" w:color="auto" w:fill="244062"/>
            <w:vAlign w:val="center"/>
            <w:hideMark/>
          </w:tcPr>
          <w:p w14:paraId="47B9844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4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313999D" w14:textId="77777777" w:rsidR="00614438" w:rsidRPr="003E0710" w:rsidRDefault="00614438" w:rsidP="003E0710">
            <w:pPr>
              <w:numPr>
                <w:ilvl w:val="0"/>
                <w:numId w:val="14"/>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Regulation 2018/1999</w:t>
            </w:r>
          </w:p>
        </w:tc>
      </w:tr>
      <w:tr w:rsidR="00614438" w:rsidRPr="003E0710" w14:paraId="3134A4B7" w14:textId="77777777" w:rsidTr="00614438">
        <w:trPr>
          <w:trHeight w:val="50"/>
        </w:trPr>
        <w:tc>
          <w:tcPr>
            <w:tcW w:w="0" w:type="auto"/>
            <w:vMerge/>
            <w:tcBorders>
              <w:top w:val="nil"/>
              <w:left w:val="single" w:sz="8" w:space="0" w:color="auto"/>
              <w:bottom w:val="single" w:sz="8" w:space="0" w:color="000000"/>
              <w:right w:val="single" w:sz="8" w:space="0" w:color="auto"/>
            </w:tcBorders>
            <w:vAlign w:val="center"/>
            <w:hideMark/>
          </w:tcPr>
          <w:p w14:paraId="17A9DC4A"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A74CB30"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1DA3D525"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1BB8422C"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4B9FC3C4"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B261463"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0EE9002C"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6BFE1247" w14:textId="77777777" w:rsidTr="00245212">
        <w:trPr>
          <w:trHeight w:val="297"/>
        </w:trPr>
        <w:tc>
          <w:tcPr>
            <w:tcW w:w="3314" w:type="dxa"/>
            <w:tcBorders>
              <w:top w:val="nil"/>
              <w:left w:val="single" w:sz="8" w:space="0" w:color="auto"/>
              <w:bottom w:val="single" w:sz="8" w:space="0" w:color="auto"/>
              <w:right w:val="single" w:sz="8" w:space="0" w:color="auto"/>
            </w:tcBorders>
            <w:shd w:val="clear" w:color="auto" w:fill="244062"/>
            <w:vAlign w:val="center"/>
            <w:hideMark/>
          </w:tcPr>
          <w:p w14:paraId="06CF4F9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44" w:type="dxa"/>
            <w:gridSpan w:val="3"/>
            <w:tcBorders>
              <w:top w:val="single" w:sz="8" w:space="0" w:color="auto"/>
              <w:left w:val="nil"/>
              <w:bottom w:val="single" w:sz="8" w:space="0" w:color="auto"/>
              <w:right w:val="single" w:sz="8" w:space="0" w:color="000000"/>
            </w:tcBorders>
            <w:vAlign w:val="center"/>
            <w:hideMark/>
          </w:tcPr>
          <w:p w14:paraId="5A2CA014" w14:textId="77777777" w:rsidR="00614438" w:rsidRPr="003E0710" w:rsidRDefault="00614438" w:rsidP="003E0710">
            <w:pPr>
              <w:numPr>
                <w:ilvl w:val="0"/>
                <w:numId w:val="13"/>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Low-carbon Development Strategy for the period 2023-2030 with projections until 2050</w:t>
            </w:r>
          </w:p>
        </w:tc>
        <w:tc>
          <w:tcPr>
            <w:tcW w:w="222" w:type="dxa"/>
            <w:vAlign w:val="center"/>
            <w:hideMark/>
          </w:tcPr>
          <w:p w14:paraId="7D060BC2"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073734CD" w14:textId="77777777" w:rsidTr="00245212">
        <w:trPr>
          <w:trHeight w:val="315"/>
        </w:trPr>
        <w:tc>
          <w:tcPr>
            <w:tcW w:w="3314" w:type="dxa"/>
            <w:tcBorders>
              <w:top w:val="nil"/>
              <w:left w:val="single" w:sz="8" w:space="0" w:color="auto"/>
              <w:bottom w:val="single" w:sz="8" w:space="0" w:color="auto"/>
              <w:right w:val="single" w:sz="8" w:space="0" w:color="auto"/>
            </w:tcBorders>
            <w:shd w:val="clear" w:color="auto" w:fill="244062"/>
            <w:vAlign w:val="center"/>
            <w:hideMark/>
          </w:tcPr>
          <w:p w14:paraId="0D1010E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44" w:type="dxa"/>
            <w:gridSpan w:val="3"/>
            <w:tcBorders>
              <w:top w:val="single" w:sz="8" w:space="0" w:color="auto"/>
              <w:left w:val="nil"/>
              <w:bottom w:val="single" w:sz="8" w:space="0" w:color="auto"/>
              <w:right w:val="single" w:sz="8" w:space="0" w:color="000000"/>
            </w:tcBorders>
            <w:vAlign w:val="center"/>
            <w:hideMark/>
          </w:tcPr>
          <w:p w14:paraId="3C66139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 M€</w:t>
            </w:r>
          </w:p>
        </w:tc>
        <w:tc>
          <w:tcPr>
            <w:tcW w:w="222" w:type="dxa"/>
            <w:vAlign w:val="center"/>
          </w:tcPr>
          <w:p w14:paraId="33094F62"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784B2E2F" w14:textId="77777777" w:rsidTr="00245212">
        <w:trPr>
          <w:trHeight w:val="315"/>
        </w:trPr>
        <w:tc>
          <w:tcPr>
            <w:tcW w:w="3314" w:type="dxa"/>
            <w:tcBorders>
              <w:top w:val="nil"/>
              <w:left w:val="single" w:sz="8" w:space="0" w:color="auto"/>
              <w:bottom w:val="single" w:sz="8" w:space="0" w:color="auto"/>
              <w:right w:val="single" w:sz="8" w:space="0" w:color="auto"/>
            </w:tcBorders>
            <w:shd w:val="clear" w:color="auto" w:fill="244062"/>
            <w:vAlign w:val="center"/>
            <w:hideMark/>
          </w:tcPr>
          <w:p w14:paraId="6BF159E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44" w:type="dxa"/>
            <w:gridSpan w:val="3"/>
            <w:tcBorders>
              <w:top w:val="single" w:sz="8" w:space="0" w:color="auto"/>
              <w:left w:val="nil"/>
              <w:bottom w:val="single" w:sz="8" w:space="0" w:color="auto"/>
              <w:right w:val="single" w:sz="8" w:space="0" w:color="000000"/>
            </w:tcBorders>
            <w:vAlign w:val="center"/>
            <w:hideMark/>
          </w:tcPr>
          <w:p w14:paraId="25133DC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6E34BD33" w14:textId="77777777" w:rsidR="00614438" w:rsidRPr="003E0710" w:rsidRDefault="00614438" w:rsidP="003E0710">
            <w:pPr>
              <w:spacing w:after="0"/>
              <w:jc w:val="both"/>
              <w:rPr>
                <w:rFonts w:ascii="Times New Roman" w:hAnsi="Times New Roman" w:cs="Times New Roman"/>
                <w:sz w:val="20"/>
                <w:szCs w:val="20"/>
                <w:lang w:val="en-GB"/>
              </w:rPr>
            </w:pPr>
          </w:p>
        </w:tc>
      </w:tr>
    </w:tbl>
    <w:p w14:paraId="7737A733" w14:textId="77777777" w:rsidR="006D7E1D" w:rsidRDefault="006D7E1D" w:rsidP="00614438">
      <w:pPr>
        <w:jc w:val="both"/>
        <w:rPr>
          <w:rFonts w:ascii="Times New Roman" w:hAnsi="Times New Roman" w:cs="Times New Roman"/>
          <w:sz w:val="24"/>
          <w:szCs w:val="24"/>
          <w:lang w:val="en-GB"/>
        </w:rPr>
      </w:pPr>
    </w:p>
    <w:p w14:paraId="2D163F8C" w14:textId="77777777" w:rsidR="00614438" w:rsidRPr="00614438" w:rsidRDefault="00614438" w:rsidP="00CC07CF">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Energy Sector</w:t>
      </w:r>
    </w:p>
    <w:p w14:paraId="4990A69D" w14:textId="77777777" w:rsidR="00614438" w:rsidRPr="00614438" w:rsidRDefault="00614438" w:rsidP="00CC07CF">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GHG emissions in the energy sector (generation of electricity and heat, petroleum processing, production of solid energy resources) are determined by the quantity of energy used in processes and the unit emission factor of energy sources. GHG emissions can be reduced by decreasing the quantity of consumed energy, by increasing the use of renewable energy sources, and by replacing fossil fuels.</w:t>
      </w:r>
    </w:p>
    <w:p w14:paraId="4D54BD2F" w14:textId="77777777" w:rsidR="00614438" w:rsidRPr="00614438" w:rsidRDefault="00614438" w:rsidP="00F84F6C">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majority of the policy measures with an impact on decarbonisation intended for the energy sector are included, among others, in the dimensions of renewable energy sources, energy efficiency, the internal energy market and energy security, as the changes in these dimensions lead to overall GHG emissions reduction.</w:t>
      </w:r>
    </w:p>
    <w:p w14:paraId="46EAA058" w14:textId="77777777" w:rsidR="00614438" w:rsidRPr="00614438" w:rsidRDefault="00614438" w:rsidP="00CC07CF">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Industrial Sector</w:t>
      </w:r>
    </w:p>
    <w:p w14:paraId="32163BDE" w14:textId="77777777" w:rsidR="00614438" w:rsidRPr="00614438" w:rsidRDefault="00F84F6C" w:rsidP="00CC07CF">
      <w:pPr>
        <w:ind w:firstLine="720"/>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With</w:t>
      </w:r>
      <w:r w:rsidR="00614438" w:rsidRPr="00614438">
        <w:rPr>
          <w:rFonts w:ascii="Times New Roman" w:hAnsi="Times New Roman" w:cs="Times New Roman"/>
          <w:sz w:val="24"/>
          <w:szCs w:val="24"/>
          <w:lang w:val="en-GB"/>
        </w:rPr>
        <w:t xml:space="preserve"> regards </w:t>
      </w:r>
      <w:r>
        <w:rPr>
          <w:rFonts w:ascii="Times New Roman" w:hAnsi="Times New Roman" w:cs="Times New Roman"/>
          <w:sz w:val="24"/>
          <w:szCs w:val="24"/>
          <w:lang w:val="en-GB"/>
        </w:rPr>
        <w:t xml:space="preserve">to </w:t>
      </w:r>
      <w:r w:rsidR="00614438" w:rsidRPr="00614438">
        <w:rPr>
          <w:rFonts w:ascii="Times New Roman" w:hAnsi="Times New Roman" w:cs="Times New Roman"/>
          <w:sz w:val="24"/>
          <w:szCs w:val="24"/>
          <w:lang w:val="en-GB"/>
        </w:rPr>
        <w:t>industrial pollution and risk management</w:t>
      </w:r>
      <w:r>
        <w:rPr>
          <w:rFonts w:ascii="Times New Roman" w:hAnsi="Times New Roman" w:cs="Times New Roman"/>
          <w:sz w:val="24"/>
          <w:szCs w:val="24"/>
          <w:lang w:val="en-GB"/>
        </w:rPr>
        <w:t>,</w:t>
      </w:r>
      <w:r w:rsidR="00614438" w:rsidRPr="00614438">
        <w:rPr>
          <w:rFonts w:ascii="Times New Roman" w:hAnsi="Times New Roman" w:cs="Times New Roman"/>
          <w:sz w:val="24"/>
          <w:szCs w:val="24"/>
          <w:lang w:val="en-GB"/>
        </w:rPr>
        <w:t xml:space="preserve"> the integrated permits system was incorporated in the Law on Integrated Pollution Prevention and Control from 2004</w:t>
      </w:r>
      <w:r w:rsidR="00901749">
        <w:rPr>
          <w:rFonts w:ascii="Times New Roman" w:hAnsi="Times New Roman" w:cs="Times New Roman"/>
          <w:sz w:val="24"/>
          <w:szCs w:val="24"/>
          <w:lang w:val="en-GB"/>
        </w:rPr>
        <w:t xml:space="preserve"> </w:t>
      </w:r>
      <w:r w:rsidR="00901749" w:rsidRPr="00F10D1E">
        <w:rPr>
          <w:rFonts w:ascii="Times New Roman" w:eastAsia="Times New Roman" w:hAnsi="Times New Roman" w:cs="Times New Roman"/>
          <w:sz w:val="24"/>
          <w:szCs w:val="24"/>
          <w:lang w:val="sr-Cyrl-CS" w:bidi="sr-Cyrl-CS"/>
        </w:rPr>
        <w:t>(“</w:t>
      </w:r>
      <w:r w:rsidR="00901749">
        <w:rPr>
          <w:rFonts w:ascii="Times New Roman" w:eastAsia="Times New Roman" w:hAnsi="Times New Roman" w:cs="Times New Roman"/>
          <w:sz w:val="24"/>
          <w:szCs w:val="24"/>
          <w:lang w:bidi="sr-Cyrl-CS"/>
        </w:rPr>
        <w:t>Official Gayette of RS</w:t>
      </w:r>
      <w:r w:rsidR="00901749" w:rsidRPr="00F10D1E">
        <w:rPr>
          <w:rFonts w:ascii="Times New Roman" w:eastAsia="Times New Roman" w:hAnsi="Times New Roman" w:cs="Times New Roman"/>
          <w:sz w:val="24"/>
          <w:szCs w:val="24"/>
          <w:lang w:val="sr-Cyrl-CS" w:bidi="sr-Cyrl-CS"/>
        </w:rPr>
        <w:t xml:space="preserve">”, </w:t>
      </w:r>
      <w:r w:rsidR="00901749">
        <w:rPr>
          <w:rFonts w:ascii="Times New Roman" w:eastAsia="Times New Roman" w:hAnsi="Times New Roman" w:cs="Times New Roman"/>
          <w:sz w:val="24"/>
          <w:szCs w:val="24"/>
          <w:lang w:bidi="sr-Cyrl-CS"/>
        </w:rPr>
        <w:t>no.</w:t>
      </w:r>
      <w:r w:rsidR="00901749" w:rsidRPr="00F10D1E">
        <w:rPr>
          <w:rFonts w:ascii="Times New Roman" w:eastAsia="Times New Roman" w:hAnsi="Times New Roman" w:cs="Times New Roman"/>
          <w:sz w:val="24"/>
          <w:szCs w:val="24"/>
          <w:lang w:val="sr-Cyrl-CS" w:bidi="sr-Cyrl-CS"/>
        </w:rPr>
        <w:t xml:space="preserve"> 135/04)</w:t>
      </w:r>
      <w:r w:rsidR="00614438" w:rsidRPr="00614438">
        <w:rPr>
          <w:rFonts w:ascii="Times New Roman" w:hAnsi="Times New Roman" w:cs="Times New Roman"/>
          <w:sz w:val="24"/>
          <w:szCs w:val="24"/>
          <w:lang w:val="en-GB"/>
        </w:rPr>
        <w:t xml:space="preserve">, introducing into the legislation of the Republic of Serbia one of the key directives Council Directive 96/61/EC of 24 September 1996 (IPPC Directive). The Law is applied to installations and activities which are classified according to the level of pollution and risk such activities pose to the human health and the environment. Over time, the application of this law revealed problems and unwillingness of operators to respond to the requirement introduced by this law (extensive documentation that must be prepared and obtained, </w:t>
      </w:r>
      <w:r w:rsidR="00614438" w:rsidRPr="00614438">
        <w:rPr>
          <w:rFonts w:ascii="Times New Roman" w:hAnsi="Times New Roman" w:cs="Times New Roman"/>
          <w:sz w:val="24"/>
          <w:szCs w:val="24"/>
        </w:rPr>
        <w:t>which requires large funds and prior to that significant material investments in equipment innovation and harmonization of applied technologies using the best available techniques), as well as problems obtaining the necessary permits, decisions, consents or approvals</w:t>
      </w:r>
      <w:r w:rsidR="00BB17A2">
        <w:rPr>
          <w:rFonts w:ascii="Times New Roman" w:hAnsi="Times New Roman" w:cs="Times New Roman"/>
          <w:sz w:val="24"/>
          <w:szCs w:val="24"/>
        </w:rPr>
        <w:t xml:space="preserve"> from other state institutions</w:t>
      </w:r>
      <w:r w:rsidR="00614438" w:rsidRPr="00614438">
        <w:rPr>
          <w:rFonts w:ascii="Times New Roman" w:hAnsi="Times New Roman" w:cs="Times New Roman"/>
          <w:sz w:val="24"/>
          <w:szCs w:val="24"/>
        </w:rPr>
        <w:t xml:space="preserve">. </w:t>
      </w:r>
      <w:r w:rsidR="00614438" w:rsidRPr="00614438">
        <w:rPr>
          <w:rFonts w:ascii="Times New Roman" w:hAnsi="Times New Roman" w:cs="Times New Roman"/>
          <w:sz w:val="24"/>
          <w:szCs w:val="24"/>
          <w:lang w:val="en-GB"/>
        </w:rPr>
        <w:t xml:space="preserve">Furthermore, responsible institutions faced the lack of necessary capacities. </w:t>
      </w:r>
      <w:r w:rsidR="00614438" w:rsidRPr="00614438">
        <w:rPr>
          <w:rFonts w:ascii="Times New Roman" w:hAnsi="Times New Roman" w:cs="Times New Roman"/>
          <w:sz w:val="24"/>
          <w:szCs w:val="24"/>
        </w:rPr>
        <w:t xml:space="preserve">All of this often led to incomplete permit requests (requests were being submitted only due to deadlines), which together with the duration of procedure, </w:t>
      </w:r>
      <w:r w:rsidR="00614438" w:rsidRPr="00614438">
        <w:rPr>
          <w:rFonts w:ascii="Times New Roman" w:hAnsi="Times New Roman" w:cs="Times New Roman"/>
          <w:sz w:val="24"/>
          <w:szCs w:val="24"/>
          <w:lang w:val="en-GB"/>
        </w:rPr>
        <w:t>waiting for necessary documentation from other institutions and supplementation of requests, represented the reason for long duration of procedures and relatively small number of issued permits compared to the number of operators and aligned deadlines of their obtainment. In the meantime, procedure for the preparation of the new law on industrial emissions started, along with by-laws for the alignment with the Industrial Emissions Directive 2010/75/EnC. The Republic of Serbia needs to increase capacities for managing the integrated permitting processes, while the country should tackle industrial pollution by enforcing the polluters’ pay-principle in order to encourage the industry to invest in green solutions.</w:t>
      </w:r>
    </w:p>
    <w:p w14:paraId="1A037CB5" w14:textId="77777777" w:rsidR="00614438" w:rsidRPr="003E0710" w:rsidRDefault="00614438" w:rsidP="003E0710">
      <w:pPr>
        <w:spacing w:after="0"/>
        <w:ind w:firstLine="720"/>
        <w:jc w:val="both"/>
        <w:rPr>
          <w:rFonts w:ascii="Times New Roman" w:hAnsi="Times New Roman" w:cs="Times New Roman"/>
          <w:sz w:val="20"/>
          <w:szCs w:val="20"/>
          <w:lang w:val="en-GB"/>
        </w:rPr>
      </w:pPr>
      <w:r w:rsidRPr="00614438">
        <w:rPr>
          <w:rFonts w:ascii="Times New Roman" w:hAnsi="Times New Roman" w:cs="Times New Roman"/>
          <w:sz w:val="24"/>
          <w:szCs w:val="24"/>
          <w:lang w:val="en-GB"/>
        </w:rPr>
        <w:t xml:space="preserve">Furthermore, regarding buildings in the industrial and service sectors, demand for cooling during the summer needs to be reduced (thermal renovation and efficiency standards for new buildings). </w:t>
      </w:r>
      <w:r w:rsidR="00BB17A2">
        <w:rPr>
          <w:rFonts w:ascii="Times New Roman" w:hAnsi="Times New Roman" w:cs="Times New Roman"/>
          <w:sz w:val="24"/>
          <w:szCs w:val="24"/>
          <w:lang w:val="en-GB"/>
        </w:rPr>
        <w:t>In the early phase, s</w:t>
      </w:r>
      <w:r w:rsidRPr="00614438">
        <w:rPr>
          <w:rFonts w:ascii="Times New Roman" w:hAnsi="Times New Roman" w:cs="Times New Roman"/>
          <w:sz w:val="24"/>
          <w:szCs w:val="24"/>
          <w:lang w:val="en-GB"/>
        </w:rPr>
        <w:t xml:space="preserve">upport will be possible under the funding policy in place for phasing out the use of fluorinated gases with a high global warming potential (GWP) (e.g. refrigeration and air-conditioning units). It will also be ensured (e.g. through contact with trade associations in the refrigeration and air-conditioning industry and providing information about new refrigerants) that Serbian companies or persons working at such companies have the necessary knowledge regarding alternative refrigerants and skills for working with such </w:t>
      </w:r>
      <w:r w:rsidR="00BB17A2">
        <w:rPr>
          <w:rFonts w:ascii="Times New Roman" w:hAnsi="Times New Roman" w:cs="Times New Roman"/>
          <w:sz w:val="24"/>
          <w:szCs w:val="24"/>
          <w:lang w:val="en-GB"/>
        </w:rPr>
        <w:t>equipment</w:t>
      </w:r>
      <w:r w:rsidRPr="00614438">
        <w:rPr>
          <w:rFonts w:ascii="Times New Roman" w:hAnsi="Times New Roman" w:cs="Times New Roman"/>
          <w:sz w:val="24"/>
          <w:szCs w:val="24"/>
          <w:lang w:val="en-GB"/>
        </w:rPr>
        <w:t>.</w:t>
      </w:r>
    </w:p>
    <w:tbl>
      <w:tblPr>
        <w:tblW w:w="9680" w:type="dxa"/>
        <w:tblLook w:val="04A0" w:firstRow="1" w:lastRow="0" w:firstColumn="1" w:lastColumn="0" w:noHBand="0" w:noVBand="1"/>
      </w:tblPr>
      <w:tblGrid>
        <w:gridCol w:w="3323"/>
        <w:gridCol w:w="954"/>
        <w:gridCol w:w="944"/>
        <w:gridCol w:w="4237"/>
        <w:gridCol w:w="222"/>
      </w:tblGrid>
      <w:tr w:rsidR="00614438" w:rsidRPr="003E0710" w14:paraId="1D0932B0" w14:textId="77777777" w:rsidTr="00614438">
        <w:trPr>
          <w:gridAfter w:val="1"/>
          <w:wAfter w:w="222" w:type="dxa"/>
          <w:trHeight w:val="780"/>
        </w:trPr>
        <w:tc>
          <w:tcPr>
            <w:tcW w:w="3323"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12D3E30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54" w:type="dxa"/>
            <w:tcBorders>
              <w:top w:val="single" w:sz="8" w:space="0" w:color="auto"/>
              <w:left w:val="nil"/>
              <w:bottom w:val="single" w:sz="8" w:space="0" w:color="auto"/>
              <w:right w:val="single" w:sz="8" w:space="0" w:color="auto"/>
            </w:tcBorders>
            <w:shd w:val="clear" w:color="auto" w:fill="E7E6E6" w:themeFill="background2"/>
            <w:vAlign w:val="center"/>
            <w:hideMark/>
          </w:tcPr>
          <w:p w14:paraId="65BA458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PM_D5</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3609799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37" w:type="dxa"/>
            <w:tcBorders>
              <w:top w:val="single" w:sz="8" w:space="0" w:color="auto"/>
              <w:left w:val="nil"/>
              <w:bottom w:val="single" w:sz="8" w:space="0" w:color="auto"/>
              <w:right w:val="single" w:sz="8" w:space="0" w:color="auto"/>
            </w:tcBorders>
            <w:shd w:val="clear" w:color="auto" w:fill="E7E6E6" w:themeFill="background2"/>
            <w:vAlign w:val="center"/>
            <w:hideMark/>
          </w:tcPr>
          <w:p w14:paraId="248BAA1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of best available technologies in production processes in specific industries</w:t>
            </w:r>
          </w:p>
        </w:tc>
      </w:tr>
      <w:tr w:rsidR="00614438" w:rsidRPr="003E0710" w14:paraId="4BD42553" w14:textId="77777777" w:rsidTr="00614438">
        <w:trPr>
          <w:gridAfter w:val="1"/>
          <w:wAfter w:w="222" w:type="dxa"/>
          <w:trHeight w:val="339"/>
        </w:trPr>
        <w:tc>
          <w:tcPr>
            <w:tcW w:w="3323" w:type="dxa"/>
            <w:tcBorders>
              <w:top w:val="nil"/>
              <w:left w:val="single" w:sz="8" w:space="0" w:color="auto"/>
              <w:bottom w:val="single" w:sz="8" w:space="0" w:color="auto"/>
              <w:right w:val="nil"/>
            </w:tcBorders>
            <w:shd w:val="clear" w:color="auto" w:fill="244062"/>
            <w:vAlign w:val="center"/>
            <w:hideMark/>
          </w:tcPr>
          <w:p w14:paraId="04EA46D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35" w:type="dxa"/>
            <w:gridSpan w:val="3"/>
            <w:tcBorders>
              <w:top w:val="single" w:sz="8" w:space="0" w:color="auto"/>
              <w:left w:val="nil"/>
              <w:bottom w:val="single" w:sz="8" w:space="0" w:color="auto"/>
              <w:right w:val="single" w:sz="8" w:space="0" w:color="000000"/>
            </w:tcBorders>
            <w:vAlign w:val="center"/>
            <w:hideMark/>
          </w:tcPr>
          <w:p w14:paraId="2AAD0CE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GHG emissions reduction</w:t>
            </w:r>
          </w:p>
        </w:tc>
      </w:tr>
      <w:tr w:rsidR="00614438" w:rsidRPr="003E0710" w14:paraId="39B1965A" w14:textId="77777777" w:rsidTr="00614438">
        <w:trPr>
          <w:gridAfter w:val="1"/>
          <w:wAfter w:w="222" w:type="dxa"/>
          <w:trHeight w:val="315"/>
        </w:trPr>
        <w:tc>
          <w:tcPr>
            <w:tcW w:w="3323" w:type="dxa"/>
            <w:tcBorders>
              <w:top w:val="nil"/>
              <w:left w:val="single" w:sz="8" w:space="0" w:color="auto"/>
              <w:bottom w:val="single" w:sz="8" w:space="0" w:color="auto"/>
              <w:right w:val="single" w:sz="8" w:space="0" w:color="auto"/>
            </w:tcBorders>
            <w:shd w:val="clear" w:color="auto" w:fill="244062"/>
            <w:vAlign w:val="center"/>
            <w:hideMark/>
          </w:tcPr>
          <w:p w14:paraId="24A8B83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35" w:type="dxa"/>
            <w:gridSpan w:val="3"/>
            <w:tcBorders>
              <w:top w:val="single" w:sz="8" w:space="0" w:color="auto"/>
              <w:left w:val="nil"/>
              <w:bottom w:val="single" w:sz="8" w:space="0" w:color="auto"/>
              <w:right w:val="single" w:sz="8" w:space="0" w:color="000000"/>
            </w:tcBorders>
            <w:vAlign w:val="center"/>
            <w:hideMark/>
          </w:tcPr>
          <w:p w14:paraId="77B018B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Contribution to the objective of reduction of GHG emissions by 33.3% (without LULUCF) by 2030 compared to 1990 levels</w:t>
            </w:r>
          </w:p>
        </w:tc>
      </w:tr>
      <w:tr w:rsidR="00614438" w:rsidRPr="003E0710" w14:paraId="56BFEEC3" w14:textId="77777777" w:rsidTr="00614438">
        <w:trPr>
          <w:gridAfter w:val="1"/>
          <w:wAfter w:w="222" w:type="dxa"/>
          <w:trHeight w:val="1044"/>
        </w:trPr>
        <w:tc>
          <w:tcPr>
            <w:tcW w:w="3323" w:type="dxa"/>
            <w:tcBorders>
              <w:top w:val="nil"/>
              <w:left w:val="single" w:sz="8" w:space="0" w:color="auto"/>
              <w:bottom w:val="single" w:sz="8" w:space="0" w:color="auto"/>
              <w:right w:val="single" w:sz="8" w:space="0" w:color="auto"/>
            </w:tcBorders>
            <w:shd w:val="clear" w:color="auto" w:fill="244062"/>
            <w:vAlign w:val="center"/>
            <w:hideMark/>
          </w:tcPr>
          <w:p w14:paraId="6CE1BB0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35" w:type="dxa"/>
            <w:gridSpan w:val="3"/>
            <w:tcBorders>
              <w:top w:val="single" w:sz="8" w:space="0" w:color="auto"/>
              <w:left w:val="nil"/>
              <w:bottom w:val="single" w:sz="8" w:space="0" w:color="auto"/>
              <w:right w:val="single" w:sz="8" w:space="0" w:color="000000"/>
            </w:tcBorders>
            <w:vAlign w:val="center"/>
            <w:hideMark/>
          </w:tcPr>
          <w:p w14:paraId="2AD2096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PM_D5 will facilitate non-energy related GHG emission reductions by the modernization of industrial process technologies and increased material efficiency for the prevention of pollutants in air, water, soil in production and processing of metals, industrial metals, chemical industry, waste management, chemical industry, waste management, food processing plants etc. with application of best available technologies (BAT) in accordance with BREF documents for specific areas of industrial production. </w:t>
            </w:r>
          </w:p>
        </w:tc>
      </w:tr>
      <w:tr w:rsidR="00614438" w:rsidRPr="003E0710" w14:paraId="1F68180E" w14:textId="77777777" w:rsidTr="00614438">
        <w:trPr>
          <w:gridAfter w:val="1"/>
          <w:wAfter w:w="222" w:type="dxa"/>
          <w:trHeight w:val="315"/>
        </w:trPr>
        <w:tc>
          <w:tcPr>
            <w:tcW w:w="3323" w:type="dxa"/>
            <w:tcBorders>
              <w:top w:val="nil"/>
              <w:left w:val="single" w:sz="8" w:space="0" w:color="auto"/>
              <w:bottom w:val="single" w:sz="8" w:space="0" w:color="auto"/>
              <w:right w:val="single" w:sz="8" w:space="0" w:color="auto"/>
            </w:tcBorders>
            <w:shd w:val="clear" w:color="auto" w:fill="244062"/>
            <w:vAlign w:val="center"/>
            <w:hideMark/>
          </w:tcPr>
          <w:p w14:paraId="1C37A51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35" w:type="dxa"/>
            <w:gridSpan w:val="3"/>
            <w:tcBorders>
              <w:top w:val="single" w:sz="8" w:space="0" w:color="auto"/>
              <w:left w:val="nil"/>
              <w:bottom w:val="single" w:sz="8" w:space="0" w:color="auto"/>
              <w:right w:val="single" w:sz="8" w:space="0" w:color="000000"/>
            </w:tcBorders>
            <w:vAlign w:val="center"/>
            <w:hideMark/>
          </w:tcPr>
          <w:p w14:paraId="1DC4BBD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2024-2030</w:t>
            </w:r>
          </w:p>
        </w:tc>
      </w:tr>
      <w:tr w:rsidR="00614438" w:rsidRPr="003E0710" w14:paraId="08CE53C9" w14:textId="77777777" w:rsidTr="00614438">
        <w:trPr>
          <w:gridAfter w:val="1"/>
          <w:wAfter w:w="222" w:type="dxa"/>
          <w:trHeight w:val="315"/>
        </w:trPr>
        <w:tc>
          <w:tcPr>
            <w:tcW w:w="3323" w:type="dxa"/>
            <w:tcBorders>
              <w:top w:val="nil"/>
              <w:left w:val="single" w:sz="8" w:space="0" w:color="auto"/>
              <w:bottom w:val="single" w:sz="8" w:space="0" w:color="auto"/>
              <w:right w:val="single" w:sz="8" w:space="0" w:color="auto"/>
            </w:tcBorders>
            <w:shd w:val="clear" w:color="auto" w:fill="244062"/>
            <w:vAlign w:val="center"/>
            <w:hideMark/>
          </w:tcPr>
          <w:p w14:paraId="776F93D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35" w:type="dxa"/>
            <w:gridSpan w:val="3"/>
            <w:tcBorders>
              <w:top w:val="single" w:sz="8" w:space="0" w:color="auto"/>
              <w:left w:val="nil"/>
              <w:bottom w:val="single" w:sz="8" w:space="0" w:color="auto"/>
              <w:right w:val="single" w:sz="8" w:space="0" w:color="000000"/>
            </w:tcBorders>
            <w:vAlign w:val="center"/>
            <w:hideMark/>
          </w:tcPr>
          <w:p w14:paraId="0E87BF9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w:t>
            </w:r>
          </w:p>
        </w:tc>
      </w:tr>
      <w:tr w:rsidR="00614438" w:rsidRPr="003E0710" w14:paraId="36E95FB6" w14:textId="77777777" w:rsidTr="00614438">
        <w:trPr>
          <w:gridAfter w:val="1"/>
          <w:wAfter w:w="222" w:type="dxa"/>
          <w:trHeight w:val="315"/>
        </w:trPr>
        <w:tc>
          <w:tcPr>
            <w:tcW w:w="3323" w:type="dxa"/>
            <w:tcBorders>
              <w:top w:val="nil"/>
              <w:left w:val="single" w:sz="8" w:space="0" w:color="auto"/>
              <w:bottom w:val="single" w:sz="8" w:space="0" w:color="auto"/>
              <w:right w:val="single" w:sz="8" w:space="0" w:color="auto"/>
            </w:tcBorders>
            <w:shd w:val="clear" w:color="auto" w:fill="244062"/>
            <w:vAlign w:val="center"/>
            <w:hideMark/>
          </w:tcPr>
          <w:p w14:paraId="6E70FB8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35" w:type="dxa"/>
            <w:gridSpan w:val="3"/>
            <w:tcBorders>
              <w:top w:val="single" w:sz="8" w:space="0" w:color="auto"/>
              <w:left w:val="nil"/>
              <w:bottom w:val="single" w:sz="8" w:space="0" w:color="auto"/>
              <w:right w:val="single" w:sz="8" w:space="0" w:color="000000"/>
            </w:tcBorders>
            <w:vAlign w:val="center"/>
            <w:hideMark/>
          </w:tcPr>
          <w:p w14:paraId="7F6DEB5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Industry</w:t>
            </w:r>
          </w:p>
        </w:tc>
      </w:tr>
      <w:tr w:rsidR="00614438" w:rsidRPr="003E0710" w14:paraId="17AB0165" w14:textId="77777777" w:rsidTr="00614438">
        <w:trPr>
          <w:gridAfter w:val="1"/>
          <w:wAfter w:w="222" w:type="dxa"/>
          <w:trHeight w:val="315"/>
        </w:trPr>
        <w:tc>
          <w:tcPr>
            <w:tcW w:w="3323" w:type="dxa"/>
            <w:tcBorders>
              <w:top w:val="nil"/>
              <w:left w:val="single" w:sz="8" w:space="0" w:color="auto"/>
              <w:bottom w:val="single" w:sz="8" w:space="0" w:color="auto"/>
              <w:right w:val="single" w:sz="8" w:space="0" w:color="auto"/>
            </w:tcBorders>
            <w:shd w:val="clear" w:color="auto" w:fill="244062"/>
            <w:vAlign w:val="center"/>
            <w:hideMark/>
          </w:tcPr>
          <w:p w14:paraId="3209A88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35" w:type="dxa"/>
            <w:gridSpan w:val="3"/>
            <w:tcBorders>
              <w:top w:val="single" w:sz="8" w:space="0" w:color="auto"/>
              <w:left w:val="nil"/>
              <w:bottom w:val="single" w:sz="8" w:space="0" w:color="auto"/>
              <w:right w:val="single" w:sz="8" w:space="0" w:color="000000"/>
            </w:tcBorders>
            <w:vAlign w:val="center"/>
            <w:hideMark/>
          </w:tcPr>
          <w:p w14:paraId="3792191B" w14:textId="77777777" w:rsidR="00614438" w:rsidRPr="003E0710" w:rsidRDefault="00614438" w:rsidP="003E0710">
            <w:pPr>
              <w:numPr>
                <w:ilvl w:val="0"/>
                <w:numId w:val="18"/>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Environmental Protection</w:t>
            </w:r>
          </w:p>
          <w:p w14:paraId="7AD9FC25" w14:textId="77777777" w:rsidR="00614438" w:rsidRPr="003E0710" w:rsidRDefault="00614438" w:rsidP="003E0710">
            <w:pPr>
              <w:numPr>
                <w:ilvl w:val="0"/>
                <w:numId w:val="18"/>
              </w:numPr>
              <w:spacing w:after="0"/>
              <w:jc w:val="both"/>
              <w:rPr>
                <w:rFonts w:ascii="Times New Roman" w:hAnsi="Times New Roman" w:cs="Times New Roman"/>
                <w:sz w:val="20"/>
                <w:szCs w:val="20"/>
              </w:rPr>
            </w:pPr>
            <w:r w:rsidRPr="003E0710">
              <w:rPr>
                <w:rFonts w:ascii="Times New Roman" w:hAnsi="Times New Roman" w:cs="Times New Roman"/>
                <w:sz w:val="20"/>
                <w:szCs w:val="20"/>
              </w:rPr>
              <w:t xml:space="preserve">Ministry of </w:t>
            </w:r>
            <w:r w:rsidR="00BB17A2" w:rsidRPr="003E0710">
              <w:rPr>
                <w:rFonts w:ascii="Times New Roman" w:hAnsi="Times New Roman" w:cs="Times New Roman"/>
                <w:sz w:val="20"/>
                <w:szCs w:val="20"/>
              </w:rPr>
              <w:t xml:space="preserve">Finance </w:t>
            </w:r>
          </w:p>
        </w:tc>
      </w:tr>
      <w:tr w:rsidR="00614438" w:rsidRPr="003E0710" w14:paraId="71E21448" w14:textId="77777777" w:rsidTr="00614438">
        <w:trPr>
          <w:gridAfter w:val="1"/>
          <w:wAfter w:w="222" w:type="dxa"/>
          <w:trHeight w:val="315"/>
        </w:trPr>
        <w:tc>
          <w:tcPr>
            <w:tcW w:w="3323" w:type="dxa"/>
            <w:tcBorders>
              <w:top w:val="nil"/>
              <w:left w:val="single" w:sz="8" w:space="0" w:color="auto"/>
              <w:bottom w:val="single" w:sz="8" w:space="0" w:color="auto"/>
              <w:right w:val="nil"/>
            </w:tcBorders>
            <w:shd w:val="clear" w:color="auto" w:fill="244062"/>
            <w:vAlign w:val="center"/>
            <w:hideMark/>
          </w:tcPr>
          <w:p w14:paraId="16612D2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35" w:type="dxa"/>
            <w:gridSpan w:val="3"/>
            <w:tcBorders>
              <w:top w:val="single" w:sz="8" w:space="0" w:color="auto"/>
              <w:left w:val="nil"/>
              <w:bottom w:val="single" w:sz="8" w:space="0" w:color="auto"/>
              <w:right w:val="single" w:sz="8" w:space="0" w:color="000000"/>
            </w:tcBorders>
            <w:vAlign w:val="center"/>
            <w:hideMark/>
          </w:tcPr>
          <w:p w14:paraId="290ED4A4" w14:textId="77777777" w:rsidR="00614438" w:rsidRPr="003E0710" w:rsidRDefault="00614438" w:rsidP="003E0710">
            <w:pPr>
              <w:numPr>
                <w:ilvl w:val="0"/>
                <w:numId w:val="18"/>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Environmental Protection</w:t>
            </w:r>
          </w:p>
          <w:p w14:paraId="39006162" w14:textId="77777777" w:rsidR="00BB17A2" w:rsidRPr="003E0710" w:rsidRDefault="00614438" w:rsidP="003E0710">
            <w:pPr>
              <w:numPr>
                <w:ilvl w:val="0"/>
                <w:numId w:val="18"/>
              </w:numPr>
              <w:spacing w:after="0"/>
              <w:jc w:val="both"/>
              <w:rPr>
                <w:rFonts w:ascii="Times New Roman" w:hAnsi="Times New Roman" w:cs="Times New Roman"/>
                <w:sz w:val="20"/>
                <w:szCs w:val="20"/>
              </w:rPr>
            </w:pPr>
            <w:r w:rsidRPr="003E0710">
              <w:rPr>
                <w:rFonts w:ascii="Times New Roman" w:hAnsi="Times New Roman" w:cs="Times New Roman"/>
                <w:sz w:val="20"/>
                <w:szCs w:val="20"/>
              </w:rPr>
              <w:lastRenderedPageBreak/>
              <w:t xml:space="preserve">Ministry of </w:t>
            </w:r>
            <w:r w:rsidR="00BB17A2" w:rsidRPr="003E0710">
              <w:rPr>
                <w:rFonts w:ascii="Times New Roman" w:hAnsi="Times New Roman" w:cs="Times New Roman"/>
                <w:sz w:val="20"/>
                <w:szCs w:val="20"/>
              </w:rPr>
              <w:t>Economy</w:t>
            </w:r>
          </w:p>
          <w:p w14:paraId="5EA4C338" w14:textId="77777777" w:rsidR="00614438" w:rsidRPr="003E0710" w:rsidRDefault="00BB17A2" w:rsidP="003E0710">
            <w:pPr>
              <w:numPr>
                <w:ilvl w:val="0"/>
                <w:numId w:val="18"/>
              </w:numPr>
              <w:spacing w:after="0"/>
              <w:jc w:val="both"/>
              <w:rPr>
                <w:rFonts w:ascii="Times New Roman" w:hAnsi="Times New Roman" w:cs="Times New Roman"/>
                <w:sz w:val="20"/>
                <w:szCs w:val="20"/>
              </w:rPr>
            </w:pPr>
            <w:r w:rsidRPr="003E0710">
              <w:rPr>
                <w:rFonts w:ascii="Times New Roman" w:hAnsi="Times New Roman" w:cs="Times New Roman"/>
                <w:sz w:val="20"/>
                <w:szCs w:val="20"/>
              </w:rPr>
              <w:t>Chamber of Commerce</w:t>
            </w:r>
            <w:r w:rsidR="00754CA6" w:rsidRPr="003E0710">
              <w:rPr>
                <w:rFonts w:ascii="Times New Roman" w:hAnsi="Times New Roman" w:cs="Times New Roman"/>
                <w:sz w:val="20"/>
                <w:szCs w:val="20"/>
              </w:rPr>
              <w:t xml:space="preserve"> and Industry</w:t>
            </w:r>
          </w:p>
        </w:tc>
      </w:tr>
      <w:tr w:rsidR="00614438" w:rsidRPr="003E0710" w14:paraId="32535AD4" w14:textId="77777777" w:rsidTr="00614438">
        <w:trPr>
          <w:gridAfter w:val="1"/>
          <w:wAfter w:w="222" w:type="dxa"/>
          <w:trHeight w:val="315"/>
        </w:trPr>
        <w:tc>
          <w:tcPr>
            <w:tcW w:w="3323" w:type="dxa"/>
            <w:tcBorders>
              <w:top w:val="nil"/>
              <w:left w:val="single" w:sz="8" w:space="0" w:color="auto"/>
              <w:bottom w:val="single" w:sz="8" w:space="0" w:color="auto"/>
              <w:right w:val="nil"/>
            </w:tcBorders>
            <w:shd w:val="clear" w:color="auto" w:fill="244062"/>
            <w:vAlign w:val="center"/>
            <w:hideMark/>
          </w:tcPr>
          <w:p w14:paraId="0930FF4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Progress indicators</w:t>
            </w:r>
          </w:p>
        </w:tc>
        <w:tc>
          <w:tcPr>
            <w:tcW w:w="6135" w:type="dxa"/>
            <w:gridSpan w:val="3"/>
            <w:tcBorders>
              <w:top w:val="single" w:sz="8" w:space="0" w:color="auto"/>
              <w:left w:val="nil"/>
              <w:bottom w:val="single" w:sz="8" w:space="0" w:color="auto"/>
              <w:right w:val="single" w:sz="8" w:space="0" w:color="000000"/>
            </w:tcBorders>
            <w:vAlign w:val="center"/>
            <w:hideMark/>
          </w:tcPr>
          <w:p w14:paraId="37BEEB3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Annual emissions reduction (Gg CO2-eq)</w:t>
            </w:r>
          </w:p>
        </w:tc>
      </w:tr>
      <w:tr w:rsidR="00614438" w:rsidRPr="003E0710" w14:paraId="39D0F6B8" w14:textId="77777777" w:rsidTr="00614438">
        <w:trPr>
          <w:gridAfter w:val="1"/>
          <w:wAfter w:w="222" w:type="dxa"/>
          <w:trHeight w:val="495"/>
        </w:trPr>
        <w:tc>
          <w:tcPr>
            <w:tcW w:w="3323" w:type="dxa"/>
            <w:tcBorders>
              <w:top w:val="nil"/>
              <w:left w:val="single" w:sz="8" w:space="0" w:color="auto"/>
              <w:bottom w:val="single" w:sz="8" w:space="0" w:color="auto"/>
              <w:right w:val="single" w:sz="8" w:space="0" w:color="auto"/>
            </w:tcBorders>
            <w:shd w:val="clear" w:color="auto" w:fill="244062"/>
            <w:vAlign w:val="center"/>
            <w:hideMark/>
          </w:tcPr>
          <w:p w14:paraId="42D03E6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35" w:type="dxa"/>
            <w:gridSpan w:val="3"/>
            <w:tcBorders>
              <w:top w:val="single" w:sz="8" w:space="0" w:color="auto"/>
              <w:left w:val="nil"/>
              <w:bottom w:val="single" w:sz="8" w:space="0" w:color="auto"/>
              <w:right w:val="single" w:sz="8" w:space="0" w:color="000000"/>
            </w:tcBorders>
            <w:vAlign w:val="center"/>
            <w:hideMark/>
          </w:tcPr>
          <w:p w14:paraId="49F7930B" w14:textId="77777777" w:rsidR="00614438" w:rsidRPr="003E0710" w:rsidRDefault="00614438" w:rsidP="003E0710">
            <w:pPr>
              <w:numPr>
                <w:ilvl w:val="0"/>
                <w:numId w:val="19"/>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Efficiency</w:t>
            </w:r>
          </w:p>
        </w:tc>
      </w:tr>
      <w:tr w:rsidR="00614438" w:rsidRPr="003E0710" w14:paraId="33B337A3" w14:textId="77777777" w:rsidTr="00614438">
        <w:trPr>
          <w:gridAfter w:val="1"/>
          <w:wAfter w:w="222" w:type="dxa"/>
          <w:trHeight w:val="458"/>
        </w:trPr>
        <w:tc>
          <w:tcPr>
            <w:tcW w:w="3323" w:type="dxa"/>
            <w:vMerge w:val="restart"/>
            <w:tcBorders>
              <w:top w:val="nil"/>
              <w:left w:val="single" w:sz="8" w:space="0" w:color="auto"/>
              <w:bottom w:val="single" w:sz="8" w:space="0" w:color="000000"/>
              <w:right w:val="single" w:sz="8" w:space="0" w:color="auto"/>
            </w:tcBorders>
            <w:shd w:val="clear" w:color="auto" w:fill="244062"/>
            <w:vAlign w:val="center"/>
            <w:hideMark/>
          </w:tcPr>
          <w:p w14:paraId="2095D60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35"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2F3F79B8" w14:textId="77777777" w:rsidR="00614438" w:rsidRPr="003E0710" w:rsidRDefault="00614438" w:rsidP="003E0710">
            <w:pPr>
              <w:numPr>
                <w:ilvl w:val="0"/>
                <w:numId w:val="19"/>
              </w:numPr>
              <w:spacing w:after="0"/>
              <w:jc w:val="both"/>
              <w:rPr>
                <w:rFonts w:ascii="Times New Roman" w:hAnsi="Times New Roman" w:cs="Times New Roman"/>
                <w:sz w:val="20"/>
                <w:szCs w:val="20"/>
              </w:rPr>
            </w:pPr>
            <w:r w:rsidRPr="003E0710">
              <w:rPr>
                <w:rFonts w:ascii="Times New Roman" w:hAnsi="Times New Roman" w:cs="Times New Roman"/>
                <w:sz w:val="20"/>
                <w:szCs w:val="20"/>
              </w:rPr>
              <w:t>Regulation 2018/1999</w:t>
            </w:r>
          </w:p>
          <w:p w14:paraId="312D58C4" w14:textId="77777777" w:rsidR="00614438" w:rsidRPr="003E0710" w:rsidRDefault="00614438" w:rsidP="003E0710">
            <w:pPr>
              <w:numPr>
                <w:ilvl w:val="0"/>
                <w:numId w:val="19"/>
              </w:numPr>
              <w:spacing w:after="0"/>
              <w:jc w:val="both"/>
              <w:rPr>
                <w:rFonts w:ascii="Times New Roman" w:hAnsi="Times New Roman" w:cs="Times New Roman"/>
                <w:sz w:val="20"/>
                <w:szCs w:val="20"/>
              </w:rPr>
            </w:pPr>
            <w:r w:rsidRPr="003E0710">
              <w:rPr>
                <w:rFonts w:ascii="Times New Roman" w:hAnsi="Times New Roman" w:cs="Times New Roman"/>
                <w:sz w:val="20"/>
                <w:szCs w:val="20"/>
              </w:rPr>
              <w:t>Industrial Emissions Directive 2010/75/EnC</w:t>
            </w:r>
          </w:p>
        </w:tc>
      </w:tr>
      <w:tr w:rsidR="00614438" w:rsidRPr="003E0710" w14:paraId="6487AE18"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7D6A3949"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F2493E3"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694A5ABB"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33E6FCD4"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442EB9B7"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F978A01"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0396311E"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2B4DD187" w14:textId="77777777" w:rsidTr="00614438">
        <w:trPr>
          <w:trHeight w:val="287"/>
        </w:trPr>
        <w:tc>
          <w:tcPr>
            <w:tcW w:w="3323" w:type="dxa"/>
            <w:tcBorders>
              <w:top w:val="nil"/>
              <w:left w:val="single" w:sz="8" w:space="0" w:color="auto"/>
              <w:bottom w:val="single" w:sz="8" w:space="0" w:color="auto"/>
              <w:right w:val="single" w:sz="8" w:space="0" w:color="auto"/>
            </w:tcBorders>
            <w:shd w:val="clear" w:color="auto" w:fill="244062"/>
            <w:vAlign w:val="center"/>
            <w:hideMark/>
          </w:tcPr>
          <w:p w14:paraId="3F7E1BF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35" w:type="dxa"/>
            <w:gridSpan w:val="3"/>
            <w:tcBorders>
              <w:top w:val="single" w:sz="8" w:space="0" w:color="auto"/>
              <w:left w:val="nil"/>
              <w:bottom w:val="single" w:sz="8" w:space="0" w:color="auto"/>
              <w:right w:val="single" w:sz="8" w:space="0" w:color="000000"/>
            </w:tcBorders>
            <w:vAlign w:val="center"/>
            <w:hideMark/>
          </w:tcPr>
          <w:p w14:paraId="6402DEF7" w14:textId="77777777" w:rsidR="00614438" w:rsidRPr="003E0710" w:rsidRDefault="00614438" w:rsidP="003E0710">
            <w:pPr>
              <w:numPr>
                <w:ilvl w:val="0"/>
                <w:numId w:val="19"/>
              </w:numPr>
              <w:spacing w:after="0"/>
              <w:jc w:val="both"/>
              <w:rPr>
                <w:rFonts w:ascii="Times New Roman" w:hAnsi="Times New Roman" w:cs="Times New Roman"/>
                <w:sz w:val="20"/>
                <w:szCs w:val="20"/>
              </w:rPr>
            </w:pPr>
            <w:r w:rsidRPr="003E0710">
              <w:rPr>
                <w:rFonts w:ascii="Times New Roman" w:hAnsi="Times New Roman" w:cs="Times New Roman"/>
                <w:sz w:val="20"/>
                <w:szCs w:val="20"/>
              </w:rPr>
              <w:t>Low-carbon Development Strategy for the period 2023-2030 with projections until 2050</w:t>
            </w:r>
          </w:p>
        </w:tc>
        <w:tc>
          <w:tcPr>
            <w:tcW w:w="222" w:type="dxa"/>
            <w:vAlign w:val="center"/>
            <w:hideMark/>
          </w:tcPr>
          <w:p w14:paraId="5D309194"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25D3DAAD" w14:textId="77777777" w:rsidTr="00614438">
        <w:trPr>
          <w:trHeight w:val="315"/>
        </w:trPr>
        <w:tc>
          <w:tcPr>
            <w:tcW w:w="3323" w:type="dxa"/>
            <w:tcBorders>
              <w:top w:val="nil"/>
              <w:left w:val="single" w:sz="8" w:space="0" w:color="auto"/>
              <w:bottom w:val="single" w:sz="8" w:space="0" w:color="auto"/>
              <w:right w:val="single" w:sz="8" w:space="0" w:color="auto"/>
            </w:tcBorders>
            <w:shd w:val="clear" w:color="auto" w:fill="244062"/>
            <w:vAlign w:val="center"/>
            <w:hideMark/>
          </w:tcPr>
          <w:p w14:paraId="636BFE0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35" w:type="dxa"/>
            <w:gridSpan w:val="3"/>
            <w:tcBorders>
              <w:top w:val="single" w:sz="8" w:space="0" w:color="auto"/>
              <w:left w:val="nil"/>
              <w:bottom w:val="single" w:sz="8" w:space="0" w:color="auto"/>
              <w:right w:val="single" w:sz="8" w:space="0" w:color="000000"/>
            </w:tcBorders>
            <w:vAlign w:val="center"/>
            <w:hideMark/>
          </w:tcPr>
          <w:p w14:paraId="40FE735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29 M€</w:t>
            </w:r>
          </w:p>
        </w:tc>
        <w:tc>
          <w:tcPr>
            <w:tcW w:w="222" w:type="dxa"/>
            <w:vAlign w:val="center"/>
            <w:hideMark/>
          </w:tcPr>
          <w:p w14:paraId="7C9CC8E4"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088DF026" w14:textId="77777777" w:rsidTr="00614438">
        <w:trPr>
          <w:trHeight w:val="315"/>
        </w:trPr>
        <w:tc>
          <w:tcPr>
            <w:tcW w:w="3323" w:type="dxa"/>
            <w:tcBorders>
              <w:top w:val="nil"/>
              <w:left w:val="single" w:sz="8" w:space="0" w:color="auto"/>
              <w:bottom w:val="single" w:sz="8" w:space="0" w:color="auto"/>
              <w:right w:val="single" w:sz="8" w:space="0" w:color="auto"/>
            </w:tcBorders>
            <w:shd w:val="clear" w:color="auto" w:fill="244062"/>
            <w:vAlign w:val="center"/>
            <w:hideMark/>
          </w:tcPr>
          <w:p w14:paraId="4B78DE7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35" w:type="dxa"/>
            <w:gridSpan w:val="3"/>
            <w:tcBorders>
              <w:top w:val="single" w:sz="8" w:space="0" w:color="auto"/>
              <w:left w:val="nil"/>
              <w:bottom w:val="single" w:sz="8" w:space="0" w:color="auto"/>
              <w:right w:val="single" w:sz="8" w:space="0" w:color="000000"/>
            </w:tcBorders>
            <w:vAlign w:val="center"/>
            <w:hideMark/>
          </w:tcPr>
          <w:p w14:paraId="76FB36D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1E74F955" w14:textId="77777777" w:rsidR="00614438" w:rsidRPr="003E0710" w:rsidRDefault="00614438" w:rsidP="003E0710">
            <w:pPr>
              <w:spacing w:after="0"/>
              <w:jc w:val="both"/>
              <w:rPr>
                <w:rFonts w:ascii="Times New Roman" w:hAnsi="Times New Roman" w:cs="Times New Roman"/>
                <w:sz w:val="20"/>
                <w:szCs w:val="20"/>
                <w:lang w:val="en-GB"/>
              </w:rPr>
            </w:pPr>
          </w:p>
        </w:tc>
      </w:tr>
    </w:tbl>
    <w:p w14:paraId="4842931B"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11"/>
        <w:gridCol w:w="1000"/>
        <w:gridCol w:w="942"/>
        <w:gridCol w:w="4205"/>
        <w:gridCol w:w="222"/>
      </w:tblGrid>
      <w:tr w:rsidR="00614438" w:rsidRPr="003E0710" w14:paraId="33FB7460" w14:textId="77777777" w:rsidTr="00614438">
        <w:trPr>
          <w:gridAfter w:val="1"/>
          <w:wAfter w:w="222" w:type="dxa"/>
          <w:trHeight w:val="780"/>
        </w:trPr>
        <w:tc>
          <w:tcPr>
            <w:tcW w:w="332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D12609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54" w:type="dxa"/>
            <w:tcBorders>
              <w:top w:val="single" w:sz="8" w:space="0" w:color="auto"/>
              <w:left w:val="nil"/>
              <w:bottom w:val="single" w:sz="8" w:space="0" w:color="auto"/>
              <w:right w:val="single" w:sz="8" w:space="0" w:color="auto"/>
            </w:tcBorders>
            <w:shd w:val="clear" w:color="auto" w:fill="E7E6E6" w:themeFill="background2"/>
            <w:vAlign w:val="center"/>
            <w:hideMark/>
          </w:tcPr>
          <w:p w14:paraId="050FEB9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PM_D5.1</w:t>
            </w:r>
          </w:p>
        </w:tc>
        <w:tc>
          <w:tcPr>
            <w:tcW w:w="945" w:type="dxa"/>
            <w:tcBorders>
              <w:top w:val="single" w:sz="8" w:space="0" w:color="auto"/>
              <w:left w:val="nil"/>
              <w:bottom w:val="single" w:sz="8" w:space="0" w:color="auto"/>
              <w:right w:val="single" w:sz="8" w:space="0" w:color="auto"/>
            </w:tcBorders>
            <w:shd w:val="clear" w:color="auto" w:fill="244062"/>
            <w:vAlign w:val="center"/>
            <w:hideMark/>
          </w:tcPr>
          <w:p w14:paraId="4ECD502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32" w:type="dxa"/>
            <w:tcBorders>
              <w:top w:val="single" w:sz="8" w:space="0" w:color="auto"/>
              <w:left w:val="nil"/>
              <w:bottom w:val="single" w:sz="8" w:space="0" w:color="auto"/>
              <w:right w:val="single" w:sz="8" w:space="0" w:color="auto"/>
            </w:tcBorders>
            <w:shd w:val="clear" w:color="auto" w:fill="E7E6E6" w:themeFill="background2"/>
            <w:vAlign w:val="center"/>
            <w:hideMark/>
          </w:tcPr>
          <w:p w14:paraId="3587C0C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Measures for the reduction of emissions of fluorinated gases with greenhouse effect in the refrigeration and air conditioning equipment</w:t>
            </w:r>
          </w:p>
        </w:tc>
      </w:tr>
      <w:tr w:rsidR="00614438" w:rsidRPr="003E0710" w14:paraId="69615E91" w14:textId="77777777" w:rsidTr="00614438">
        <w:trPr>
          <w:gridAfter w:val="1"/>
          <w:wAfter w:w="222" w:type="dxa"/>
          <w:trHeight w:val="323"/>
        </w:trPr>
        <w:tc>
          <w:tcPr>
            <w:tcW w:w="3327" w:type="dxa"/>
            <w:tcBorders>
              <w:top w:val="nil"/>
              <w:left w:val="single" w:sz="8" w:space="0" w:color="auto"/>
              <w:bottom w:val="single" w:sz="8" w:space="0" w:color="auto"/>
              <w:right w:val="nil"/>
            </w:tcBorders>
            <w:shd w:val="clear" w:color="auto" w:fill="244062"/>
            <w:vAlign w:val="center"/>
            <w:hideMark/>
          </w:tcPr>
          <w:p w14:paraId="50AC57C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31" w:type="dxa"/>
            <w:gridSpan w:val="3"/>
            <w:tcBorders>
              <w:top w:val="single" w:sz="8" w:space="0" w:color="auto"/>
              <w:left w:val="nil"/>
              <w:bottom w:val="single" w:sz="8" w:space="0" w:color="auto"/>
              <w:right w:val="single" w:sz="8" w:space="0" w:color="000000"/>
            </w:tcBorders>
            <w:vAlign w:val="center"/>
            <w:hideMark/>
          </w:tcPr>
          <w:p w14:paraId="7EB10D8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Reduction of emissions of Fluorinated gases with greenhouse effect</w:t>
            </w:r>
          </w:p>
        </w:tc>
      </w:tr>
      <w:tr w:rsidR="00614438" w:rsidRPr="003E0710" w14:paraId="0C5D9C57"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5775CF3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31" w:type="dxa"/>
            <w:gridSpan w:val="3"/>
            <w:tcBorders>
              <w:top w:val="single" w:sz="8" w:space="0" w:color="auto"/>
              <w:left w:val="nil"/>
              <w:bottom w:val="single" w:sz="8" w:space="0" w:color="auto"/>
              <w:right w:val="single" w:sz="8" w:space="0" w:color="000000"/>
            </w:tcBorders>
            <w:vAlign w:val="center"/>
            <w:hideMark/>
          </w:tcPr>
          <w:p w14:paraId="5D9A87E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Contribution to the objective of reduction of GHG emissions by 33.3% (without LULUCF) by 2030 compared to 1990 levels</w:t>
            </w:r>
          </w:p>
        </w:tc>
      </w:tr>
      <w:tr w:rsidR="00614438" w:rsidRPr="003E0710" w14:paraId="1C56EEC6" w14:textId="77777777" w:rsidTr="00614438">
        <w:trPr>
          <w:gridAfter w:val="1"/>
          <w:wAfter w:w="222" w:type="dxa"/>
          <w:trHeight w:val="229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7E43782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31" w:type="dxa"/>
            <w:gridSpan w:val="3"/>
            <w:tcBorders>
              <w:top w:val="single" w:sz="8" w:space="0" w:color="auto"/>
              <w:left w:val="nil"/>
              <w:bottom w:val="single" w:sz="8" w:space="0" w:color="auto"/>
              <w:right w:val="single" w:sz="8" w:space="0" w:color="000000"/>
            </w:tcBorders>
            <w:vAlign w:val="center"/>
            <w:hideMark/>
          </w:tcPr>
          <w:p w14:paraId="7D64E24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PM_D5.1 will enable reduction of fluorinated gases by preventing leaks and emissions, as well as control of fluorinated gases use. Indicative measures include:</w:t>
            </w:r>
          </w:p>
          <w:p w14:paraId="224AB376" w14:textId="77777777" w:rsidR="00614438" w:rsidRPr="003E0710" w:rsidRDefault="00614438" w:rsidP="003E0710">
            <w:pPr>
              <w:numPr>
                <w:ilvl w:val="0"/>
                <w:numId w:val="20"/>
              </w:numPr>
              <w:spacing w:after="0"/>
              <w:jc w:val="both"/>
              <w:rPr>
                <w:rFonts w:ascii="Times New Roman" w:hAnsi="Times New Roman" w:cs="Times New Roman"/>
                <w:sz w:val="20"/>
                <w:szCs w:val="20"/>
              </w:rPr>
            </w:pPr>
            <w:r w:rsidRPr="003E0710">
              <w:rPr>
                <w:rFonts w:ascii="Times New Roman" w:hAnsi="Times New Roman" w:cs="Times New Roman"/>
                <w:sz w:val="20"/>
                <w:szCs w:val="20"/>
              </w:rPr>
              <w:t>Reduction of the consumption of fluorinated gases with greenhouse effect (HFC) in accordance with the established deadlines and obligations according to the ratified Kigali amendment</w:t>
            </w:r>
          </w:p>
          <w:p w14:paraId="26D389B7" w14:textId="77777777" w:rsidR="00614438" w:rsidRPr="003E0710" w:rsidRDefault="00614438" w:rsidP="003E0710">
            <w:pPr>
              <w:numPr>
                <w:ilvl w:val="0"/>
                <w:numId w:val="20"/>
              </w:numPr>
              <w:spacing w:after="0"/>
              <w:jc w:val="both"/>
              <w:rPr>
                <w:rFonts w:ascii="Times New Roman" w:hAnsi="Times New Roman" w:cs="Times New Roman"/>
                <w:sz w:val="20"/>
                <w:szCs w:val="20"/>
              </w:rPr>
            </w:pPr>
            <w:r w:rsidRPr="003E0710">
              <w:rPr>
                <w:rFonts w:ascii="Times New Roman" w:hAnsi="Times New Roman" w:cs="Times New Roman"/>
                <w:sz w:val="20"/>
                <w:szCs w:val="20"/>
              </w:rPr>
              <w:t>Implementation and improvement of established system for training and certification of refrigeration and air-conditioning repair technicians.</w:t>
            </w:r>
          </w:p>
        </w:tc>
      </w:tr>
      <w:tr w:rsidR="00614438" w:rsidRPr="003E0710" w14:paraId="28BB26F3"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4E12EBB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31" w:type="dxa"/>
            <w:gridSpan w:val="3"/>
            <w:tcBorders>
              <w:top w:val="single" w:sz="8" w:space="0" w:color="auto"/>
              <w:left w:val="nil"/>
              <w:bottom w:val="single" w:sz="8" w:space="0" w:color="auto"/>
              <w:right w:val="single" w:sz="8" w:space="0" w:color="000000"/>
            </w:tcBorders>
            <w:vAlign w:val="center"/>
            <w:hideMark/>
          </w:tcPr>
          <w:p w14:paraId="46EA61E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2024-2030</w:t>
            </w:r>
          </w:p>
        </w:tc>
      </w:tr>
      <w:tr w:rsidR="00614438" w:rsidRPr="003E0710" w14:paraId="353DC868"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2ED2030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31" w:type="dxa"/>
            <w:gridSpan w:val="3"/>
            <w:tcBorders>
              <w:top w:val="single" w:sz="8" w:space="0" w:color="auto"/>
              <w:left w:val="nil"/>
              <w:bottom w:val="single" w:sz="8" w:space="0" w:color="auto"/>
              <w:right w:val="single" w:sz="8" w:space="0" w:color="000000"/>
            </w:tcBorders>
            <w:vAlign w:val="center"/>
            <w:hideMark/>
          </w:tcPr>
          <w:p w14:paraId="49CC149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w:t>
            </w:r>
          </w:p>
        </w:tc>
      </w:tr>
      <w:tr w:rsidR="00614438" w:rsidRPr="003E0710" w14:paraId="113E3A96"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1E3E0D6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31" w:type="dxa"/>
            <w:gridSpan w:val="3"/>
            <w:tcBorders>
              <w:top w:val="single" w:sz="8" w:space="0" w:color="auto"/>
              <w:left w:val="nil"/>
              <w:bottom w:val="single" w:sz="8" w:space="0" w:color="auto"/>
              <w:right w:val="single" w:sz="8" w:space="0" w:color="000000"/>
            </w:tcBorders>
            <w:vAlign w:val="center"/>
            <w:hideMark/>
          </w:tcPr>
          <w:p w14:paraId="4D96120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Industrial, services</w:t>
            </w:r>
          </w:p>
        </w:tc>
      </w:tr>
      <w:tr w:rsidR="00614438" w:rsidRPr="003E0710" w14:paraId="6CEF0BED"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1B5A4E2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31" w:type="dxa"/>
            <w:gridSpan w:val="3"/>
            <w:tcBorders>
              <w:top w:val="single" w:sz="8" w:space="0" w:color="auto"/>
              <w:left w:val="nil"/>
              <w:bottom w:val="single" w:sz="8" w:space="0" w:color="auto"/>
              <w:right w:val="single" w:sz="8" w:space="0" w:color="000000"/>
            </w:tcBorders>
            <w:vAlign w:val="center"/>
            <w:hideMark/>
          </w:tcPr>
          <w:p w14:paraId="72742652" w14:textId="77777777" w:rsidR="00614438" w:rsidRPr="003E0710" w:rsidRDefault="00614438" w:rsidP="003E0710">
            <w:pPr>
              <w:numPr>
                <w:ilvl w:val="0"/>
                <w:numId w:val="19"/>
              </w:numPr>
              <w:spacing w:after="0"/>
              <w:jc w:val="both"/>
              <w:rPr>
                <w:rFonts w:ascii="Times New Roman" w:hAnsi="Times New Roman" w:cs="Times New Roman"/>
                <w:sz w:val="20"/>
                <w:szCs w:val="20"/>
              </w:rPr>
            </w:pPr>
            <w:r w:rsidRPr="003E0710">
              <w:rPr>
                <w:rFonts w:ascii="Times New Roman" w:hAnsi="Times New Roman" w:cs="Times New Roman"/>
                <w:sz w:val="20"/>
                <w:szCs w:val="20"/>
              </w:rPr>
              <w:t xml:space="preserve">Ministry of Environmental Protection </w:t>
            </w:r>
          </w:p>
        </w:tc>
      </w:tr>
      <w:tr w:rsidR="00614438" w:rsidRPr="003E0710" w14:paraId="5AA5AEF4" w14:textId="77777777" w:rsidTr="00614438">
        <w:trPr>
          <w:gridAfter w:val="1"/>
          <w:wAfter w:w="222" w:type="dxa"/>
          <w:trHeight w:val="315"/>
        </w:trPr>
        <w:tc>
          <w:tcPr>
            <w:tcW w:w="3327" w:type="dxa"/>
            <w:tcBorders>
              <w:top w:val="nil"/>
              <w:left w:val="single" w:sz="8" w:space="0" w:color="auto"/>
              <w:bottom w:val="single" w:sz="8" w:space="0" w:color="auto"/>
              <w:right w:val="nil"/>
            </w:tcBorders>
            <w:shd w:val="clear" w:color="auto" w:fill="244062"/>
            <w:vAlign w:val="center"/>
            <w:hideMark/>
          </w:tcPr>
          <w:p w14:paraId="29A971E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31" w:type="dxa"/>
            <w:gridSpan w:val="3"/>
            <w:tcBorders>
              <w:top w:val="single" w:sz="8" w:space="0" w:color="auto"/>
              <w:left w:val="nil"/>
              <w:bottom w:val="single" w:sz="8" w:space="0" w:color="auto"/>
              <w:right w:val="single" w:sz="8" w:space="0" w:color="000000"/>
            </w:tcBorders>
            <w:vAlign w:val="center"/>
            <w:hideMark/>
          </w:tcPr>
          <w:p w14:paraId="648410B9" w14:textId="77777777" w:rsidR="00614438" w:rsidRPr="003E0710" w:rsidRDefault="00614438" w:rsidP="003E0710">
            <w:pPr>
              <w:numPr>
                <w:ilvl w:val="0"/>
                <w:numId w:val="19"/>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Environmental Protection</w:t>
            </w:r>
          </w:p>
          <w:p w14:paraId="39826692" w14:textId="77777777" w:rsidR="00614438" w:rsidRPr="003E0710" w:rsidRDefault="00614438" w:rsidP="003E0710">
            <w:pPr>
              <w:numPr>
                <w:ilvl w:val="0"/>
                <w:numId w:val="19"/>
              </w:numPr>
              <w:spacing w:after="0"/>
              <w:jc w:val="both"/>
              <w:rPr>
                <w:rFonts w:ascii="Times New Roman" w:hAnsi="Times New Roman" w:cs="Times New Roman"/>
                <w:sz w:val="20"/>
                <w:szCs w:val="20"/>
              </w:rPr>
            </w:pPr>
            <w:r w:rsidRPr="003E0710">
              <w:rPr>
                <w:rFonts w:ascii="Times New Roman" w:hAnsi="Times New Roman" w:cs="Times New Roman"/>
                <w:sz w:val="20"/>
                <w:szCs w:val="20"/>
              </w:rPr>
              <w:t>Agency for Environmental Protection</w:t>
            </w:r>
          </w:p>
        </w:tc>
      </w:tr>
      <w:tr w:rsidR="00614438" w:rsidRPr="003E0710" w14:paraId="48A889D6" w14:textId="77777777" w:rsidTr="00614438">
        <w:trPr>
          <w:gridAfter w:val="1"/>
          <w:wAfter w:w="222" w:type="dxa"/>
          <w:trHeight w:val="315"/>
        </w:trPr>
        <w:tc>
          <w:tcPr>
            <w:tcW w:w="3327" w:type="dxa"/>
            <w:tcBorders>
              <w:top w:val="nil"/>
              <w:left w:val="single" w:sz="8" w:space="0" w:color="auto"/>
              <w:bottom w:val="single" w:sz="8" w:space="0" w:color="auto"/>
              <w:right w:val="nil"/>
            </w:tcBorders>
            <w:shd w:val="clear" w:color="auto" w:fill="244062"/>
            <w:vAlign w:val="center"/>
            <w:hideMark/>
          </w:tcPr>
          <w:p w14:paraId="21359E2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31" w:type="dxa"/>
            <w:gridSpan w:val="3"/>
            <w:tcBorders>
              <w:top w:val="single" w:sz="8" w:space="0" w:color="auto"/>
              <w:left w:val="nil"/>
              <w:bottom w:val="single" w:sz="8" w:space="0" w:color="auto"/>
              <w:right w:val="single" w:sz="8" w:space="0" w:color="000000"/>
            </w:tcBorders>
            <w:vAlign w:val="center"/>
            <w:hideMark/>
          </w:tcPr>
          <w:p w14:paraId="2101445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Annual reduction of fluorinated GHG consumption (HFC) (Gg CO2-eq)</w:t>
            </w:r>
          </w:p>
        </w:tc>
      </w:tr>
      <w:tr w:rsidR="00614438" w:rsidRPr="003E0710" w14:paraId="0813C0C8" w14:textId="77777777" w:rsidTr="00614438">
        <w:trPr>
          <w:gridAfter w:val="1"/>
          <w:wAfter w:w="222" w:type="dxa"/>
          <w:trHeight w:val="287"/>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04BCBFB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31" w:type="dxa"/>
            <w:gridSpan w:val="3"/>
            <w:tcBorders>
              <w:top w:val="single" w:sz="8" w:space="0" w:color="auto"/>
              <w:left w:val="nil"/>
              <w:bottom w:val="single" w:sz="8" w:space="0" w:color="auto"/>
              <w:right w:val="single" w:sz="8" w:space="0" w:color="000000"/>
            </w:tcBorders>
            <w:vAlign w:val="center"/>
          </w:tcPr>
          <w:p w14:paraId="5813BBAD"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0984D5F2" w14:textId="77777777" w:rsidTr="00614438">
        <w:trPr>
          <w:gridAfter w:val="1"/>
          <w:wAfter w:w="222" w:type="dxa"/>
          <w:trHeight w:val="458"/>
        </w:trPr>
        <w:tc>
          <w:tcPr>
            <w:tcW w:w="3327" w:type="dxa"/>
            <w:vMerge w:val="restart"/>
            <w:tcBorders>
              <w:top w:val="nil"/>
              <w:left w:val="single" w:sz="8" w:space="0" w:color="auto"/>
              <w:bottom w:val="single" w:sz="8" w:space="0" w:color="000000"/>
              <w:right w:val="single" w:sz="8" w:space="0" w:color="auto"/>
            </w:tcBorders>
            <w:shd w:val="clear" w:color="auto" w:fill="244062"/>
            <w:vAlign w:val="center"/>
            <w:hideMark/>
          </w:tcPr>
          <w:p w14:paraId="78D75F7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3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9765BE0" w14:textId="77777777" w:rsidR="00614438" w:rsidRPr="003E0710" w:rsidRDefault="00614438" w:rsidP="003E0710">
            <w:pPr>
              <w:numPr>
                <w:ilvl w:val="0"/>
                <w:numId w:val="21"/>
              </w:numPr>
              <w:spacing w:after="0"/>
              <w:jc w:val="both"/>
              <w:rPr>
                <w:rFonts w:ascii="Times New Roman" w:hAnsi="Times New Roman" w:cs="Times New Roman"/>
                <w:sz w:val="20"/>
                <w:szCs w:val="20"/>
              </w:rPr>
            </w:pPr>
            <w:r w:rsidRPr="003E0710">
              <w:rPr>
                <w:rFonts w:ascii="Times New Roman" w:hAnsi="Times New Roman" w:cs="Times New Roman"/>
                <w:sz w:val="20"/>
                <w:szCs w:val="20"/>
              </w:rPr>
              <w:t>Regulation 2018/1999</w:t>
            </w:r>
          </w:p>
          <w:p w14:paraId="4CAFA61F" w14:textId="77777777" w:rsidR="00614438" w:rsidRPr="003E0710" w:rsidRDefault="00BB17A2" w:rsidP="003E0710">
            <w:pPr>
              <w:numPr>
                <w:ilvl w:val="0"/>
                <w:numId w:val="21"/>
              </w:numPr>
              <w:spacing w:after="0"/>
              <w:jc w:val="both"/>
              <w:rPr>
                <w:rFonts w:ascii="Times New Roman" w:hAnsi="Times New Roman" w:cs="Times New Roman"/>
                <w:sz w:val="20"/>
                <w:szCs w:val="20"/>
              </w:rPr>
            </w:pPr>
            <w:r w:rsidRPr="003E0710">
              <w:rPr>
                <w:rFonts w:ascii="Times New Roman" w:hAnsi="Times New Roman" w:cs="Times New Roman"/>
                <w:sz w:val="20"/>
                <w:szCs w:val="20"/>
              </w:rPr>
              <w:t xml:space="preserve">EU </w:t>
            </w:r>
            <w:r w:rsidR="00614438" w:rsidRPr="003E0710">
              <w:rPr>
                <w:rFonts w:ascii="Times New Roman" w:hAnsi="Times New Roman" w:cs="Times New Roman"/>
                <w:sz w:val="20"/>
                <w:szCs w:val="20"/>
              </w:rPr>
              <w:t>Regulation 57</w:t>
            </w:r>
            <w:r w:rsidRPr="003E0710">
              <w:rPr>
                <w:rFonts w:ascii="Times New Roman" w:hAnsi="Times New Roman" w:cs="Times New Roman"/>
                <w:sz w:val="20"/>
                <w:szCs w:val="20"/>
              </w:rPr>
              <w:t>3</w:t>
            </w:r>
            <w:r w:rsidR="00614438" w:rsidRPr="003E0710">
              <w:rPr>
                <w:rFonts w:ascii="Times New Roman" w:hAnsi="Times New Roman" w:cs="Times New Roman"/>
                <w:sz w:val="20"/>
                <w:szCs w:val="20"/>
              </w:rPr>
              <w:t>/20</w:t>
            </w:r>
            <w:r w:rsidRPr="003E0710">
              <w:rPr>
                <w:rFonts w:ascii="Times New Roman" w:hAnsi="Times New Roman" w:cs="Times New Roman"/>
                <w:sz w:val="20"/>
                <w:szCs w:val="20"/>
              </w:rPr>
              <w:t>2</w:t>
            </w:r>
            <w:r w:rsidR="00614438" w:rsidRPr="003E0710">
              <w:rPr>
                <w:rFonts w:ascii="Times New Roman" w:hAnsi="Times New Roman" w:cs="Times New Roman"/>
                <w:sz w:val="20"/>
                <w:szCs w:val="20"/>
              </w:rPr>
              <w:t>4</w:t>
            </w:r>
          </w:p>
        </w:tc>
      </w:tr>
      <w:tr w:rsidR="00614438" w:rsidRPr="003E0710" w14:paraId="02A87C78"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481060DB"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7609763"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0F9C850A"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29EC1638"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14BBC50A"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282C204"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6D59D277"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2AF11C8B" w14:textId="77777777" w:rsidTr="00614438">
        <w:trPr>
          <w:trHeight w:val="221"/>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611D3DF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31" w:type="dxa"/>
            <w:gridSpan w:val="3"/>
            <w:tcBorders>
              <w:top w:val="single" w:sz="8" w:space="0" w:color="auto"/>
              <w:left w:val="nil"/>
              <w:bottom w:val="single" w:sz="8" w:space="0" w:color="auto"/>
              <w:right w:val="single" w:sz="8" w:space="0" w:color="000000"/>
            </w:tcBorders>
            <w:vAlign w:val="center"/>
            <w:hideMark/>
          </w:tcPr>
          <w:p w14:paraId="39DFA5A5" w14:textId="77777777" w:rsidR="00614438" w:rsidRPr="003E0710" w:rsidRDefault="00614438" w:rsidP="003E0710">
            <w:pPr>
              <w:numPr>
                <w:ilvl w:val="0"/>
                <w:numId w:val="21"/>
              </w:numPr>
              <w:spacing w:after="0"/>
              <w:jc w:val="both"/>
              <w:rPr>
                <w:rFonts w:ascii="Times New Roman" w:hAnsi="Times New Roman" w:cs="Times New Roman"/>
                <w:sz w:val="20"/>
                <w:szCs w:val="20"/>
              </w:rPr>
            </w:pPr>
            <w:r w:rsidRPr="003E0710">
              <w:rPr>
                <w:rFonts w:ascii="Times New Roman" w:hAnsi="Times New Roman" w:cs="Times New Roman"/>
                <w:sz w:val="20"/>
                <w:szCs w:val="20"/>
              </w:rPr>
              <w:t>Air Protection Law</w:t>
            </w:r>
          </w:p>
          <w:p w14:paraId="53E26E27" w14:textId="77777777" w:rsidR="00614438" w:rsidRPr="003E0710" w:rsidRDefault="00614438" w:rsidP="003E0710">
            <w:pPr>
              <w:numPr>
                <w:ilvl w:val="0"/>
                <w:numId w:val="21"/>
              </w:numPr>
              <w:spacing w:after="0"/>
              <w:jc w:val="both"/>
              <w:rPr>
                <w:rFonts w:ascii="Times New Roman" w:hAnsi="Times New Roman" w:cs="Times New Roman"/>
                <w:sz w:val="20"/>
                <w:szCs w:val="20"/>
              </w:rPr>
            </w:pPr>
            <w:r w:rsidRPr="003E0710">
              <w:rPr>
                <w:rFonts w:ascii="Times New Roman" w:hAnsi="Times New Roman" w:cs="Times New Roman"/>
                <w:sz w:val="20"/>
                <w:szCs w:val="20"/>
              </w:rPr>
              <w:t>Air Protection Programme of the Republic of Serbia for the period 2022-2030 with an Action Plan</w:t>
            </w:r>
          </w:p>
          <w:p w14:paraId="30A8A563" w14:textId="77777777" w:rsidR="00614438" w:rsidRPr="003E0710" w:rsidRDefault="00614438" w:rsidP="003E0710">
            <w:pPr>
              <w:numPr>
                <w:ilvl w:val="0"/>
                <w:numId w:val="21"/>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Ratification of Amendment to the Montreal Protocol on Substances that Deplete the Ozone Layer (Kigali Amendment)</w:t>
            </w:r>
          </w:p>
          <w:p w14:paraId="50DD8AED" w14:textId="77777777" w:rsidR="00614438" w:rsidRPr="003E0710" w:rsidRDefault="00614438" w:rsidP="003E0710">
            <w:pPr>
              <w:numPr>
                <w:ilvl w:val="0"/>
                <w:numId w:val="21"/>
              </w:numPr>
              <w:spacing w:after="0"/>
              <w:jc w:val="both"/>
              <w:rPr>
                <w:rFonts w:ascii="Times New Roman" w:hAnsi="Times New Roman" w:cs="Times New Roman"/>
                <w:sz w:val="20"/>
                <w:szCs w:val="20"/>
              </w:rPr>
            </w:pPr>
            <w:r w:rsidRPr="003E0710">
              <w:rPr>
                <w:rFonts w:ascii="Times New Roman" w:hAnsi="Times New Roman" w:cs="Times New Roman"/>
                <w:sz w:val="20"/>
                <w:szCs w:val="20"/>
              </w:rPr>
              <w:t>Low-carbon Development Strategy for the period 2023-2030 with projections until 2050</w:t>
            </w:r>
          </w:p>
        </w:tc>
        <w:tc>
          <w:tcPr>
            <w:tcW w:w="222" w:type="dxa"/>
            <w:vAlign w:val="center"/>
            <w:hideMark/>
          </w:tcPr>
          <w:p w14:paraId="5E277645"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737CCF21" w14:textId="77777777" w:rsidTr="00614438">
        <w:trPr>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7EE0D46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31" w:type="dxa"/>
            <w:gridSpan w:val="3"/>
            <w:tcBorders>
              <w:top w:val="single" w:sz="8" w:space="0" w:color="auto"/>
              <w:left w:val="nil"/>
              <w:bottom w:val="single" w:sz="8" w:space="0" w:color="auto"/>
              <w:right w:val="single" w:sz="8" w:space="0" w:color="000000"/>
            </w:tcBorders>
            <w:vAlign w:val="center"/>
            <w:hideMark/>
          </w:tcPr>
          <w:p w14:paraId="1241D12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costs are not known</w:t>
            </w:r>
          </w:p>
        </w:tc>
        <w:tc>
          <w:tcPr>
            <w:tcW w:w="222" w:type="dxa"/>
            <w:vAlign w:val="center"/>
            <w:hideMark/>
          </w:tcPr>
          <w:p w14:paraId="0200CB1D"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73C382DF" w14:textId="77777777" w:rsidTr="00614438">
        <w:trPr>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16231CA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31" w:type="dxa"/>
            <w:gridSpan w:val="3"/>
            <w:tcBorders>
              <w:top w:val="single" w:sz="8" w:space="0" w:color="auto"/>
              <w:left w:val="nil"/>
              <w:bottom w:val="single" w:sz="8" w:space="0" w:color="auto"/>
              <w:right w:val="single" w:sz="8" w:space="0" w:color="000000"/>
            </w:tcBorders>
            <w:vAlign w:val="center"/>
            <w:hideMark/>
          </w:tcPr>
          <w:p w14:paraId="5C0F003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46883E1C" w14:textId="77777777" w:rsidR="00614438" w:rsidRPr="003E0710" w:rsidRDefault="00614438" w:rsidP="003E0710">
            <w:pPr>
              <w:spacing w:after="0"/>
              <w:jc w:val="both"/>
              <w:rPr>
                <w:rFonts w:ascii="Times New Roman" w:hAnsi="Times New Roman" w:cs="Times New Roman"/>
                <w:sz w:val="20"/>
                <w:szCs w:val="20"/>
                <w:lang w:val="en-GB"/>
              </w:rPr>
            </w:pPr>
          </w:p>
        </w:tc>
      </w:tr>
    </w:tbl>
    <w:p w14:paraId="2E80A8E3" w14:textId="77777777" w:rsidR="00BB17A2" w:rsidRDefault="00BB17A2" w:rsidP="00614438">
      <w:pPr>
        <w:jc w:val="both"/>
        <w:rPr>
          <w:rFonts w:ascii="Times New Roman" w:hAnsi="Times New Roman" w:cs="Times New Roman"/>
          <w:sz w:val="24"/>
          <w:szCs w:val="24"/>
          <w:lang w:val="en-GB"/>
        </w:rPr>
      </w:pPr>
    </w:p>
    <w:p w14:paraId="18DBDA51" w14:textId="77777777" w:rsidR="00614438" w:rsidRPr="00614438" w:rsidRDefault="00614438" w:rsidP="00BB17A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Waste Management Sector</w:t>
      </w:r>
    </w:p>
    <w:p w14:paraId="455324B3" w14:textId="77777777" w:rsidR="00614438" w:rsidRPr="00614438" w:rsidRDefault="00BB17A2" w:rsidP="00BB17A2">
      <w:pPr>
        <w:ind w:firstLine="720"/>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In 2020, </w:t>
      </w:r>
      <w:r w:rsidR="00614438" w:rsidRPr="00614438">
        <w:rPr>
          <w:rFonts w:ascii="Times New Roman" w:hAnsi="Times New Roman" w:cs="Times New Roman"/>
          <w:sz w:val="24"/>
          <w:szCs w:val="24"/>
          <w:lang w:val="en-GB"/>
        </w:rPr>
        <w:t>The Ministry of Environmental Protection published the Roadmap for the Circular Economy in Serbia, which confirms the strategy to harmonise Serbian and EU waste legislation, in particular the waste management framework, landfill, packaging and plastics directives. The Roadmap contains recommendations on the sustainable use of resources, waste prevention and circular product design, as well as more specific measures for manufacturing, agricultural, packaging and construction waste.</w:t>
      </w:r>
    </w:p>
    <w:p w14:paraId="21B3C79D" w14:textId="77777777" w:rsidR="00614438" w:rsidRPr="00614438" w:rsidRDefault="00614438" w:rsidP="00BB17A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Furthermore, in February 2022, the Waste Management Programme of the Republic of Serbia for the period 2022-2031</w:t>
      </w:r>
      <w:r w:rsidR="00BB17A2">
        <w:rPr>
          <w:rFonts w:ascii="Times New Roman" w:hAnsi="Times New Roman" w:cs="Times New Roman"/>
          <w:sz w:val="24"/>
          <w:szCs w:val="24"/>
          <w:lang w:val="en-GB"/>
        </w:rPr>
        <w:t xml:space="preserve"> (</w:t>
      </w:r>
      <w:r w:rsidR="00BB17A2">
        <w:rPr>
          <w:rFonts w:ascii="Times New Roman" w:hAnsi="Times New Roman" w:cs="Times New Roman"/>
          <w:sz w:val="24"/>
          <w:szCs w:val="24"/>
        </w:rPr>
        <w:t>“</w:t>
      </w:r>
      <w:r w:rsidR="00BB17A2">
        <w:rPr>
          <w:rFonts w:ascii="Times New Roman" w:hAnsi="Times New Roman" w:cs="Times New Roman"/>
          <w:sz w:val="24"/>
          <w:szCs w:val="24"/>
          <w:lang w:val="en-GB"/>
        </w:rPr>
        <w:t>Official Gazette of RS”, no. 12/22)</w:t>
      </w:r>
      <w:r w:rsidRPr="00614438">
        <w:rPr>
          <w:rFonts w:ascii="Times New Roman" w:hAnsi="Times New Roman" w:cs="Times New Roman"/>
          <w:sz w:val="24"/>
          <w:szCs w:val="24"/>
          <w:lang w:val="en-GB"/>
        </w:rPr>
        <w:t xml:space="preserve"> was adopted and the Action Plan for the period 2022-2024 for the Implementation of Waste Management Programme </w:t>
      </w:r>
      <w:r w:rsidR="00BB17A2">
        <w:rPr>
          <w:rFonts w:ascii="Times New Roman" w:hAnsi="Times New Roman" w:cs="Times New Roman"/>
          <w:sz w:val="24"/>
          <w:szCs w:val="24"/>
          <w:lang w:val="en-GB"/>
        </w:rPr>
        <w:t xml:space="preserve">for the period 2022-2031 </w:t>
      </w:r>
      <w:r w:rsidRPr="00614438">
        <w:rPr>
          <w:rFonts w:ascii="Times New Roman" w:hAnsi="Times New Roman" w:cs="Times New Roman"/>
          <w:sz w:val="24"/>
          <w:szCs w:val="24"/>
          <w:lang w:val="en-GB"/>
        </w:rPr>
        <w:t>was adopted in May 2022</w:t>
      </w:r>
      <w:r w:rsidR="00BB17A2">
        <w:rPr>
          <w:rFonts w:ascii="Times New Roman" w:hAnsi="Times New Roman" w:cs="Times New Roman"/>
          <w:sz w:val="24"/>
          <w:szCs w:val="24"/>
          <w:lang w:val="en-GB"/>
        </w:rPr>
        <w:t xml:space="preserve"> (</w:t>
      </w:r>
      <w:r w:rsidR="00BB17A2">
        <w:rPr>
          <w:rFonts w:ascii="Times New Roman" w:hAnsi="Times New Roman" w:cs="Times New Roman"/>
          <w:sz w:val="24"/>
          <w:szCs w:val="24"/>
        </w:rPr>
        <w:t>“</w:t>
      </w:r>
      <w:r w:rsidR="00BB17A2">
        <w:rPr>
          <w:rFonts w:ascii="Times New Roman" w:hAnsi="Times New Roman" w:cs="Times New Roman"/>
          <w:sz w:val="24"/>
          <w:szCs w:val="24"/>
          <w:lang w:val="en-GB"/>
        </w:rPr>
        <w:t>Official Gazette of RS”, no. 12/22)</w:t>
      </w:r>
      <w:r w:rsidRPr="00614438">
        <w:rPr>
          <w:rFonts w:ascii="Times New Roman" w:hAnsi="Times New Roman" w:cs="Times New Roman"/>
          <w:sz w:val="24"/>
          <w:szCs w:val="24"/>
          <w:lang w:val="en-GB"/>
        </w:rPr>
        <w:t>.</w:t>
      </w:r>
    </w:p>
    <w:p w14:paraId="08FD8AAF" w14:textId="77777777" w:rsidR="00614438" w:rsidRPr="003E0710" w:rsidRDefault="00614438" w:rsidP="003E0710">
      <w:pPr>
        <w:spacing w:after="0"/>
        <w:ind w:firstLine="720"/>
        <w:jc w:val="both"/>
        <w:rPr>
          <w:rFonts w:ascii="Times New Roman" w:hAnsi="Times New Roman" w:cs="Times New Roman"/>
          <w:sz w:val="20"/>
          <w:szCs w:val="20"/>
          <w:lang w:val="en-GB"/>
        </w:rPr>
      </w:pPr>
      <w:r w:rsidRPr="00614438">
        <w:rPr>
          <w:rFonts w:ascii="Times New Roman" w:hAnsi="Times New Roman" w:cs="Times New Roman"/>
          <w:sz w:val="24"/>
          <w:szCs w:val="24"/>
          <w:lang w:val="en-GB"/>
        </w:rPr>
        <w:t>All in all, the Republic of Serbia has a good level of alignment with the EU acquis. More specifically, Serbia developed and adopted the Waste Management Programme of the Republic of Serbia for the period 2022-2031 and in September 2023 the Sludge Management Programme for the Republic of Serbia for the period 2023-2032</w:t>
      </w:r>
      <w:r w:rsidR="00F36493">
        <w:rPr>
          <w:rFonts w:ascii="Times New Roman" w:hAnsi="Times New Roman" w:cs="Times New Roman"/>
          <w:sz w:val="24"/>
          <w:szCs w:val="24"/>
          <w:lang w:val="en-GB"/>
        </w:rPr>
        <w:t xml:space="preserve"> (</w:t>
      </w:r>
      <w:r w:rsidR="00F36493">
        <w:rPr>
          <w:rFonts w:ascii="Times New Roman" w:hAnsi="Times New Roman" w:cs="Times New Roman"/>
          <w:sz w:val="24"/>
          <w:szCs w:val="24"/>
        </w:rPr>
        <w:t>“</w:t>
      </w:r>
      <w:r w:rsidR="00F36493">
        <w:rPr>
          <w:rFonts w:ascii="Times New Roman" w:hAnsi="Times New Roman" w:cs="Times New Roman"/>
          <w:sz w:val="24"/>
          <w:szCs w:val="24"/>
          <w:lang w:val="en-GB"/>
        </w:rPr>
        <w:t>Official Gazette of RS”, no. 84/23)</w:t>
      </w:r>
      <w:r w:rsidRPr="00614438">
        <w:rPr>
          <w:rFonts w:ascii="Times New Roman" w:hAnsi="Times New Roman" w:cs="Times New Roman"/>
          <w:sz w:val="24"/>
          <w:szCs w:val="24"/>
          <w:lang w:val="en-GB"/>
        </w:rPr>
        <w:t xml:space="preserve">. The by-law on treatment of the equipment and waste containing polychlorinated biphenyl, currently in the adoption procedure, will fully transpose the relevant EU directive. </w:t>
      </w:r>
      <w:r w:rsidR="00F36493">
        <w:rPr>
          <w:rFonts w:ascii="Times New Roman" w:hAnsi="Times New Roman" w:cs="Times New Roman"/>
          <w:sz w:val="24"/>
          <w:szCs w:val="24"/>
          <w:lang w:val="en-GB"/>
        </w:rPr>
        <w:t xml:space="preserve">The Republic of </w:t>
      </w:r>
      <w:r w:rsidRPr="00614438">
        <w:rPr>
          <w:rFonts w:ascii="Times New Roman" w:hAnsi="Times New Roman" w:cs="Times New Roman"/>
          <w:sz w:val="24"/>
          <w:szCs w:val="24"/>
          <w:lang w:val="en-GB"/>
        </w:rPr>
        <w:t xml:space="preserve">Serbia </w:t>
      </w:r>
      <w:r w:rsidR="00F36493">
        <w:rPr>
          <w:rFonts w:ascii="Times New Roman" w:hAnsi="Times New Roman" w:cs="Times New Roman"/>
          <w:sz w:val="24"/>
          <w:szCs w:val="24"/>
          <w:lang w:val="en-GB"/>
        </w:rPr>
        <w:t>started</w:t>
      </w:r>
      <w:r w:rsidRPr="00614438">
        <w:rPr>
          <w:rFonts w:ascii="Times New Roman" w:hAnsi="Times New Roman" w:cs="Times New Roman"/>
          <w:sz w:val="24"/>
          <w:szCs w:val="24"/>
          <w:lang w:val="en-GB"/>
        </w:rPr>
        <w:t xml:space="preserve"> the permanent disposal of historic hazardous waste. Additional economic instruments for special waste streams need to be developed. The proportion of recycled waste in overall waste management is still low, </w:t>
      </w:r>
      <w:r w:rsidR="00F36493">
        <w:rPr>
          <w:rFonts w:ascii="Times New Roman" w:hAnsi="Times New Roman" w:cs="Times New Roman"/>
          <w:sz w:val="24"/>
          <w:szCs w:val="24"/>
          <w:lang w:val="en-GB"/>
        </w:rPr>
        <w:t>namely</w:t>
      </w:r>
      <w:r w:rsidRPr="00614438">
        <w:rPr>
          <w:rFonts w:ascii="Times New Roman" w:hAnsi="Times New Roman" w:cs="Times New Roman"/>
          <w:sz w:val="24"/>
          <w:szCs w:val="24"/>
          <w:lang w:val="en-GB"/>
        </w:rPr>
        <w:t xml:space="preserve"> 3% for municipal waste, based on European Commission’s data. Serbia needs to double its efforts to close its non-compliant landfills and invest in waste reduction, separation and recycling. A new sanitary landfill in Vinča was built </w:t>
      </w:r>
      <w:r w:rsidR="00F36493">
        <w:rPr>
          <w:rFonts w:ascii="Times New Roman" w:hAnsi="Times New Roman" w:cs="Times New Roman"/>
          <w:sz w:val="24"/>
          <w:szCs w:val="24"/>
          <w:lang w:val="en-GB"/>
        </w:rPr>
        <w:t>and</w:t>
      </w:r>
      <w:r w:rsidRPr="00614438">
        <w:rPr>
          <w:rFonts w:ascii="Times New Roman" w:hAnsi="Times New Roman" w:cs="Times New Roman"/>
          <w:sz w:val="24"/>
          <w:szCs w:val="24"/>
          <w:lang w:val="en-GB"/>
        </w:rPr>
        <w:t xml:space="preserve"> the second phase of disposal of municipal waste</w:t>
      </w:r>
      <w:r w:rsidR="00F36493">
        <w:rPr>
          <w:rFonts w:ascii="Times New Roman" w:hAnsi="Times New Roman" w:cs="Times New Roman"/>
          <w:sz w:val="24"/>
          <w:szCs w:val="24"/>
          <w:lang w:val="en-GB"/>
        </w:rPr>
        <w:t xml:space="preserve"> is in course, for which a permit was obtained from the competent ministry</w:t>
      </w:r>
      <w:r w:rsidRPr="00614438">
        <w:rPr>
          <w:rFonts w:ascii="Times New Roman" w:hAnsi="Times New Roman" w:cs="Times New Roman"/>
          <w:sz w:val="24"/>
          <w:szCs w:val="24"/>
          <w:lang w:val="en-GB"/>
        </w:rPr>
        <w:t xml:space="preserve">. </w:t>
      </w:r>
      <w:r w:rsidR="00F36493">
        <w:rPr>
          <w:rFonts w:ascii="Times New Roman" w:hAnsi="Times New Roman" w:cs="Times New Roman"/>
          <w:sz w:val="24"/>
          <w:szCs w:val="24"/>
          <w:lang w:val="en-GB"/>
        </w:rPr>
        <w:t>A p</w:t>
      </w:r>
      <w:r w:rsidRPr="00614438">
        <w:rPr>
          <w:rFonts w:ascii="Times New Roman" w:hAnsi="Times New Roman" w:cs="Times New Roman"/>
          <w:sz w:val="24"/>
          <w:szCs w:val="24"/>
          <w:lang w:val="en-GB"/>
        </w:rPr>
        <w:t xml:space="preserve">lant for energy utilization of municipal waste and landfill gas was constructed </w:t>
      </w:r>
      <w:r w:rsidR="00F36493">
        <w:rPr>
          <w:rFonts w:ascii="Times New Roman" w:hAnsi="Times New Roman" w:cs="Times New Roman"/>
          <w:sz w:val="24"/>
          <w:szCs w:val="24"/>
          <w:lang w:val="en-GB"/>
        </w:rPr>
        <w:t>also on the location in Vin</w:t>
      </w:r>
      <w:r w:rsidR="00F36493">
        <w:rPr>
          <w:rFonts w:ascii="Times New Roman" w:hAnsi="Times New Roman" w:cs="Times New Roman"/>
          <w:sz w:val="24"/>
          <w:szCs w:val="24"/>
        </w:rPr>
        <w:t xml:space="preserve">ča, </w:t>
      </w:r>
      <w:r w:rsidRPr="00614438">
        <w:rPr>
          <w:rFonts w:ascii="Times New Roman" w:hAnsi="Times New Roman" w:cs="Times New Roman"/>
          <w:sz w:val="24"/>
          <w:szCs w:val="24"/>
          <w:lang w:val="en-GB"/>
        </w:rPr>
        <w:t>which is currently in the phase of licence obtainment.</w:t>
      </w:r>
    </w:p>
    <w:tbl>
      <w:tblPr>
        <w:tblW w:w="9680" w:type="dxa"/>
        <w:tblLook w:val="04A0" w:firstRow="1" w:lastRow="0" w:firstColumn="1" w:lastColumn="0" w:noHBand="0" w:noVBand="1"/>
      </w:tblPr>
      <w:tblGrid>
        <w:gridCol w:w="3270"/>
        <w:gridCol w:w="1114"/>
        <w:gridCol w:w="934"/>
        <w:gridCol w:w="4140"/>
        <w:gridCol w:w="222"/>
      </w:tblGrid>
      <w:tr w:rsidR="00614438" w:rsidRPr="003E0710" w14:paraId="6729441F" w14:textId="77777777" w:rsidTr="00614438">
        <w:trPr>
          <w:gridAfter w:val="1"/>
          <w:wAfter w:w="222" w:type="dxa"/>
          <w:trHeight w:val="780"/>
        </w:trPr>
        <w:tc>
          <w:tcPr>
            <w:tcW w:w="3270"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01BE1B5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1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752BA22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PM_D14</w:t>
            </w:r>
          </w:p>
        </w:tc>
        <w:tc>
          <w:tcPr>
            <w:tcW w:w="934" w:type="dxa"/>
            <w:tcBorders>
              <w:top w:val="single" w:sz="8" w:space="0" w:color="auto"/>
              <w:left w:val="nil"/>
              <w:bottom w:val="single" w:sz="8" w:space="0" w:color="auto"/>
              <w:right w:val="single" w:sz="8" w:space="0" w:color="auto"/>
            </w:tcBorders>
            <w:shd w:val="clear" w:color="auto" w:fill="244062"/>
            <w:vAlign w:val="center"/>
            <w:hideMark/>
          </w:tcPr>
          <w:p w14:paraId="25F9CD2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140" w:type="dxa"/>
            <w:tcBorders>
              <w:top w:val="single" w:sz="8" w:space="0" w:color="auto"/>
              <w:left w:val="nil"/>
              <w:bottom w:val="single" w:sz="8" w:space="0" w:color="auto"/>
              <w:right w:val="single" w:sz="8" w:space="0" w:color="auto"/>
            </w:tcBorders>
            <w:shd w:val="clear" w:color="auto" w:fill="E7E6E6" w:themeFill="background2"/>
            <w:vAlign w:val="center"/>
            <w:hideMark/>
          </w:tcPr>
          <w:p w14:paraId="7B40271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Improvement of wastewater treatment and discharge system</w:t>
            </w:r>
          </w:p>
        </w:tc>
      </w:tr>
      <w:tr w:rsidR="00614438" w:rsidRPr="003E0710" w14:paraId="26264DED" w14:textId="77777777" w:rsidTr="00614438">
        <w:trPr>
          <w:gridAfter w:val="1"/>
          <w:wAfter w:w="222" w:type="dxa"/>
          <w:trHeight w:val="287"/>
        </w:trPr>
        <w:tc>
          <w:tcPr>
            <w:tcW w:w="3270" w:type="dxa"/>
            <w:tcBorders>
              <w:top w:val="nil"/>
              <w:left w:val="single" w:sz="8" w:space="0" w:color="auto"/>
              <w:bottom w:val="single" w:sz="8" w:space="0" w:color="auto"/>
              <w:right w:val="nil"/>
            </w:tcBorders>
            <w:shd w:val="clear" w:color="auto" w:fill="244062"/>
            <w:vAlign w:val="center"/>
            <w:hideMark/>
          </w:tcPr>
          <w:p w14:paraId="3527494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88" w:type="dxa"/>
            <w:gridSpan w:val="3"/>
            <w:tcBorders>
              <w:top w:val="single" w:sz="8" w:space="0" w:color="auto"/>
              <w:left w:val="nil"/>
              <w:bottom w:val="single" w:sz="8" w:space="0" w:color="auto"/>
              <w:right w:val="single" w:sz="8" w:space="0" w:color="000000"/>
            </w:tcBorders>
            <w:vAlign w:val="center"/>
            <w:hideMark/>
          </w:tcPr>
          <w:p w14:paraId="3F3317D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 GHG emissions reduction</w:t>
            </w:r>
          </w:p>
        </w:tc>
      </w:tr>
      <w:tr w:rsidR="00614438" w:rsidRPr="003E0710" w14:paraId="6816B861" w14:textId="77777777" w:rsidTr="00614438">
        <w:trPr>
          <w:gridAfter w:val="1"/>
          <w:wAfter w:w="222" w:type="dxa"/>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2688472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88" w:type="dxa"/>
            <w:gridSpan w:val="3"/>
            <w:tcBorders>
              <w:top w:val="single" w:sz="8" w:space="0" w:color="auto"/>
              <w:left w:val="nil"/>
              <w:bottom w:val="single" w:sz="8" w:space="0" w:color="auto"/>
              <w:right w:val="single" w:sz="8" w:space="0" w:color="000000"/>
            </w:tcBorders>
            <w:vAlign w:val="center"/>
            <w:hideMark/>
          </w:tcPr>
          <w:p w14:paraId="551D822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Contribution to the objective of reduction of GHG emissions by 33.3% (without LULUCF) by 2030 compared to 1990 levels</w:t>
            </w:r>
          </w:p>
        </w:tc>
      </w:tr>
      <w:tr w:rsidR="00614438" w:rsidRPr="003E0710" w14:paraId="04438BF0" w14:textId="77777777" w:rsidTr="00614438">
        <w:trPr>
          <w:gridAfter w:val="1"/>
          <w:wAfter w:w="222" w:type="dxa"/>
          <w:trHeight w:val="1062"/>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4AAC538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88" w:type="dxa"/>
            <w:gridSpan w:val="3"/>
            <w:tcBorders>
              <w:top w:val="single" w:sz="8" w:space="0" w:color="auto"/>
              <w:left w:val="nil"/>
              <w:bottom w:val="single" w:sz="8" w:space="0" w:color="auto"/>
              <w:right w:val="single" w:sz="8" w:space="0" w:color="000000"/>
            </w:tcBorders>
            <w:vAlign w:val="center"/>
            <w:hideMark/>
          </w:tcPr>
          <w:p w14:paraId="500C55C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PM_D14 will facilitate actions, such as the construction of wastewater treatment facilities, for improving the wastewater treatment and disposal, as wastewater can be a source of methane (CH</w:t>
            </w:r>
            <w:r w:rsidRPr="003E0710">
              <w:rPr>
                <w:rFonts w:ascii="Times New Roman" w:hAnsi="Times New Roman" w:cs="Times New Roman"/>
                <w:sz w:val="20"/>
                <w:szCs w:val="20"/>
                <w:vertAlign w:val="subscript"/>
                <w:lang w:val="en-GB"/>
              </w:rPr>
              <w:t>4</w:t>
            </w:r>
            <w:r w:rsidRPr="003E0710">
              <w:rPr>
                <w:rFonts w:ascii="Times New Roman" w:hAnsi="Times New Roman" w:cs="Times New Roman"/>
                <w:sz w:val="20"/>
                <w:szCs w:val="20"/>
                <w:lang w:val="en-GB"/>
              </w:rPr>
              <w:t>) when treated or disposed anaerobically or, when dissolved, CH</w:t>
            </w:r>
            <w:r w:rsidRPr="003E0710">
              <w:rPr>
                <w:rFonts w:ascii="Times New Roman" w:hAnsi="Times New Roman" w:cs="Times New Roman"/>
                <w:sz w:val="20"/>
                <w:szCs w:val="20"/>
                <w:vertAlign w:val="subscript"/>
                <w:lang w:val="en-GB"/>
              </w:rPr>
              <w:t>4</w:t>
            </w:r>
            <w:r w:rsidRPr="003E0710">
              <w:rPr>
                <w:rFonts w:ascii="Times New Roman" w:hAnsi="Times New Roman" w:cs="Times New Roman"/>
                <w:sz w:val="20"/>
                <w:szCs w:val="20"/>
                <w:lang w:val="en-GB"/>
              </w:rPr>
              <w:t xml:space="preserve"> enters aerated treatment systems.</w:t>
            </w:r>
          </w:p>
        </w:tc>
      </w:tr>
      <w:tr w:rsidR="00614438" w:rsidRPr="003E0710" w14:paraId="68028A05" w14:textId="77777777" w:rsidTr="00614438">
        <w:trPr>
          <w:gridAfter w:val="1"/>
          <w:wAfter w:w="222" w:type="dxa"/>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2E5C251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88" w:type="dxa"/>
            <w:gridSpan w:val="3"/>
            <w:tcBorders>
              <w:top w:val="single" w:sz="8" w:space="0" w:color="auto"/>
              <w:left w:val="nil"/>
              <w:bottom w:val="single" w:sz="8" w:space="0" w:color="auto"/>
              <w:right w:val="single" w:sz="8" w:space="0" w:color="000000"/>
            </w:tcBorders>
            <w:vAlign w:val="center"/>
            <w:hideMark/>
          </w:tcPr>
          <w:p w14:paraId="2007D85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2024-2030</w:t>
            </w:r>
          </w:p>
        </w:tc>
      </w:tr>
      <w:tr w:rsidR="00614438" w:rsidRPr="003E0710" w14:paraId="32756E19" w14:textId="77777777" w:rsidTr="00614438">
        <w:trPr>
          <w:gridAfter w:val="1"/>
          <w:wAfter w:w="222" w:type="dxa"/>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4475BF8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88" w:type="dxa"/>
            <w:gridSpan w:val="3"/>
            <w:tcBorders>
              <w:top w:val="single" w:sz="8" w:space="0" w:color="auto"/>
              <w:left w:val="nil"/>
              <w:bottom w:val="single" w:sz="8" w:space="0" w:color="auto"/>
              <w:right w:val="single" w:sz="8" w:space="0" w:color="000000"/>
            </w:tcBorders>
            <w:vAlign w:val="center"/>
            <w:hideMark/>
          </w:tcPr>
          <w:p w14:paraId="744266F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w:t>
            </w:r>
          </w:p>
        </w:tc>
      </w:tr>
      <w:tr w:rsidR="00614438" w:rsidRPr="003E0710" w14:paraId="0B661091" w14:textId="77777777" w:rsidTr="00614438">
        <w:trPr>
          <w:gridAfter w:val="1"/>
          <w:wAfter w:w="222" w:type="dxa"/>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5E0D708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88" w:type="dxa"/>
            <w:gridSpan w:val="3"/>
            <w:tcBorders>
              <w:top w:val="single" w:sz="8" w:space="0" w:color="auto"/>
              <w:left w:val="nil"/>
              <w:bottom w:val="single" w:sz="8" w:space="0" w:color="auto"/>
              <w:right w:val="single" w:sz="8" w:space="0" w:color="000000"/>
            </w:tcBorders>
            <w:vAlign w:val="center"/>
            <w:hideMark/>
          </w:tcPr>
          <w:p w14:paraId="44A1B9E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Waste</w:t>
            </w:r>
          </w:p>
        </w:tc>
      </w:tr>
      <w:tr w:rsidR="00614438" w:rsidRPr="003E0710" w14:paraId="774B7BFB" w14:textId="77777777" w:rsidTr="00614438">
        <w:trPr>
          <w:gridAfter w:val="1"/>
          <w:wAfter w:w="222" w:type="dxa"/>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659633E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88" w:type="dxa"/>
            <w:gridSpan w:val="3"/>
            <w:tcBorders>
              <w:top w:val="single" w:sz="8" w:space="0" w:color="auto"/>
              <w:left w:val="nil"/>
              <w:bottom w:val="single" w:sz="8" w:space="0" w:color="auto"/>
              <w:right w:val="single" w:sz="8" w:space="0" w:color="000000"/>
            </w:tcBorders>
            <w:vAlign w:val="center"/>
            <w:hideMark/>
          </w:tcPr>
          <w:p w14:paraId="4E51618F" w14:textId="77777777" w:rsidR="00614438" w:rsidRPr="003E0710" w:rsidRDefault="00614438" w:rsidP="003E0710">
            <w:pPr>
              <w:numPr>
                <w:ilvl w:val="0"/>
                <w:numId w:val="22"/>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Environmental Protection</w:t>
            </w:r>
          </w:p>
          <w:p w14:paraId="2318797A" w14:textId="77777777" w:rsidR="00614438" w:rsidRPr="003E0710" w:rsidRDefault="00614438" w:rsidP="003E0710">
            <w:pPr>
              <w:numPr>
                <w:ilvl w:val="0"/>
                <w:numId w:val="22"/>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Construction, Transportation and Infrastructure</w:t>
            </w:r>
          </w:p>
          <w:p w14:paraId="7CF8FE94" w14:textId="77777777" w:rsidR="00614438" w:rsidRPr="003E0710" w:rsidRDefault="00614438" w:rsidP="003E0710">
            <w:pPr>
              <w:numPr>
                <w:ilvl w:val="0"/>
                <w:numId w:val="22"/>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Agriculture, Forestry and Water Economy</w:t>
            </w:r>
          </w:p>
        </w:tc>
      </w:tr>
      <w:tr w:rsidR="00614438" w:rsidRPr="003E0710" w14:paraId="095C892D" w14:textId="77777777" w:rsidTr="00614438">
        <w:trPr>
          <w:gridAfter w:val="1"/>
          <w:wAfter w:w="222" w:type="dxa"/>
          <w:trHeight w:val="315"/>
        </w:trPr>
        <w:tc>
          <w:tcPr>
            <w:tcW w:w="3270" w:type="dxa"/>
            <w:tcBorders>
              <w:top w:val="nil"/>
              <w:left w:val="single" w:sz="8" w:space="0" w:color="auto"/>
              <w:bottom w:val="single" w:sz="8" w:space="0" w:color="auto"/>
              <w:right w:val="nil"/>
            </w:tcBorders>
            <w:shd w:val="clear" w:color="auto" w:fill="244062"/>
            <w:vAlign w:val="center"/>
            <w:hideMark/>
          </w:tcPr>
          <w:p w14:paraId="25E0551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88" w:type="dxa"/>
            <w:gridSpan w:val="3"/>
            <w:tcBorders>
              <w:top w:val="single" w:sz="8" w:space="0" w:color="auto"/>
              <w:left w:val="nil"/>
              <w:bottom w:val="single" w:sz="8" w:space="0" w:color="auto"/>
              <w:right w:val="single" w:sz="8" w:space="0" w:color="000000"/>
            </w:tcBorders>
            <w:vAlign w:val="center"/>
            <w:hideMark/>
          </w:tcPr>
          <w:p w14:paraId="2A2CB4B6" w14:textId="77777777" w:rsidR="00614438" w:rsidRPr="003E0710" w:rsidRDefault="00614438" w:rsidP="003E0710">
            <w:pPr>
              <w:numPr>
                <w:ilvl w:val="0"/>
                <w:numId w:val="22"/>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Environmental Protection</w:t>
            </w:r>
          </w:p>
          <w:p w14:paraId="101D78CC" w14:textId="77777777" w:rsidR="00614438" w:rsidRPr="003E0710" w:rsidRDefault="00614438" w:rsidP="003E0710">
            <w:pPr>
              <w:numPr>
                <w:ilvl w:val="0"/>
                <w:numId w:val="22"/>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Construction, Transportation and Infrastructure</w:t>
            </w:r>
          </w:p>
          <w:p w14:paraId="55AFD2F2" w14:textId="77777777" w:rsidR="00614438" w:rsidRPr="003E0710" w:rsidRDefault="00614438" w:rsidP="003E0710">
            <w:pPr>
              <w:numPr>
                <w:ilvl w:val="0"/>
                <w:numId w:val="22"/>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Agriculture, Forestry and Water Economy</w:t>
            </w:r>
          </w:p>
          <w:p w14:paraId="553C6787" w14:textId="77777777" w:rsidR="006A0884" w:rsidRPr="003E0710" w:rsidRDefault="006A0884" w:rsidP="003E0710">
            <w:pPr>
              <w:numPr>
                <w:ilvl w:val="0"/>
                <w:numId w:val="22"/>
              </w:numPr>
              <w:spacing w:after="0"/>
              <w:jc w:val="both"/>
              <w:rPr>
                <w:rFonts w:ascii="Times New Roman" w:hAnsi="Times New Roman" w:cs="Times New Roman"/>
                <w:sz w:val="20"/>
                <w:szCs w:val="20"/>
              </w:rPr>
            </w:pPr>
            <w:r w:rsidRPr="003E0710">
              <w:rPr>
                <w:rFonts w:ascii="Times New Roman" w:hAnsi="Times New Roman" w:cs="Times New Roman"/>
                <w:sz w:val="20"/>
                <w:szCs w:val="20"/>
              </w:rPr>
              <w:t>Agency for Environmental Protection</w:t>
            </w:r>
          </w:p>
        </w:tc>
      </w:tr>
      <w:tr w:rsidR="00614438" w:rsidRPr="003E0710" w14:paraId="61212428" w14:textId="77777777" w:rsidTr="00614438">
        <w:trPr>
          <w:gridAfter w:val="1"/>
          <w:wAfter w:w="222" w:type="dxa"/>
          <w:trHeight w:val="315"/>
        </w:trPr>
        <w:tc>
          <w:tcPr>
            <w:tcW w:w="3270" w:type="dxa"/>
            <w:tcBorders>
              <w:top w:val="nil"/>
              <w:left w:val="single" w:sz="8" w:space="0" w:color="auto"/>
              <w:bottom w:val="single" w:sz="8" w:space="0" w:color="auto"/>
              <w:right w:val="nil"/>
            </w:tcBorders>
            <w:shd w:val="clear" w:color="auto" w:fill="244062"/>
            <w:vAlign w:val="center"/>
            <w:hideMark/>
          </w:tcPr>
          <w:p w14:paraId="3E0742B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88" w:type="dxa"/>
            <w:gridSpan w:val="3"/>
            <w:tcBorders>
              <w:top w:val="single" w:sz="8" w:space="0" w:color="auto"/>
              <w:left w:val="nil"/>
              <w:bottom w:val="single" w:sz="8" w:space="0" w:color="auto"/>
              <w:right w:val="single" w:sz="8" w:space="0" w:color="000000"/>
            </w:tcBorders>
            <w:vAlign w:val="center"/>
            <w:hideMark/>
          </w:tcPr>
          <w:p w14:paraId="379819C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Annual increase </w:t>
            </w:r>
            <w:r w:rsidR="006A0884" w:rsidRPr="003E0710">
              <w:rPr>
                <w:rFonts w:ascii="Times New Roman" w:hAnsi="Times New Roman" w:cs="Times New Roman"/>
                <w:sz w:val="20"/>
                <w:szCs w:val="20"/>
                <w:lang w:val="en-GB"/>
              </w:rPr>
              <w:t>of the number of</w:t>
            </w:r>
            <w:r w:rsidRPr="003E0710">
              <w:rPr>
                <w:rFonts w:ascii="Times New Roman" w:hAnsi="Times New Roman" w:cs="Times New Roman"/>
                <w:sz w:val="20"/>
                <w:szCs w:val="20"/>
                <w:lang w:val="en-GB"/>
              </w:rPr>
              <w:t xml:space="preserve"> wastewater treatment plants</w:t>
            </w:r>
          </w:p>
        </w:tc>
      </w:tr>
      <w:tr w:rsidR="00614438" w:rsidRPr="003E0710" w14:paraId="643A3877" w14:textId="77777777" w:rsidTr="00614438">
        <w:trPr>
          <w:gridAfter w:val="1"/>
          <w:wAfter w:w="222" w:type="dxa"/>
          <w:trHeight w:val="60"/>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4F74F5F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88" w:type="dxa"/>
            <w:gridSpan w:val="3"/>
            <w:tcBorders>
              <w:top w:val="single" w:sz="8" w:space="0" w:color="auto"/>
              <w:left w:val="nil"/>
              <w:bottom w:val="single" w:sz="8" w:space="0" w:color="auto"/>
              <w:right w:val="single" w:sz="8" w:space="0" w:color="000000"/>
            </w:tcBorders>
            <w:vAlign w:val="center"/>
          </w:tcPr>
          <w:p w14:paraId="550CB9A1"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7A066171" w14:textId="77777777" w:rsidTr="00614438">
        <w:trPr>
          <w:gridAfter w:val="1"/>
          <w:wAfter w:w="222" w:type="dxa"/>
          <w:trHeight w:val="458"/>
        </w:trPr>
        <w:tc>
          <w:tcPr>
            <w:tcW w:w="3270" w:type="dxa"/>
            <w:vMerge w:val="restart"/>
            <w:tcBorders>
              <w:top w:val="nil"/>
              <w:left w:val="single" w:sz="8" w:space="0" w:color="auto"/>
              <w:bottom w:val="single" w:sz="8" w:space="0" w:color="000000"/>
              <w:right w:val="single" w:sz="8" w:space="0" w:color="auto"/>
            </w:tcBorders>
            <w:shd w:val="clear" w:color="auto" w:fill="244062"/>
            <w:vAlign w:val="center"/>
            <w:hideMark/>
          </w:tcPr>
          <w:p w14:paraId="28952B6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Union policy which resulted in the implementation of the PaM</w:t>
            </w:r>
          </w:p>
        </w:tc>
        <w:tc>
          <w:tcPr>
            <w:tcW w:w="6188"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DAF307C" w14:textId="77777777" w:rsidR="00614438" w:rsidRPr="003E0710" w:rsidRDefault="00614438" w:rsidP="003E0710">
            <w:pPr>
              <w:numPr>
                <w:ilvl w:val="0"/>
                <w:numId w:val="23"/>
              </w:numPr>
              <w:spacing w:after="0"/>
              <w:jc w:val="both"/>
              <w:rPr>
                <w:rFonts w:ascii="Times New Roman" w:hAnsi="Times New Roman" w:cs="Times New Roman"/>
                <w:sz w:val="20"/>
                <w:szCs w:val="20"/>
              </w:rPr>
            </w:pPr>
            <w:r w:rsidRPr="003E0710">
              <w:rPr>
                <w:rFonts w:ascii="Times New Roman" w:hAnsi="Times New Roman" w:cs="Times New Roman"/>
                <w:sz w:val="20"/>
                <w:szCs w:val="20"/>
              </w:rPr>
              <w:t>Regulation 2018/1999</w:t>
            </w:r>
          </w:p>
          <w:p w14:paraId="44E400FA" w14:textId="77777777" w:rsidR="00614438" w:rsidRPr="003E0710" w:rsidRDefault="00614438" w:rsidP="003E0710">
            <w:pPr>
              <w:numPr>
                <w:ilvl w:val="0"/>
                <w:numId w:val="2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91/271/EEC</w:t>
            </w:r>
          </w:p>
        </w:tc>
      </w:tr>
      <w:tr w:rsidR="00614438" w:rsidRPr="003E0710" w14:paraId="34D96E1C"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61D51818"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70A4E39"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7167C40F"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C91F9EF"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1461E8FD"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B33E9F6"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61A330BF"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7288D703" w14:textId="77777777" w:rsidTr="00614438">
        <w:trPr>
          <w:trHeight w:val="413"/>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172E2AE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88" w:type="dxa"/>
            <w:gridSpan w:val="3"/>
            <w:tcBorders>
              <w:top w:val="single" w:sz="8" w:space="0" w:color="auto"/>
              <w:left w:val="nil"/>
              <w:bottom w:val="single" w:sz="8" w:space="0" w:color="auto"/>
              <w:right w:val="single" w:sz="8" w:space="0" w:color="000000"/>
            </w:tcBorders>
            <w:vAlign w:val="center"/>
            <w:hideMark/>
          </w:tcPr>
          <w:p w14:paraId="6130BB07" w14:textId="77777777" w:rsidR="00614438" w:rsidRPr="003E0710" w:rsidRDefault="00614438" w:rsidP="003E0710">
            <w:pPr>
              <w:numPr>
                <w:ilvl w:val="0"/>
                <w:numId w:val="23"/>
              </w:numPr>
              <w:spacing w:after="0"/>
              <w:jc w:val="both"/>
              <w:rPr>
                <w:rFonts w:ascii="Times New Roman" w:hAnsi="Times New Roman" w:cs="Times New Roman"/>
                <w:sz w:val="20"/>
                <w:szCs w:val="20"/>
              </w:rPr>
            </w:pPr>
            <w:r w:rsidRPr="003E0710">
              <w:rPr>
                <w:rFonts w:ascii="Times New Roman" w:hAnsi="Times New Roman" w:cs="Times New Roman"/>
                <w:sz w:val="20"/>
                <w:szCs w:val="20"/>
              </w:rPr>
              <w:t>Water Management Strategy of the territory of the Republic of Serbia until 2034</w:t>
            </w:r>
            <w:r w:rsidR="006A0884" w:rsidRPr="003E0710">
              <w:rPr>
                <w:rFonts w:ascii="Times New Roman" w:hAnsi="Times New Roman" w:cs="Times New Roman"/>
                <w:sz w:val="20"/>
                <w:szCs w:val="20"/>
              </w:rPr>
              <w:t xml:space="preserve"> (“Official Gazette of RS, no. 3/17)</w:t>
            </w:r>
          </w:p>
          <w:p w14:paraId="2583F6F4" w14:textId="77777777" w:rsidR="006A0884" w:rsidRPr="003E0710" w:rsidRDefault="00614438" w:rsidP="003E0710">
            <w:pPr>
              <w:numPr>
                <w:ilvl w:val="0"/>
                <w:numId w:val="23"/>
              </w:numPr>
              <w:spacing w:after="0"/>
              <w:jc w:val="both"/>
              <w:rPr>
                <w:rFonts w:ascii="Times New Roman" w:hAnsi="Times New Roman" w:cs="Times New Roman"/>
                <w:sz w:val="20"/>
                <w:szCs w:val="20"/>
              </w:rPr>
            </w:pPr>
            <w:r w:rsidRPr="003E0710">
              <w:rPr>
                <w:rFonts w:ascii="Times New Roman" w:hAnsi="Times New Roman" w:cs="Times New Roman"/>
                <w:sz w:val="20"/>
                <w:szCs w:val="20"/>
              </w:rPr>
              <w:t>Water Management Plan of the territory of the Republic of Serbia until 2027</w:t>
            </w:r>
            <w:r w:rsidR="006A0884" w:rsidRPr="003E0710">
              <w:rPr>
                <w:rFonts w:ascii="Times New Roman" w:hAnsi="Times New Roman" w:cs="Times New Roman"/>
                <w:sz w:val="20"/>
                <w:szCs w:val="20"/>
              </w:rPr>
              <w:t xml:space="preserve"> (“Official Gazette of RS, no. 33/23)</w:t>
            </w:r>
          </w:p>
          <w:p w14:paraId="52A5A856" w14:textId="77777777" w:rsidR="006A0884" w:rsidRPr="003E0710" w:rsidRDefault="00614438" w:rsidP="003E0710">
            <w:pPr>
              <w:numPr>
                <w:ilvl w:val="0"/>
                <w:numId w:val="23"/>
              </w:numPr>
              <w:spacing w:after="0"/>
              <w:jc w:val="both"/>
              <w:rPr>
                <w:rFonts w:ascii="Times New Roman" w:hAnsi="Times New Roman" w:cs="Times New Roman"/>
                <w:sz w:val="20"/>
                <w:szCs w:val="20"/>
              </w:rPr>
            </w:pPr>
            <w:r w:rsidRPr="003E0710">
              <w:rPr>
                <w:rFonts w:ascii="Times New Roman" w:hAnsi="Times New Roman" w:cs="Times New Roman"/>
                <w:sz w:val="20"/>
                <w:szCs w:val="20"/>
              </w:rPr>
              <w:t>Water Law</w:t>
            </w:r>
            <w:r w:rsidR="006A0884" w:rsidRPr="003E0710">
              <w:rPr>
                <w:rFonts w:ascii="Times New Roman" w:hAnsi="Times New Roman" w:cs="Times New Roman"/>
                <w:sz w:val="20"/>
                <w:szCs w:val="20"/>
              </w:rPr>
              <w:t xml:space="preserve"> (“Official Gazette of RS, no. 30/10, 93/12, 101/16, 95/18 and 95/2018 – as amended)</w:t>
            </w:r>
          </w:p>
          <w:p w14:paraId="3837BFD6" w14:textId="77777777" w:rsidR="00614438" w:rsidRPr="003E0710" w:rsidRDefault="00614438" w:rsidP="003E0710">
            <w:pPr>
              <w:spacing w:after="0"/>
              <w:jc w:val="both"/>
              <w:rPr>
                <w:rFonts w:ascii="Times New Roman" w:hAnsi="Times New Roman" w:cs="Times New Roman"/>
                <w:sz w:val="20"/>
                <w:szCs w:val="20"/>
              </w:rPr>
            </w:pPr>
          </w:p>
        </w:tc>
        <w:tc>
          <w:tcPr>
            <w:tcW w:w="222" w:type="dxa"/>
            <w:vAlign w:val="center"/>
            <w:hideMark/>
          </w:tcPr>
          <w:p w14:paraId="4DC7515A"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E2FA044" w14:textId="77777777" w:rsidTr="00614438">
        <w:trPr>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06AD8ED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88" w:type="dxa"/>
            <w:gridSpan w:val="3"/>
            <w:tcBorders>
              <w:top w:val="single" w:sz="8" w:space="0" w:color="auto"/>
              <w:left w:val="nil"/>
              <w:bottom w:val="single" w:sz="8" w:space="0" w:color="auto"/>
              <w:right w:val="single" w:sz="8" w:space="0" w:color="000000"/>
            </w:tcBorders>
            <w:vAlign w:val="center"/>
            <w:hideMark/>
          </w:tcPr>
          <w:p w14:paraId="4B4CC42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90 M€</w:t>
            </w:r>
          </w:p>
        </w:tc>
        <w:tc>
          <w:tcPr>
            <w:tcW w:w="222" w:type="dxa"/>
            <w:vAlign w:val="center"/>
            <w:hideMark/>
          </w:tcPr>
          <w:p w14:paraId="5B0E49BC"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212D3955" w14:textId="77777777" w:rsidTr="00614438">
        <w:trPr>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14242AE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88" w:type="dxa"/>
            <w:gridSpan w:val="3"/>
            <w:tcBorders>
              <w:top w:val="single" w:sz="8" w:space="0" w:color="auto"/>
              <w:left w:val="nil"/>
              <w:bottom w:val="single" w:sz="8" w:space="0" w:color="auto"/>
              <w:right w:val="single" w:sz="8" w:space="0" w:color="000000"/>
            </w:tcBorders>
            <w:vAlign w:val="center"/>
            <w:hideMark/>
          </w:tcPr>
          <w:p w14:paraId="4A8F4785" w14:textId="77777777" w:rsidR="00614438" w:rsidRPr="003E0710" w:rsidRDefault="006A0884"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funds, loans and other funds, public funds</w:t>
            </w:r>
          </w:p>
        </w:tc>
        <w:tc>
          <w:tcPr>
            <w:tcW w:w="222" w:type="dxa"/>
            <w:vAlign w:val="center"/>
            <w:hideMark/>
          </w:tcPr>
          <w:p w14:paraId="75B7A476" w14:textId="77777777" w:rsidR="00614438" w:rsidRPr="003E0710" w:rsidRDefault="00614438" w:rsidP="003E0710">
            <w:pPr>
              <w:spacing w:after="0"/>
              <w:jc w:val="both"/>
              <w:rPr>
                <w:rFonts w:ascii="Times New Roman" w:hAnsi="Times New Roman" w:cs="Times New Roman"/>
                <w:sz w:val="20"/>
                <w:szCs w:val="20"/>
                <w:lang w:val="en-GB"/>
              </w:rPr>
            </w:pPr>
          </w:p>
        </w:tc>
      </w:tr>
    </w:tbl>
    <w:p w14:paraId="5EFD2C19"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68"/>
        <w:gridCol w:w="1114"/>
        <w:gridCol w:w="934"/>
        <w:gridCol w:w="4142"/>
        <w:gridCol w:w="222"/>
      </w:tblGrid>
      <w:tr w:rsidR="00614438" w:rsidRPr="003E0710" w14:paraId="27F3E3D5" w14:textId="77777777" w:rsidTr="00614438">
        <w:trPr>
          <w:gridAfter w:val="1"/>
          <w:wAfter w:w="222" w:type="dxa"/>
          <w:trHeight w:val="780"/>
        </w:trPr>
        <w:tc>
          <w:tcPr>
            <w:tcW w:w="3268"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1919A1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1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39D14A7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PM_D15</w:t>
            </w:r>
          </w:p>
        </w:tc>
        <w:tc>
          <w:tcPr>
            <w:tcW w:w="934" w:type="dxa"/>
            <w:tcBorders>
              <w:top w:val="single" w:sz="8" w:space="0" w:color="auto"/>
              <w:left w:val="nil"/>
              <w:bottom w:val="single" w:sz="8" w:space="0" w:color="auto"/>
              <w:right w:val="single" w:sz="8" w:space="0" w:color="auto"/>
            </w:tcBorders>
            <w:shd w:val="clear" w:color="auto" w:fill="244062"/>
            <w:vAlign w:val="center"/>
            <w:hideMark/>
          </w:tcPr>
          <w:p w14:paraId="2D2340A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142" w:type="dxa"/>
            <w:tcBorders>
              <w:top w:val="single" w:sz="8" w:space="0" w:color="auto"/>
              <w:left w:val="nil"/>
              <w:bottom w:val="single" w:sz="8" w:space="0" w:color="auto"/>
              <w:right w:val="single" w:sz="8" w:space="0" w:color="auto"/>
            </w:tcBorders>
            <w:shd w:val="clear" w:color="auto" w:fill="E7E6E6" w:themeFill="background2"/>
            <w:vAlign w:val="center"/>
            <w:hideMark/>
          </w:tcPr>
          <w:p w14:paraId="3C73223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Improvement of municipal waste management system, through increased recycling rates, reduced disposal of biodegradable waste on landfills and unsanitary landfills</w:t>
            </w:r>
          </w:p>
        </w:tc>
      </w:tr>
      <w:tr w:rsidR="00614438" w:rsidRPr="003E0710" w14:paraId="550FD475" w14:textId="77777777" w:rsidTr="00614438">
        <w:trPr>
          <w:gridAfter w:val="1"/>
          <w:wAfter w:w="222" w:type="dxa"/>
          <w:trHeight w:val="267"/>
        </w:trPr>
        <w:tc>
          <w:tcPr>
            <w:tcW w:w="3268" w:type="dxa"/>
            <w:tcBorders>
              <w:top w:val="nil"/>
              <w:left w:val="single" w:sz="8" w:space="0" w:color="auto"/>
              <w:bottom w:val="single" w:sz="8" w:space="0" w:color="auto"/>
              <w:right w:val="nil"/>
            </w:tcBorders>
            <w:shd w:val="clear" w:color="auto" w:fill="244062"/>
            <w:vAlign w:val="center"/>
            <w:hideMark/>
          </w:tcPr>
          <w:p w14:paraId="52782C0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90" w:type="dxa"/>
            <w:gridSpan w:val="3"/>
            <w:tcBorders>
              <w:top w:val="single" w:sz="8" w:space="0" w:color="auto"/>
              <w:left w:val="nil"/>
              <w:bottom w:val="single" w:sz="8" w:space="0" w:color="auto"/>
              <w:right w:val="single" w:sz="8" w:space="0" w:color="000000"/>
            </w:tcBorders>
            <w:vAlign w:val="center"/>
            <w:hideMark/>
          </w:tcPr>
          <w:p w14:paraId="673E1DF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 GHG emissions reduction</w:t>
            </w:r>
          </w:p>
        </w:tc>
      </w:tr>
      <w:tr w:rsidR="00614438" w:rsidRPr="003E0710" w14:paraId="12AC610F" w14:textId="77777777" w:rsidTr="00614438">
        <w:trPr>
          <w:gridAfter w:val="1"/>
          <w:wAfter w:w="222" w:type="dxa"/>
          <w:trHeight w:val="315"/>
        </w:trPr>
        <w:tc>
          <w:tcPr>
            <w:tcW w:w="3268" w:type="dxa"/>
            <w:tcBorders>
              <w:top w:val="nil"/>
              <w:left w:val="single" w:sz="8" w:space="0" w:color="auto"/>
              <w:bottom w:val="single" w:sz="8" w:space="0" w:color="auto"/>
              <w:right w:val="single" w:sz="8" w:space="0" w:color="auto"/>
            </w:tcBorders>
            <w:shd w:val="clear" w:color="auto" w:fill="244062"/>
            <w:vAlign w:val="center"/>
            <w:hideMark/>
          </w:tcPr>
          <w:p w14:paraId="5B567CE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90" w:type="dxa"/>
            <w:gridSpan w:val="3"/>
            <w:tcBorders>
              <w:top w:val="single" w:sz="8" w:space="0" w:color="auto"/>
              <w:left w:val="nil"/>
              <w:bottom w:val="single" w:sz="8" w:space="0" w:color="auto"/>
              <w:right w:val="single" w:sz="8" w:space="0" w:color="000000"/>
            </w:tcBorders>
            <w:vAlign w:val="center"/>
            <w:hideMark/>
          </w:tcPr>
          <w:p w14:paraId="200248B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Reduce GHG emissions in the waste sector by 13% by 2030 compared to 2010, reduction of biodegradable waste at landfills by 50% by 2032 and by 35% by 2039</w:t>
            </w:r>
          </w:p>
        </w:tc>
      </w:tr>
      <w:tr w:rsidR="00614438" w:rsidRPr="003E0710" w14:paraId="678DFF4F" w14:textId="77777777" w:rsidTr="00614438">
        <w:trPr>
          <w:gridAfter w:val="1"/>
          <w:wAfter w:w="222" w:type="dxa"/>
          <w:trHeight w:val="2295"/>
        </w:trPr>
        <w:tc>
          <w:tcPr>
            <w:tcW w:w="3268" w:type="dxa"/>
            <w:tcBorders>
              <w:top w:val="nil"/>
              <w:left w:val="single" w:sz="8" w:space="0" w:color="auto"/>
              <w:bottom w:val="single" w:sz="8" w:space="0" w:color="auto"/>
              <w:right w:val="single" w:sz="8" w:space="0" w:color="auto"/>
            </w:tcBorders>
            <w:shd w:val="clear" w:color="auto" w:fill="244062"/>
            <w:vAlign w:val="center"/>
            <w:hideMark/>
          </w:tcPr>
          <w:p w14:paraId="7A14485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90" w:type="dxa"/>
            <w:gridSpan w:val="3"/>
            <w:tcBorders>
              <w:top w:val="single" w:sz="8" w:space="0" w:color="auto"/>
              <w:left w:val="nil"/>
              <w:bottom w:val="single" w:sz="8" w:space="0" w:color="auto"/>
              <w:right w:val="single" w:sz="8" w:space="0" w:color="000000"/>
            </w:tcBorders>
            <w:vAlign w:val="center"/>
            <w:hideMark/>
          </w:tcPr>
          <w:p w14:paraId="77287E9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PM_D15 will promote actions concerning the integrated management of organic waste and include its separate collection and treatment, either aerobic or anaerobic, which may produce compost, digestion or other material and/or energy recovery. In addition, it is planned to strengthen and upgrade the recycling infrastructure in order to fully cover the needs of the country. As part of a comprehensive waste management plan, a number of waste treatment plants are expected to be constructed in order to reduce processing residues, aiming at diverting from landfill a percentage of at least 90% of the total municipal waste.</w:t>
            </w:r>
          </w:p>
        </w:tc>
      </w:tr>
      <w:tr w:rsidR="00614438" w:rsidRPr="003E0710" w14:paraId="15D3FCCF" w14:textId="77777777" w:rsidTr="00614438">
        <w:trPr>
          <w:gridAfter w:val="1"/>
          <w:wAfter w:w="222" w:type="dxa"/>
          <w:trHeight w:val="315"/>
        </w:trPr>
        <w:tc>
          <w:tcPr>
            <w:tcW w:w="3268" w:type="dxa"/>
            <w:tcBorders>
              <w:top w:val="nil"/>
              <w:left w:val="single" w:sz="8" w:space="0" w:color="auto"/>
              <w:bottom w:val="single" w:sz="8" w:space="0" w:color="auto"/>
              <w:right w:val="single" w:sz="8" w:space="0" w:color="auto"/>
            </w:tcBorders>
            <w:shd w:val="clear" w:color="auto" w:fill="244062"/>
            <w:vAlign w:val="center"/>
            <w:hideMark/>
          </w:tcPr>
          <w:p w14:paraId="4D88756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90" w:type="dxa"/>
            <w:gridSpan w:val="3"/>
            <w:tcBorders>
              <w:top w:val="single" w:sz="8" w:space="0" w:color="auto"/>
              <w:left w:val="nil"/>
              <w:bottom w:val="single" w:sz="8" w:space="0" w:color="auto"/>
              <w:right w:val="single" w:sz="8" w:space="0" w:color="000000"/>
            </w:tcBorders>
            <w:vAlign w:val="center"/>
            <w:hideMark/>
          </w:tcPr>
          <w:p w14:paraId="070CEC5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2024-203</w:t>
            </w:r>
            <w:r w:rsidR="006A0884" w:rsidRPr="003E0710">
              <w:rPr>
                <w:rFonts w:ascii="Times New Roman" w:hAnsi="Times New Roman" w:cs="Times New Roman"/>
                <w:sz w:val="20"/>
                <w:szCs w:val="20"/>
                <w:lang w:val="en-GB"/>
              </w:rPr>
              <w:t>0</w:t>
            </w:r>
          </w:p>
        </w:tc>
      </w:tr>
      <w:tr w:rsidR="00614438" w:rsidRPr="003E0710" w14:paraId="6844C579" w14:textId="77777777" w:rsidTr="00614438">
        <w:trPr>
          <w:gridAfter w:val="1"/>
          <w:wAfter w:w="222" w:type="dxa"/>
          <w:trHeight w:val="315"/>
        </w:trPr>
        <w:tc>
          <w:tcPr>
            <w:tcW w:w="3268" w:type="dxa"/>
            <w:tcBorders>
              <w:top w:val="nil"/>
              <w:left w:val="single" w:sz="8" w:space="0" w:color="auto"/>
              <w:bottom w:val="single" w:sz="8" w:space="0" w:color="auto"/>
              <w:right w:val="single" w:sz="8" w:space="0" w:color="auto"/>
            </w:tcBorders>
            <w:shd w:val="clear" w:color="auto" w:fill="244062"/>
            <w:vAlign w:val="center"/>
            <w:hideMark/>
          </w:tcPr>
          <w:p w14:paraId="009648F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90" w:type="dxa"/>
            <w:gridSpan w:val="3"/>
            <w:tcBorders>
              <w:top w:val="single" w:sz="8" w:space="0" w:color="auto"/>
              <w:left w:val="nil"/>
              <w:bottom w:val="single" w:sz="8" w:space="0" w:color="auto"/>
              <w:right w:val="single" w:sz="8" w:space="0" w:color="000000"/>
            </w:tcBorders>
            <w:vAlign w:val="center"/>
            <w:hideMark/>
          </w:tcPr>
          <w:p w14:paraId="20794B26" w14:textId="77777777" w:rsidR="00DE3EF6"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w:t>
            </w:r>
          </w:p>
        </w:tc>
      </w:tr>
      <w:tr w:rsidR="00614438" w:rsidRPr="003E0710" w14:paraId="1B7D68FD" w14:textId="77777777" w:rsidTr="00614438">
        <w:trPr>
          <w:gridAfter w:val="1"/>
          <w:wAfter w:w="222" w:type="dxa"/>
          <w:trHeight w:val="315"/>
        </w:trPr>
        <w:tc>
          <w:tcPr>
            <w:tcW w:w="3268" w:type="dxa"/>
            <w:tcBorders>
              <w:top w:val="nil"/>
              <w:left w:val="single" w:sz="8" w:space="0" w:color="auto"/>
              <w:bottom w:val="single" w:sz="8" w:space="0" w:color="auto"/>
              <w:right w:val="single" w:sz="8" w:space="0" w:color="auto"/>
            </w:tcBorders>
            <w:shd w:val="clear" w:color="auto" w:fill="244062"/>
            <w:vAlign w:val="center"/>
            <w:hideMark/>
          </w:tcPr>
          <w:p w14:paraId="3158A20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90" w:type="dxa"/>
            <w:gridSpan w:val="3"/>
            <w:tcBorders>
              <w:top w:val="single" w:sz="8" w:space="0" w:color="auto"/>
              <w:left w:val="nil"/>
              <w:bottom w:val="single" w:sz="8" w:space="0" w:color="auto"/>
              <w:right w:val="single" w:sz="8" w:space="0" w:color="000000"/>
            </w:tcBorders>
            <w:vAlign w:val="center"/>
            <w:hideMark/>
          </w:tcPr>
          <w:p w14:paraId="304D2B2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Waste</w:t>
            </w:r>
          </w:p>
        </w:tc>
      </w:tr>
      <w:tr w:rsidR="00614438" w:rsidRPr="003E0710" w14:paraId="42F3A186" w14:textId="77777777" w:rsidTr="00614438">
        <w:trPr>
          <w:gridAfter w:val="1"/>
          <w:wAfter w:w="222" w:type="dxa"/>
          <w:trHeight w:val="315"/>
        </w:trPr>
        <w:tc>
          <w:tcPr>
            <w:tcW w:w="3268" w:type="dxa"/>
            <w:tcBorders>
              <w:top w:val="nil"/>
              <w:left w:val="single" w:sz="8" w:space="0" w:color="auto"/>
              <w:bottom w:val="single" w:sz="8" w:space="0" w:color="auto"/>
              <w:right w:val="single" w:sz="8" w:space="0" w:color="auto"/>
            </w:tcBorders>
            <w:shd w:val="clear" w:color="auto" w:fill="244062"/>
            <w:vAlign w:val="center"/>
            <w:hideMark/>
          </w:tcPr>
          <w:p w14:paraId="3531620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90" w:type="dxa"/>
            <w:gridSpan w:val="3"/>
            <w:tcBorders>
              <w:top w:val="single" w:sz="8" w:space="0" w:color="auto"/>
              <w:left w:val="nil"/>
              <w:bottom w:val="single" w:sz="8" w:space="0" w:color="auto"/>
              <w:right w:val="single" w:sz="8" w:space="0" w:color="000000"/>
            </w:tcBorders>
            <w:vAlign w:val="center"/>
            <w:hideMark/>
          </w:tcPr>
          <w:p w14:paraId="4289FE75" w14:textId="77777777" w:rsidR="00614438" w:rsidRPr="003E0710" w:rsidRDefault="00614438" w:rsidP="003E0710">
            <w:pPr>
              <w:numPr>
                <w:ilvl w:val="0"/>
                <w:numId w:val="23"/>
              </w:numPr>
              <w:spacing w:after="0"/>
              <w:jc w:val="both"/>
              <w:rPr>
                <w:rFonts w:ascii="Times New Roman" w:hAnsi="Times New Roman" w:cs="Times New Roman"/>
                <w:sz w:val="20"/>
                <w:szCs w:val="20"/>
              </w:rPr>
            </w:pPr>
            <w:r w:rsidRPr="003E0710">
              <w:rPr>
                <w:rFonts w:ascii="Times New Roman" w:hAnsi="Times New Roman" w:cs="Times New Roman"/>
                <w:sz w:val="20"/>
                <w:szCs w:val="20"/>
              </w:rPr>
              <w:t xml:space="preserve">Ministry of Environmental Protection </w:t>
            </w:r>
          </w:p>
        </w:tc>
      </w:tr>
      <w:tr w:rsidR="00614438" w:rsidRPr="003E0710" w14:paraId="34DBC2DE" w14:textId="77777777" w:rsidTr="00614438">
        <w:trPr>
          <w:gridAfter w:val="1"/>
          <w:wAfter w:w="222" w:type="dxa"/>
          <w:trHeight w:val="315"/>
        </w:trPr>
        <w:tc>
          <w:tcPr>
            <w:tcW w:w="3268" w:type="dxa"/>
            <w:tcBorders>
              <w:top w:val="nil"/>
              <w:left w:val="single" w:sz="8" w:space="0" w:color="auto"/>
              <w:bottom w:val="single" w:sz="8" w:space="0" w:color="auto"/>
              <w:right w:val="nil"/>
            </w:tcBorders>
            <w:shd w:val="clear" w:color="auto" w:fill="244062"/>
            <w:vAlign w:val="center"/>
            <w:hideMark/>
          </w:tcPr>
          <w:p w14:paraId="1788756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90" w:type="dxa"/>
            <w:gridSpan w:val="3"/>
            <w:tcBorders>
              <w:top w:val="single" w:sz="8" w:space="0" w:color="auto"/>
              <w:left w:val="nil"/>
              <w:bottom w:val="single" w:sz="8" w:space="0" w:color="auto"/>
              <w:right w:val="single" w:sz="8" w:space="0" w:color="000000"/>
            </w:tcBorders>
            <w:vAlign w:val="center"/>
            <w:hideMark/>
          </w:tcPr>
          <w:p w14:paraId="690D0DEA" w14:textId="77777777" w:rsidR="00614438" w:rsidRPr="003E0710" w:rsidRDefault="00614438" w:rsidP="003E0710">
            <w:pPr>
              <w:numPr>
                <w:ilvl w:val="0"/>
                <w:numId w:val="2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Environmental Protection</w:t>
            </w:r>
          </w:p>
        </w:tc>
      </w:tr>
      <w:tr w:rsidR="00614438" w:rsidRPr="003E0710" w14:paraId="03BDAADD" w14:textId="77777777" w:rsidTr="00614438">
        <w:trPr>
          <w:gridAfter w:val="1"/>
          <w:wAfter w:w="222" w:type="dxa"/>
          <w:trHeight w:val="315"/>
        </w:trPr>
        <w:tc>
          <w:tcPr>
            <w:tcW w:w="3268" w:type="dxa"/>
            <w:tcBorders>
              <w:top w:val="nil"/>
              <w:left w:val="single" w:sz="8" w:space="0" w:color="auto"/>
              <w:bottom w:val="single" w:sz="8" w:space="0" w:color="auto"/>
              <w:right w:val="nil"/>
            </w:tcBorders>
            <w:shd w:val="clear" w:color="auto" w:fill="244062"/>
            <w:vAlign w:val="center"/>
            <w:hideMark/>
          </w:tcPr>
          <w:p w14:paraId="6DCF97F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90" w:type="dxa"/>
            <w:gridSpan w:val="3"/>
            <w:tcBorders>
              <w:top w:val="single" w:sz="8" w:space="0" w:color="auto"/>
              <w:left w:val="nil"/>
              <w:bottom w:val="single" w:sz="8" w:space="0" w:color="auto"/>
              <w:right w:val="single" w:sz="8" w:space="0" w:color="000000"/>
            </w:tcBorders>
            <w:vAlign w:val="center"/>
            <w:hideMark/>
          </w:tcPr>
          <w:p w14:paraId="5005A5F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Annual amount of emissions reduction from improved waste management practices (Gg CO</w:t>
            </w:r>
            <w:r w:rsidRPr="003E0710">
              <w:rPr>
                <w:rFonts w:ascii="Times New Roman" w:hAnsi="Times New Roman" w:cs="Times New Roman"/>
                <w:sz w:val="20"/>
                <w:szCs w:val="20"/>
                <w:vertAlign w:val="subscript"/>
                <w:lang w:val="en-GB"/>
              </w:rPr>
              <w:t>2</w:t>
            </w:r>
            <w:r w:rsidRPr="003E0710">
              <w:rPr>
                <w:rFonts w:ascii="Times New Roman" w:hAnsi="Times New Roman" w:cs="Times New Roman"/>
                <w:sz w:val="20"/>
                <w:szCs w:val="20"/>
                <w:lang w:val="en-GB"/>
              </w:rPr>
              <w:t>-eq)</w:t>
            </w:r>
          </w:p>
        </w:tc>
      </w:tr>
      <w:tr w:rsidR="00614438" w:rsidRPr="003E0710" w14:paraId="64FE6895" w14:textId="77777777" w:rsidTr="00614438">
        <w:trPr>
          <w:gridAfter w:val="1"/>
          <w:wAfter w:w="222" w:type="dxa"/>
          <w:trHeight w:val="423"/>
        </w:trPr>
        <w:tc>
          <w:tcPr>
            <w:tcW w:w="3268" w:type="dxa"/>
            <w:tcBorders>
              <w:top w:val="nil"/>
              <w:left w:val="single" w:sz="8" w:space="0" w:color="auto"/>
              <w:bottom w:val="single" w:sz="8" w:space="0" w:color="auto"/>
              <w:right w:val="single" w:sz="8" w:space="0" w:color="auto"/>
            </w:tcBorders>
            <w:shd w:val="clear" w:color="auto" w:fill="244062"/>
            <w:vAlign w:val="center"/>
            <w:hideMark/>
          </w:tcPr>
          <w:p w14:paraId="1E508C7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90" w:type="dxa"/>
            <w:gridSpan w:val="3"/>
            <w:tcBorders>
              <w:top w:val="single" w:sz="8" w:space="0" w:color="auto"/>
              <w:left w:val="nil"/>
              <w:bottom w:val="single" w:sz="8" w:space="0" w:color="auto"/>
              <w:right w:val="single" w:sz="8" w:space="0" w:color="000000"/>
            </w:tcBorders>
            <w:vAlign w:val="center"/>
          </w:tcPr>
          <w:p w14:paraId="132A9E0F"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1D429A9C" w14:textId="77777777" w:rsidTr="00614438">
        <w:trPr>
          <w:gridAfter w:val="1"/>
          <w:wAfter w:w="222" w:type="dxa"/>
          <w:trHeight w:val="458"/>
        </w:trPr>
        <w:tc>
          <w:tcPr>
            <w:tcW w:w="3268" w:type="dxa"/>
            <w:vMerge w:val="restart"/>
            <w:tcBorders>
              <w:top w:val="nil"/>
              <w:left w:val="single" w:sz="8" w:space="0" w:color="auto"/>
              <w:bottom w:val="single" w:sz="8" w:space="0" w:color="000000"/>
              <w:right w:val="single" w:sz="8" w:space="0" w:color="auto"/>
            </w:tcBorders>
            <w:shd w:val="clear" w:color="auto" w:fill="244062"/>
            <w:vAlign w:val="center"/>
            <w:hideMark/>
          </w:tcPr>
          <w:p w14:paraId="0EFF12B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9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A7ECB1A" w14:textId="77777777" w:rsidR="00614438" w:rsidRPr="003E0710" w:rsidRDefault="00614438" w:rsidP="003E0710">
            <w:pPr>
              <w:numPr>
                <w:ilvl w:val="0"/>
                <w:numId w:val="23"/>
              </w:numPr>
              <w:spacing w:after="0"/>
              <w:jc w:val="both"/>
              <w:rPr>
                <w:rFonts w:ascii="Times New Roman" w:hAnsi="Times New Roman" w:cs="Times New Roman"/>
                <w:sz w:val="20"/>
                <w:szCs w:val="20"/>
              </w:rPr>
            </w:pPr>
            <w:r w:rsidRPr="003E0710">
              <w:rPr>
                <w:rFonts w:ascii="Times New Roman" w:hAnsi="Times New Roman" w:cs="Times New Roman"/>
                <w:sz w:val="20"/>
                <w:szCs w:val="20"/>
              </w:rPr>
              <w:t>Regulation 2018/</w:t>
            </w:r>
            <w:r w:rsidR="006A0884" w:rsidRPr="003E0710">
              <w:rPr>
                <w:rFonts w:ascii="Times New Roman" w:hAnsi="Times New Roman" w:cs="Times New Roman"/>
                <w:sz w:val="20"/>
                <w:szCs w:val="20"/>
              </w:rPr>
              <w:t>842</w:t>
            </w:r>
          </w:p>
        </w:tc>
      </w:tr>
      <w:tr w:rsidR="00614438" w:rsidRPr="003E0710" w14:paraId="538AC8C6"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1F32174F"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FB4F3DC"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3BFC27AC"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26F617EA"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0E45453A"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27D67C3"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70026553"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17B376B4" w14:textId="77777777" w:rsidTr="00614438">
        <w:trPr>
          <w:trHeight w:val="315"/>
        </w:trPr>
        <w:tc>
          <w:tcPr>
            <w:tcW w:w="3268" w:type="dxa"/>
            <w:tcBorders>
              <w:top w:val="nil"/>
              <w:left w:val="single" w:sz="8" w:space="0" w:color="auto"/>
              <w:bottom w:val="single" w:sz="8" w:space="0" w:color="auto"/>
              <w:right w:val="single" w:sz="8" w:space="0" w:color="auto"/>
            </w:tcBorders>
            <w:shd w:val="clear" w:color="auto" w:fill="244062"/>
            <w:vAlign w:val="center"/>
            <w:hideMark/>
          </w:tcPr>
          <w:p w14:paraId="4A00421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90" w:type="dxa"/>
            <w:gridSpan w:val="3"/>
            <w:tcBorders>
              <w:top w:val="single" w:sz="8" w:space="0" w:color="auto"/>
              <w:left w:val="nil"/>
              <w:bottom w:val="single" w:sz="8" w:space="0" w:color="auto"/>
              <w:right w:val="single" w:sz="8" w:space="0" w:color="000000"/>
            </w:tcBorders>
            <w:vAlign w:val="center"/>
            <w:hideMark/>
          </w:tcPr>
          <w:p w14:paraId="06F4ADF9" w14:textId="77777777" w:rsidR="00614438" w:rsidRPr="003E0710" w:rsidRDefault="00614438" w:rsidP="003E0710">
            <w:pPr>
              <w:numPr>
                <w:ilvl w:val="0"/>
                <w:numId w:val="23"/>
              </w:numPr>
              <w:spacing w:after="0"/>
              <w:jc w:val="both"/>
              <w:rPr>
                <w:rFonts w:ascii="Times New Roman" w:hAnsi="Times New Roman" w:cs="Times New Roman"/>
                <w:sz w:val="20"/>
                <w:szCs w:val="20"/>
              </w:rPr>
            </w:pPr>
            <w:r w:rsidRPr="003E0710">
              <w:rPr>
                <w:rFonts w:ascii="Times New Roman" w:hAnsi="Times New Roman" w:cs="Times New Roman"/>
                <w:sz w:val="20"/>
                <w:szCs w:val="20"/>
              </w:rPr>
              <w:t>Waste Management Programme of the Republic of Serbia for the period 2022-2031</w:t>
            </w:r>
          </w:p>
        </w:tc>
        <w:tc>
          <w:tcPr>
            <w:tcW w:w="222" w:type="dxa"/>
            <w:vAlign w:val="center"/>
            <w:hideMark/>
          </w:tcPr>
          <w:p w14:paraId="73C2EAB7"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0C8CB976" w14:textId="77777777" w:rsidTr="00614438">
        <w:trPr>
          <w:trHeight w:val="315"/>
        </w:trPr>
        <w:tc>
          <w:tcPr>
            <w:tcW w:w="3268" w:type="dxa"/>
            <w:tcBorders>
              <w:top w:val="nil"/>
              <w:left w:val="single" w:sz="8" w:space="0" w:color="auto"/>
              <w:bottom w:val="single" w:sz="8" w:space="0" w:color="auto"/>
              <w:right w:val="single" w:sz="8" w:space="0" w:color="auto"/>
            </w:tcBorders>
            <w:shd w:val="clear" w:color="auto" w:fill="244062"/>
            <w:vAlign w:val="center"/>
            <w:hideMark/>
          </w:tcPr>
          <w:p w14:paraId="5ADD938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90" w:type="dxa"/>
            <w:gridSpan w:val="3"/>
            <w:tcBorders>
              <w:top w:val="single" w:sz="8" w:space="0" w:color="auto"/>
              <w:left w:val="nil"/>
              <w:bottom w:val="single" w:sz="8" w:space="0" w:color="auto"/>
              <w:right w:val="single" w:sz="8" w:space="0" w:color="000000"/>
            </w:tcBorders>
            <w:vAlign w:val="center"/>
            <w:hideMark/>
          </w:tcPr>
          <w:p w14:paraId="0172A95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80 M€</w:t>
            </w:r>
          </w:p>
        </w:tc>
        <w:tc>
          <w:tcPr>
            <w:tcW w:w="222" w:type="dxa"/>
            <w:vAlign w:val="center"/>
            <w:hideMark/>
          </w:tcPr>
          <w:p w14:paraId="26D6767F"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665385DB" w14:textId="77777777" w:rsidTr="00614438">
        <w:trPr>
          <w:trHeight w:val="315"/>
        </w:trPr>
        <w:tc>
          <w:tcPr>
            <w:tcW w:w="3268" w:type="dxa"/>
            <w:tcBorders>
              <w:top w:val="nil"/>
              <w:left w:val="single" w:sz="8" w:space="0" w:color="auto"/>
              <w:bottom w:val="single" w:sz="8" w:space="0" w:color="auto"/>
              <w:right w:val="single" w:sz="8" w:space="0" w:color="auto"/>
            </w:tcBorders>
            <w:shd w:val="clear" w:color="auto" w:fill="244062"/>
            <w:vAlign w:val="center"/>
            <w:hideMark/>
          </w:tcPr>
          <w:p w14:paraId="0DB3A24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90" w:type="dxa"/>
            <w:gridSpan w:val="3"/>
            <w:tcBorders>
              <w:top w:val="single" w:sz="8" w:space="0" w:color="auto"/>
              <w:left w:val="nil"/>
              <w:bottom w:val="single" w:sz="8" w:space="0" w:color="auto"/>
              <w:right w:val="single" w:sz="8" w:space="0" w:color="000000"/>
            </w:tcBorders>
            <w:vAlign w:val="center"/>
            <w:hideMark/>
          </w:tcPr>
          <w:p w14:paraId="3F6419D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7E3F880E" w14:textId="77777777" w:rsidR="00614438" w:rsidRPr="003E0710" w:rsidRDefault="00614438" w:rsidP="003E0710">
            <w:pPr>
              <w:spacing w:after="0"/>
              <w:jc w:val="both"/>
              <w:rPr>
                <w:rFonts w:ascii="Times New Roman" w:hAnsi="Times New Roman" w:cs="Times New Roman"/>
                <w:sz w:val="20"/>
                <w:szCs w:val="20"/>
                <w:lang w:val="en-GB"/>
              </w:rPr>
            </w:pPr>
          </w:p>
        </w:tc>
      </w:tr>
    </w:tbl>
    <w:p w14:paraId="2D431DAB"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75"/>
        <w:gridCol w:w="1114"/>
        <w:gridCol w:w="935"/>
        <w:gridCol w:w="4134"/>
        <w:gridCol w:w="222"/>
      </w:tblGrid>
      <w:tr w:rsidR="00614438" w:rsidRPr="003E0710" w14:paraId="7DDD0A30" w14:textId="77777777" w:rsidTr="00614438">
        <w:trPr>
          <w:gridAfter w:val="1"/>
          <w:wAfter w:w="222" w:type="dxa"/>
          <w:trHeight w:val="594"/>
        </w:trPr>
        <w:tc>
          <w:tcPr>
            <w:tcW w:w="3275"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02D5ED4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1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63FDAE6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PM_D16</w:t>
            </w:r>
          </w:p>
        </w:tc>
        <w:tc>
          <w:tcPr>
            <w:tcW w:w="935" w:type="dxa"/>
            <w:tcBorders>
              <w:top w:val="single" w:sz="8" w:space="0" w:color="auto"/>
              <w:left w:val="nil"/>
              <w:bottom w:val="single" w:sz="8" w:space="0" w:color="auto"/>
              <w:right w:val="single" w:sz="8" w:space="0" w:color="auto"/>
            </w:tcBorders>
            <w:shd w:val="clear" w:color="auto" w:fill="244062"/>
            <w:vAlign w:val="center"/>
            <w:hideMark/>
          </w:tcPr>
          <w:p w14:paraId="1618F3A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134" w:type="dxa"/>
            <w:tcBorders>
              <w:top w:val="single" w:sz="8" w:space="0" w:color="auto"/>
              <w:left w:val="nil"/>
              <w:bottom w:val="single" w:sz="8" w:space="0" w:color="auto"/>
              <w:right w:val="single" w:sz="8" w:space="0" w:color="auto"/>
            </w:tcBorders>
            <w:shd w:val="clear" w:color="auto" w:fill="E7E6E6" w:themeFill="background2"/>
            <w:vAlign w:val="center"/>
            <w:hideMark/>
          </w:tcPr>
          <w:p w14:paraId="564706C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Higher percentage of municipal solid waste treated by biological treatment options </w:t>
            </w:r>
          </w:p>
        </w:tc>
      </w:tr>
      <w:tr w:rsidR="00614438" w:rsidRPr="003E0710" w14:paraId="37986517" w14:textId="77777777" w:rsidTr="00614438">
        <w:trPr>
          <w:gridAfter w:val="1"/>
          <w:wAfter w:w="222" w:type="dxa"/>
          <w:trHeight w:val="405"/>
        </w:trPr>
        <w:tc>
          <w:tcPr>
            <w:tcW w:w="3275" w:type="dxa"/>
            <w:tcBorders>
              <w:top w:val="nil"/>
              <w:left w:val="single" w:sz="8" w:space="0" w:color="auto"/>
              <w:bottom w:val="single" w:sz="8" w:space="0" w:color="auto"/>
              <w:right w:val="nil"/>
            </w:tcBorders>
            <w:shd w:val="clear" w:color="auto" w:fill="244062"/>
            <w:vAlign w:val="center"/>
            <w:hideMark/>
          </w:tcPr>
          <w:p w14:paraId="23DCCF3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83" w:type="dxa"/>
            <w:gridSpan w:val="3"/>
            <w:tcBorders>
              <w:top w:val="single" w:sz="8" w:space="0" w:color="auto"/>
              <w:left w:val="nil"/>
              <w:bottom w:val="single" w:sz="8" w:space="0" w:color="auto"/>
              <w:right w:val="single" w:sz="8" w:space="0" w:color="000000"/>
            </w:tcBorders>
            <w:vAlign w:val="center"/>
            <w:hideMark/>
          </w:tcPr>
          <w:p w14:paraId="690673E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 GHG emissions reduction</w:t>
            </w:r>
          </w:p>
        </w:tc>
      </w:tr>
      <w:tr w:rsidR="00614438" w:rsidRPr="003E0710" w14:paraId="0A1EE85B" w14:textId="77777777" w:rsidTr="00614438">
        <w:trPr>
          <w:gridAfter w:val="1"/>
          <w:wAfter w:w="222" w:type="dxa"/>
          <w:trHeight w:val="315"/>
        </w:trPr>
        <w:tc>
          <w:tcPr>
            <w:tcW w:w="3275" w:type="dxa"/>
            <w:tcBorders>
              <w:top w:val="nil"/>
              <w:left w:val="single" w:sz="8" w:space="0" w:color="auto"/>
              <w:bottom w:val="single" w:sz="8" w:space="0" w:color="auto"/>
              <w:right w:val="single" w:sz="8" w:space="0" w:color="auto"/>
            </w:tcBorders>
            <w:shd w:val="clear" w:color="auto" w:fill="244062"/>
            <w:vAlign w:val="center"/>
            <w:hideMark/>
          </w:tcPr>
          <w:p w14:paraId="6C6B01D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 xml:space="preserve">Quantified objective: </w:t>
            </w:r>
          </w:p>
        </w:tc>
        <w:tc>
          <w:tcPr>
            <w:tcW w:w="6183" w:type="dxa"/>
            <w:gridSpan w:val="3"/>
            <w:tcBorders>
              <w:top w:val="single" w:sz="8" w:space="0" w:color="auto"/>
              <w:left w:val="nil"/>
              <w:bottom w:val="single" w:sz="8" w:space="0" w:color="auto"/>
              <w:right w:val="single" w:sz="8" w:space="0" w:color="000000"/>
            </w:tcBorders>
            <w:vAlign w:val="center"/>
            <w:hideMark/>
          </w:tcPr>
          <w:p w14:paraId="603270D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Reduce GHG emissions in the waste sector by 13% by 2030 compared to 2010</w:t>
            </w:r>
          </w:p>
        </w:tc>
      </w:tr>
      <w:tr w:rsidR="00614438" w:rsidRPr="003E0710" w14:paraId="2119487F" w14:textId="77777777" w:rsidTr="00614438">
        <w:trPr>
          <w:gridAfter w:val="1"/>
          <w:wAfter w:w="222" w:type="dxa"/>
          <w:trHeight w:val="1242"/>
        </w:trPr>
        <w:tc>
          <w:tcPr>
            <w:tcW w:w="3275" w:type="dxa"/>
            <w:tcBorders>
              <w:top w:val="nil"/>
              <w:left w:val="single" w:sz="8" w:space="0" w:color="auto"/>
              <w:bottom w:val="single" w:sz="8" w:space="0" w:color="auto"/>
              <w:right w:val="single" w:sz="8" w:space="0" w:color="auto"/>
            </w:tcBorders>
            <w:shd w:val="clear" w:color="auto" w:fill="244062"/>
            <w:vAlign w:val="center"/>
            <w:hideMark/>
          </w:tcPr>
          <w:p w14:paraId="5EC4AA2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83" w:type="dxa"/>
            <w:gridSpan w:val="3"/>
            <w:tcBorders>
              <w:top w:val="single" w:sz="8" w:space="0" w:color="auto"/>
              <w:left w:val="nil"/>
              <w:bottom w:val="single" w:sz="8" w:space="0" w:color="auto"/>
              <w:right w:val="single" w:sz="8" w:space="0" w:color="000000"/>
            </w:tcBorders>
            <w:vAlign w:val="center"/>
            <w:hideMark/>
          </w:tcPr>
          <w:p w14:paraId="39C04B6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PM_D16 will promote the municipal waste treatment through biological treatment options, namely composting and anaerobic digestion of organic waste, such as food waste, garden (yard) and park waste and sludge. The end-products of the biological treatment can, depending on its quality, be recycled as fertiliser and soil amendment, or be utilized at the landfill as recultivation layer.</w:t>
            </w:r>
          </w:p>
        </w:tc>
      </w:tr>
      <w:tr w:rsidR="00614438" w:rsidRPr="003E0710" w14:paraId="5DD7D855" w14:textId="77777777" w:rsidTr="00614438">
        <w:trPr>
          <w:gridAfter w:val="1"/>
          <w:wAfter w:w="222" w:type="dxa"/>
          <w:trHeight w:val="315"/>
        </w:trPr>
        <w:tc>
          <w:tcPr>
            <w:tcW w:w="3275" w:type="dxa"/>
            <w:tcBorders>
              <w:top w:val="nil"/>
              <w:left w:val="single" w:sz="8" w:space="0" w:color="auto"/>
              <w:bottom w:val="single" w:sz="8" w:space="0" w:color="auto"/>
              <w:right w:val="single" w:sz="8" w:space="0" w:color="auto"/>
            </w:tcBorders>
            <w:shd w:val="clear" w:color="auto" w:fill="244062"/>
            <w:vAlign w:val="center"/>
            <w:hideMark/>
          </w:tcPr>
          <w:p w14:paraId="61FEEBB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83" w:type="dxa"/>
            <w:gridSpan w:val="3"/>
            <w:tcBorders>
              <w:top w:val="single" w:sz="8" w:space="0" w:color="auto"/>
              <w:left w:val="nil"/>
              <w:bottom w:val="single" w:sz="8" w:space="0" w:color="auto"/>
              <w:right w:val="single" w:sz="8" w:space="0" w:color="000000"/>
            </w:tcBorders>
            <w:vAlign w:val="center"/>
            <w:hideMark/>
          </w:tcPr>
          <w:p w14:paraId="0BA541B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2024-2030</w:t>
            </w:r>
          </w:p>
        </w:tc>
      </w:tr>
      <w:tr w:rsidR="00614438" w:rsidRPr="003E0710" w14:paraId="6256333F" w14:textId="77777777" w:rsidTr="00614438">
        <w:trPr>
          <w:gridAfter w:val="1"/>
          <w:wAfter w:w="222" w:type="dxa"/>
          <w:trHeight w:val="315"/>
        </w:trPr>
        <w:tc>
          <w:tcPr>
            <w:tcW w:w="3275" w:type="dxa"/>
            <w:tcBorders>
              <w:top w:val="nil"/>
              <w:left w:val="single" w:sz="8" w:space="0" w:color="auto"/>
              <w:bottom w:val="single" w:sz="8" w:space="0" w:color="auto"/>
              <w:right w:val="single" w:sz="8" w:space="0" w:color="auto"/>
            </w:tcBorders>
            <w:shd w:val="clear" w:color="auto" w:fill="244062"/>
            <w:vAlign w:val="center"/>
            <w:hideMark/>
          </w:tcPr>
          <w:p w14:paraId="3C932B9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83" w:type="dxa"/>
            <w:gridSpan w:val="3"/>
            <w:tcBorders>
              <w:top w:val="single" w:sz="8" w:space="0" w:color="auto"/>
              <w:left w:val="nil"/>
              <w:bottom w:val="single" w:sz="8" w:space="0" w:color="auto"/>
              <w:right w:val="single" w:sz="8" w:space="0" w:color="000000"/>
            </w:tcBorders>
            <w:vAlign w:val="center"/>
            <w:hideMark/>
          </w:tcPr>
          <w:p w14:paraId="74FB28B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w:t>
            </w:r>
          </w:p>
        </w:tc>
      </w:tr>
      <w:tr w:rsidR="00614438" w:rsidRPr="003E0710" w14:paraId="67B7281B" w14:textId="77777777" w:rsidTr="00614438">
        <w:trPr>
          <w:gridAfter w:val="1"/>
          <w:wAfter w:w="222" w:type="dxa"/>
          <w:trHeight w:val="315"/>
        </w:trPr>
        <w:tc>
          <w:tcPr>
            <w:tcW w:w="3275" w:type="dxa"/>
            <w:tcBorders>
              <w:top w:val="nil"/>
              <w:left w:val="single" w:sz="8" w:space="0" w:color="auto"/>
              <w:bottom w:val="single" w:sz="8" w:space="0" w:color="auto"/>
              <w:right w:val="single" w:sz="8" w:space="0" w:color="auto"/>
            </w:tcBorders>
            <w:shd w:val="clear" w:color="auto" w:fill="244062"/>
            <w:vAlign w:val="center"/>
            <w:hideMark/>
          </w:tcPr>
          <w:p w14:paraId="1FF8E36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83" w:type="dxa"/>
            <w:gridSpan w:val="3"/>
            <w:tcBorders>
              <w:top w:val="single" w:sz="8" w:space="0" w:color="auto"/>
              <w:left w:val="nil"/>
              <w:bottom w:val="single" w:sz="8" w:space="0" w:color="auto"/>
              <w:right w:val="single" w:sz="8" w:space="0" w:color="000000"/>
            </w:tcBorders>
            <w:vAlign w:val="center"/>
            <w:hideMark/>
          </w:tcPr>
          <w:p w14:paraId="2A38FFB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Waste</w:t>
            </w:r>
          </w:p>
        </w:tc>
      </w:tr>
      <w:tr w:rsidR="00614438" w:rsidRPr="003E0710" w14:paraId="356C6432" w14:textId="77777777" w:rsidTr="00614438">
        <w:trPr>
          <w:gridAfter w:val="1"/>
          <w:wAfter w:w="222" w:type="dxa"/>
          <w:trHeight w:val="315"/>
        </w:trPr>
        <w:tc>
          <w:tcPr>
            <w:tcW w:w="3275" w:type="dxa"/>
            <w:tcBorders>
              <w:top w:val="nil"/>
              <w:left w:val="single" w:sz="8" w:space="0" w:color="auto"/>
              <w:bottom w:val="single" w:sz="8" w:space="0" w:color="auto"/>
              <w:right w:val="single" w:sz="8" w:space="0" w:color="auto"/>
            </w:tcBorders>
            <w:shd w:val="clear" w:color="auto" w:fill="244062"/>
            <w:vAlign w:val="center"/>
            <w:hideMark/>
          </w:tcPr>
          <w:p w14:paraId="788A941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83" w:type="dxa"/>
            <w:gridSpan w:val="3"/>
            <w:tcBorders>
              <w:top w:val="single" w:sz="8" w:space="0" w:color="auto"/>
              <w:left w:val="nil"/>
              <w:bottom w:val="single" w:sz="8" w:space="0" w:color="auto"/>
              <w:right w:val="single" w:sz="8" w:space="0" w:color="000000"/>
            </w:tcBorders>
            <w:vAlign w:val="center"/>
            <w:hideMark/>
          </w:tcPr>
          <w:p w14:paraId="775FE8A1" w14:textId="77777777" w:rsidR="00614438" w:rsidRPr="003E0710" w:rsidRDefault="00614438" w:rsidP="003E0710">
            <w:pPr>
              <w:numPr>
                <w:ilvl w:val="0"/>
                <w:numId w:val="24"/>
              </w:numPr>
              <w:spacing w:after="0"/>
              <w:jc w:val="both"/>
              <w:rPr>
                <w:rFonts w:ascii="Times New Roman" w:hAnsi="Times New Roman" w:cs="Times New Roman"/>
                <w:sz w:val="20"/>
                <w:szCs w:val="20"/>
              </w:rPr>
            </w:pPr>
            <w:r w:rsidRPr="003E0710">
              <w:rPr>
                <w:rFonts w:ascii="Times New Roman" w:hAnsi="Times New Roman" w:cs="Times New Roman"/>
                <w:sz w:val="20"/>
                <w:szCs w:val="20"/>
              </w:rPr>
              <w:t xml:space="preserve">Ministry of Environmental Protection </w:t>
            </w:r>
          </w:p>
        </w:tc>
      </w:tr>
      <w:tr w:rsidR="00614438" w:rsidRPr="003E0710" w14:paraId="515C2CC8" w14:textId="77777777" w:rsidTr="00614438">
        <w:trPr>
          <w:gridAfter w:val="1"/>
          <w:wAfter w:w="222" w:type="dxa"/>
          <w:trHeight w:val="315"/>
        </w:trPr>
        <w:tc>
          <w:tcPr>
            <w:tcW w:w="3275" w:type="dxa"/>
            <w:tcBorders>
              <w:top w:val="nil"/>
              <w:left w:val="single" w:sz="8" w:space="0" w:color="auto"/>
              <w:bottom w:val="single" w:sz="8" w:space="0" w:color="auto"/>
              <w:right w:val="nil"/>
            </w:tcBorders>
            <w:shd w:val="clear" w:color="auto" w:fill="244062"/>
            <w:vAlign w:val="center"/>
            <w:hideMark/>
          </w:tcPr>
          <w:p w14:paraId="1A4CA7C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83" w:type="dxa"/>
            <w:gridSpan w:val="3"/>
            <w:tcBorders>
              <w:top w:val="single" w:sz="8" w:space="0" w:color="auto"/>
              <w:left w:val="nil"/>
              <w:bottom w:val="single" w:sz="8" w:space="0" w:color="auto"/>
              <w:right w:val="single" w:sz="8" w:space="0" w:color="000000"/>
            </w:tcBorders>
            <w:vAlign w:val="center"/>
            <w:hideMark/>
          </w:tcPr>
          <w:p w14:paraId="09CE7B48" w14:textId="77777777" w:rsidR="00614438" w:rsidRPr="003E0710" w:rsidRDefault="00614438" w:rsidP="003E0710">
            <w:pPr>
              <w:numPr>
                <w:ilvl w:val="0"/>
                <w:numId w:val="24"/>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Environmental Protection</w:t>
            </w:r>
          </w:p>
        </w:tc>
      </w:tr>
      <w:tr w:rsidR="00614438" w:rsidRPr="003E0710" w14:paraId="57F74B2B" w14:textId="77777777" w:rsidTr="00614438">
        <w:trPr>
          <w:gridAfter w:val="1"/>
          <w:wAfter w:w="222" w:type="dxa"/>
          <w:trHeight w:val="315"/>
        </w:trPr>
        <w:tc>
          <w:tcPr>
            <w:tcW w:w="3275" w:type="dxa"/>
            <w:tcBorders>
              <w:top w:val="nil"/>
              <w:left w:val="single" w:sz="8" w:space="0" w:color="auto"/>
              <w:bottom w:val="single" w:sz="8" w:space="0" w:color="auto"/>
              <w:right w:val="nil"/>
            </w:tcBorders>
            <w:shd w:val="clear" w:color="auto" w:fill="244062"/>
            <w:vAlign w:val="center"/>
            <w:hideMark/>
          </w:tcPr>
          <w:p w14:paraId="582ED44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83" w:type="dxa"/>
            <w:gridSpan w:val="3"/>
            <w:tcBorders>
              <w:top w:val="single" w:sz="8" w:space="0" w:color="auto"/>
              <w:left w:val="nil"/>
              <w:bottom w:val="single" w:sz="8" w:space="0" w:color="auto"/>
              <w:right w:val="single" w:sz="8" w:space="0" w:color="000000"/>
            </w:tcBorders>
            <w:vAlign w:val="center"/>
            <w:hideMark/>
          </w:tcPr>
          <w:p w14:paraId="179205D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Annual amount of emissions reduction (Gg CO</w:t>
            </w:r>
            <w:r w:rsidRPr="003E0710">
              <w:rPr>
                <w:rFonts w:ascii="Times New Roman" w:hAnsi="Times New Roman" w:cs="Times New Roman"/>
                <w:sz w:val="20"/>
                <w:szCs w:val="20"/>
                <w:vertAlign w:val="subscript"/>
                <w:lang w:val="en-GB"/>
              </w:rPr>
              <w:t>2</w:t>
            </w:r>
            <w:r w:rsidRPr="003E0710">
              <w:rPr>
                <w:rFonts w:ascii="Times New Roman" w:hAnsi="Times New Roman" w:cs="Times New Roman"/>
                <w:sz w:val="20"/>
                <w:szCs w:val="20"/>
                <w:lang w:val="en-GB"/>
              </w:rPr>
              <w:t>-eq) and annual amount of CH4 (Gg) captured</w:t>
            </w:r>
          </w:p>
        </w:tc>
      </w:tr>
      <w:tr w:rsidR="00614438" w:rsidRPr="003E0710" w14:paraId="406A8460" w14:textId="77777777" w:rsidTr="00614438">
        <w:trPr>
          <w:gridAfter w:val="1"/>
          <w:wAfter w:w="222" w:type="dxa"/>
          <w:trHeight w:val="493"/>
        </w:trPr>
        <w:tc>
          <w:tcPr>
            <w:tcW w:w="3275" w:type="dxa"/>
            <w:tcBorders>
              <w:top w:val="nil"/>
              <w:left w:val="single" w:sz="8" w:space="0" w:color="auto"/>
              <w:bottom w:val="single" w:sz="8" w:space="0" w:color="auto"/>
              <w:right w:val="single" w:sz="8" w:space="0" w:color="auto"/>
            </w:tcBorders>
            <w:shd w:val="clear" w:color="auto" w:fill="244062"/>
            <w:vAlign w:val="center"/>
            <w:hideMark/>
          </w:tcPr>
          <w:p w14:paraId="450B9BB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83" w:type="dxa"/>
            <w:gridSpan w:val="3"/>
            <w:tcBorders>
              <w:top w:val="single" w:sz="8" w:space="0" w:color="auto"/>
              <w:left w:val="nil"/>
              <w:bottom w:val="single" w:sz="8" w:space="0" w:color="auto"/>
              <w:right w:val="single" w:sz="8" w:space="0" w:color="000000"/>
            </w:tcBorders>
            <w:vAlign w:val="center"/>
          </w:tcPr>
          <w:p w14:paraId="6960C4CB"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60CDE8BA" w14:textId="77777777" w:rsidTr="00614438">
        <w:trPr>
          <w:gridAfter w:val="1"/>
          <w:wAfter w:w="222" w:type="dxa"/>
          <w:trHeight w:val="458"/>
        </w:trPr>
        <w:tc>
          <w:tcPr>
            <w:tcW w:w="3275" w:type="dxa"/>
            <w:vMerge w:val="restart"/>
            <w:tcBorders>
              <w:top w:val="nil"/>
              <w:left w:val="single" w:sz="8" w:space="0" w:color="auto"/>
              <w:bottom w:val="single" w:sz="8" w:space="0" w:color="000000"/>
              <w:right w:val="single" w:sz="8" w:space="0" w:color="auto"/>
            </w:tcBorders>
            <w:shd w:val="clear" w:color="auto" w:fill="244062"/>
            <w:vAlign w:val="center"/>
            <w:hideMark/>
          </w:tcPr>
          <w:p w14:paraId="51652E8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83"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1B751E7" w14:textId="77777777" w:rsidR="00614438" w:rsidRPr="003E0710" w:rsidRDefault="00614438" w:rsidP="003E0710">
            <w:pPr>
              <w:numPr>
                <w:ilvl w:val="0"/>
                <w:numId w:val="25"/>
              </w:numPr>
              <w:spacing w:after="0"/>
              <w:jc w:val="both"/>
              <w:rPr>
                <w:rFonts w:ascii="Times New Roman" w:hAnsi="Times New Roman" w:cs="Times New Roman"/>
                <w:sz w:val="20"/>
                <w:szCs w:val="20"/>
              </w:rPr>
            </w:pPr>
            <w:r w:rsidRPr="003E0710">
              <w:rPr>
                <w:rFonts w:ascii="Times New Roman" w:hAnsi="Times New Roman" w:cs="Times New Roman"/>
                <w:sz w:val="20"/>
                <w:szCs w:val="20"/>
              </w:rPr>
              <w:t>Regulation 2018/1999</w:t>
            </w:r>
          </w:p>
        </w:tc>
      </w:tr>
      <w:tr w:rsidR="00614438" w:rsidRPr="003E0710" w14:paraId="0802B5A4"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5666114B"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4B24F67"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679CDE22"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193EA576"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6AFF0EA5"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5E1C760"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51AA9C65"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77881F99" w14:textId="77777777" w:rsidTr="00614438">
        <w:trPr>
          <w:trHeight w:val="385"/>
        </w:trPr>
        <w:tc>
          <w:tcPr>
            <w:tcW w:w="3275" w:type="dxa"/>
            <w:tcBorders>
              <w:top w:val="nil"/>
              <w:left w:val="single" w:sz="8" w:space="0" w:color="auto"/>
              <w:bottom w:val="single" w:sz="8" w:space="0" w:color="auto"/>
              <w:right w:val="single" w:sz="8" w:space="0" w:color="auto"/>
            </w:tcBorders>
            <w:shd w:val="clear" w:color="auto" w:fill="244062"/>
            <w:vAlign w:val="center"/>
            <w:hideMark/>
          </w:tcPr>
          <w:p w14:paraId="135E606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83" w:type="dxa"/>
            <w:gridSpan w:val="3"/>
            <w:tcBorders>
              <w:top w:val="single" w:sz="8" w:space="0" w:color="auto"/>
              <w:left w:val="nil"/>
              <w:bottom w:val="single" w:sz="8" w:space="0" w:color="auto"/>
              <w:right w:val="single" w:sz="8" w:space="0" w:color="000000"/>
            </w:tcBorders>
            <w:vAlign w:val="center"/>
            <w:hideMark/>
          </w:tcPr>
          <w:p w14:paraId="26A45224" w14:textId="77777777" w:rsidR="00614438" w:rsidRPr="003E0710" w:rsidRDefault="00614438" w:rsidP="003E0710">
            <w:pPr>
              <w:numPr>
                <w:ilvl w:val="0"/>
                <w:numId w:val="25"/>
              </w:numPr>
              <w:spacing w:after="0"/>
              <w:jc w:val="both"/>
              <w:rPr>
                <w:rFonts w:ascii="Times New Roman" w:hAnsi="Times New Roman" w:cs="Times New Roman"/>
                <w:sz w:val="20"/>
                <w:szCs w:val="20"/>
              </w:rPr>
            </w:pPr>
            <w:r w:rsidRPr="003E0710">
              <w:rPr>
                <w:rFonts w:ascii="Times New Roman" w:hAnsi="Times New Roman" w:cs="Times New Roman"/>
                <w:sz w:val="20"/>
                <w:szCs w:val="20"/>
              </w:rPr>
              <w:t>Waste Management Programme of the Republic of Serbia for the period 2022-2031</w:t>
            </w:r>
          </w:p>
        </w:tc>
        <w:tc>
          <w:tcPr>
            <w:tcW w:w="222" w:type="dxa"/>
            <w:vAlign w:val="center"/>
            <w:hideMark/>
          </w:tcPr>
          <w:p w14:paraId="08EFEDF2"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3531E23" w14:textId="77777777" w:rsidTr="00614438">
        <w:trPr>
          <w:trHeight w:val="315"/>
        </w:trPr>
        <w:tc>
          <w:tcPr>
            <w:tcW w:w="3275" w:type="dxa"/>
            <w:tcBorders>
              <w:top w:val="nil"/>
              <w:left w:val="single" w:sz="8" w:space="0" w:color="auto"/>
              <w:bottom w:val="single" w:sz="8" w:space="0" w:color="auto"/>
              <w:right w:val="single" w:sz="8" w:space="0" w:color="auto"/>
            </w:tcBorders>
            <w:shd w:val="clear" w:color="auto" w:fill="244062"/>
            <w:vAlign w:val="center"/>
            <w:hideMark/>
          </w:tcPr>
          <w:p w14:paraId="3C3123B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83" w:type="dxa"/>
            <w:gridSpan w:val="3"/>
            <w:tcBorders>
              <w:top w:val="single" w:sz="8" w:space="0" w:color="auto"/>
              <w:left w:val="nil"/>
              <w:bottom w:val="single" w:sz="8" w:space="0" w:color="auto"/>
              <w:right w:val="single" w:sz="8" w:space="0" w:color="000000"/>
            </w:tcBorders>
            <w:vAlign w:val="center"/>
            <w:hideMark/>
          </w:tcPr>
          <w:p w14:paraId="4435374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85 M€</w:t>
            </w:r>
          </w:p>
        </w:tc>
        <w:tc>
          <w:tcPr>
            <w:tcW w:w="222" w:type="dxa"/>
            <w:vAlign w:val="center"/>
            <w:hideMark/>
          </w:tcPr>
          <w:p w14:paraId="48962696"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03F46C6F" w14:textId="77777777" w:rsidTr="00614438">
        <w:trPr>
          <w:trHeight w:val="315"/>
        </w:trPr>
        <w:tc>
          <w:tcPr>
            <w:tcW w:w="3275" w:type="dxa"/>
            <w:tcBorders>
              <w:top w:val="nil"/>
              <w:left w:val="single" w:sz="8" w:space="0" w:color="auto"/>
              <w:bottom w:val="single" w:sz="8" w:space="0" w:color="auto"/>
              <w:right w:val="single" w:sz="8" w:space="0" w:color="auto"/>
            </w:tcBorders>
            <w:shd w:val="clear" w:color="auto" w:fill="244062"/>
            <w:vAlign w:val="center"/>
            <w:hideMark/>
          </w:tcPr>
          <w:p w14:paraId="66B7EFC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83" w:type="dxa"/>
            <w:gridSpan w:val="3"/>
            <w:tcBorders>
              <w:top w:val="single" w:sz="8" w:space="0" w:color="auto"/>
              <w:left w:val="nil"/>
              <w:bottom w:val="single" w:sz="8" w:space="0" w:color="auto"/>
              <w:right w:val="single" w:sz="8" w:space="0" w:color="000000"/>
            </w:tcBorders>
            <w:vAlign w:val="center"/>
            <w:hideMark/>
          </w:tcPr>
          <w:p w14:paraId="397718B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28FCC3E8" w14:textId="77777777" w:rsidR="00614438" w:rsidRPr="003E0710" w:rsidRDefault="00614438" w:rsidP="003E0710">
            <w:pPr>
              <w:spacing w:after="0"/>
              <w:jc w:val="both"/>
              <w:rPr>
                <w:rFonts w:ascii="Times New Roman" w:hAnsi="Times New Roman" w:cs="Times New Roman"/>
                <w:sz w:val="20"/>
                <w:szCs w:val="20"/>
                <w:lang w:val="en-GB"/>
              </w:rPr>
            </w:pPr>
          </w:p>
        </w:tc>
      </w:tr>
    </w:tbl>
    <w:p w14:paraId="52F086EF"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76"/>
        <w:gridCol w:w="1114"/>
        <w:gridCol w:w="936"/>
        <w:gridCol w:w="4132"/>
        <w:gridCol w:w="222"/>
      </w:tblGrid>
      <w:tr w:rsidR="00614438" w:rsidRPr="003E0710" w14:paraId="758F965A" w14:textId="77777777" w:rsidTr="00614438">
        <w:trPr>
          <w:gridAfter w:val="1"/>
          <w:wAfter w:w="222" w:type="dxa"/>
          <w:trHeight w:val="780"/>
        </w:trPr>
        <w:tc>
          <w:tcPr>
            <w:tcW w:w="3276"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707569E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1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636C65A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PM_D17</w:t>
            </w:r>
          </w:p>
        </w:tc>
        <w:tc>
          <w:tcPr>
            <w:tcW w:w="936" w:type="dxa"/>
            <w:tcBorders>
              <w:top w:val="single" w:sz="8" w:space="0" w:color="auto"/>
              <w:left w:val="nil"/>
              <w:bottom w:val="single" w:sz="8" w:space="0" w:color="auto"/>
              <w:right w:val="single" w:sz="8" w:space="0" w:color="auto"/>
            </w:tcBorders>
            <w:shd w:val="clear" w:color="auto" w:fill="244062"/>
            <w:vAlign w:val="center"/>
            <w:hideMark/>
          </w:tcPr>
          <w:p w14:paraId="5085CF3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132" w:type="dxa"/>
            <w:tcBorders>
              <w:top w:val="single" w:sz="8" w:space="0" w:color="auto"/>
              <w:left w:val="nil"/>
              <w:bottom w:val="single" w:sz="8" w:space="0" w:color="auto"/>
              <w:right w:val="single" w:sz="8" w:space="0" w:color="auto"/>
            </w:tcBorders>
            <w:shd w:val="clear" w:color="auto" w:fill="E7E6E6" w:themeFill="background2"/>
            <w:vAlign w:val="center"/>
            <w:hideMark/>
          </w:tcPr>
          <w:p w14:paraId="386AD58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Utilisation of the entire amount of methane (CH</w:t>
            </w:r>
            <w:r w:rsidRPr="003E0710">
              <w:rPr>
                <w:rFonts w:ascii="Times New Roman" w:hAnsi="Times New Roman" w:cs="Times New Roman"/>
                <w:sz w:val="20"/>
                <w:szCs w:val="20"/>
                <w:vertAlign w:val="subscript"/>
                <w:lang w:val="en-GB"/>
              </w:rPr>
              <w:t>4</w:t>
            </w:r>
            <w:r w:rsidRPr="003E0710">
              <w:rPr>
                <w:rFonts w:ascii="Times New Roman" w:hAnsi="Times New Roman" w:cs="Times New Roman"/>
                <w:sz w:val="20"/>
                <w:szCs w:val="20"/>
                <w:lang w:val="en-GB"/>
              </w:rPr>
              <w:t xml:space="preserve">) generated from all the dumped quantities of waste that end up in sanitary landfills </w:t>
            </w:r>
          </w:p>
        </w:tc>
      </w:tr>
      <w:tr w:rsidR="00614438" w:rsidRPr="003E0710" w14:paraId="490245AA" w14:textId="77777777" w:rsidTr="00614438">
        <w:trPr>
          <w:gridAfter w:val="1"/>
          <w:wAfter w:w="222" w:type="dxa"/>
          <w:trHeight w:val="435"/>
        </w:trPr>
        <w:tc>
          <w:tcPr>
            <w:tcW w:w="3276" w:type="dxa"/>
            <w:tcBorders>
              <w:top w:val="nil"/>
              <w:left w:val="single" w:sz="8" w:space="0" w:color="auto"/>
              <w:bottom w:val="single" w:sz="8" w:space="0" w:color="auto"/>
              <w:right w:val="nil"/>
            </w:tcBorders>
            <w:shd w:val="clear" w:color="auto" w:fill="244062"/>
            <w:vAlign w:val="center"/>
            <w:hideMark/>
          </w:tcPr>
          <w:p w14:paraId="2087FED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82" w:type="dxa"/>
            <w:gridSpan w:val="3"/>
            <w:tcBorders>
              <w:top w:val="single" w:sz="8" w:space="0" w:color="auto"/>
              <w:left w:val="nil"/>
              <w:bottom w:val="single" w:sz="8" w:space="0" w:color="auto"/>
              <w:right w:val="single" w:sz="8" w:space="0" w:color="000000"/>
            </w:tcBorders>
            <w:vAlign w:val="center"/>
            <w:hideMark/>
          </w:tcPr>
          <w:p w14:paraId="1C49746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 CH</w:t>
            </w:r>
            <w:r w:rsidRPr="003E0710">
              <w:rPr>
                <w:rFonts w:ascii="Times New Roman" w:hAnsi="Times New Roman" w:cs="Times New Roman"/>
                <w:sz w:val="20"/>
                <w:szCs w:val="20"/>
                <w:vertAlign w:val="subscript"/>
                <w:lang w:val="en-GB"/>
              </w:rPr>
              <w:t>4</w:t>
            </w:r>
            <w:r w:rsidRPr="003E0710">
              <w:rPr>
                <w:rFonts w:ascii="Times New Roman" w:hAnsi="Times New Roman" w:cs="Times New Roman"/>
                <w:sz w:val="20"/>
                <w:szCs w:val="20"/>
                <w:lang w:val="en-GB"/>
              </w:rPr>
              <w:t xml:space="preserve"> emissions reduction</w:t>
            </w:r>
          </w:p>
        </w:tc>
      </w:tr>
      <w:tr w:rsidR="00614438" w:rsidRPr="003E0710" w14:paraId="42FFFDFA" w14:textId="77777777" w:rsidTr="00614438">
        <w:trPr>
          <w:gridAfter w:val="1"/>
          <w:wAfter w:w="222" w:type="dxa"/>
          <w:trHeight w:val="315"/>
        </w:trPr>
        <w:tc>
          <w:tcPr>
            <w:tcW w:w="3276" w:type="dxa"/>
            <w:tcBorders>
              <w:top w:val="nil"/>
              <w:left w:val="single" w:sz="8" w:space="0" w:color="auto"/>
              <w:bottom w:val="single" w:sz="8" w:space="0" w:color="auto"/>
              <w:right w:val="single" w:sz="8" w:space="0" w:color="auto"/>
            </w:tcBorders>
            <w:shd w:val="clear" w:color="auto" w:fill="244062"/>
            <w:vAlign w:val="center"/>
            <w:hideMark/>
          </w:tcPr>
          <w:p w14:paraId="77376CD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82" w:type="dxa"/>
            <w:gridSpan w:val="3"/>
            <w:tcBorders>
              <w:top w:val="single" w:sz="8" w:space="0" w:color="auto"/>
              <w:left w:val="nil"/>
              <w:bottom w:val="single" w:sz="8" w:space="0" w:color="auto"/>
              <w:right w:val="single" w:sz="8" w:space="0" w:color="000000"/>
            </w:tcBorders>
            <w:vAlign w:val="center"/>
            <w:hideMark/>
          </w:tcPr>
          <w:p w14:paraId="2457450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 Contribution to the objective of reduction of GHG emissions by 33.3% (without LULUCF) by 2030 compared to 1990 levels</w:t>
            </w:r>
          </w:p>
        </w:tc>
      </w:tr>
      <w:tr w:rsidR="00614438" w:rsidRPr="003E0710" w14:paraId="3E73326F" w14:textId="77777777" w:rsidTr="00614438">
        <w:trPr>
          <w:gridAfter w:val="1"/>
          <w:wAfter w:w="222" w:type="dxa"/>
          <w:trHeight w:val="913"/>
        </w:trPr>
        <w:tc>
          <w:tcPr>
            <w:tcW w:w="3276" w:type="dxa"/>
            <w:tcBorders>
              <w:top w:val="nil"/>
              <w:left w:val="single" w:sz="8" w:space="0" w:color="auto"/>
              <w:bottom w:val="single" w:sz="8" w:space="0" w:color="auto"/>
              <w:right w:val="single" w:sz="8" w:space="0" w:color="auto"/>
            </w:tcBorders>
            <w:shd w:val="clear" w:color="auto" w:fill="244062"/>
            <w:vAlign w:val="center"/>
            <w:hideMark/>
          </w:tcPr>
          <w:p w14:paraId="71BF30E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82" w:type="dxa"/>
            <w:gridSpan w:val="3"/>
            <w:tcBorders>
              <w:top w:val="single" w:sz="8" w:space="0" w:color="auto"/>
              <w:left w:val="nil"/>
              <w:bottom w:val="single" w:sz="8" w:space="0" w:color="auto"/>
              <w:right w:val="single" w:sz="8" w:space="0" w:color="000000"/>
            </w:tcBorders>
            <w:vAlign w:val="center"/>
            <w:hideMark/>
          </w:tcPr>
          <w:p w14:paraId="4EC3893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PM_D17 will facilitate the process in which the methane produced from the landfills can be sustainably utilized as a source of energy.</w:t>
            </w:r>
          </w:p>
        </w:tc>
      </w:tr>
      <w:tr w:rsidR="00614438" w:rsidRPr="003E0710" w14:paraId="202A2E9D" w14:textId="77777777" w:rsidTr="00614438">
        <w:trPr>
          <w:gridAfter w:val="1"/>
          <w:wAfter w:w="222" w:type="dxa"/>
          <w:trHeight w:val="315"/>
        </w:trPr>
        <w:tc>
          <w:tcPr>
            <w:tcW w:w="3276" w:type="dxa"/>
            <w:tcBorders>
              <w:top w:val="nil"/>
              <w:left w:val="single" w:sz="8" w:space="0" w:color="auto"/>
              <w:bottom w:val="single" w:sz="8" w:space="0" w:color="auto"/>
              <w:right w:val="single" w:sz="8" w:space="0" w:color="auto"/>
            </w:tcBorders>
            <w:shd w:val="clear" w:color="auto" w:fill="244062"/>
            <w:vAlign w:val="center"/>
            <w:hideMark/>
          </w:tcPr>
          <w:p w14:paraId="64629C0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82" w:type="dxa"/>
            <w:gridSpan w:val="3"/>
            <w:tcBorders>
              <w:top w:val="single" w:sz="8" w:space="0" w:color="auto"/>
              <w:left w:val="nil"/>
              <w:bottom w:val="single" w:sz="8" w:space="0" w:color="auto"/>
              <w:right w:val="single" w:sz="8" w:space="0" w:color="000000"/>
            </w:tcBorders>
            <w:vAlign w:val="center"/>
            <w:hideMark/>
          </w:tcPr>
          <w:p w14:paraId="36095C6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w:t>
            </w:r>
            <w:r w:rsidR="00156CFD" w:rsidRPr="003E0710">
              <w:rPr>
                <w:rFonts w:ascii="Times New Roman" w:hAnsi="Times New Roman" w:cs="Times New Roman"/>
                <w:sz w:val="20"/>
                <w:szCs w:val="20"/>
                <w:lang w:val="en-GB"/>
              </w:rPr>
              <w:t>4</w:t>
            </w:r>
            <w:r w:rsidRPr="003E0710">
              <w:rPr>
                <w:rFonts w:ascii="Times New Roman" w:hAnsi="Times New Roman" w:cs="Times New Roman"/>
                <w:sz w:val="20"/>
                <w:szCs w:val="20"/>
                <w:lang w:val="en-GB"/>
              </w:rPr>
              <w:t>-2030</w:t>
            </w:r>
          </w:p>
        </w:tc>
      </w:tr>
      <w:tr w:rsidR="00614438" w:rsidRPr="003E0710" w14:paraId="2B555985" w14:textId="77777777" w:rsidTr="00614438">
        <w:trPr>
          <w:gridAfter w:val="1"/>
          <w:wAfter w:w="222" w:type="dxa"/>
          <w:trHeight w:val="315"/>
        </w:trPr>
        <w:tc>
          <w:tcPr>
            <w:tcW w:w="3276" w:type="dxa"/>
            <w:tcBorders>
              <w:top w:val="nil"/>
              <w:left w:val="single" w:sz="8" w:space="0" w:color="auto"/>
              <w:bottom w:val="single" w:sz="8" w:space="0" w:color="auto"/>
              <w:right w:val="single" w:sz="8" w:space="0" w:color="auto"/>
            </w:tcBorders>
            <w:shd w:val="clear" w:color="auto" w:fill="244062"/>
            <w:vAlign w:val="center"/>
            <w:hideMark/>
          </w:tcPr>
          <w:p w14:paraId="0D4AFF0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82" w:type="dxa"/>
            <w:gridSpan w:val="3"/>
            <w:tcBorders>
              <w:top w:val="single" w:sz="8" w:space="0" w:color="auto"/>
              <w:left w:val="nil"/>
              <w:bottom w:val="single" w:sz="8" w:space="0" w:color="auto"/>
              <w:right w:val="single" w:sz="8" w:space="0" w:color="000000"/>
            </w:tcBorders>
            <w:vAlign w:val="center"/>
            <w:hideMark/>
          </w:tcPr>
          <w:p w14:paraId="11274A2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w:t>
            </w:r>
          </w:p>
        </w:tc>
      </w:tr>
      <w:tr w:rsidR="00614438" w:rsidRPr="003E0710" w14:paraId="4DE58622" w14:textId="77777777" w:rsidTr="00614438">
        <w:trPr>
          <w:gridAfter w:val="1"/>
          <w:wAfter w:w="222" w:type="dxa"/>
          <w:trHeight w:val="315"/>
        </w:trPr>
        <w:tc>
          <w:tcPr>
            <w:tcW w:w="3276" w:type="dxa"/>
            <w:tcBorders>
              <w:top w:val="nil"/>
              <w:left w:val="single" w:sz="8" w:space="0" w:color="auto"/>
              <w:bottom w:val="single" w:sz="8" w:space="0" w:color="auto"/>
              <w:right w:val="single" w:sz="8" w:space="0" w:color="auto"/>
            </w:tcBorders>
            <w:shd w:val="clear" w:color="auto" w:fill="244062"/>
            <w:vAlign w:val="center"/>
            <w:hideMark/>
          </w:tcPr>
          <w:p w14:paraId="04580D8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82" w:type="dxa"/>
            <w:gridSpan w:val="3"/>
            <w:tcBorders>
              <w:top w:val="single" w:sz="8" w:space="0" w:color="auto"/>
              <w:left w:val="nil"/>
              <w:bottom w:val="single" w:sz="8" w:space="0" w:color="auto"/>
              <w:right w:val="single" w:sz="8" w:space="0" w:color="000000"/>
            </w:tcBorders>
            <w:vAlign w:val="center"/>
            <w:hideMark/>
          </w:tcPr>
          <w:p w14:paraId="410A943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Waste</w:t>
            </w:r>
          </w:p>
        </w:tc>
      </w:tr>
      <w:tr w:rsidR="00614438" w:rsidRPr="003E0710" w14:paraId="39FB409D" w14:textId="77777777" w:rsidTr="00614438">
        <w:trPr>
          <w:gridAfter w:val="1"/>
          <w:wAfter w:w="222" w:type="dxa"/>
          <w:trHeight w:val="315"/>
        </w:trPr>
        <w:tc>
          <w:tcPr>
            <w:tcW w:w="3276" w:type="dxa"/>
            <w:tcBorders>
              <w:top w:val="nil"/>
              <w:left w:val="single" w:sz="8" w:space="0" w:color="auto"/>
              <w:bottom w:val="single" w:sz="8" w:space="0" w:color="auto"/>
              <w:right w:val="single" w:sz="8" w:space="0" w:color="auto"/>
            </w:tcBorders>
            <w:shd w:val="clear" w:color="auto" w:fill="244062"/>
            <w:vAlign w:val="center"/>
            <w:hideMark/>
          </w:tcPr>
          <w:p w14:paraId="7957930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82" w:type="dxa"/>
            <w:gridSpan w:val="3"/>
            <w:tcBorders>
              <w:top w:val="single" w:sz="8" w:space="0" w:color="auto"/>
              <w:left w:val="nil"/>
              <w:bottom w:val="single" w:sz="8" w:space="0" w:color="auto"/>
              <w:right w:val="single" w:sz="8" w:space="0" w:color="000000"/>
            </w:tcBorders>
            <w:vAlign w:val="center"/>
            <w:hideMark/>
          </w:tcPr>
          <w:p w14:paraId="2FAF603C" w14:textId="77777777" w:rsidR="00614438" w:rsidRPr="003E0710" w:rsidRDefault="00614438" w:rsidP="003E0710">
            <w:pPr>
              <w:numPr>
                <w:ilvl w:val="0"/>
                <w:numId w:val="26"/>
              </w:numPr>
              <w:spacing w:after="0"/>
              <w:jc w:val="both"/>
              <w:rPr>
                <w:rFonts w:ascii="Times New Roman" w:hAnsi="Times New Roman" w:cs="Times New Roman"/>
                <w:sz w:val="20"/>
                <w:szCs w:val="20"/>
              </w:rPr>
            </w:pPr>
            <w:r w:rsidRPr="003E0710">
              <w:rPr>
                <w:rFonts w:ascii="Times New Roman" w:hAnsi="Times New Roman" w:cs="Times New Roman"/>
                <w:sz w:val="20"/>
                <w:szCs w:val="20"/>
              </w:rPr>
              <w:t xml:space="preserve">Ministry of Environmental Protection </w:t>
            </w:r>
          </w:p>
          <w:p w14:paraId="760BB3BD" w14:textId="77777777" w:rsidR="00156CFD" w:rsidRPr="003E0710" w:rsidRDefault="00156CFD" w:rsidP="003E0710">
            <w:pPr>
              <w:numPr>
                <w:ilvl w:val="0"/>
                <w:numId w:val="26"/>
              </w:numPr>
              <w:spacing w:after="0"/>
              <w:jc w:val="both"/>
              <w:rPr>
                <w:rFonts w:ascii="Times New Roman" w:hAnsi="Times New Roman" w:cs="Times New Roman"/>
                <w:sz w:val="20"/>
                <w:szCs w:val="20"/>
              </w:rPr>
            </w:pPr>
            <w:r w:rsidRPr="003E0710">
              <w:rPr>
                <w:rFonts w:ascii="Times New Roman" w:hAnsi="Times New Roman" w:cs="Times New Roman"/>
                <w:sz w:val="20"/>
                <w:szCs w:val="20"/>
              </w:rPr>
              <w:t>The city of Belgrade</w:t>
            </w:r>
          </w:p>
        </w:tc>
      </w:tr>
      <w:tr w:rsidR="00614438" w:rsidRPr="003E0710" w14:paraId="4888E484" w14:textId="77777777" w:rsidTr="00614438">
        <w:trPr>
          <w:gridAfter w:val="1"/>
          <w:wAfter w:w="222" w:type="dxa"/>
          <w:trHeight w:val="315"/>
        </w:trPr>
        <w:tc>
          <w:tcPr>
            <w:tcW w:w="3276" w:type="dxa"/>
            <w:tcBorders>
              <w:top w:val="nil"/>
              <w:left w:val="single" w:sz="8" w:space="0" w:color="auto"/>
              <w:bottom w:val="single" w:sz="8" w:space="0" w:color="auto"/>
              <w:right w:val="nil"/>
            </w:tcBorders>
            <w:shd w:val="clear" w:color="auto" w:fill="244062"/>
            <w:vAlign w:val="center"/>
            <w:hideMark/>
          </w:tcPr>
          <w:p w14:paraId="76EA90B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82" w:type="dxa"/>
            <w:gridSpan w:val="3"/>
            <w:tcBorders>
              <w:top w:val="single" w:sz="8" w:space="0" w:color="auto"/>
              <w:left w:val="nil"/>
              <w:bottom w:val="single" w:sz="8" w:space="0" w:color="auto"/>
              <w:right w:val="single" w:sz="8" w:space="0" w:color="000000"/>
            </w:tcBorders>
            <w:vAlign w:val="center"/>
            <w:hideMark/>
          </w:tcPr>
          <w:p w14:paraId="1FBD9EFC" w14:textId="77777777" w:rsidR="00614438" w:rsidRPr="003E0710" w:rsidRDefault="00614438" w:rsidP="003E0710">
            <w:pPr>
              <w:numPr>
                <w:ilvl w:val="0"/>
                <w:numId w:val="26"/>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Environmental Protection</w:t>
            </w:r>
          </w:p>
        </w:tc>
      </w:tr>
      <w:tr w:rsidR="00614438" w:rsidRPr="003E0710" w14:paraId="6B4790FE" w14:textId="77777777" w:rsidTr="00614438">
        <w:trPr>
          <w:gridAfter w:val="1"/>
          <w:wAfter w:w="222" w:type="dxa"/>
          <w:trHeight w:val="315"/>
        </w:trPr>
        <w:tc>
          <w:tcPr>
            <w:tcW w:w="3276" w:type="dxa"/>
            <w:tcBorders>
              <w:top w:val="nil"/>
              <w:left w:val="single" w:sz="8" w:space="0" w:color="auto"/>
              <w:bottom w:val="single" w:sz="8" w:space="0" w:color="auto"/>
              <w:right w:val="nil"/>
            </w:tcBorders>
            <w:shd w:val="clear" w:color="auto" w:fill="244062"/>
            <w:vAlign w:val="center"/>
            <w:hideMark/>
          </w:tcPr>
          <w:p w14:paraId="46B373E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82" w:type="dxa"/>
            <w:gridSpan w:val="3"/>
            <w:tcBorders>
              <w:top w:val="single" w:sz="8" w:space="0" w:color="auto"/>
              <w:left w:val="nil"/>
              <w:bottom w:val="single" w:sz="8" w:space="0" w:color="auto"/>
              <w:right w:val="single" w:sz="8" w:space="0" w:color="000000"/>
            </w:tcBorders>
            <w:vAlign w:val="center"/>
            <w:hideMark/>
          </w:tcPr>
          <w:p w14:paraId="6D72E1A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Reduction of emissions </w:t>
            </w:r>
            <w:r w:rsidRPr="003E0710">
              <w:rPr>
                <w:rFonts w:ascii="Times New Roman" w:hAnsi="Times New Roman" w:cs="Times New Roman"/>
                <w:sz w:val="20"/>
                <w:szCs w:val="20"/>
              </w:rPr>
              <w:t>(Gg CO</w:t>
            </w:r>
            <w:r w:rsidRPr="003E0710">
              <w:rPr>
                <w:rFonts w:ascii="Times New Roman" w:hAnsi="Times New Roman" w:cs="Times New Roman"/>
                <w:sz w:val="20"/>
                <w:szCs w:val="20"/>
                <w:vertAlign w:val="subscript"/>
              </w:rPr>
              <w:t>2</w:t>
            </w:r>
            <w:r w:rsidRPr="003E0710">
              <w:rPr>
                <w:rFonts w:ascii="Times New Roman" w:hAnsi="Times New Roman" w:cs="Times New Roman"/>
                <w:sz w:val="20"/>
                <w:szCs w:val="20"/>
              </w:rPr>
              <w:t>-eq)</w:t>
            </w:r>
          </w:p>
        </w:tc>
      </w:tr>
      <w:tr w:rsidR="00614438" w:rsidRPr="003E0710" w14:paraId="25016D26" w14:textId="77777777" w:rsidTr="00614438">
        <w:trPr>
          <w:gridAfter w:val="1"/>
          <w:wAfter w:w="222" w:type="dxa"/>
          <w:trHeight w:val="466"/>
        </w:trPr>
        <w:tc>
          <w:tcPr>
            <w:tcW w:w="3276" w:type="dxa"/>
            <w:tcBorders>
              <w:top w:val="nil"/>
              <w:left w:val="single" w:sz="8" w:space="0" w:color="auto"/>
              <w:bottom w:val="single" w:sz="8" w:space="0" w:color="auto"/>
              <w:right w:val="single" w:sz="8" w:space="0" w:color="auto"/>
            </w:tcBorders>
            <w:shd w:val="clear" w:color="auto" w:fill="244062"/>
            <w:vAlign w:val="center"/>
            <w:hideMark/>
          </w:tcPr>
          <w:p w14:paraId="33924B7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82" w:type="dxa"/>
            <w:gridSpan w:val="3"/>
            <w:tcBorders>
              <w:top w:val="single" w:sz="8" w:space="0" w:color="auto"/>
              <w:left w:val="nil"/>
              <w:bottom w:val="single" w:sz="8" w:space="0" w:color="auto"/>
              <w:right w:val="single" w:sz="8" w:space="0" w:color="000000"/>
            </w:tcBorders>
            <w:vAlign w:val="center"/>
          </w:tcPr>
          <w:p w14:paraId="0E671E48"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7E6C8783" w14:textId="77777777" w:rsidTr="00614438">
        <w:trPr>
          <w:gridAfter w:val="1"/>
          <w:wAfter w:w="222" w:type="dxa"/>
          <w:trHeight w:val="458"/>
        </w:trPr>
        <w:tc>
          <w:tcPr>
            <w:tcW w:w="3276" w:type="dxa"/>
            <w:vMerge w:val="restart"/>
            <w:tcBorders>
              <w:top w:val="nil"/>
              <w:left w:val="single" w:sz="8" w:space="0" w:color="auto"/>
              <w:bottom w:val="single" w:sz="8" w:space="0" w:color="000000"/>
              <w:right w:val="single" w:sz="8" w:space="0" w:color="auto"/>
            </w:tcBorders>
            <w:shd w:val="clear" w:color="auto" w:fill="244062"/>
            <w:vAlign w:val="center"/>
            <w:hideMark/>
          </w:tcPr>
          <w:p w14:paraId="42C51F1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82"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F46E930" w14:textId="77777777" w:rsidR="00614438" w:rsidRPr="003E0710" w:rsidRDefault="00614438" w:rsidP="003E0710">
            <w:pPr>
              <w:numPr>
                <w:ilvl w:val="0"/>
                <w:numId w:val="27"/>
              </w:numPr>
              <w:spacing w:after="0"/>
              <w:jc w:val="both"/>
              <w:rPr>
                <w:rFonts w:ascii="Times New Roman" w:hAnsi="Times New Roman" w:cs="Times New Roman"/>
                <w:sz w:val="20"/>
                <w:szCs w:val="20"/>
              </w:rPr>
            </w:pPr>
            <w:r w:rsidRPr="003E0710">
              <w:rPr>
                <w:rFonts w:ascii="Times New Roman" w:hAnsi="Times New Roman" w:cs="Times New Roman"/>
                <w:sz w:val="20"/>
                <w:szCs w:val="20"/>
              </w:rPr>
              <w:t>Regulation 2018/1999</w:t>
            </w:r>
          </w:p>
        </w:tc>
      </w:tr>
      <w:tr w:rsidR="00614438" w:rsidRPr="003E0710" w14:paraId="2D1FF4B6"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2497ABD2"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9A75B3F"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5464766C"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3791B784" w14:textId="77777777" w:rsidTr="00614438">
        <w:trPr>
          <w:trHeight w:val="315"/>
        </w:trPr>
        <w:tc>
          <w:tcPr>
            <w:tcW w:w="0" w:type="auto"/>
            <w:vMerge/>
            <w:tcBorders>
              <w:top w:val="nil"/>
              <w:left w:val="single" w:sz="8" w:space="0" w:color="auto"/>
              <w:bottom w:val="single" w:sz="8" w:space="0" w:color="000000"/>
              <w:right w:val="single" w:sz="8" w:space="0" w:color="auto"/>
            </w:tcBorders>
            <w:vAlign w:val="center"/>
            <w:hideMark/>
          </w:tcPr>
          <w:p w14:paraId="3DFBBE0A"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DB649E4"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553D9BE0"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3BFE0D30" w14:textId="77777777" w:rsidTr="00614438">
        <w:trPr>
          <w:trHeight w:val="301"/>
        </w:trPr>
        <w:tc>
          <w:tcPr>
            <w:tcW w:w="3276" w:type="dxa"/>
            <w:tcBorders>
              <w:top w:val="nil"/>
              <w:left w:val="single" w:sz="8" w:space="0" w:color="auto"/>
              <w:bottom w:val="single" w:sz="8" w:space="0" w:color="auto"/>
              <w:right w:val="single" w:sz="8" w:space="0" w:color="auto"/>
            </w:tcBorders>
            <w:shd w:val="clear" w:color="auto" w:fill="244062"/>
            <w:vAlign w:val="center"/>
            <w:hideMark/>
          </w:tcPr>
          <w:p w14:paraId="6C3A264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82" w:type="dxa"/>
            <w:gridSpan w:val="3"/>
            <w:tcBorders>
              <w:top w:val="single" w:sz="8" w:space="0" w:color="auto"/>
              <w:left w:val="nil"/>
              <w:bottom w:val="single" w:sz="8" w:space="0" w:color="auto"/>
              <w:right w:val="single" w:sz="8" w:space="0" w:color="000000"/>
            </w:tcBorders>
            <w:vAlign w:val="center"/>
            <w:hideMark/>
          </w:tcPr>
          <w:p w14:paraId="0DDC78FF" w14:textId="77777777" w:rsidR="00614438" w:rsidRPr="003E0710" w:rsidRDefault="00614438" w:rsidP="003E0710">
            <w:pPr>
              <w:numPr>
                <w:ilvl w:val="0"/>
                <w:numId w:val="27"/>
              </w:numPr>
              <w:spacing w:after="0"/>
              <w:jc w:val="both"/>
              <w:rPr>
                <w:rFonts w:ascii="Times New Roman" w:hAnsi="Times New Roman" w:cs="Times New Roman"/>
                <w:sz w:val="20"/>
                <w:szCs w:val="20"/>
              </w:rPr>
            </w:pPr>
            <w:r w:rsidRPr="003E0710">
              <w:rPr>
                <w:rFonts w:ascii="Times New Roman" w:hAnsi="Times New Roman" w:cs="Times New Roman"/>
                <w:sz w:val="20"/>
                <w:szCs w:val="20"/>
              </w:rPr>
              <w:t>Waste Management Programme of the Republic of Serbia for the period 2022-2031</w:t>
            </w:r>
          </w:p>
        </w:tc>
        <w:tc>
          <w:tcPr>
            <w:tcW w:w="222" w:type="dxa"/>
            <w:vAlign w:val="center"/>
            <w:hideMark/>
          </w:tcPr>
          <w:p w14:paraId="5E1A8F73"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17443B34" w14:textId="77777777" w:rsidTr="00614438">
        <w:trPr>
          <w:trHeight w:val="315"/>
        </w:trPr>
        <w:tc>
          <w:tcPr>
            <w:tcW w:w="3276" w:type="dxa"/>
            <w:tcBorders>
              <w:top w:val="nil"/>
              <w:left w:val="single" w:sz="8" w:space="0" w:color="auto"/>
              <w:bottom w:val="single" w:sz="8" w:space="0" w:color="auto"/>
              <w:right w:val="single" w:sz="8" w:space="0" w:color="auto"/>
            </w:tcBorders>
            <w:shd w:val="clear" w:color="auto" w:fill="244062"/>
            <w:vAlign w:val="center"/>
            <w:hideMark/>
          </w:tcPr>
          <w:p w14:paraId="1C4CBF2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Implementation cost</w:t>
            </w:r>
          </w:p>
        </w:tc>
        <w:tc>
          <w:tcPr>
            <w:tcW w:w="6182" w:type="dxa"/>
            <w:gridSpan w:val="3"/>
            <w:tcBorders>
              <w:top w:val="single" w:sz="8" w:space="0" w:color="auto"/>
              <w:left w:val="nil"/>
              <w:bottom w:val="single" w:sz="8" w:space="0" w:color="auto"/>
              <w:right w:val="single" w:sz="8" w:space="0" w:color="000000"/>
            </w:tcBorders>
            <w:vAlign w:val="center"/>
            <w:hideMark/>
          </w:tcPr>
          <w:p w14:paraId="474F324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48 M€</w:t>
            </w:r>
          </w:p>
        </w:tc>
        <w:tc>
          <w:tcPr>
            <w:tcW w:w="222" w:type="dxa"/>
            <w:vAlign w:val="center"/>
            <w:hideMark/>
          </w:tcPr>
          <w:p w14:paraId="4447F30E"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6F244175" w14:textId="77777777" w:rsidTr="00614438">
        <w:trPr>
          <w:trHeight w:val="315"/>
        </w:trPr>
        <w:tc>
          <w:tcPr>
            <w:tcW w:w="3276" w:type="dxa"/>
            <w:tcBorders>
              <w:top w:val="nil"/>
              <w:left w:val="single" w:sz="8" w:space="0" w:color="auto"/>
              <w:bottom w:val="single" w:sz="8" w:space="0" w:color="auto"/>
              <w:right w:val="single" w:sz="8" w:space="0" w:color="auto"/>
            </w:tcBorders>
            <w:shd w:val="clear" w:color="auto" w:fill="244062"/>
            <w:vAlign w:val="center"/>
            <w:hideMark/>
          </w:tcPr>
          <w:p w14:paraId="2F9FE89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82" w:type="dxa"/>
            <w:gridSpan w:val="3"/>
            <w:tcBorders>
              <w:top w:val="single" w:sz="8" w:space="0" w:color="auto"/>
              <w:left w:val="nil"/>
              <w:bottom w:val="single" w:sz="8" w:space="0" w:color="auto"/>
              <w:right w:val="single" w:sz="8" w:space="0" w:color="000000"/>
            </w:tcBorders>
            <w:vAlign w:val="center"/>
            <w:hideMark/>
          </w:tcPr>
          <w:p w14:paraId="24AA091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2A2BD8AD" w14:textId="77777777" w:rsidR="00614438" w:rsidRPr="003E0710" w:rsidRDefault="00614438" w:rsidP="003E0710">
            <w:pPr>
              <w:spacing w:after="0"/>
              <w:jc w:val="both"/>
              <w:rPr>
                <w:rFonts w:ascii="Times New Roman" w:hAnsi="Times New Roman" w:cs="Times New Roman"/>
                <w:sz w:val="20"/>
                <w:szCs w:val="20"/>
                <w:lang w:val="en-GB"/>
              </w:rPr>
            </w:pPr>
          </w:p>
        </w:tc>
      </w:tr>
    </w:tbl>
    <w:p w14:paraId="5CF012D3"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72"/>
        <w:gridCol w:w="1114"/>
        <w:gridCol w:w="935"/>
        <w:gridCol w:w="4137"/>
        <w:gridCol w:w="222"/>
      </w:tblGrid>
      <w:tr w:rsidR="00614438" w:rsidRPr="003E0710" w14:paraId="1D1490BC" w14:textId="77777777" w:rsidTr="00614438">
        <w:trPr>
          <w:gridAfter w:val="1"/>
          <w:wAfter w:w="222" w:type="dxa"/>
          <w:trHeight w:val="780"/>
        </w:trPr>
        <w:tc>
          <w:tcPr>
            <w:tcW w:w="3272"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010F031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1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37F66C6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PM_D18</w:t>
            </w:r>
          </w:p>
        </w:tc>
        <w:tc>
          <w:tcPr>
            <w:tcW w:w="935" w:type="dxa"/>
            <w:tcBorders>
              <w:top w:val="single" w:sz="8" w:space="0" w:color="auto"/>
              <w:left w:val="nil"/>
              <w:bottom w:val="single" w:sz="8" w:space="0" w:color="auto"/>
              <w:right w:val="single" w:sz="8" w:space="0" w:color="auto"/>
            </w:tcBorders>
            <w:shd w:val="clear" w:color="auto" w:fill="244062"/>
            <w:vAlign w:val="center"/>
            <w:hideMark/>
          </w:tcPr>
          <w:p w14:paraId="03A9D6E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137" w:type="dxa"/>
            <w:tcBorders>
              <w:top w:val="single" w:sz="8" w:space="0" w:color="auto"/>
              <w:left w:val="nil"/>
              <w:bottom w:val="single" w:sz="8" w:space="0" w:color="auto"/>
              <w:right w:val="single" w:sz="8" w:space="0" w:color="auto"/>
            </w:tcBorders>
            <w:shd w:val="clear" w:color="auto" w:fill="E7E6E6" w:themeFill="background2"/>
            <w:vAlign w:val="center"/>
            <w:hideMark/>
          </w:tcPr>
          <w:p w14:paraId="25A7452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Promotion of composting in both centralised and household perspectives</w:t>
            </w:r>
          </w:p>
        </w:tc>
      </w:tr>
      <w:tr w:rsidR="00614438" w:rsidRPr="003E0710" w14:paraId="4D8E6295" w14:textId="77777777" w:rsidTr="00614438">
        <w:trPr>
          <w:gridAfter w:val="1"/>
          <w:wAfter w:w="222" w:type="dxa"/>
          <w:trHeight w:val="351"/>
        </w:trPr>
        <w:tc>
          <w:tcPr>
            <w:tcW w:w="3272" w:type="dxa"/>
            <w:tcBorders>
              <w:top w:val="nil"/>
              <w:left w:val="single" w:sz="8" w:space="0" w:color="auto"/>
              <w:bottom w:val="single" w:sz="8" w:space="0" w:color="auto"/>
              <w:right w:val="nil"/>
            </w:tcBorders>
            <w:shd w:val="clear" w:color="auto" w:fill="244062"/>
            <w:vAlign w:val="center"/>
            <w:hideMark/>
          </w:tcPr>
          <w:p w14:paraId="39012C2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86" w:type="dxa"/>
            <w:gridSpan w:val="3"/>
            <w:tcBorders>
              <w:top w:val="single" w:sz="8" w:space="0" w:color="auto"/>
              <w:left w:val="nil"/>
              <w:bottom w:val="single" w:sz="8" w:space="0" w:color="auto"/>
              <w:right w:val="single" w:sz="8" w:space="0" w:color="000000"/>
            </w:tcBorders>
            <w:vAlign w:val="center"/>
            <w:hideMark/>
          </w:tcPr>
          <w:p w14:paraId="7D0896C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 GHG emissions reduction</w:t>
            </w:r>
          </w:p>
        </w:tc>
      </w:tr>
      <w:tr w:rsidR="00614438" w:rsidRPr="003E0710" w14:paraId="1C3875B1" w14:textId="77777777" w:rsidTr="00614438">
        <w:trPr>
          <w:gridAfter w:val="1"/>
          <w:wAfter w:w="222" w:type="dxa"/>
          <w:trHeight w:val="315"/>
        </w:trPr>
        <w:tc>
          <w:tcPr>
            <w:tcW w:w="3272" w:type="dxa"/>
            <w:tcBorders>
              <w:top w:val="nil"/>
              <w:left w:val="single" w:sz="8" w:space="0" w:color="auto"/>
              <w:bottom w:val="single" w:sz="8" w:space="0" w:color="auto"/>
              <w:right w:val="single" w:sz="8" w:space="0" w:color="auto"/>
            </w:tcBorders>
            <w:shd w:val="clear" w:color="auto" w:fill="244062"/>
            <w:vAlign w:val="center"/>
            <w:hideMark/>
          </w:tcPr>
          <w:p w14:paraId="6A68D0C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86" w:type="dxa"/>
            <w:gridSpan w:val="3"/>
            <w:tcBorders>
              <w:top w:val="single" w:sz="8" w:space="0" w:color="auto"/>
              <w:left w:val="nil"/>
              <w:bottom w:val="single" w:sz="8" w:space="0" w:color="auto"/>
              <w:right w:val="single" w:sz="8" w:space="0" w:color="000000"/>
            </w:tcBorders>
            <w:vAlign w:val="center"/>
            <w:hideMark/>
          </w:tcPr>
          <w:p w14:paraId="521F778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Reduce GHG emissions in the waste sector by 13% by 2030 compared to 2010</w:t>
            </w:r>
          </w:p>
        </w:tc>
      </w:tr>
      <w:tr w:rsidR="00614438" w:rsidRPr="003E0710" w14:paraId="14EA0C90" w14:textId="77777777" w:rsidTr="00614438">
        <w:trPr>
          <w:gridAfter w:val="1"/>
          <w:wAfter w:w="222" w:type="dxa"/>
          <w:trHeight w:val="1907"/>
        </w:trPr>
        <w:tc>
          <w:tcPr>
            <w:tcW w:w="3272" w:type="dxa"/>
            <w:tcBorders>
              <w:top w:val="nil"/>
              <w:left w:val="single" w:sz="8" w:space="0" w:color="auto"/>
              <w:bottom w:val="single" w:sz="8" w:space="0" w:color="auto"/>
              <w:right w:val="single" w:sz="8" w:space="0" w:color="auto"/>
            </w:tcBorders>
            <w:shd w:val="clear" w:color="auto" w:fill="244062"/>
            <w:vAlign w:val="center"/>
            <w:hideMark/>
          </w:tcPr>
          <w:p w14:paraId="3D07DB5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86" w:type="dxa"/>
            <w:gridSpan w:val="3"/>
            <w:tcBorders>
              <w:top w:val="single" w:sz="8" w:space="0" w:color="auto"/>
              <w:left w:val="nil"/>
              <w:bottom w:val="single" w:sz="8" w:space="0" w:color="auto"/>
              <w:right w:val="single" w:sz="8" w:space="0" w:color="000000"/>
            </w:tcBorders>
            <w:vAlign w:val="center"/>
            <w:hideMark/>
          </w:tcPr>
          <w:p w14:paraId="71779DB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PM_D18 will promote the production of compost as a large part of waste is organic and suitable for conversion into compost. Good composting practices minimize greenhouse gas emissions. The use of compost provides numerous greenhouse gas benefits, both directly through carbon sequestration and indirectly through improved soil health, reduced soil loss, increased water infiltration and storage, and reduction in other inputs. Home composting can be assisted based on the number of compost bins distributed. Waste Management Programme of the Republic of Serbia for the period 2022-2031 envisages (a) at municipal level the construction of smaller compost bins and at household level the introduction of home composting in rural and semi-rural areas, (b) home composting will be established in suburban/rural households in all municipalities of the waste management regions by 2032.</w:t>
            </w:r>
          </w:p>
        </w:tc>
      </w:tr>
      <w:tr w:rsidR="00614438" w:rsidRPr="003E0710" w14:paraId="0AB3B3B1" w14:textId="77777777" w:rsidTr="00614438">
        <w:trPr>
          <w:gridAfter w:val="1"/>
          <w:wAfter w:w="222" w:type="dxa"/>
          <w:trHeight w:val="315"/>
        </w:trPr>
        <w:tc>
          <w:tcPr>
            <w:tcW w:w="3272" w:type="dxa"/>
            <w:tcBorders>
              <w:top w:val="nil"/>
              <w:left w:val="single" w:sz="8" w:space="0" w:color="auto"/>
              <w:bottom w:val="single" w:sz="8" w:space="0" w:color="auto"/>
              <w:right w:val="single" w:sz="8" w:space="0" w:color="auto"/>
            </w:tcBorders>
            <w:shd w:val="clear" w:color="auto" w:fill="244062"/>
            <w:vAlign w:val="center"/>
            <w:hideMark/>
          </w:tcPr>
          <w:p w14:paraId="71F0A1B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86" w:type="dxa"/>
            <w:gridSpan w:val="3"/>
            <w:tcBorders>
              <w:top w:val="single" w:sz="8" w:space="0" w:color="auto"/>
              <w:left w:val="nil"/>
              <w:bottom w:val="single" w:sz="8" w:space="0" w:color="auto"/>
              <w:right w:val="single" w:sz="8" w:space="0" w:color="000000"/>
            </w:tcBorders>
            <w:vAlign w:val="center"/>
            <w:hideMark/>
          </w:tcPr>
          <w:p w14:paraId="3777D1A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2024-2031</w:t>
            </w:r>
          </w:p>
        </w:tc>
      </w:tr>
      <w:tr w:rsidR="00614438" w:rsidRPr="003E0710" w14:paraId="4A213E0A" w14:textId="77777777" w:rsidTr="00614438">
        <w:trPr>
          <w:gridAfter w:val="1"/>
          <w:wAfter w:w="222" w:type="dxa"/>
          <w:trHeight w:val="315"/>
        </w:trPr>
        <w:tc>
          <w:tcPr>
            <w:tcW w:w="3272" w:type="dxa"/>
            <w:tcBorders>
              <w:top w:val="nil"/>
              <w:left w:val="single" w:sz="8" w:space="0" w:color="auto"/>
              <w:bottom w:val="single" w:sz="8" w:space="0" w:color="auto"/>
              <w:right w:val="single" w:sz="8" w:space="0" w:color="auto"/>
            </w:tcBorders>
            <w:shd w:val="clear" w:color="auto" w:fill="244062"/>
            <w:vAlign w:val="center"/>
            <w:hideMark/>
          </w:tcPr>
          <w:p w14:paraId="2B01389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86" w:type="dxa"/>
            <w:gridSpan w:val="3"/>
            <w:tcBorders>
              <w:top w:val="single" w:sz="8" w:space="0" w:color="auto"/>
              <w:left w:val="nil"/>
              <w:bottom w:val="single" w:sz="8" w:space="0" w:color="auto"/>
              <w:right w:val="single" w:sz="8" w:space="0" w:color="000000"/>
            </w:tcBorders>
            <w:vAlign w:val="center"/>
            <w:hideMark/>
          </w:tcPr>
          <w:p w14:paraId="68E5920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w:t>
            </w:r>
          </w:p>
        </w:tc>
      </w:tr>
      <w:tr w:rsidR="00614438" w:rsidRPr="003E0710" w14:paraId="53CE9495" w14:textId="77777777" w:rsidTr="00614438">
        <w:trPr>
          <w:gridAfter w:val="1"/>
          <w:wAfter w:w="222" w:type="dxa"/>
          <w:trHeight w:val="315"/>
        </w:trPr>
        <w:tc>
          <w:tcPr>
            <w:tcW w:w="3272" w:type="dxa"/>
            <w:tcBorders>
              <w:top w:val="nil"/>
              <w:left w:val="single" w:sz="8" w:space="0" w:color="auto"/>
              <w:bottom w:val="single" w:sz="8" w:space="0" w:color="auto"/>
              <w:right w:val="single" w:sz="8" w:space="0" w:color="auto"/>
            </w:tcBorders>
            <w:shd w:val="clear" w:color="auto" w:fill="244062"/>
            <w:vAlign w:val="center"/>
            <w:hideMark/>
          </w:tcPr>
          <w:p w14:paraId="7855D16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86" w:type="dxa"/>
            <w:gridSpan w:val="3"/>
            <w:tcBorders>
              <w:top w:val="single" w:sz="8" w:space="0" w:color="auto"/>
              <w:left w:val="nil"/>
              <w:bottom w:val="single" w:sz="8" w:space="0" w:color="auto"/>
              <w:right w:val="single" w:sz="8" w:space="0" w:color="000000"/>
            </w:tcBorders>
            <w:vAlign w:val="center"/>
            <w:hideMark/>
          </w:tcPr>
          <w:p w14:paraId="0F4E8EF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Waste</w:t>
            </w:r>
          </w:p>
        </w:tc>
      </w:tr>
      <w:tr w:rsidR="00614438" w:rsidRPr="003E0710" w14:paraId="47BB619A" w14:textId="77777777" w:rsidTr="00614438">
        <w:trPr>
          <w:gridAfter w:val="1"/>
          <w:wAfter w:w="222" w:type="dxa"/>
          <w:trHeight w:val="315"/>
        </w:trPr>
        <w:tc>
          <w:tcPr>
            <w:tcW w:w="3272" w:type="dxa"/>
            <w:tcBorders>
              <w:top w:val="nil"/>
              <w:left w:val="single" w:sz="8" w:space="0" w:color="auto"/>
              <w:bottom w:val="single" w:sz="8" w:space="0" w:color="auto"/>
              <w:right w:val="single" w:sz="8" w:space="0" w:color="auto"/>
            </w:tcBorders>
            <w:shd w:val="clear" w:color="auto" w:fill="244062"/>
            <w:vAlign w:val="center"/>
            <w:hideMark/>
          </w:tcPr>
          <w:p w14:paraId="3726FA9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86" w:type="dxa"/>
            <w:gridSpan w:val="3"/>
            <w:tcBorders>
              <w:top w:val="single" w:sz="8" w:space="0" w:color="auto"/>
              <w:left w:val="nil"/>
              <w:bottom w:val="single" w:sz="8" w:space="0" w:color="auto"/>
              <w:right w:val="single" w:sz="8" w:space="0" w:color="000000"/>
            </w:tcBorders>
            <w:vAlign w:val="center"/>
            <w:hideMark/>
          </w:tcPr>
          <w:p w14:paraId="6D6819E4" w14:textId="77777777" w:rsidR="00614438" w:rsidRPr="003E0710" w:rsidRDefault="00614438" w:rsidP="003E0710">
            <w:pPr>
              <w:numPr>
                <w:ilvl w:val="0"/>
                <w:numId w:val="27"/>
              </w:numPr>
              <w:spacing w:after="0"/>
              <w:jc w:val="both"/>
              <w:rPr>
                <w:rFonts w:ascii="Times New Roman" w:hAnsi="Times New Roman" w:cs="Times New Roman"/>
                <w:sz w:val="20"/>
                <w:szCs w:val="20"/>
              </w:rPr>
            </w:pPr>
            <w:r w:rsidRPr="003E0710">
              <w:rPr>
                <w:rFonts w:ascii="Times New Roman" w:hAnsi="Times New Roman" w:cs="Times New Roman"/>
                <w:sz w:val="20"/>
                <w:szCs w:val="20"/>
              </w:rPr>
              <w:t xml:space="preserve">Ministry of Environmental Protection </w:t>
            </w:r>
          </w:p>
          <w:p w14:paraId="4DB63205" w14:textId="77777777" w:rsidR="00156CFD" w:rsidRPr="003E0710" w:rsidRDefault="00156CFD" w:rsidP="003E0710">
            <w:pPr>
              <w:numPr>
                <w:ilvl w:val="0"/>
                <w:numId w:val="27"/>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Construction, Transport and Infrastructure</w:t>
            </w:r>
          </w:p>
          <w:p w14:paraId="61A9BCC3" w14:textId="77777777" w:rsidR="00156CFD" w:rsidRPr="003E0710" w:rsidRDefault="00156CFD" w:rsidP="003E0710">
            <w:pPr>
              <w:numPr>
                <w:ilvl w:val="0"/>
                <w:numId w:val="27"/>
              </w:numPr>
              <w:spacing w:after="0"/>
              <w:jc w:val="both"/>
              <w:rPr>
                <w:rFonts w:ascii="Times New Roman" w:hAnsi="Times New Roman" w:cs="Times New Roman"/>
                <w:sz w:val="20"/>
                <w:szCs w:val="20"/>
              </w:rPr>
            </w:pPr>
            <w:r w:rsidRPr="003E0710">
              <w:rPr>
                <w:rFonts w:ascii="Times New Roman" w:hAnsi="Times New Roman" w:cs="Times New Roman"/>
                <w:sz w:val="20"/>
                <w:szCs w:val="20"/>
              </w:rPr>
              <w:t>Local self-government units</w:t>
            </w:r>
          </w:p>
        </w:tc>
      </w:tr>
      <w:tr w:rsidR="00614438" w:rsidRPr="003E0710" w14:paraId="50D83CE8" w14:textId="77777777" w:rsidTr="00614438">
        <w:trPr>
          <w:gridAfter w:val="1"/>
          <w:wAfter w:w="222" w:type="dxa"/>
          <w:trHeight w:val="315"/>
        </w:trPr>
        <w:tc>
          <w:tcPr>
            <w:tcW w:w="3272" w:type="dxa"/>
            <w:tcBorders>
              <w:top w:val="nil"/>
              <w:left w:val="single" w:sz="8" w:space="0" w:color="auto"/>
              <w:bottom w:val="single" w:sz="8" w:space="0" w:color="auto"/>
              <w:right w:val="nil"/>
            </w:tcBorders>
            <w:shd w:val="clear" w:color="auto" w:fill="244062"/>
            <w:vAlign w:val="center"/>
            <w:hideMark/>
          </w:tcPr>
          <w:p w14:paraId="7A9C25D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86" w:type="dxa"/>
            <w:gridSpan w:val="3"/>
            <w:tcBorders>
              <w:top w:val="single" w:sz="8" w:space="0" w:color="auto"/>
              <w:left w:val="nil"/>
              <w:bottom w:val="single" w:sz="8" w:space="0" w:color="auto"/>
              <w:right w:val="single" w:sz="8" w:space="0" w:color="000000"/>
            </w:tcBorders>
            <w:vAlign w:val="center"/>
            <w:hideMark/>
          </w:tcPr>
          <w:p w14:paraId="53647B3A" w14:textId="77777777" w:rsidR="00614438" w:rsidRPr="003E0710" w:rsidRDefault="00614438" w:rsidP="003E0710">
            <w:pPr>
              <w:numPr>
                <w:ilvl w:val="0"/>
                <w:numId w:val="27"/>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Environmental Protection</w:t>
            </w:r>
          </w:p>
        </w:tc>
      </w:tr>
      <w:tr w:rsidR="00614438" w:rsidRPr="003E0710" w14:paraId="029BED44" w14:textId="77777777" w:rsidTr="00614438">
        <w:trPr>
          <w:gridAfter w:val="1"/>
          <w:wAfter w:w="222" w:type="dxa"/>
          <w:trHeight w:val="315"/>
        </w:trPr>
        <w:tc>
          <w:tcPr>
            <w:tcW w:w="3272" w:type="dxa"/>
            <w:tcBorders>
              <w:top w:val="nil"/>
              <w:left w:val="single" w:sz="8" w:space="0" w:color="auto"/>
              <w:bottom w:val="single" w:sz="8" w:space="0" w:color="auto"/>
              <w:right w:val="nil"/>
            </w:tcBorders>
            <w:shd w:val="clear" w:color="auto" w:fill="244062"/>
            <w:vAlign w:val="center"/>
            <w:hideMark/>
          </w:tcPr>
          <w:p w14:paraId="12A56C2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86" w:type="dxa"/>
            <w:gridSpan w:val="3"/>
            <w:tcBorders>
              <w:top w:val="single" w:sz="8" w:space="0" w:color="auto"/>
              <w:left w:val="nil"/>
              <w:bottom w:val="single" w:sz="8" w:space="0" w:color="auto"/>
              <w:right w:val="single" w:sz="8" w:space="0" w:color="000000"/>
            </w:tcBorders>
            <w:vAlign w:val="center"/>
            <w:hideMark/>
          </w:tcPr>
          <w:p w14:paraId="6F32957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Reduction of emissions </w:t>
            </w:r>
            <w:r w:rsidRPr="003E0710">
              <w:rPr>
                <w:rFonts w:ascii="Times New Roman" w:hAnsi="Times New Roman" w:cs="Times New Roman"/>
                <w:sz w:val="20"/>
                <w:szCs w:val="20"/>
              </w:rPr>
              <w:t>(Gg CO</w:t>
            </w:r>
            <w:r w:rsidRPr="003E0710">
              <w:rPr>
                <w:rFonts w:ascii="Times New Roman" w:hAnsi="Times New Roman" w:cs="Times New Roman"/>
                <w:sz w:val="20"/>
                <w:szCs w:val="20"/>
                <w:vertAlign w:val="subscript"/>
              </w:rPr>
              <w:t>2</w:t>
            </w:r>
            <w:r w:rsidRPr="003E0710">
              <w:rPr>
                <w:rFonts w:ascii="Times New Roman" w:hAnsi="Times New Roman" w:cs="Times New Roman"/>
                <w:sz w:val="20"/>
                <w:szCs w:val="20"/>
              </w:rPr>
              <w:t>-eq)</w:t>
            </w:r>
          </w:p>
        </w:tc>
      </w:tr>
      <w:tr w:rsidR="00614438" w:rsidRPr="003E0710" w14:paraId="3D491D2E" w14:textId="77777777" w:rsidTr="00614438">
        <w:trPr>
          <w:gridAfter w:val="1"/>
          <w:wAfter w:w="222" w:type="dxa"/>
          <w:trHeight w:val="307"/>
        </w:trPr>
        <w:tc>
          <w:tcPr>
            <w:tcW w:w="3272" w:type="dxa"/>
            <w:tcBorders>
              <w:top w:val="nil"/>
              <w:left w:val="single" w:sz="8" w:space="0" w:color="auto"/>
              <w:bottom w:val="single" w:sz="8" w:space="0" w:color="auto"/>
              <w:right w:val="single" w:sz="8" w:space="0" w:color="auto"/>
            </w:tcBorders>
            <w:shd w:val="clear" w:color="auto" w:fill="244062"/>
            <w:vAlign w:val="center"/>
            <w:hideMark/>
          </w:tcPr>
          <w:p w14:paraId="32E9FBA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86" w:type="dxa"/>
            <w:gridSpan w:val="3"/>
            <w:tcBorders>
              <w:top w:val="single" w:sz="8" w:space="0" w:color="auto"/>
              <w:left w:val="nil"/>
              <w:bottom w:val="single" w:sz="8" w:space="0" w:color="auto"/>
              <w:right w:val="single" w:sz="8" w:space="0" w:color="000000"/>
            </w:tcBorders>
            <w:vAlign w:val="center"/>
          </w:tcPr>
          <w:p w14:paraId="556921F8"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65B414B6" w14:textId="77777777" w:rsidTr="00614438">
        <w:trPr>
          <w:gridAfter w:val="1"/>
          <w:wAfter w:w="222" w:type="dxa"/>
          <w:trHeight w:val="458"/>
        </w:trPr>
        <w:tc>
          <w:tcPr>
            <w:tcW w:w="3272" w:type="dxa"/>
            <w:vMerge w:val="restart"/>
            <w:tcBorders>
              <w:top w:val="nil"/>
              <w:left w:val="single" w:sz="8" w:space="0" w:color="auto"/>
              <w:bottom w:val="single" w:sz="8" w:space="0" w:color="000000"/>
              <w:right w:val="single" w:sz="8" w:space="0" w:color="auto"/>
            </w:tcBorders>
            <w:shd w:val="clear" w:color="auto" w:fill="244062"/>
            <w:vAlign w:val="center"/>
            <w:hideMark/>
          </w:tcPr>
          <w:p w14:paraId="38F151B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86"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CD9AC4F" w14:textId="77777777" w:rsidR="00614438" w:rsidRPr="003E0710" w:rsidRDefault="00614438" w:rsidP="003E0710">
            <w:pPr>
              <w:numPr>
                <w:ilvl w:val="0"/>
                <w:numId w:val="27"/>
              </w:numPr>
              <w:spacing w:after="0"/>
              <w:jc w:val="both"/>
              <w:rPr>
                <w:rFonts w:ascii="Times New Roman" w:hAnsi="Times New Roman" w:cs="Times New Roman"/>
                <w:sz w:val="20"/>
                <w:szCs w:val="20"/>
              </w:rPr>
            </w:pPr>
            <w:r w:rsidRPr="003E0710">
              <w:rPr>
                <w:rFonts w:ascii="Times New Roman" w:hAnsi="Times New Roman" w:cs="Times New Roman"/>
                <w:sz w:val="20"/>
                <w:szCs w:val="20"/>
              </w:rPr>
              <w:t>Regulation 2018/1999</w:t>
            </w:r>
          </w:p>
        </w:tc>
      </w:tr>
      <w:tr w:rsidR="00614438" w:rsidRPr="003E0710" w14:paraId="30CCAA06"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488B64EE"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6ABDDFF"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2A7049D1"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5883C381"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36A36C84"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686D09B"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6CFD9D2D"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76B2D629" w14:textId="77777777" w:rsidTr="00614438">
        <w:trPr>
          <w:trHeight w:val="199"/>
        </w:trPr>
        <w:tc>
          <w:tcPr>
            <w:tcW w:w="3272" w:type="dxa"/>
            <w:tcBorders>
              <w:top w:val="nil"/>
              <w:left w:val="single" w:sz="8" w:space="0" w:color="auto"/>
              <w:bottom w:val="single" w:sz="8" w:space="0" w:color="auto"/>
              <w:right w:val="single" w:sz="8" w:space="0" w:color="auto"/>
            </w:tcBorders>
            <w:shd w:val="clear" w:color="auto" w:fill="244062"/>
            <w:vAlign w:val="center"/>
            <w:hideMark/>
          </w:tcPr>
          <w:p w14:paraId="51F004F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86" w:type="dxa"/>
            <w:gridSpan w:val="3"/>
            <w:tcBorders>
              <w:top w:val="single" w:sz="8" w:space="0" w:color="auto"/>
              <w:left w:val="nil"/>
              <w:bottom w:val="single" w:sz="8" w:space="0" w:color="auto"/>
              <w:right w:val="single" w:sz="8" w:space="0" w:color="000000"/>
            </w:tcBorders>
            <w:vAlign w:val="center"/>
            <w:hideMark/>
          </w:tcPr>
          <w:p w14:paraId="7FFADD5A" w14:textId="77777777" w:rsidR="00614438" w:rsidRPr="003E0710" w:rsidRDefault="00614438" w:rsidP="003E0710">
            <w:pPr>
              <w:numPr>
                <w:ilvl w:val="0"/>
                <w:numId w:val="27"/>
              </w:numPr>
              <w:spacing w:after="0"/>
              <w:jc w:val="both"/>
              <w:rPr>
                <w:rFonts w:ascii="Times New Roman" w:hAnsi="Times New Roman" w:cs="Times New Roman"/>
                <w:sz w:val="20"/>
                <w:szCs w:val="20"/>
              </w:rPr>
            </w:pPr>
            <w:r w:rsidRPr="003E0710">
              <w:rPr>
                <w:rFonts w:ascii="Times New Roman" w:hAnsi="Times New Roman" w:cs="Times New Roman"/>
                <w:sz w:val="20"/>
                <w:szCs w:val="20"/>
              </w:rPr>
              <w:t>Waste Management Programme of the Republic of Serbia for the period 2022-2031</w:t>
            </w:r>
          </w:p>
        </w:tc>
        <w:tc>
          <w:tcPr>
            <w:tcW w:w="222" w:type="dxa"/>
            <w:vAlign w:val="center"/>
            <w:hideMark/>
          </w:tcPr>
          <w:p w14:paraId="560AC84B"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6F41B17" w14:textId="77777777" w:rsidTr="00614438">
        <w:trPr>
          <w:trHeight w:val="315"/>
        </w:trPr>
        <w:tc>
          <w:tcPr>
            <w:tcW w:w="3272" w:type="dxa"/>
            <w:tcBorders>
              <w:top w:val="nil"/>
              <w:left w:val="single" w:sz="8" w:space="0" w:color="auto"/>
              <w:bottom w:val="single" w:sz="8" w:space="0" w:color="auto"/>
              <w:right w:val="single" w:sz="8" w:space="0" w:color="auto"/>
            </w:tcBorders>
            <w:shd w:val="clear" w:color="auto" w:fill="244062"/>
            <w:vAlign w:val="center"/>
            <w:hideMark/>
          </w:tcPr>
          <w:p w14:paraId="45CED8D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86" w:type="dxa"/>
            <w:gridSpan w:val="3"/>
            <w:tcBorders>
              <w:top w:val="single" w:sz="8" w:space="0" w:color="auto"/>
              <w:left w:val="nil"/>
              <w:bottom w:val="single" w:sz="8" w:space="0" w:color="auto"/>
              <w:right w:val="single" w:sz="8" w:space="0" w:color="000000"/>
            </w:tcBorders>
            <w:vAlign w:val="center"/>
            <w:hideMark/>
          </w:tcPr>
          <w:p w14:paraId="2B61399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60 M€</w:t>
            </w:r>
          </w:p>
        </w:tc>
        <w:tc>
          <w:tcPr>
            <w:tcW w:w="222" w:type="dxa"/>
            <w:vAlign w:val="center"/>
            <w:hideMark/>
          </w:tcPr>
          <w:p w14:paraId="4BEC6539"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4437B73" w14:textId="77777777" w:rsidTr="00614438">
        <w:trPr>
          <w:trHeight w:val="315"/>
        </w:trPr>
        <w:tc>
          <w:tcPr>
            <w:tcW w:w="3272" w:type="dxa"/>
            <w:tcBorders>
              <w:top w:val="nil"/>
              <w:left w:val="single" w:sz="8" w:space="0" w:color="auto"/>
              <w:bottom w:val="single" w:sz="8" w:space="0" w:color="auto"/>
              <w:right w:val="single" w:sz="8" w:space="0" w:color="auto"/>
            </w:tcBorders>
            <w:shd w:val="clear" w:color="auto" w:fill="244062"/>
            <w:vAlign w:val="center"/>
            <w:hideMark/>
          </w:tcPr>
          <w:p w14:paraId="1DC023F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86" w:type="dxa"/>
            <w:gridSpan w:val="3"/>
            <w:tcBorders>
              <w:top w:val="single" w:sz="8" w:space="0" w:color="auto"/>
              <w:left w:val="nil"/>
              <w:bottom w:val="single" w:sz="8" w:space="0" w:color="auto"/>
              <w:right w:val="single" w:sz="8" w:space="0" w:color="000000"/>
            </w:tcBorders>
            <w:vAlign w:val="center"/>
            <w:hideMark/>
          </w:tcPr>
          <w:p w14:paraId="6F306FB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303A3657" w14:textId="77777777" w:rsidR="00614438" w:rsidRPr="003E0710" w:rsidRDefault="00614438" w:rsidP="003E0710">
            <w:pPr>
              <w:spacing w:after="0"/>
              <w:jc w:val="both"/>
              <w:rPr>
                <w:rFonts w:ascii="Times New Roman" w:hAnsi="Times New Roman" w:cs="Times New Roman"/>
                <w:sz w:val="20"/>
                <w:szCs w:val="20"/>
                <w:lang w:val="en-GB"/>
              </w:rPr>
            </w:pPr>
          </w:p>
        </w:tc>
      </w:tr>
    </w:tbl>
    <w:p w14:paraId="6BE3CE6E" w14:textId="77777777" w:rsidR="00614438" w:rsidRPr="00614438" w:rsidRDefault="00614438" w:rsidP="00614438">
      <w:pPr>
        <w:jc w:val="both"/>
        <w:rPr>
          <w:rFonts w:ascii="Times New Roman" w:hAnsi="Times New Roman" w:cs="Times New Roman"/>
          <w:sz w:val="24"/>
          <w:szCs w:val="24"/>
          <w:u w:val="single"/>
          <w:lang w:val="en-GB"/>
        </w:rPr>
      </w:pPr>
    </w:p>
    <w:p w14:paraId="1D734222" w14:textId="77777777" w:rsidR="00614438" w:rsidRPr="00614438" w:rsidRDefault="00614438" w:rsidP="00156CFD">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Agriculture and LULUCF</w:t>
      </w:r>
    </w:p>
    <w:p w14:paraId="69BCC2AE" w14:textId="77777777" w:rsidR="00614438" w:rsidRPr="00614438" w:rsidRDefault="00156CFD" w:rsidP="00A26A69">
      <w:pPr>
        <w:ind w:firstLine="360"/>
        <w:jc w:val="both"/>
        <w:rPr>
          <w:rFonts w:ascii="Times New Roman" w:hAnsi="Times New Roman" w:cs="Times New Roman"/>
          <w:sz w:val="24"/>
          <w:szCs w:val="24"/>
          <w:lang w:val="en-GB"/>
        </w:rPr>
      </w:pPr>
      <w:r>
        <w:rPr>
          <w:rFonts w:ascii="Times New Roman" w:hAnsi="Times New Roman" w:cs="Times New Roman"/>
          <w:sz w:val="24"/>
          <w:szCs w:val="24"/>
          <w:lang w:val="en-GB"/>
        </w:rPr>
        <w:t>Methane (</w:t>
      </w:r>
      <w:r w:rsidR="00614438" w:rsidRPr="00614438">
        <w:rPr>
          <w:rFonts w:ascii="Times New Roman" w:hAnsi="Times New Roman" w:cs="Times New Roman"/>
          <w:sz w:val="24"/>
          <w:szCs w:val="24"/>
          <w:lang w:val="en-GB"/>
        </w:rPr>
        <w:t>CH</w:t>
      </w:r>
      <w:r w:rsidR="00614438" w:rsidRPr="00614438">
        <w:rPr>
          <w:rFonts w:ascii="Times New Roman" w:hAnsi="Times New Roman" w:cs="Times New Roman"/>
          <w:sz w:val="24"/>
          <w:szCs w:val="24"/>
          <w:vertAlign w:val="subscript"/>
          <w:lang w:val="en-GB"/>
        </w:rPr>
        <w:t>4</w:t>
      </w:r>
      <w:r>
        <w:rPr>
          <w:rFonts w:ascii="Times New Roman" w:hAnsi="Times New Roman" w:cs="Times New Roman"/>
          <w:sz w:val="24"/>
          <w:szCs w:val="24"/>
          <w:vertAlign w:val="subscript"/>
          <w:lang w:val="en-GB"/>
        </w:rPr>
        <w:t>)</w:t>
      </w:r>
      <w:r w:rsidR="00614438" w:rsidRPr="00614438">
        <w:rPr>
          <w:rFonts w:ascii="Times New Roman" w:hAnsi="Times New Roman" w:cs="Times New Roman"/>
          <w:sz w:val="24"/>
          <w:szCs w:val="24"/>
          <w:lang w:val="en-GB"/>
        </w:rPr>
        <w:t xml:space="preserve"> is the main GHG emitted by the agricultural sector from enteric fermentation and manure management. Very small amounts of </w:t>
      </w:r>
      <w:r w:rsidR="00A26A69" w:rsidRPr="00F10D1E">
        <w:rPr>
          <w:rFonts w:ascii="Times New Roman" w:hAnsi="Times New Roman" w:cs="Times New Roman"/>
          <w:color w:val="000000"/>
          <w:sz w:val="24"/>
          <w:szCs w:val="24"/>
        </w:rPr>
        <w:t>N</w:t>
      </w:r>
      <w:r w:rsidR="00A26A69" w:rsidRPr="00F10D1E">
        <w:rPr>
          <w:rFonts w:ascii="Times New Roman" w:hAnsi="Times New Roman" w:cs="Times New Roman"/>
          <w:color w:val="000000"/>
          <w:sz w:val="24"/>
          <w:szCs w:val="24"/>
          <w:vertAlign w:val="subscript"/>
        </w:rPr>
        <w:t>2</w:t>
      </w:r>
      <w:r w:rsidR="00A26A69" w:rsidRPr="00F10D1E">
        <w:rPr>
          <w:rFonts w:ascii="Times New Roman" w:hAnsi="Times New Roman" w:cs="Times New Roman"/>
          <w:color w:val="000000"/>
          <w:sz w:val="24"/>
          <w:szCs w:val="24"/>
        </w:rPr>
        <w:t xml:space="preserve">О </w:t>
      </w:r>
      <w:r w:rsidR="00614438" w:rsidRPr="00614438">
        <w:rPr>
          <w:rFonts w:ascii="Times New Roman" w:hAnsi="Times New Roman" w:cs="Times New Roman"/>
          <w:sz w:val="24"/>
          <w:szCs w:val="24"/>
          <w:lang w:val="en-GB"/>
        </w:rPr>
        <w:t>are also emitted from manure management and fertiliser use. Various policies and measures are being implemented as agricultural practices, which reduce the GHG emissions profile of the local agricultural sector. N</w:t>
      </w:r>
      <w:r w:rsidR="00614438" w:rsidRPr="00614438">
        <w:rPr>
          <w:rFonts w:ascii="Times New Roman" w:hAnsi="Times New Roman" w:cs="Times New Roman"/>
          <w:sz w:val="24"/>
          <w:szCs w:val="24"/>
          <w:vertAlign w:val="subscript"/>
          <w:lang w:val="en-GB"/>
        </w:rPr>
        <w:t>2</w:t>
      </w:r>
      <w:r w:rsidR="00614438" w:rsidRPr="00614438">
        <w:rPr>
          <w:rFonts w:ascii="Times New Roman" w:hAnsi="Times New Roman" w:cs="Times New Roman"/>
          <w:sz w:val="24"/>
          <w:szCs w:val="24"/>
          <w:lang w:val="en-GB"/>
        </w:rPr>
        <w:t>O emissions from the use of fertiliser are expected to decrease over time as improved cultivation practices are adopted.</w:t>
      </w:r>
    </w:p>
    <w:p w14:paraId="09856D1F" w14:textId="77777777" w:rsidR="00614438" w:rsidRPr="00614438" w:rsidRDefault="00614438" w:rsidP="00A26A69">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the Republic of Serbia, agricultural policy is based on the </w:t>
      </w:r>
      <w:r w:rsidR="008E174C">
        <w:rPr>
          <w:rFonts w:ascii="Times New Roman" w:hAnsi="Times New Roman" w:cs="Times New Roman"/>
          <w:sz w:val="24"/>
          <w:szCs w:val="24"/>
          <w:lang w:val="en-GB"/>
        </w:rPr>
        <w:t>Law</w:t>
      </w:r>
      <w:r w:rsidRPr="00614438">
        <w:rPr>
          <w:rFonts w:ascii="Times New Roman" w:hAnsi="Times New Roman" w:cs="Times New Roman"/>
          <w:sz w:val="24"/>
          <w:szCs w:val="24"/>
          <w:lang w:val="en-GB"/>
        </w:rPr>
        <w:t xml:space="preserve"> on Agriculture and Rural Development and the </w:t>
      </w:r>
      <w:r w:rsidR="008E174C">
        <w:rPr>
          <w:rFonts w:ascii="Times New Roman" w:hAnsi="Times New Roman" w:cs="Times New Roman"/>
          <w:sz w:val="24"/>
          <w:szCs w:val="24"/>
          <w:lang w:val="en-GB"/>
        </w:rPr>
        <w:t>Law</w:t>
      </w:r>
      <w:r w:rsidRPr="00614438">
        <w:rPr>
          <w:rFonts w:ascii="Times New Roman" w:hAnsi="Times New Roman" w:cs="Times New Roman"/>
          <w:sz w:val="24"/>
          <w:szCs w:val="24"/>
          <w:lang w:val="en-GB"/>
        </w:rPr>
        <w:t xml:space="preserve"> on Incentives in Agriculture and Rural Development</w:t>
      </w:r>
      <w:r w:rsidR="008E174C">
        <w:rPr>
          <w:rFonts w:ascii="Times New Roman" w:hAnsi="Times New Roman" w:cs="Times New Roman"/>
          <w:sz w:val="24"/>
          <w:szCs w:val="24"/>
          <w:lang w:val="en-GB"/>
        </w:rPr>
        <w:t xml:space="preserve">, while </w:t>
      </w:r>
      <w:r w:rsidR="008E174C" w:rsidRPr="008E174C">
        <w:rPr>
          <w:rFonts w:ascii="Times New Roman" w:hAnsi="Times New Roman" w:cs="Times New Roman"/>
          <w:sz w:val="24"/>
          <w:szCs w:val="24"/>
          <w:lang w:val="en-GB"/>
        </w:rPr>
        <w:t xml:space="preserve">the </w:t>
      </w:r>
      <w:r w:rsidR="008E174C" w:rsidRPr="008E174C">
        <w:rPr>
          <w:rFonts w:ascii="Times New Roman" w:hAnsi="Times New Roman" w:cs="Times New Roman"/>
          <w:sz w:val="24"/>
          <w:szCs w:val="24"/>
          <w:lang w:val="en-GB"/>
        </w:rPr>
        <w:lastRenderedPageBreak/>
        <w:t>arrangement of the market of agricultural products is regulated by the Law on the arrangement of the market of agricultural products, partially harmonized with the common organization of the EU market</w:t>
      </w:r>
      <w:r w:rsidR="008E174C">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 xml:space="preserve">However, none of these two </w:t>
      </w:r>
      <w:r w:rsidR="00634BC5">
        <w:rPr>
          <w:rFonts w:ascii="Times New Roman" w:hAnsi="Times New Roman" w:cs="Times New Roman"/>
          <w:sz w:val="24"/>
          <w:szCs w:val="24"/>
          <w:lang w:val="en-GB"/>
        </w:rPr>
        <w:t>laws</w:t>
      </w:r>
      <w:r w:rsidRPr="00614438">
        <w:rPr>
          <w:rFonts w:ascii="Times New Roman" w:hAnsi="Times New Roman" w:cs="Times New Roman"/>
          <w:sz w:val="24"/>
          <w:szCs w:val="24"/>
          <w:lang w:val="en-GB"/>
        </w:rPr>
        <w:t xml:space="preserve"> enable the regulation of the agricultural products market and the introduction of new market regulation mechanisms, which are necessary to help </w:t>
      </w:r>
      <w:r w:rsidR="00634BC5">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Serbian agriculture maintain steady development. Market mechanisms in the Republic of Serbia are not in accordance with the common EU market organization. Serbia lacks a similar unique legal framework to implement most measures of market regulation.</w:t>
      </w:r>
    </w:p>
    <w:p w14:paraId="5EB804EB" w14:textId="77777777" w:rsidR="00614438" w:rsidRPr="00614438" w:rsidRDefault="00614438" w:rsidP="00634BC5">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order to harmonize further with mechanisms in the EU, the Serbian National Assembly adopted the </w:t>
      </w:r>
      <w:r w:rsidR="001B4F6E">
        <w:rPr>
          <w:rFonts w:ascii="Times New Roman" w:hAnsi="Times New Roman" w:cs="Times New Roman"/>
          <w:sz w:val="24"/>
          <w:szCs w:val="24"/>
          <w:lang w:val="en-GB"/>
        </w:rPr>
        <w:t>Law</w:t>
      </w:r>
      <w:r w:rsidRPr="00614438">
        <w:rPr>
          <w:rFonts w:ascii="Times New Roman" w:hAnsi="Times New Roman" w:cs="Times New Roman"/>
          <w:sz w:val="24"/>
          <w:szCs w:val="24"/>
          <w:lang w:val="en-GB"/>
        </w:rPr>
        <w:t xml:space="preserve"> on the Regulation of the Agricultural Products Market</w:t>
      </w:r>
      <w:r w:rsidR="001B4F6E">
        <w:rPr>
          <w:rFonts w:ascii="Times New Roman" w:hAnsi="Times New Roman" w:cs="Times New Roman"/>
          <w:sz w:val="24"/>
          <w:szCs w:val="24"/>
          <w:lang w:val="en-GB"/>
        </w:rPr>
        <w:t xml:space="preserve"> (“Official Gazette of RS”, no. 67/21)</w:t>
      </w:r>
      <w:r w:rsidRPr="00614438">
        <w:rPr>
          <w:rFonts w:ascii="Times New Roman" w:hAnsi="Times New Roman" w:cs="Times New Roman"/>
          <w:sz w:val="24"/>
          <w:szCs w:val="24"/>
          <w:lang w:val="en-GB"/>
        </w:rPr>
        <w:t xml:space="preserve">. The </w:t>
      </w:r>
      <w:r w:rsidR="001B4F6E">
        <w:rPr>
          <w:rFonts w:ascii="Times New Roman" w:hAnsi="Times New Roman" w:cs="Times New Roman"/>
          <w:sz w:val="24"/>
          <w:szCs w:val="24"/>
          <w:lang w:val="en-GB"/>
        </w:rPr>
        <w:t>Law</w:t>
      </w:r>
      <w:r w:rsidRPr="00614438">
        <w:rPr>
          <w:rFonts w:ascii="Times New Roman" w:hAnsi="Times New Roman" w:cs="Times New Roman"/>
          <w:sz w:val="24"/>
          <w:szCs w:val="24"/>
          <w:lang w:val="en-GB"/>
        </w:rPr>
        <w:t xml:space="preserve"> regulates the requirements and measures for the regulation of the agricultural products market.</w:t>
      </w:r>
    </w:p>
    <w:p w14:paraId="54A19039" w14:textId="77777777" w:rsidR="00614438" w:rsidRPr="00614438" w:rsidRDefault="00614438" w:rsidP="001B4F6E">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Beyond this, and </w:t>
      </w:r>
      <w:r w:rsidR="001B4F6E">
        <w:rPr>
          <w:rFonts w:ascii="Times New Roman" w:hAnsi="Times New Roman" w:cs="Times New Roman"/>
          <w:sz w:val="24"/>
          <w:szCs w:val="24"/>
          <w:lang w:val="en-GB"/>
        </w:rPr>
        <w:t>especially r</w:t>
      </w:r>
      <w:r w:rsidRPr="00614438">
        <w:rPr>
          <w:rFonts w:ascii="Times New Roman" w:hAnsi="Times New Roman" w:cs="Times New Roman"/>
          <w:sz w:val="24"/>
          <w:szCs w:val="24"/>
          <w:lang w:val="en-GB"/>
        </w:rPr>
        <w:t>egard</w:t>
      </w:r>
      <w:r w:rsidR="001B4F6E">
        <w:rPr>
          <w:rFonts w:ascii="Times New Roman" w:hAnsi="Times New Roman" w:cs="Times New Roman"/>
          <w:sz w:val="24"/>
          <w:szCs w:val="24"/>
          <w:lang w:val="en-GB"/>
        </w:rPr>
        <w:t>ing</w:t>
      </w:r>
      <w:r w:rsidRPr="00614438">
        <w:rPr>
          <w:rFonts w:ascii="Times New Roman" w:hAnsi="Times New Roman" w:cs="Times New Roman"/>
          <w:sz w:val="24"/>
          <w:szCs w:val="24"/>
          <w:lang w:val="en-GB"/>
        </w:rPr>
        <w:t xml:space="preserve"> GHG emissions, </w:t>
      </w:r>
      <w:r w:rsidR="001B4F6E">
        <w:rPr>
          <w:rFonts w:ascii="Times New Roman" w:hAnsi="Times New Roman" w:cs="Times New Roman"/>
          <w:sz w:val="24"/>
          <w:szCs w:val="24"/>
          <w:lang w:val="en-GB"/>
        </w:rPr>
        <w:t xml:space="preserve">it is necessary to improve </w:t>
      </w:r>
      <w:r w:rsidRPr="00614438">
        <w:rPr>
          <w:rFonts w:ascii="Times New Roman" w:hAnsi="Times New Roman" w:cs="Times New Roman"/>
          <w:sz w:val="24"/>
          <w:szCs w:val="24"/>
          <w:lang w:val="en-GB"/>
        </w:rPr>
        <w:t xml:space="preserve">manure management through the enactment of the proposed policy measure PM_D11, which requires both an investment in new infrastructure and a change in current </w:t>
      </w:r>
      <w:r w:rsidR="001B4F6E">
        <w:rPr>
          <w:rFonts w:ascii="Times New Roman" w:hAnsi="Times New Roman" w:cs="Times New Roman"/>
          <w:sz w:val="24"/>
          <w:szCs w:val="24"/>
          <w:lang w:val="en-GB"/>
        </w:rPr>
        <w:t>practices</w:t>
      </w:r>
      <w:r w:rsidRPr="00614438">
        <w:rPr>
          <w:rFonts w:ascii="Times New Roman" w:hAnsi="Times New Roman" w:cs="Times New Roman"/>
          <w:sz w:val="24"/>
          <w:szCs w:val="24"/>
          <w:lang w:val="en-GB"/>
        </w:rPr>
        <w:t>.</w:t>
      </w:r>
    </w:p>
    <w:p w14:paraId="5526C747" w14:textId="77777777" w:rsidR="00614438" w:rsidRPr="00614438" w:rsidRDefault="00614438" w:rsidP="001B4F6E">
      <w:pPr>
        <w:ind w:left="1080"/>
        <w:jc w:val="both"/>
        <w:rPr>
          <w:rFonts w:ascii="Times New Roman" w:hAnsi="Times New Roman" w:cs="Times New Roman"/>
          <w:sz w:val="24"/>
          <w:szCs w:val="24"/>
        </w:rPr>
      </w:pPr>
      <w:r w:rsidRPr="00614438">
        <w:rPr>
          <w:rFonts w:ascii="Times New Roman" w:hAnsi="Times New Roman" w:cs="Times New Roman"/>
          <w:sz w:val="24"/>
          <w:szCs w:val="24"/>
        </w:rPr>
        <w:t>Land Use, Land Use Change and Forestry</w:t>
      </w:r>
    </w:p>
    <w:p w14:paraId="4BB7D033" w14:textId="77777777" w:rsidR="00614438" w:rsidRPr="00614438" w:rsidRDefault="001B4F6E" w:rsidP="001B4F6E">
      <w:pPr>
        <w:ind w:firstLine="720"/>
        <w:jc w:val="both"/>
        <w:rPr>
          <w:rFonts w:ascii="Times New Roman" w:hAnsi="Times New Roman" w:cs="Times New Roman"/>
          <w:sz w:val="24"/>
          <w:szCs w:val="24"/>
          <w:lang w:val="en-GB"/>
        </w:rPr>
      </w:pPr>
      <w:r w:rsidRPr="001B4F6E">
        <w:rPr>
          <w:rFonts w:ascii="Times New Roman" w:hAnsi="Times New Roman" w:cs="Times New Roman"/>
          <w:sz w:val="24"/>
          <w:szCs w:val="24"/>
          <w:lang w:val="en-GB"/>
        </w:rPr>
        <w:t xml:space="preserve">According to the published final results of the second National Forest Inventory, the area of ​​forests and forest land amounts to 2,854,956 hectares, of which 41.73% is state property and 58.27% is private property. The data are published on the website of the Forestry Administration </w:t>
      </w:r>
      <w:hyperlink r:id="rId23" w:history="1">
        <w:r w:rsidRPr="00AA25C7">
          <w:rPr>
            <w:rStyle w:val="Hyperlink"/>
            <w:rFonts w:ascii="Times New Roman" w:hAnsi="Times New Roman" w:cs="Times New Roman"/>
            <w:sz w:val="24"/>
            <w:szCs w:val="24"/>
            <w:lang w:val="en-GB"/>
          </w:rPr>
          <w:t>https://upravazasume.gov.rs/</w:t>
        </w:r>
      </w:hyperlink>
      <w:r w:rsidR="00614438" w:rsidRPr="00614438">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sidR="00614438" w:rsidRPr="00614438">
        <w:rPr>
          <w:rFonts w:ascii="Times New Roman" w:hAnsi="Times New Roman" w:cs="Times New Roman"/>
          <w:sz w:val="24"/>
          <w:szCs w:val="24"/>
          <w:lang w:val="en-GB"/>
        </w:rPr>
        <w:t xml:space="preserve">Article 3 of the </w:t>
      </w:r>
      <w:r>
        <w:rPr>
          <w:rFonts w:ascii="Times New Roman" w:hAnsi="Times New Roman" w:cs="Times New Roman"/>
          <w:sz w:val="24"/>
          <w:szCs w:val="24"/>
          <w:lang w:val="en-GB"/>
        </w:rPr>
        <w:t xml:space="preserve">Law on </w:t>
      </w:r>
      <w:r w:rsidR="00614438" w:rsidRPr="00614438">
        <w:rPr>
          <w:rFonts w:ascii="Times New Roman" w:hAnsi="Times New Roman" w:cs="Times New Roman"/>
          <w:sz w:val="24"/>
          <w:szCs w:val="24"/>
          <w:lang w:val="en-GB"/>
        </w:rPr>
        <w:t>Forest</w:t>
      </w:r>
      <w:r>
        <w:rPr>
          <w:rFonts w:ascii="Times New Roman" w:hAnsi="Times New Roman" w:cs="Times New Roman"/>
          <w:sz w:val="24"/>
          <w:szCs w:val="24"/>
          <w:lang w:val="en-GB"/>
        </w:rPr>
        <w:t>s (“Official Gazette of RS”, no. 30/10, 93/12, 89/15 – as amended)</w:t>
      </w:r>
      <w:r w:rsidR="00614438" w:rsidRPr="00614438">
        <w:rPr>
          <w:rFonts w:ascii="Times New Roman" w:hAnsi="Times New Roman" w:cs="Times New Roman"/>
          <w:sz w:val="24"/>
          <w:szCs w:val="24"/>
          <w:lang w:val="en-GB"/>
        </w:rPr>
        <w:t xml:space="preserve"> defines the objectives of Forest Landscape Restoration as follows: “This Law shall ensure the conditions for sustainable management of forests and forest lands as goods of public interest, in a manner and to an extent which conserves and enhances their productivity, biological diversity, ability to regenerate and vitality, and increases their potential for the mitigation of climate change and their economic, ecologic and social functions, without inflicting damage to the surrounding ecosystems”.</w:t>
      </w:r>
    </w:p>
    <w:p w14:paraId="65BB1376" w14:textId="77777777" w:rsidR="00614438" w:rsidRPr="00614438" w:rsidRDefault="00614438" w:rsidP="001B4F6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general condition of state forests is considered unsatisfactory, reflecting low volume production, low forest cover, an unfavourable age-class structure and poor health. In the Forest Development Strategy of the Republic of Serbia</w:t>
      </w:r>
      <w:r w:rsidR="001B4F6E">
        <w:rPr>
          <w:rFonts w:ascii="Times New Roman" w:hAnsi="Times New Roman" w:cs="Times New Roman"/>
          <w:sz w:val="24"/>
          <w:szCs w:val="24"/>
          <w:lang w:val="en-GB"/>
        </w:rPr>
        <w:t xml:space="preserve"> (“Official Gazette of RS”, no 59/06)</w:t>
      </w:r>
      <w:r w:rsidRPr="00614438">
        <w:rPr>
          <w:rFonts w:ascii="Times New Roman" w:hAnsi="Times New Roman" w:cs="Times New Roman"/>
          <w:sz w:val="24"/>
          <w:szCs w:val="24"/>
          <w:lang w:val="en-GB"/>
        </w:rPr>
        <w:t xml:space="preserve">, guiding principle 3.9 </w:t>
      </w:r>
      <w:r w:rsidR="001B4F6E">
        <w:rPr>
          <w:rFonts w:ascii="Times New Roman" w:hAnsi="Times New Roman" w:cs="Times New Roman"/>
          <w:sz w:val="24"/>
          <w:szCs w:val="24"/>
          <w:lang w:val="en-GB"/>
        </w:rPr>
        <w:t xml:space="preserve">of the forestry sector </w:t>
      </w:r>
      <w:r w:rsidRPr="00614438">
        <w:rPr>
          <w:rFonts w:ascii="Times New Roman" w:hAnsi="Times New Roman" w:cs="Times New Roman"/>
          <w:sz w:val="24"/>
          <w:szCs w:val="24"/>
          <w:lang w:val="en-GB"/>
        </w:rPr>
        <w:t xml:space="preserve">suggests preventing forest degradation primarily by applying the mechanism of environmental impact assessment and by fostering intersectoral cooperation in solving such conflicts. The same document suggests </w:t>
      </w:r>
      <w:r w:rsidR="001B4F6E">
        <w:rPr>
          <w:rFonts w:ascii="Times New Roman" w:hAnsi="Times New Roman" w:cs="Times New Roman"/>
          <w:sz w:val="24"/>
          <w:szCs w:val="24"/>
          <w:lang w:val="en-GB"/>
        </w:rPr>
        <w:t xml:space="preserve">that </w:t>
      </w:r>
      <w:r w:rsidRPr="00614438">
        <w:rPr>
          <w:rFonts w:ascii="Times New Roman" w:hAnsi="Times New Roman" w:cs="Times New Roman"/>
          <w:sz w:val="24"/>
          <w:szCs w:val="24"/>
          <w:lang w:val="en-GB"/>
        </w:rPr>
        <w:t xml:space="preserve">efforts </w:t>
      </w:r>
      <w:r w:rsidR="001B4F6E">
        <w:rPr>
          <w:rFonts w:ascii="Times New Roman" w:hAnsi="Times New Roman" w:cs="Times New Roman"/>
          <w:sz w:val="24"/>
          <w:szCs w:val="24"/>
          <w:lang w:val="en-GB"/>
        </w:rPr>
        <w:t xml:space="preserve">should be made </w:t>
      </w:r>
      <w:r w:rsidRPr="00614438">
        <w:rPr>
          <w:rFonts w:ascii="Times New Roman" w:hAnsi="Times New Roman" w:cs="Times New Roman"/>
          <w:sz w:val="24"/>
          <w:szCs w:val="24"/>
          <w:lang w:val="en-GB"/>
        </w:rPr>
        <w:t>to maintain and increase the area covered by forests by reclamation, afforestation and forest cultivation on the abandoned, degraded and treeless land</w:t>
      </w:r>
      <w:r w:rsidR="001B4F6E">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and advocates intersectoral cooperation to prevent further forest degradation.</w:t>
      </w:r>
    </w:p>
    <w:p w14:paraId="54E67506" w14:textId="77777777" w:rsidR="00614438" w:rsidRPr="00614438" w:rsidRDefault="00614438" w:rsidP="001B4F6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Law on Forests and other planning documents regulate preservation, protection, and improvement of the condition of forests and forest land in the Republic of Serbia. According to the Law on Forests, Forest Area Development Plans, which are still to be adopted, should determine the directions of forest and forestry development, together with </w:t>
      </w:r>
      <w:r w:rsidR="004C25B9">
        <w:rPr>
          <w:rFonts w:ascii="Times New Roman" w:hAnsi="Times New Roman" w:cs="Times New Roman"/>
          <w:sz w:val="24"/>
          <w:szCs w:val="24"/>
          <w:lang w:val="en-GB"/>
        </w:rPr>
        <w:t xml:space="preserve">a </w:t>
      </w:r>
      <w:r w:rsidRPr="00614438">
        <w:rPr>
          <w:rFonts w:ascii="Times New Roman" w:hAnsi="Times New Roman" w:cs="Times New Roman"/>
          <w:sz w:val="24"/>
          <w:szCs w:val="24"/>
          <w:lang w:val="en-GB"/>
        </w:rPr>
        <w:t>program of measures, activities and guidelines for the implementation of planned works. An objective exists to increase forest cover to 41.4% by 2050.</w:t>
      </w:r>
    </w:p>
    <w:p w14:paraId="28245B3F" w14:textId="77777777" w:rsidR="00614438" w:rsidRPr="003E0710" w:rsidRDefault="00614438" w:rsidP="003E0710">
      <w:pPr>
        <w:spacing w:after="0"/>
        <w:ind w:firstLine="720"/>
        <w:jc w:val="both"/>
        <w:rPr>
          <w:rFonts w:ascii="Times New Roman" w:hAnsi="Times New Roman" w:cs="Times New Roman"/>
          <w:sz w:val="20"/>
          <w:szCs w:val="20"/>
          <w:lang w:val="en-GB"/>
        </w:rPr>
      </w:pPr>
      <w:r w:rsidRPr="00614438">
        <w:rPr>
          <w:rFonts w:ascii="Times New Roman" w:hAnsi="Times New Roman" w:cs="Times New Roman"/>
          <w:sz w:val="24"/>
          <w:szCs w:val="24"/>
          <w:lang w:val="en-GB"/>
        </w:rPr>
        <w:t>The Republic of Serbia seeks to enhance removals or reduce emissions in the LULUCF sector. In view of this, afforestation projects have been undertaken in recent years, which had an effect on the area covered by permanent vegetation, particularly trees. However, the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 removals as a result </w:t>
      </w:r>
      <w:r w:rsidRPr="00614438">
        <w:rPr>
          <w:rFonts w:ascii="Times New Roman" w:hAnsi="Times New Roman" w:cs="Times New Roman"/>
          <w:sz w:val="24"/>
          <w:szCs w:val="24"/>
          <w:lang w:val="en-GB"/>
        </w:rPr>
        <w:lastRenderedPageBreak/>
        <w:t xml:space="preserve">of such policy actions, have not been estimated, given that the scale of projects and the scale of removals </w:t>
      </w:r>
      <w:r w:rsidR="004C25B9">
        <w:rPr>
          <w:rFonts w:ascii="Times New Roman" w:hAnsi="Times New Roman" w:cs="Times New Roman"/>
          <w:sz w:val="24"/>
          <w:szCs w:val="24"/>
          <w:lang w:val="en-GB"/>
        </w:rPr>
        <w:t>was</w:t>
      </w:r>
      <w:r w:rsidRPr="00614438">
        <w:rPr>
          <w:rFonts w:ascii="Times New Roman" w:hAnsi="Times New Roman" w:cs="Times New Roman"/>
          <w:sz w:val="24"/>
          <w:szCs w:val="24"/>
          <w:lang w:val="en-GB"/>
        </w:rPr>
        <w:t xml:space="preserve"> very limited.</w:t>
      </w:r>
    </w:p>
    <w:tbl>
      <w:tblPr>
        <w:tblW w:w="9680" w:type="dxa"/>
        <w:tblLook w:val="04A0" w:firstRow="1" w:lastRow="0" w:firstColumn="1" w:lastColumn="0" w:noHBand="0" w:noVBand="1"/>
      </w:tblPr>
      <w:tblGrid>
        <w:gridCol w:w="3318"/>
        <w:gridCol w:w="977"/>
        <w:gridCol w:w="944"/>
        <w:gridCol w:w="4219"/>
        <w:gridCol w:w="222"/>
      </w:tblGrid>
      <w:tr w:rsidR="00614438" w:rsidRPr="003E0710" w14:paraId="18E70BA2" w14:textId="77777777" w:rsidTr="004C25B9">
        <w:trPr>
          <w:gridAfter w:val="1"/>
          <w:wAfter w:w="222" w:type="dxa"/>
          <w:trHeight w:val="780"/>
        </w:trPr>
        <w:tc>
          <w:tcPr>
            <w:tcW w:w="3318"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15CD413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77" w:type="dxa"/>
            <w:tcBorders>
              <w:top w:val="single" w:sz="8" w:space="0" w:color="auto"/>
              <w:left w:val="nil"/>
              <w:bottom w:val="single" w:sz="8" w:space="0" w:color="auto"/>
              <w:right w:val="single" w:sz="8" w:space="0" w:color="auto"/>
            </w:tcBorders>
            <w:shd w:val="clear" w:color="auto" w:fill="E7E6E6" w:themeFill="background2"/>
            <w:vAlign w:val="center"/>
            <w:hideMark/>
          </w:tcPr>
          <w:p w14:paraId="7E4C108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PM_D7</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47230FA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19" w:type="dxa"/>
            <w:tcBorders>
              <w:top w:val="single" w:sz="8" w:space="0" w:color="auto"/>
              <w:left w:val="nil"/>
              <w:bottom w:val="single" w:sz="8" w:space="0" w:color="auto"/>
              <w:right w:val="single" w:sz="8" w:space="0" w:color="auto"/>
            </w:tcBorders>
            <w:shd w:val="clear" w:color="auto" w:fill="E7E6E6" w:themeFill="background2"/>
            <w:vAlign w:val="center"/>
            <w:hideMark/>
          </w:tcPr>
          <w:p w14:paraId="271CDA1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Sustainable forest management (forest land</w:t>
            </w:r>
            <w:r w:rsidR="004C25B9" w:rsidRPr="003E0710">
              <w:rPr>
                <w:rFonts w:ascii="Times New Roman" w:hAnsi="Times New Roman" w:cs="Times New Roman"/>
                <w:sz w:val="20"/>
                <w:szCs w:val="20"/>
                <w:lang w:val="en-GB"/>
              </w:rPr>
              <w:t>,</w:t>
            </w:r>
            <w:r w:rsidRPr="003E0710">
              <w:rPr>
                <w:rFonts w:ascii="Times New Roman" w:hAnsi="Times New Roman" w:cs="Times New Roman"/>
                <w:sz w:val="20"/>
                <w:szCs w:val="20"/>
                <w:lang w:val="en-GB"/>
              </w:rPr>
              <w:t xml:space="preserve"> remaining forest land)</w:t>
            </w:r>
          </w:p>
        </w:tc>
      </w:tr>
      <w:tr w:rsidR="004C25B9" w:rsidRPr="003E0710" w14:paraId="55B4BC8C" w14:textId="77777777" w:rsidTr="004C25B9">
        <w:trPr>
          <w:gridAfter w:val="1"/>
          <w:wAfter w:w="222" w:type="dxa"/>
          <w:trHeight w:val="413"/>
        </w:trPr>
        <w:tc>
          <w:tcPr>
            <w:tcW w:w="3318" w:type="dxa"/>
            <w:tcBorders>
              <w:top w:val="nil"/>
              <w:left w:val="single" w:sz="8" w:space="0" w:color="auto"/>
              <w:bottom w:val="single" w:sz="8" w:space="0" w:color="auto"/>
              <w:right w:val="nil"/>
            </w:tcBorders>
            <w:shd w:val="clear" w:color="auto" w:fill="244062"/>
            <w:vAlign w:val="center"/>
            <w:hideMark/>
          </w:tcPr>
          <w:p w14:paraId="72B5FB93" w14:textId="77777777" w:rsidR="004C25B9" w:rsidRPr="003E0710" w:rsidRDefault="004C25B9"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40" w:type="dxa"/>
            <w:gridSpan w:val="3"/>
            <w:tcBorders>
              <w:top w:val="single" w:sz="8" w:space="0" w:color="auto"/>
              <w:left w:val="nil"/>
              <w:bottom w:val="single" w:sz="8" w:space="0" w:color="auto"/>
              <w:right w:val="single" w:sz="8" w:space="0" w:color="000000"/>
            </w:tcBorders>
            <w:vAlign w:val="center"/>
            <w:hideMark/>
          </w:tcPr>
          <w:p w14:paraId="4A81194F" w14:textId="77777777" w:rsidR="004C25B9" w:rsidRPr="003E0710" w:rsidRDefault="004C25B9"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 GHG emissions reduction</w:t>
            </w:r>
          </w:p>
        </w:tc>
      </w:tr>
      <w:tr w:rsidR="00614438" w:rsidRPr="003E0710" w14:paraId="7A014EF6" w14:textId="77777777" w:rsidTr="004C25B9">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11B2205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40" w:type="dxa"/>
            <w:gridSpan w:val="3"/>
            <w:tcBorders>
              <w:top w:val="single" w:sz="8" w:space="0" w:color="auto"/>
              <w:left w:val="nil"/>
              <w:bottom w:val="single" w:sz="8" w:space="0" w:color="auto"/>
              <w:right w:val="single" w:sz="8" w:space="0" w:color="000000"/>
            </w:tcBorders>
            <w:vAlign w:val="center"/>
            <w:hideMark/>
          </w:tcPr>
          <w:p w14:paraId="798EE55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 Contribution to the objective of reduction of GHG emissions by 40.3% (with LULUCF) by 2030 compared to 1990 levels</w:t>
            </w:r>
          </w:p>
        </w:tc>
      </w:tr>
      <w:tr w:rsidR="00614438" w:rsidRPr="003E0710" w14:paraId="51F5400F" w14:textId="77777777" w:rsidTr="004C25B9">
        <w:trPr>
          <w:gridAfter w:val="1"/>
          <w:wAfter w:w="222" w:type="dxa"/>
          <w:trHeight w:val="764"/>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1F3F261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40" w:type="dxa"/>
            <w:gridSpan w:val="3"/>
            <w:tcBorders>
              <w:top w:val="single" w:sz="8" w:space="0" w:color="auto"/>
              <w:left w:val="nil"/>
              <w:bottom w:val="single" w:sz="8" w:space="0" w:color="auto"/>
              <w:right w:val="single" w:sz="8" w:space="0" w:color="000000"/>
            </w:tcBorders>
            <w:vAlign w:val="center"/>
            <w:hideMark/>
          </w:tcPr>
          <w:p w14:paraId="54A4D11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PM_D7 aims to reverse the loss of forest cover through sustainable forest management, including a ban on </w:t>
            </w:r>
            <w:r w:rsidR="004C25B9" w:rsidRPr="003E0710">
              <w:rPr>
                <w:rFonts w:ascii="Times New Roman" w:hAnsi="Times New Roman" w:cs="Times New Roman"/>
                <w:sz w:val="20"/>
                <w:szCs w:val="20"/>
                <w:lang w:val="en-GB"/>
              </w:rPr>
              <w:t xml:space="preserve">the cutting down of </w:t>
            </w:r>
            <w:r w:rsidRPr="003E0710">
              <w:rPr>
                <w:rFonts w:ascii="Times New Roman" w:hAnsi="Times New Roman" w:cs="Times New Roman"/>
                <w:sz w:val="20"/>
                <w:szCs w:val="20"/>
                <w:lang w:val="en-GB"/>
              </w:rPr>
              <w:t>forest for the first level of protection and limited for the second level in sustainable and strictly controlled manner, protection, restoration, afforestation and reforestation and increase efforts to prevent forest degradation, convert coppice forests to tall forests, control invasive species and afforestation with autochthonous species, restoration of moist habitats of lowland forests and expansion of riparian zones along watercourses.</w:t>
            </w:r>
          </w:p>
        </w:tc>
      </w:tr>
      <w:tr w:rsidR="00614438" w:rsidRPr="003E0710" w14:paraId="72B3B760" w14:textId="77777777" w:rsidTr="004C25B9">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48A752D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40" w:type="dxa"/>
            <w:gridSpan w:val="3"/>
            <w:tcBorders>
              <w:top w:val="single" w:sz="8" w:space="0" w:color="auto"/>
              <w:left w:val="nil"/>
              <w:bottom w:val="single" w:sz="8" w:space="0" w:color="auto"/>
              <w:right w:val="single" w:sz="8" w:space="0" w:color="000000"/>
            </w:tcBorders>
            <w:vAlign w:val="center"/>
            <w:hideMark/>
          </w:tcPr>
          <w:p w14:paraId="562208A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2024-2030</w:t>
            </w:r>
          </w:p>
        </w:tc>
      </w:tr>
      <w:tr w:rsidR="00614438" w:rsidRPr="003E0710" w14:paraId="2DD33C60" w14:textId="77777777" w:rsidTr="004C25B9">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738ED89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40" w:type="dxa"/>
            <w:gridSpan w:val="3"/>
            <w:tcBorders>
              <w:top w:val="single" w:sz="8" w:space="0" w:color="auto"/>
              <w:left w:val="nil"/>
              <w:bottom w:val="single" w:sz="8" w:space="0" w:color="auto"/>
              <w:right w:val="single" w:sz="8" w:space="0" w:color="000000"/>
            </w:tcBorders>
            <w:vAlign w:val="center"/>
            <w:hideMark/>
          </w:tcPr>
          <w:p w14:paraId="4A18A08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w:t>
            </w:r>
          </w:p>
        </w:tc>
      </w:tr>
      <w:tr w:rsidR="00614438" w:rsidRPr="003E0710" w14:paraId="34B3284B" w14:textId="77777777" w:rsidTr="004C25B9">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1BC006D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40" w:type="dxa"/>
            <w:gridSpan w:val="3"/>
            <w:tcBorders>
              <w:top w:val="single" w:sz="8" w:space="0" w:color="auto"/>
              <w:left w:val="nil"/>
              <w:bottom w:val="single" w:sz="8" w:space="0" w:color="auto"/>
              <w:right w:val="single" w:sz="8" w:space="0" w:color="000000"/>
            </w:tcBorders>
            <w:vAlign w:val="center"/>
            <w:hideMark/>
          </w:tcPr>
          <w:p w14:paraId="30D3496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Agriculture and LULUCF</w:t>
            </w:r>
          </w:p>
        </w:tc>
      </w:tr>
      <w:tr w:rsidR="00614438" w:rsidRPr="003E0710" w14:paraId="3EB4CE42" w14:textId="77777777" w:rsidTr="004C25B9">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581D8A1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40" w:type="dxa"/>
            <w:gridSpan w:val="3"/>
            <w:tcBorders>
              <w:top w:val="single" w:sz="8" w:space="0" w:color="auto"/>
              <w:left w:val="nil"/>
              <w:bottom w:val="single" w:sz="8" w:space="0" w:color="auto"/>
              <w:right w:val="single" w:sz="8" w:space="0" w:color="000000"/>
            </w:tcBorders>
            <w:vAlign w:val="center"/>
            <w:hideMark/>
          </w:tcPr>
          <w:p w14:paraId="004804E1" w14:textId="77777777" w:rsidR="00614438" w:rsidRPr="003E0710" w:rsidRDefault="00614438" w:rsidP="003E0710">
            <w:pPr>
              <w:numPr>
                <w:ilvl w:val="0"/>
                <w:numId w:val="28"/>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for Agriculture, Forestry and Water Management</w:t>
            </w:r>
          </w:p>
          <w:p w14:paraId="65EFE1C2" w14:textId="77777777" w:rsidR="00614438" w:rsidRPr="003E0710" w:rsidRDefault="00614438" w:rsidP="003E0710">
            <w:pPr>
              <w:numPr>
                <w:ilvl w:val="0"/>
                <w:numId w:val="28"/>
              </w:numPr>
              <w:spacing w:after="0"/>
              <w:jc w:val="both"/>
              <w:rPr>
                <w:rFonts w:ascii="Times New Roman" w:hAnsi="Times New Roman" w:cs="Times New Roman"/>
                <w:sz w:val="20"/>
                <w:szCs w:val="20"/>
              </w:rPr>
            </w:pPr>
            <w:r w:rsidRPr="003E0710">
              <w:rPr>
                <w:rFonts w:ascii="Times New Roman" w:hAnsi="Times New Roman" w:cs="Times New Roman"/>
                <w:sz w:val="20"/>
                <w:szCs w:val="20"/>
              </w:rPr>
              <w:t>Research institutions, Organisations responsible for the forest management, Private forest owners</w:t>
            </w:r>
          </w:p>
        </w:tc>
      </w:tr>
      <w:tr w:rsidR="00614438" w:rsidRPr="003E0710" w14:paraId="298D08AD" w14:textId="77777777" w:rsidTr="004C25B9">
        <w:trPr>
          <w:gridAfter w:val="1"/>
          <w:wAfter w:w="222" w:type="dxa"/>
          <w:trHeight w:val="315"/>
        </w:trPr>
        <w:tc>
          <w:tcPr>
            <w:tcW w:w="3318" w:type="dxa"/>
            <w:tcBorders>
              <w:top w:val="nil"/>
              <w:left w:val="single" w:sz="8" w:space="0" w:color="auto"/>
              <w:bottom w:val="single" w:sz="8" w:space="0" w:color="auto"/>
              <w:right w:val="nil"/>
            </w:tcBorders>
            <w:shd w:val="clear" w:color="auto" w:fill="244062"/>
            <w:vAlign w:val="center"/>
            <w:hideMark/>
          </w:tcPr>
          <w:p w14:paraId="395988B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40" w:type="dxa"/>
            <w:gridSpan w:val="3"/>
            <w:tcBorders>
              <w:top w:val="single" w:sz="8" w:space="0" w:color="auto"/>
              <w:left w:val="nil"/>
              <w:bottom w:val="single" w:sz="8" w:space="0" w:color="auto"/>
              <w:right w:val="single" w:sz="8" w:space="0" w:color="000000"/>
            </w:tcBorders>
            <w:vAlign w:val="center"/>
            <w:hideMark/>
          </w:tcPr>
          <w:p w14:paraId="3ADF1DBD" w14:textId="77777777" w:rsidR="00614438" w:rsidRPr="003E0710" w:rsidRDefault="00614438" w:rsidP="003E0710">
            <w:pPr>
              <w:numPr>
                <w:ilvl w:val="0"/>
                <w:numId w:val="28"/>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Environmental Protection</w:t>
            </w:r>
          </w:p>
          <w:p w14:paraId="1C84B128" w14:textId="77777777" w:rsidR="00614438" w:rsidRPr="003E0710" w:rsidRDefault="00614438" w:rsidP="003E0710">
            <w:pPr>
              <w:numPr>
                <w:ilvl w:val="0"/>
                <w:numId w:val="28"/>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for Agriculture, Forestry and Water Management</w:t>
            </w:r>
          </w:p>
        </w:tc>
      </w:tr>
      <w:tr w:rsidR="00614438" w:rsidRPr="003E0710" w14:paraId="6E6529DA" w14:textId="77777777" w:rsidTr="004C25B9">
        <w:trPr>
          <w:gridAfter w:val="1"/>
          <w:wAfter w:w="222" w:type="dxa"/>
          <w:trHeight w:val="315"/>
        </w:trPr>
        <w:tc>
          <w:tcPr>
            <w:tcW w:w="3318" w:type="dxa"/>
            <w:tcBorders>
              <w:top w:val="nil"/>
              <w:left w:val="single" w:sz="8" w:space="0" w:color="auto"/>
              <w:bottom w:val="single" w:sz="8" w:space="0" w:color="auto"/>
              <w:right w:val="nil"/>
            </w:tcBorders>
            <w:shd w:val="clear" w:color="auto" w:fill="244062"/>
            <w:vAlign w:val="center"/>
            <w:hideMark/>
          </w:tcPr>
          <w:p w14:paraId="229290B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40" w:type="dxa"/>
            <w:gridSpan w:val="3"/>
            <w:tcBorders>
              <w:top w:val="single" w:sz="8" w:space="0" w:color="auto"/>
              <w:left w:val="nil"/>
              <w:bottom w:val="single" w:sz="8" w:space="0" w:color="auto"/>
              <w:right w:val="single" w:sz="8" w:space="0" w:color="000000"/>
            </w:tcBorders>
            <w:vAlign w:val="center"/>
            <w:hideMark/>
          </w:tcPr>
          <w:p w14:paraId="6BC69B56" w14:textId="77777777" w:rsidR="004C25B9" w:rsidRPr="003E0710" w:rsidRDefault="00614438" w:rsidP="003E0710">
            <w:pPr>
              <w:numPr>
                <w:ilvl w:val="0"/>
                <w:numId w:val="28"/>
              </w:numPr>
              <w:spacing w:after="0"/>
              <w:jc w:val="both"/>
              <w:rPr>
                <w:rFonts w:ascii="Times New Roman" w:hAnsi="Times New Roman" w:cs="Times New Roman"/>
                <w:sz w:val="20"/>
                <w:szCs w:val="20"/>
              </w:rPr>
            </w:pPr>
            <w:r w:rsidRPr="003E0710">
              <w:rPr>
                <w:rFonts w:ascii="Times New Roman" w:hAnsi="Times New Roman" w:cs="Times New Roman"/>
                <w:sz w:val="20"/>
                <w:szCs w:val="20"/>
                <w:lang w:val="en-GB"/>
              </w:rPr>
              <w:t>Forest area (ha)</w:t>
            </w:r>
          </w:p>
          <w:p w14:paraId="3D4230CC" w14:textId="77777777" w:rsidR="00614438" w:rsidRPr="003E0710" w:rsidRDefault="00614438" w:rsidP="003E0710">
            <w:pPr>
              <w:numPr>
                <w:ilvl w:val="0"/>
                <w:numId w:val="28"/>
              </w:numPr>
              <w:spacing w:after="0"/>
              <w:jc w:val="both"/>
              <w:rPr>
                <w:rFonts w:ascii="Times New Roman" w:hAnsi="Times New Roman" w:cs="Times New Roman"/>
                <w:sz w:val="20"/>
                <w:szCs w:val="20"/>
              </w:rPr>
            </w:pPr>
            <w:r w:rsidRPr="003E0710">
              <w:rPr>
                <w:rFonts w:ascii="Times New Roman" w:hAnsi="Times New Roman" w:cs="Times New Roman"/>
                <w:sz w:val="20"/>
                <w:szCs w:val="20"/>
                <w:lang w:val="en-GB"/>
              </w:rPr>
              <w:t>Area on which afforestation was carried out (ha)</w:t>
            </w:r>
          </w:p>
          <w:p w14:paraId="2F56D402" w14:textId="77777777" w:rsidR="00614438" w:rsidRPr="003E0710" w:rsidRDefault="004C25B9" w:rsidP="003E0710">
            <w:pPr>
              <w:numPr>
                <w:ilvl w:val="0"/>
                <w:numId w:val="28"/>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 </w:t>
            </w:r>
            <w:r w:rsidR="00614438" w:rsidRPr="003E0710">
              <w:rPr>
                <w:rFonts w:ascii="Times New Roman" w:hAnsi="Times New Roman" w:cs="Times New Roman"/>
                <w:sz w:val="20"/>
                <w:szCs w:val="20"/>
                <w:lang w:val="en-GB"/>
              </w:rPr>
              <w:t>Area on which forest rehabilitation was carried out by afforestation (ha)</w:t>
            </w:r>
          </w:p>
          <w:p w14:paraId="311018A9" w14:textId="77777777" w:rsidR="00614438" w:rsidRPr="003E0710" w:rsidRDefault="00614438" w:rsidP="003E0710">
            <w:pPr>
              <w:numPr>
                <w:ilvl w:val="0"/>
                <w:numId w:val="28"/>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Area on which direct conversion of coppice forests was carried out (ha)</w:t>
            </w:r>
          </w:p>
          <w:p w14:paraId="518ECD41" w14:textId="77777777" w:rsidR="00614438" w:rsidRPr="003E0710" w:rsidRDefault="00614438" w:rsidP="003E0710">
            <w:pPr>
              <w:numPr>
                <w:ilvl w:val="0"/>
                <w:numId w:val="28"/>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of the success of the afforestation 3-5 years after planting (ha)</w:t>
            </w:r>
          </w:p>
        </w:tc>
      </w:tr>
      <w:tr w:rsidR="00614438" w:rsidRPr="003E0710" w14:paraId="50AE4279" w14:textId="77777777" w:rsidTr="004C25B9">
        <w:trPr>
          <w:gridAfter w:val="1"/>
          <w:wAfter w:w="222" w:type="dxa"/>
          <w:trHeight w:val="53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3A0377F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40" w:type="dxa"/>
            <w:gridSpan w:val="3"/>
            <w:tcBorders>
              <w:top w:val="single" w:sz="8" w:space="0" w:color="auto"/>
              <w:left w:val="nil"/>
              <w:bottom w:val="single" w:sz="8" w:space="0" w:color="auto"/>
              <w:right w:val="single" w:sz="8" w:space="0" w:color="000000"/>
            </w:tcBorders>
            <w:vAlign w:val="center"/>
          </w:tcPr>
          <w:p w14:paraId="321E54F6"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106F2F4F" w14:textId="77777777" w:rsidTr="004C25B9">
        <w:trPr>
          <w:gridAfter w:val="1"/>
          <w:wAfter w:w="222" w:type="dxa"/>
          <w:trHeight w:val="458"/>
        </w:trPr>
        <w:tc>
          <w:tcPr>
            <w:tcW w:w="3318" w:type="dxa"/>
            <w:vMerge w:val="restart"/>
            <w:tcBorders>
              <w:top w:val="nil"/>
              <w:left w:val="single" w:sz="8" w:space="0" w:color="auto"/>
              <w:bottom w:val="single" w:sz="8" w:space="0" w:color="000000"/>
              <w:right w:val="single" w:sz="8" w:space="0" w:color="auto"/>
            </w:tcBorders>
            <w:shd w:val="clear" w:color="auto" w:fill="244062"/>
            <w:vAlign w:val="center"/>
            <w:hideMark/>
          </w:tcPr>
          <w:p w14:paraId="4839056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4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4E9049E2" w14:textId="77777777" w:rsidR="00614438" w:rsidRPr="003E0710" w:rsidRDefault="00614438" w:rsidP="003E0710">
            <w:pPr>
              <w:numPr>
                <w:ilvl w:val="0"/>
                <w:numId w:val="29"/>
              </w:numPr>
              <w:spacing w:after="0"/>
              <w:jc w:val="both"/>
              <w:rPr>
                <w:rFonts w:ascii="Times New Roman" w:hAnsi="Times New Roman" w:cs="Times New Roman"/>
                <w:sz w:val="20"/>
                <w:szCs w:val="20"/>
              </w:rPr>
            </w:pPr>
            <w:r w:rsidRPr="003E0710">
              <w:rPr>
                <w:rFonts w:ascii="Times New Roman" w:hAnsi="Times New Roman" w:cs="Times New Roman"/>
                <w:sz w:val="20"/>
                <w:szCs w:val="20"/>
              </w:rPr>
              <w:t>Regulation 2018/1999</w:t>
            </w:r>
          </w:p>
        </w:tc>
      </w:tr>
      <w:tr w:rsidR="00614438" w:rsidRPr="003E0710" w14:paraId="44F0E94B"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147692C3"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3E90AFF"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3E57AF67"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2C2910CA"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6932CB25"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CA82FAB"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3B399C2C"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23732AC2" w14:textId="77777777" w:rsidTr="004C25B9">
        <w:trPr>
          <w:trHeight w:val="427"/>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3E75CFD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40" w:type="dxa"/>
            <w:gridSpan w:val="3"/>
            <w:tcBorders>
              <w:top w:val="single" w:sz="8" w:space="0" w:color="auto"/>
              <w:left w:val="nil"/>
              <w:bottom w:val="single" w:sz="8" w:space="0" w:color="auto"/>
              <w:right w:val="single" w:sz="8" w:space="0" w:color="000000"/>
            </w:tcBorders>
            <w:vAlign w:val="center"/>
            <w:hideMark/>
          </w:tcPr>
          <w:p w14:paraId="48B2C591" w14:textId="77777777" w:rsidR="00614438" w:rsidRPr="003E0710" w:rsidRDefault="00614438" w:rsidP="003E0710">
            <w:pPr>
              <w:numPr>
                <w:ilvl w:val="0"/>
                <w:numId w:val="29"/>
              </w:numPr>
              <w:spacing w:after="0"/>
              <w:jc w:val="both"/>
              <w:rPr>
                <w:rFonts w:ascii="Times New Roman" w:hAnsi="Times New Roman" w:cs="Times New Roman"/>
                <w:sz w:val="20"/>
                <w:szCs w:val="20"/>
              </w:rPr>
            </w:pPr>
            <w:r w:rsidRPr="003E0710">
              <w:rPr>
                <w:rFonts w:ascii="Times New Roman" w:hAnsi="Times New Roman" w:cs="Times New Roman"/>
                <w:sz w:val="20"/>
                <w:szCs w:val="20"/>
              </w:rPr>
              <w:t>Low-carbon Development Strategy for the period 2023-2030 with projections until 2050</w:t>
            </w:r>
          </w:p>
        </w:tc>
        <w:tc>
          <w:tcPr>
            <w:tcW w:w="222" w:type="dxa"/>
            <w:vAlign w:val="center"/>
            <w:hideMark/>
          </w:tcPr>
          <w:p w14:paraId="0D522571"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1475D4D" w14:textId="77777777" w:rsidTr="004C25B9">
        <w:trPr>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143C0BA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40" w:type="dxa"/>
            <w:gridSpan w:val="3"/>
            <w:tcBorders>
              <w:top w:val="single" w:sz="8" w:space="0" w:color="auto"/>
              <w:left w:val="nil"/>
              <w:bottom w:val="single" w:sz="8" w:space="0" w:color="auto"/>
              <w:right w:val="single" w:sz="8" w:space="0" w:color="000000"/>
            </w:tcBorders>
            <w:vAlign w:val="center"/>
            <w:hideMark/>
          </w:tcPr>
          <w:p w14:paraId="5E96C6F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354 M€</w:t>
            </w:r>
          </w:p>
        </w:tc>
        <w:tc>
          <w:tcPr>
            <w:tcW w:w="222" w:type="dxa"/>
            <w:vAlign w:val="center"/>
            <w:hideMark/>
          </w:tcPr>
          <w:p w14:paraId="595C3418"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755139A7" w14:textId="77777777" w:rsidTr="004C25B9">
        <w:trPr>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69D331F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40" w:type="dxa"/>
            <w:gridSpan w:val="3"/>
            <w:tcBorders>
              <w:top w:val="single" w:sz="8" w:space="0" w:color="auto"/>
              <w:left w:val="nil"/>
              <w:bottom w:val="single" w:sz="8" w:space="0" w:color="auto"/>
              <w:right w:val="single" w:sz="8" w:space="0" w:color="000000"/>
            </w:tcBorders>
            <w:vAlign w:val="center"/>
            <w:hideMark/>
          </w:tcPr>
          <w:p w14:paraId="6631504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0CE2D6A5" w14:textId="77777777" w:rsidR="00614438" w:rsidRPr="003E0710" w:rsidRDefault="00614438" w:rsidP="003E0710">
            <w:pPr>
              <w:spacing w:after="0"/>
              <w:jc w:val="both"/>
              <w:rPr>
                <w:rFonts w:ascii="Times New Roman" w:hAnsi="Times New Roman" w:cs="Times New Roman"/>
                <w:sz w:val="20"/>
                <w:szCs w:val="20"/>
                <w:lang w:val="en-GB"/>
              </w:rPr>
            </w:pPr>
          </w:p>
        </w:tc>
      </w:tr>
    </w:tbl>
    <w:p w14:paraId="481DA0F9"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08"/>
        <w:gridCol w:w="1013"/>
        <w:gridCol w:w="942"/>
        <w:gridCol w:w="4195"/>
        <w:gridCol w:w="222"/>
      </w:tblGrid>
      <w:tr w:rsidR="00614438" w:rsidRPr="003E0710" w14:paraId="4004D30B" w14:textId="77777777" w:rsidTr="00614438">
        <w:trPr>
          <w:gridAfter w:val="1"/>
          <w:wAfter w:w="222" w:type="dxa"/>
          <w:trHeight w:val="608"/>
        </w:trPr>
        <w:tc>
          <w:tcPr>
            <w:tcW w:w="3308"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3B53A1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1013" w:type="dxa"/>
            <w:tcBorders>
              <w:top w:val="single" w:sz="8" w:space="0" w:color="auto"/>
              <w:left w:val="nil"/>
              <w:bottom w:val="single" w:sz="8" w:space="0" w:color="auto"/>
              <w:right w:val="single" w:sz="8" w:space="0" w:color="auto"/>
            </w:tcBorders>
            <w:shd w:val="clear" w:color="auto" w:fill="E7E6E6" w:themeFill="background2"/>
            <w:vAlign w:val="center"/>
            <w:hideMark/>
          </w:tcPr>
          <w:p w14:paraId="4A83333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PM_D8</w:t>
            </w:r>
          </w:p>
        </w:tc>
        <w:tc>
          <w:tcPr>
            <w:tcW w:w="942" w:type="dxa"/>
            <w:tcBorders>
              <w:top w:val="single" w:sz="8" w:space="0" w:color="auto"/>
              <w:left w:val="nil"/>
              <w:bottom w:val="single" w:sz="8" w:space="0" w:color="auto"/>
              <w:right w:val="single" w:sz="8" w:space="0" w:color="auto"/>
            </w:tcBorders>
            <w:shd w:val="clear" w:color="auto" w:fill="244062"/>
            <w:vAlign w:val="center"/>
            <w:hideMark/>
          </w:tcPr>
          <w:p w14:paraId="2650A62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195" w:type="dxa"/>
            <w:tcBorders>
              <w:top w:val="single" w:sz="8" w:space="0" w:color="auto"/>
              <w:left w:val="nil"/>
              <w:bottom w:val="single" w:sz="8" w:space="0" w:color="auto"/>
              <w:right w:val="single" w:sz="8" w:space="0" w:color="auto"/>
            </w:tcBorders>
            <w:shd w:val="clear" w:color="auto" w:fill="E7E6E6" w:themeFill="background2"/>
            <w:vAlign w:val="center"/>
            <w:hideMark/>
          </w:tcPr>
          <w:p w14:paraId="7F03634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Waste lands conversion to croplands</w:t>
            </w:r>
          </w:p>
        </w:tc>
      </w:tr>
      <w:tr w:rsidR="004C25B9" w:rsidRPr="003E0710" w14:paraId="74C93C23" w14:textId="77777777" w:rsidTr="00614438">
        <w:trPr>
          <w:gridAfter w:val="1"/>
          <w:wAfter w:w="222" w:type="dxa"/>
          <w:trHeight w:val="405"/>
        </w:trPr>
        <w:tc>
          <w:tcPr>
            <w:tcW w:w="3308" w:type="dxa"/>
            <w:tcBorders>
              <w:top w:val="nil"/>
              <w:left w:val="single" w:sz="8" w:space="0" w:color="auto"/>
              <w:bottom w:val="single" w:sz="8" w:space="0" w:color="auto"/>
              <w:right w:val="nil"/>
            </w:tcBorders>
            <w:shd w:val="clear" w:color="auto" w:fill="244062"/>
            <w:vAlign w:val="center"/>
            <w:hideMark/>
          </w:tcPr>
          <w:p w14:paraId="142119A7" w14:textId="77777777" w:rsidR="004C25B9" w:rsidRPr="003E0710" w:rsidRDefault="004C25B9"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50" w:type="dxa"/>
            <w:gridSpan w:val="3"/>
            <w:tcBorders>
              <w:top w:val="single" w:sz="8" w:space="0" w:color="auto"/>
              <w:left w:val="nil"/>
              <w:bottom w:val="single" w:sz="8" w:space="0" w:color="auto"/>
              <w:right w:val="single" w:sz="8" w:space="0" w:color="000000"/>
            </w:tcBorders>
            <w:vAlign w:val="center"/>
            <w:hideMark/>
          </w:tcPr>
          <w:p w14:paraId="54E1C82D" w14:textId="77777777" w:rsidR="004C25B9" w:rsidRPr="003E0710" w:rsidRDefault="004C25B9"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 GHG emissions reduction</w:t>
            </w:r>
          </w:p>
        </w:tc>
      </w:tr>
      <w:tr w:rsidR="00614438" w:rsidRPr="003E0710" w14:paraId="4DB81196" w14:textId="77777777" w:rsidTr="00614438">
        <w:trPr>
          <w:gridAfter w:val="1"/>
          <w:wAfter w:w="222" w:type="dxa"/>
          <w:trHeight w:val="315"/>
        </w:trPr>
        <w:tc>
          <w:tcPr>
            <w:tcW w:w="3308" w:type="dxa"/>
            <w:tcBorders>
              <w:top w:val="nil"/>
              <w:left w:val="single" w:sz="8" w:space="0" w:color="auto"/>
              <w:bottom w:val="single" w:sz="8" w:space="0" w:color="auto"/>
              <w:right w:val="single" w:sz="8" w:space="0" w:color="auto"/>
            </w:tcBorders>
            <w:shd w:val="clear" w:color="auto" w:fill="244062"/>
            <w:vAlign w:val="center"/>
            <w:hideMark/>
          </w:tcPr>
          <w:p w14:paraId="67150A1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50" w:type="dxa"/>
            <w:gridSpan w:val="3"/>
            <w:tcBorders>
              <w:top w:val="single" w:sz="8" w:space="0" w:color="auto"/>
              <w:left w:val="nil"/>
              <w:bottom w:val="single" w:sz="8" w:space="0" w:color="auto"/>
              <w:right w:val="single" w:sz="8" w:space="0" w:color="000000"/>
            </w:tcBorders>
            <w:vAlign w:val="center"/>
            <w:hideMark/>
          </w:tcPr>
          <w:p w14:paraId="2D310C7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 Contribution to the objective of reduction of GHG emissions by </w:t>
            </w:r>
            <w:r w:rsidR="002F4E12" w:rsidRPr="003E0710">
              <w:rPr>
                <w:rFonts w:ascii="Times New Roman" w:hAnsi="Times New Roman" w:cs="Times New Roman"/>
                <w:sz w:val="20"/>
                <w:szCs w:val="20"/>
                <w:lang w:val="en-GB"/>
              </w:rPr>
              <w:t>40</w:t>
            </w:r>
            <w:r w:rsidRPr="003E0710">
              <w:rPr>
                <w:rFonts w:ascii="Times New Roman" w:hAnsi="Times New Roman" w:cs="Times New Roman"/>
                <w:sz w:val="20"/>
                <w:szCs w:val="20"/>
                <w:lang w:val="en-GB"/>
              </w:rPr>
              <w:t>.3% (without LULUCF) by 2030 compared to 1990 levels</w:t>
            </w:r>
          </w:p>
        </w:tc>
      </w:tr>
      <w:tr w:rsidR="00614438" w:rsidRPr="003E0710" w14:paraId="3A30C498" w14:textId="77777777" w:rsidTr="00614438">
        <w:trPr>
          <w:gridAfter w:val="1"/>
          <w:wAfter w:w="222" w:type="dxa"/>
          <w:trHeight w:val="689"/>
        </w:trPr>
        <w:tc>
          <w:tcPr>
            <w:tcW w:w="3308" w:type="dxa"/>
            <w:tcBorders>
              <w:top w:val="nil"/>
              <w:left w:val="single" w:sz="8" w:space="0" w:color="auto"/>
              <w:bottom w:val="single" w:sz="8" w:space="0" w:color="auto"/>
              <w:right w:val="single" w:sz="8" w:space="0" w:color="auto"/>
            </w:tcBorders>
            <w:shd w:val="clear" w:color="auto" w:fill="244062"/>
            <w:vAlign w:val="center"/>
            <w:hideMark/>
          </w:tcPr>
          <w:p w14:paraId="298797F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50" w:type="dxa"/>
            <w:gridSpan w:val="3"/>
            <w:tcBorders>
              <w:top w:val="single" w:sz="8" w:space="0" w:color="auto"/>
              <w:left w:val="nil"/>
              <w:bottom w:val="single" w:sz="8" w:space="0" w:color="auto"/>
              <w:right w:val="single" w:sz="8" w:space="0" w:color="000000"/>
            </w:tcBorders>
            <w:vAlign w:val="center"/>
            <w:hideMark/>
          </w:tcPr>
          <w:p w14:paraId="51DD847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PM_D8 will facilitate conversion of non-irrigated lands (heaths) on inclined terrains into perennial grassland (pastures, meadows), which will significantly decrease intensity of soil organic matter depletion and emission of soil carbon and will lead to carbon sink. This measure is easy to be implemented, since it does not require a special technical capacities </w:t>
            </w:r>
            <w:r w:rsidRPr="003E0710">
              <w:rPr>
                <w:rFonts w:ascii="Times New Roman" w:hAnsi="Times New Roman" w:cs="Times New Roman"/>
                <w:sz w:val="20"/>
                <w:szCs w:val="20"/>
                <w:lang w:val="en-GB"/>
              </w:rPr>
              <w:lastRenderedPageBreak/>
              <w:t>and know-how. However, its implementation should be supported by incentives, especially in the first years of conversion, to enable farmers to convert these waste lands (heaths) into arable land.</w:t>
            </w:r>
          </w:p>
        </w:tc>
      </w:tr>
      <w:tr w:rsidR="00614438" w:rsidRPr="003E0710" w14:paraId="38320A84" w14:textId="77777777" w:rsidTr="00614438">
        <w:trPr>
          <w:gridAfter w:val="1"/>
          <w:wAfter w:w="222" w:type="dxa"/>
          <w:trHeight w:val="315"/>
        </w:trPr>
        <w:tc>
          <w:tcPr>
            <w:tcW w:w="3308" w:type="dxa"/>
            <w:tcBorders>
              <w:top w:val="nil"/>
              <w:left w:val="single" w:sz="8" w:space="0" w:color="auto"/>
              <w:bottom w:val="single" w:sz="8" w:space="0" w:color="auto"/>
              <w:right w:val="single" w:sz="8" w:space="0" w:color="auto"/>
            </w:tcBorders>
            <w:shd w:val="clear" w:color="auto" w:fill="244062"/>
            <w:vAlign w:val="center"/>
            <w:hideMark/>
          </w:tcPr>
          <w:p w14:paraId="7BF2C77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Implementation Timeframe</w:t>
            </w:r>
          </w:p>
        </w:tc>
        <w:tc>
          <w:tcPr>
            <w:tcW w:w="6150" w:type="dxa"/>
            <w:gridSpan w:val="3"/>
            <w:tcBorders>
              <w:top w:val="single" w:sz="8" w:space="0" w:color="auto"/>
              <w:left w:val="nil"/>
              <w:bottom w:val="single" w:sz="8" w:space="0" w:color="auto"/>
              <w:right w:val="single" w:sz="8" w:space="0" w:color="000000"/>
            </w:tcBorders>
            <w:vAlign w:val="center"/>
            <w:hideMark/>
          </w:tcPr>
          <w:p w14:paraId="2BDC298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2024-2030</w:t>
            </w:r>
          </w:p>
        </w:tc>
      </w:tr>
      <w:tr w:rsidR="00614438" w:rsidRPr="003E0710" w14:paraId="63D33A1A" w14:textId="77777777" w:rsidTr="00614438">
        <w:trPr>
          <w:gridAfter w:val="1"/>
          <w:wAfter w:w="222" w:type="dxa"/>
          <w:trHeight w:val="315"/>
        </w:trPr>
        <w:tc>
          <w:tcPr>
            <w:tcW w:w="3308" w:type="dxa"/>
            <w:tcBorders>
              <w:top w:val="nil"/>
              <w:left w:val="single" w:sz="8" w:space="0" w:color="auto"/>
              <w:bottom w:val="single" w:sz="8" w:space="0" w:color="auto"/>
              <w:right w:val="single" w:sz="8" w:space="0" w:color="auto"/>
            </w:tcBorders>
            <w:shd w:val="clear" w:color="auto" w:fill="244062"/>
            <w:vAlign w:val="center"/>
            <w:hideMark/>
          </w:tcPr>
          <w:p w14:paraId="72CA480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50" w:type="dxa"/>
            <w:gridSpan w:val="3"/>
            <w:tcBorders>
              <w:top w:val="single" w:sz="8" w:space="0" w:color="auto"/>
              <w:left w:val="nil"/>
              <w:bottom w:val="single" w:sz="8" w:space="0" w:color="auto"/>
              <w:right w:val="single" w:sz="8" w:space="0" w:color="000000"/>
            </w:tcBorders>
            <w:vAlign w:val="center"/>
            <w:hideMark/>
          </w:tcPr>
          <w:p w14:paraId="553B6D0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w:t>
            </w:r>
          </w:p>
        </w:tc>
      </w:tr>
      <w:tr w:rsidR="00614438" w:rsidRPr="003E0710" w14:paraId="6D7101CE" w14:textId="77777777" w:rsidTr="00614438">
        <w:trPr>
          <w:gridAfter w:val="1"/>
          <w:wAfter w:w="222" w:type="dxa"/>
          <w:trHeight w:val="315"/>
        </w:trPr>
        <w:tc>
          <w:tcPr>
            <w:tcW w:w="3308" w:type="dxa"/>
            <w:tcBorders>
              <w:top w:val="nil"/>
              <w:left w:val="single" w:sz="8" w:space="0" w:color="auto"/>
              <w:bottom w:val="single" w:sz="8" w:space="0" w:color="auto"/>
              <w:right w:val="single" w:sz="8" w:space="0" w:color="auto"/>
            </w:tcBorders>
            <w:shd w:val="clear" w:color="auto" w:fill="244062"/>
            <w:vAlign w:val="center"/>
            <w:hideMark/>
          </w:tcPr>
          <w:p w14:paraId="3968E1F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50" w:type="dxa"/>
            <w:gridSpan w:val="3"/>
            <w:tcBorders>
              <w:top w:val="single" w:sz="8" w:space="0" w:color="auto"/>
              <w:left w:val="nil"/>
              <w:bottom w:val="single" w:sz="8" w:space="0" w:color="auto"/>
              <w:right w:val="single" w:sz="8" w:space="0" w:color="000000"/>
            </w:tcBorders>
            <w:vAlign w:val="center"/>
            <w:hideMark/>
          </w:tcPr>
          <w:p w14:paraId="07B2B25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Agriculture and LULUCF</w:t>
            </w:r>
          </w:p>
        </w:tc>
      </w:tr>
      <w:tr w:rsidR="00614438" w:rsidRPr="003E0710" w14:paraId="56CC7998" w14:textId="77777777" w:rsidTr="00614438">
        <w:trPr>
          <w:gridAfter w:val="1"/>
          <w:wAfter w:w="222" w:type="dxa"/>
          <w:trHeight w:val="315"/>
        </w:trPr>
        <w:tc>
          <w:tcPr>
            <w:tcW w:w="3308" w:type="dxa"/>
            <w:tcBorders>
              <w:top w:val="nil"/>
              <w:left w:val="single" w:sz="8" w:space="0" w:color="auto"/>
              <w:bottom w:val="single" w:sz="8" w:space="0" w:color="auto"/>
              <w:right w:val="single" w:sz="8" w:space="0" w:color="auto"/>
            </w:tcBorders>
            <w:shd w:val="clear" w:color="auto" w:fill="244062"/>
            <w:vAlign w:val="center"/>
            <w:hideMark/>
          </w:tcPr>
          <w:p w14:paraId="235F373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50" w:type="dxa"/>
            <w:gridSpan w:val="3"/>
            <w:tcBorders>
              <w:top w:val="single" w:sz="8" w:space="0" w:color="auto"/>
              <w:left w:val="nil"/>
              <w:bottom w:val="single" w:sz="8" w:space="0" w:color="auto"/>
              <w:right w:val="single" w:sz="8" w:space="0" w:color="000000"/>
            </w:tcBorders>
            <w:vAlign w:val="center"/>
            <w:hideMark/>
          </w:tcPr>
          <w:p w14:paraId="16D725A9" w14:textId="77777777" w:rsidR="00614438" w:rsidRPr="003E0710" w:rsidRDefault="00614438" w:rsidP="003E0710">
            <w:pPr>
              <w:numPr>
                <w:ilvl w:val="0"/>
                <w:numId w:val="30"/>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for Agriculture, Forestry and Water Management</w:t>
            </w:r>
          </w:p>
        </w:tc>
      </w:tr>
      <w:tr w:rsidR="00614438" w:rsidRPr="003E0710" w14:paraId="2D503E3F" w14:textId="77777777" w:rsidTr="00614438">
        <w:trPr>
          <w:gridAfter w:val="1"/>
          <w:wAfter w:w="222" w:type="dxa"/>
          <w:trHeight w:val="315"/>
        </w:trPr>
        <w:tc>
          <w:tcPr>
            <w:tcW w:w="3308" w:type="dxa"/>
            <w:tcBorders>
              <w:top w:val="nil"/>
              <w:left w:val="single" w:sz="8" w:space="0" w:color="auto"/>
              <w:bottom w:val="single" w:sz="8" w:space="0" w:color="auto"/>
              <w:right w:val="nil"/>
            </w:tcBorders>
            <w:shd w:val="clear" w:color="auto" w:fill="244062"/>
            <w:vAlign w:val="center"/>
            <w:hideMark/>
          </w:tcPr>
          <w:p w14:paraId="7D6194B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50" w:type="dxa"/>
            <w:gridSpan w:val="3"/>
            <w:tcBorders>
              <w:top w:val="single" w:sz="8" w:space="0" w:color="auto"/>
              <w:left w:val="nil"/>
              <w:bottom w:val="single" w:sz="8" w:space="0" w:color="auto"/>
              <w:right w:val="single" w:sz="8" w:space="0" w:color="000000"/>
            </w:tcBorders>
            <w:vAlign w:val="center"/>
            <w:hideMark/>
          </w:tcPr>
          <w:p w14:paraId="2392D173" w14:textId="77777777" w:rsidR="00614438" w:rsidRPr="003E0710" w:rsidRDefault="00614438" w:rsidP="003E0710">
            <w:pPr>
              <w:numPr>
                <w:ilvl w:val="0"/>
                <w:numId w:val="30"/>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Environmental Protection</w:t>
            </w:r>
          </w:p>
          <w:p w14:paraId="5279FF9E" w14:textId="77777777" w:rsidR="00614438" w:rsidRPr="003E0710" w:rsidRDefault="00614438" w:rsidP="003E0710">
            <w:pPr>
              <w:numPr>
                <w:ilvl w:val="0"/>
                <w:numId w:val="30"/>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for Agriculture, Forestry and Water Management</w:t>
            </w:r>
          </w:p>
        </w:tc>
      </w:tr>
      <w:tr w:rsidR="00614438" w:rsidRPr="003E0710" w14:paraId="769C5CED" w14:textId="77777777" w:rsidTr="00614438">
        <w:trPr>
          <w:gridAfter w:val="1"/>
          <w:wAfter w:w="222" w:type="dxa"/>
          <w:trHeight w:val="315"/>
        </w:trPr>
        <w:tc>
          <w:tcPr>
            <w:tcW w:w="3308" w:type="dxa"/>
            <w:tcBorders>
              <w:top w:val="nil"/>
              <w:left w:val="single" w:sz="8" w:space="0" w:color="auto"/>
              <w:bottom w:val="single" w:sz="8" w:space="0" w:color="auto"/>
              <w:right w:val="nil"/>
            </w:tcBorders>
            <w:shd w:val="clear" w:color="auto" w:fill="244062"/>
            <w:vAlign w:val="center"/>
            <w:hideMark/>
          </w:tcPr>
          <w:p w14:paraId="7A70B54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50" w:type="dxa"/>
            <w:gridSpan w:val="3"/>
            <w:tcBorders>
              <w:top w:val="single" w:sz="8" w:space="0" w:color="auto"/>
              <w:left w:val="nil"/>
              <w:bottom w:val="single" w:sz="8" w:space="0" w:color="auto"/>
              <w:right w:val="single" w:sz="8" w:space="0" w:color="000000"/>
            </w:tcBorders>
            <w:vAlign w:val="center"/>
            <w:hideMark/>
          </w:tcPr>
          <w:p w14:paraId="50E8309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Area converted on yearly base (ha/year), percentage of soil organic matter increase and carbon sink per ha</w:t>
            </w:r>
          </w:p>
        </w:tc>
      </w:tr>
      <w:tr w:rsidR="00614438" w:rsidRPr="003E0710" w14:paraId="2753E130" w14:textId="77777777" w:rsidTr="00614438">
        <w:trPr>
          <w:gridAfter w:val="1"/>
          <w:wAfter w:w="222" w:type="dxa"/>
          <w:trHeight w:val="556"/>
        </w:trPr>
        <w:tc>
          <w:tcPr>
            <w:tcW w:w="3308" w:type="dxa"/>
            <w:tcBorders>
              <w:top w:val="nil"/>
              <w:left w:val="single" w:sz="8" w:space="0" w:color="auto"/>
              <w:bottom w:val="single" w:sz="8" w:space="0" w:color="auto"/>
              <w:right w:val="single" w:sz="8" w:space="0" w:color="auto"/>
            </w:tcBorders>
            <w:shd w:val="clear" w:color="auto" w:fill="244062"/>
            <w:vAlign w:val="center"/>
            <w:hideMark/>
          </w:tcPr>
          <w:p w14:paraId="67A5F50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50" w:type="dxa"/>
            <w:gridSpan w:val="3"/>
            <w:tcBorders>
              <w:top w:val="single" w:sz="8" w:space="0" w:color="auto"/>
              <w:left w:val="nil"/>
              <w:bottom w:val="single" w:sz="8" w:space="0" w:color="auto"/>
              <w:right w:val="single" w:sz="8" w:space="0" w:color="000000"/>
            </w:tcBorders>
            <w:vAlign w:val="center"/>
          </w:tcPr>
          <w:p w14:paraId="64B5A3A5"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6E361E22" w14:textId="77777777" w:rsidTr="00614438">
        <w:trPr>
          <w:gridAfter w:val="1"/>
          <w:wAfter w:w="222" w:type="dxa"/>
          <w:trHeight w:val="458"/>
        </w:trPr>
        <w:tc>
          <w:tcPr>
            <w:tcW w:w="3308" w:type="dxa"/>
            <w:vMerge w:val="restart"/>
            <w:tcBorders>
              <w:top w:val="nil"/>
              <w:left w:val="single" w:sz="8" w:space="0" w:color="auto"/>
              <w:bottom w:val="single" w:sz="8" w:space="0" w:color="000000"/>
              <w:right w:val="single" w:sz="8" w:space="0" w:color="auto"/>
            </w:tcBorders>
            <w:shd w:val="clear" w:color="auto" w:fill="244062"/>
            <w:vAlign w:val="center"/>
            <w:hideMark/>
          </w:tcPr>
          <w:p w14:paraId="57F2A5A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5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2CA1937" w14:textId="77777777" w:rsidR="00614438" w:rsidRPr="003E0710" w:rsidRDefault="00614438" w:rsidP="003E0710">
            <w:pPr>
              <w:numPr>
                <w:ilvl w:val="0"/>
                <w:numId w:val="31"/>
              </w:numPr>
              <w:spacing w:after="0"/>
              <w:jc w:val="both"/>
              <w:rPr>
                <w:rFonts w:ascii="Times New Roman" w:hAnsi="Times New Roman" w:cs="Times New Roman"/>
                <w:sz w:val="20"/>
                <w:szCs w:val="20"/>
              </w:rPr>
            </w:pPr>
            <w:r w:rsidRPr="003E0710">
              <w:rPr>
                <w:rFonts w:ascii="Times New Roman" w:hAnsi="Times New Roman" w:cs="Times New Roman"/>
                <w:sz w:val="20"/>
                <w:szCs w:val="20"/>
              </w:rPr>
              <w:t>Regulation 2018/1999</w:t>
            </w:r>
          </w:p>
        </w:tc>
      </w:tr>
      <w:tr w:rsidR="00614438" w:rsidRPr="003E0710" w14:paraId="633F53C0"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2D2EDF4F"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A39B555"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12EE83B4"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533B632B"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0F7CD1E8"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28D6D00"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469B69EC"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6134102E" w14:textId="77777777" w:rsidTr="00614438">
        <w:trPr>
          <w:trHeight w:val="487"/>
        </w:trPr>
        <w:tc>
          <w:tcPr>
            <w:tcW w:w="3308" w:type="dxa"/>
            <w:tcBorders>
              <w:top w:val="nil"/>
              <w:left w:val="single" w:sz="8" w:space="0" w:color="auto"/>
              <w:bottom w:val="single" w:sz="8" w:space="0" w:color="auto"/>
              <w:right w:val="single" w:sz="8" w:space="0" w:color="auto"/>
            </w:tcBorders>
            <w:shd w:val="clear" w:color="auto" w:fill="244062"/>
            <w:vAlign w:val="center"/>
            <w:hideMark/>
          </w:tcPr>
          <w:p w14:paraId="285839B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50" w:type="dxa"/>
            <w:gridSpan w:val="3"/>
            <w:tcBorders>
              <w:top w:val="single" w:sz="8" w:space="0" w:color="auto"/>
              <w:left w:val="nil"/>
              <w:bottom w:val="single" w:sz="8" w:space="0" w:color="auto"/>
              <w:right w:val="single" w:sz="8" w:space="0" w:color="000000"/>
            </w:tcBorders>
            <w:vAlign w:val="center"/>
            <w:hideMark/>
          </w:tcPr>
          <w:p w14:paraId="5BAA29AB" w14:textId="77777777" w:rsidR="00614438" w:rsidRPr="003E0710" w:rsidRDefault="00614438" w:rsidP="003E0710">
            <w:pPr>
              <w:numPr>
                <w:ilvl w:val="0"/>
                <w:numId w:val="31"/>
              </w:numPr>
              <w:spacing w:after="0"/>
              <w:jc w:val="both"/>
              <w:rPr>
                <w:rFonts w:ascii="Times New Roman" w:hAnsi="Times New Roman" w:cs="Times New Roman"/>
                <w:sz w:val="20"/>
                <w:szCs w:val="20"/>
              </w:rPr>
            </w:pPr>
            <w:r w:rsidRPr="003E0710">
              <w:rPr>
                <w:rFonts w:ascii="Times New Roman" w:hAnsi="Times New Roman" w:cs="Times New Roman"/>
                <w:sz w:val="20"/>
                <w:szCs w:val="20"/>
              </w:rPr>
              <w:t>Low-carbon Development Strategy for the period 2023-2030 with projections until 2050</w:t>
            </w:r>
          </w:p>
        </w:tc>
        <w:tc>
          <w:tcPr>
            <w:tcW w:w="222" w:type="dxa"/>
            <w:vAlign w:val="center"/>
            <w:hideMark/>
          </w:tcPr>
          <w:p w14:paraId="2A0D7451"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38860315" w14:textId="77777777" w:rsidTr="00614438">
        <w:trPr>
          <w:trHeight w:val="315"/>
        </w:trPr>
        <w:tc>
          <w:tcPr>
            <w:tcW w:w="3308" w:type="dxa"/>
            <w:tcBorders>
              <w:top w:val="nil"/>
              <w:left w:val="single" w:sz="8" w:space="0" w:color="auto"/>
              <w:bottom w:val="single" w:sz="8" w:space="0" w:color="auto"/>
              <w:right w:val="single" w:sz="8" w:space="0" w:color="auto"/>
            </w:tcBorders>
            <w:shd w:val="clear" w:color="auto" w:fill="244062"/>
            <w:vAlign w:val="center"/>
            <w:hideMark/>
          </w:tcPr>
          <w:p w14:paraId="255D9CD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50" w:type="dxa"/>
            <w:gridSpan w:val="3"/>
            <w:tcBorders>
              <w:top w:val="single" w:sz="8" w:space="0" w:color="auto"/>
              <w:left w:val="nil"/>
              <w:bottom w:val="single" w:sz="8" w:space="0" w:color="auto"/>
              <w:right w:val="single" w:sz="8" w:space="0" w:color="000000"/>
            </w:tcBorders>
            <w:vAlign w:val="center"/>
            <w:hideMark/>
          </w:tcPr>
          <w:p w14:paraId="1357903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8.5 M€</w:t>
            </w:r>
          </w:p>
        </w:tc>
        <w:tc>
          <w:tcPr>
            <w:tcW w:w="222" w:type="dxa"/>
            <w:vAlign w:val="center"/>
            <w:hideMark/>
          </w:tcPr>
          <w:p w14:paraId="214393B3"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25CC6649" w14:textId="77777777" w:rsidTr="00614438">
        <w:trPr>
          <w:trHeight w:val="315"/>
        </w:trPr>
        <w:tc>
          <w:tcPr>
            <w:tcW w:w="3308" w:type="dxa"/>
            <w:tcBorders>
              <w:top w:val="nil"/>
              <w:left w:val="single" w:sz="8" w:space="0" w:color="auto"/>
              <w:bottom w:val="single" w:sz="8" w:space="0" w:color="auto"/>
              <w:right w:val="single" w:sz="8" w:space="0" w:color="auto"/>
            </w:tcBorders>
            <w:shd w:val="clear" w:color="auto" w:fill="244062"/>
            <w:vAlign w:val="center"/>
            <w:hideMark/>
          </w:tcPr>
          <w:p w14:paraId="08311A4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50" w:type="dxa"/>
            <w:gridSpan w:val="3"/>
            <w:tcBorders>
              <w:top w:val="single" w:sz="8" w:space="0" w:color="auto"/>
              <w:left w:val="nil"/>
              <w:bottom w:val="single" w:sz="8" w:space="0" w:color="auto"/>
              <w:right w:val="single" w:sz="8" w:space="0" w:color="000000"/>
            </w:tcBorders>
            <w:vAlign w:val="center"/>
            <w:hideMark/>
          </w:tcPr>
          <w:p w14:paraId="5ECA64A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1584E185" w14:textId="77777777" w:rsidR="00614438" w:rsidRPr="003E0710" w:rsidRDefault="00614438" w:rsidP="003E0710">
            <w:pPr>
              <w:spacing w:after="0"/>
              <w:jc w:val="both"/>
              <w:rPr>
                <w:rFonts w:ascii="Times New Roman" w:hAnsi="Times New Roman" w:cs="Times New Roman"/>
                <w:sz w:val="20"/>
                <w:szCs w:val="20"/>
                <w:lang w:val="en-GB"/>
              </w:rPr>
            </w:pPr>
          </w:p>
        </w:tc>
      </w:tr>
    </w:tbl>
    <w:p w14:paraId="2D7CD67D"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80"/>
        <w:gridCol w:w="1114"/>
        <w:gridCol w:w="936"/>
        <w:gridCol w:w="4128"/>
        <w:gridCol w:w="222"/>
      </w:tblGrid>
      <w:tr w:rsidR="00614438" w:rsidRPr="003E0710" w14:paraId="015F4985" w14:textId="77777777" w:rsidTr="00614438">
        <w:trPr>
          <w:gridAfter w:val="1"/>
          <w:wAfter w:w="222" w:type="dxa"/>
          <w:trHeight w:val="780"/>
        </w:trPr>
        <w:tc>
          <w:tcPr>
            <w:tcW w:w="3280"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93D365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1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2C5A01D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PM_D9</w:t>
            </w:r>
          </w:p>
        </w:tc>
        <w:tc>
          <w:tcPr>
            <w:tcW w:w="936" w:type="dxa"/>
            <w:tcBorders>
              <w:top w:val="single" w:sz="8" w:space="0" w:color="auto"/>
              <w:left w:val="nil"/>
              <w:bottom w:val="single" w:sz="8" w:space="0" w:color="auto"/>
              <w:right w:val="single" w:sz="8" w:space="0" w:color="auto"/>
            </w:tcBorders>
            <w:shd w:val="clear" w:color="auto" w:fill="244062"/>
            <w:vAlign w:val="center"/>
            <w:hideMark/>
          </w:tcPr>
          <w:p w14:paraId="1405805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128" w:type="dxa"/>
            <w:tcBorders>
              <w:top w:val="single" w:sz="8" w:space="0" w:color="auto"/>
              <w:left w:val="nil"/>
              <w:bottom w:val="single" w:sz="8" w:space="0" w:color="auto"/>
              <w:right w:val="single" w:sz="8" w:space="0" w:color="auto"/>
            </w:tcBorders>
            <w:shd w:val="clear" w:color="auto" w:fill="E7E6E6" w:themeFill="background2"/>
            <w:vAlign w:val="center"/>
            <w:hideMark/>
          </w:tcPr>
          <w:p w14:paraId="3218ED9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Increase the tree-planted areas (groves / parks / green roofs, sanitary protection zones around mines and industrial buildings, wind protection belts and green zones next to highways)</w:t>
            </w:r>
          </w:p>
        </w:tc>
      </w:tr>
      <w:tr w:rsidR="007A68CC" w:rsidRPr="003E0710" w14:paraId="5B0610CD" w14:textId="77777777" w:rsidTr="00614438">
        <w:trPr>
          <w:gridAfter w:val="1"/>
          <w:wAfter w:w="222" w:type="dxa"/>
          <w:trHeight w:val="395"/>
        </w:trPr>
        <w:tc>
          <w:tcPr>
            <w:tcW w:w="3280" w:type="dxa"/>
            <w:tcBorders>
              <w:top w:val="nil"/>
              <w:left w:val="single" w:sz="8" w:space="0" w:color="auto"/>
              <w:bottom w:val="single" w:sz="8" w:space="0" w:color="auto"/>
              <w:right w:val="nil"/>
            </w:tcBorders>
            <w:shd w:val="clear" w:color="auto" w:fill="244062"/>
            <w:vAlign w:val="center"/>
            <w:hideMark/>
          </w:tcPr>
          <w:p w14:paraId="3F94255E" w14:textId="77777777" w:rsidR="007A68CC" w:rsidRPr="003E0710" w:rsidRDefault="007A68CC"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78" w:type="dxa"/>
            <w:gridSpan w:val="3"/>
            <w:tcBorders>
              <w:top w:val="single" w:sz="8" w:space="0" w:color="auto"/>
              <w:left w:val="nil"/>
              <w:bottom w:val="single" w:sz="8" w:space="0" w:color="auto"/>
              <w:right w:val="single" w:sz="8" w:space="0" w:color="000000"/>
            </w:tcBorders>
            <w:vAlign w:val="center"/>
            <w:hideMark/>
          </w:tcPr>
          <w:p w14:paraId="316A6DE1" w14:textId="77777777" w:rsidR="007A68CC" w:rsidRPr="003E0710" w:rsidRDefault="007A68CC"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 GHG emissions reduction</w:t>
            </w:r>
          </w:p>
        </w:tc>
      </w:tr>
      <w:tr w:rsidR="00614438" w:rsidRPr="003E0710" w14:paraId="07FFEABE" w14:textId="77777777" w:rsidTr="00614438">
        <w:trPr>
          <w:gridAfter w:val="1"/>
          <w:wAfter w:w="222" w:type="dxa"/>
          <w:trHeight w:val="315"/>
        </w:trPr>
        <w:tc>
          <w:tcPr>
            <w:tcW w:w="3280" w:type="dxa"/>
            <w:tcBorders>
              <w:top w:val="nil"/>
              <w:left w:val="single" w:sz="8" w:space="0" w:color="auto"/>
              <w:bottom w:val="single" w:sz="8" w:space="0" w:color="auto"/>
              <w:right w:val="single" w:sz="8" w:space="0" w:color="auto"/>
            </w:tcBorders>
            <w:shd w:val="clear" w:color="auto" w:fill="244062"/>
            <w:vAlign w:val="center"/>
            <w:hideMark/>
          </w:tcPr>
          <w:p w14:paraId="12BF6DE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78" w:type="dxa"/>
            <w:gridSpan w:val="3"/>
            <w:tcBorders>
              <w:top w:val="single" w:sz="8" w:space="0" w:color="auto"/>
              <w:left w:val="nil"/>
              <w:bottom w:val="single" w:sz="8" w:space="0" w:color="auto"/>
              <w:right w:val="single" w:sz="8" w:space="0" w:color="000000"/>
            </w:tcBorders>
            <w:vAlign w:val="center"/>
            <w:hideMark/>
          </w:tcPr>
          <w:p w14:paraId="54E8F4B0"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3D073BB7" w14:textId="77777777" w:rsidTr="00614438">
        <w:trPr>
          <w:gridAfter w:val="1"/>
          <w:wAfter w:w="222" w:type="dxa"/>
          <w:trHeight w:val="916"/>
        </w:trPr>
        <w:tc>
          <w:tcPr>
            <w:tcW w:w="3280" w:type="dxa"/>
            <w:tcBorders>
              <w:top w:val="nil"/>
              <w:left w:val="single" w:sz="8" w:space="0" w:color="auto"/>
              <w:bottom w:val="single" w:sz="8" w:space="0" w:color="auto"/>
              <w:right w:val="single" w:sz="8" w:space="0" w:color="auto"/>
            </w:tcBorders>
            <w:shd w:val="clear" w:color="auto" w:fill="244062"/>
            <w:vAlign w:val="center"/>
            <w:hideMark/>
          </w:tcPr>
          <w:p w14:paraId="7FDD369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78" w:type="dxa"/>
            <w:gridSpan w:val="3"/>
            <w:tcBorders>
              <w:top w:val="single" w:sz="8" w:space="0" w:color="auto"/>
              <w:left w:val="nil"/>
              <w:bottom w:val="single" w:sz="8" w:space="0" w:color="auto"/>
              <w:right w:val="single" w:sz="8" w:space="0" w:color="000000"/>
            </w:tcBorders>
            <w:vAlign w:val="center"/>
            <w:hideMark/>
          </w:tcPr>
          <w:p w14:paraId="6484283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PM_D9 will promote the increase of tree-planted areas in the country, including groves, parks, green roofs, sanitary protection zones around mines and industrial buildings, wind protection belts and green zones next to highways. This can be done through numerous related initiatives and information campaigns for citizens, explaining the environmental benefits in terms of the reduction of </w:t>
            </w:r>
            <w:r w:rsidR="007A68CC" w:rsidRPr="003E0710">
              <w:rPr>
                <w:rFonts w:ascii="Times New Roman" w:eastAsia="Times New Roman" w:hAnsi="Times New Roman" w:cs="Times New Roman"/>
                <w:color w:val="000000"/>
                <w:sz w:val="20"/>
                <w:szCs w:val="20"/>
                <w:lang w:eastAsia="en-GB"/>
              </w:rPr>
              <w:t>CO</w:t>
            </w:r>
            <w:r w:rsidR="007A68CC" w:rsidRPr="003E0710">
              <w:rPr>
                <w:rFonts w:ascii="Times New Roman" w:eastAsia="Times New Roman" w:hAnsi="Times New Roman" w:cs="Times New Roman"/>
                <w:color w:val="000000"/>
                <w:sz w:val="20"/>
                <w:szCs w:val="20"/>
                <w:vertAlign w:val="subscript"/>
                <w:lang w:eastAsia="en-GB"/>
              </w:rPr>
              <w:t xml:space="preserve">2 </w:t>
            </w:r>
            <w:r w:rsidRPr="003E0710">
              <w:rPr>
                <w:rFonts w:ascii="Times New Roman" w:hAnsi="Times New Roman" w:cs="Times New Roman"/>
                <w:sz w:val="20"/>
                <w:szCs w:val="20"/>
                <w:lang w:val="en-GB"/>
              </w:rPr>
              <w:t>emissions, as well as through the provision of financial incentives. A potential provision of legal obligations for investors will be explored in order to regenerate green areas. The construction of sanitary and wind protection zones around mines, industrial facilities that are significant emitters of waste gases, along highways and traffic roads, are of high importance for adapting to climate change.</w:t>
            </w:r>
          </w:p>
        </w:tc>
      </w:tr>
      <w:tr w:rsidR="00614438" w:rsidRPr="003E0710" w14:paraId="5802DBCE" w14:textId="77777777" w:rsidTr="00614438">
        <w:trPr>
          <w:gridAfter w:val="1"/>
          <w:wAfter w:w="222" w:type="dxa"/>
          <w:trHeight w:val="315"/>
        </w:trPr>
        <w:tc>
          <w:tcPr>
            <w:tcW w:w="3280" w:type="dxa"/>
            <w:tcBorders>
              <w:top w:val="nil"/>
              <w:left w:val="single" w:sz="8" w:space="0" w:color="auto"/>
              <w:bottom w:val="single" w:sz="8" w:space="0" w:color="auto"/>
              <w:right w:val="single" w:sz="8" w:space="0" w:color="auto"/>
            </w:tcBorders>
            <w:shd w:val="clear" w:color="auto" w:fill="244062"/>
            <w:vAlign w:val="center"/>
            <w:hideMark/>
          </w:tcPr>
          <w:p w14:paraId="598AB9B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78" w:type="dxa"/>
            <w:gridSpan w:val="3"/>
            <w:tcBorders>
              <w:top w:val="single" w:sz="8" w:space="0" w:color="auto"/>
              <w:left w:val="nil"/>
              <w:bottom w:val="single" w:sz="8" w:space="0" w:color="auto"/>
              <w:right w:val="single" w:sz="8" w:space="0" w:color="000000"/>
            </w:tcBorders>
            <w:vAlign w:val="center"/>
            <w:hideMark/>
          </w:tcPr>
          <w:p w14:paraId="3A0474D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2024-2030</w:t>
            </w:r>
          </w:p>
        </w:tc>
      </w:tr>
      <w:tr w:rsidR="00614438" w:rsidRPr="003E0710" w14:paraId="5F3B7566" w14:textId="77777777" w:rsidTr="00614438">
        <w:trPr>
          <w:gridAfter w:val="1"/>
          <w:wAfter w:w="222" w:type="dxa"/>
          <w:trHeight w:val="315"/>
        </w:trPr>
        <w:tc>
          <w:tcPr>
            <w:tcW w:w="3280" w:type="dxa"/>
            <w:tcBorders>
              <w:top w:val="nil"/>
              <w:left w:val="single" w:sz="8" w:space="0" w:color="auto"/>
              <w:bottom w:val="single" w:sz="8" w:space="0" w:color="auto"/>
              <w:right w:val="single" w:sz="8" w:space="0" w:color="auto"/>
            </w:tcBorders>
            <w:shd w:val="clear" w:color="auto" w:fill="244062"/>
            <w:vAlign w:val="center"/>
            <w:hideMark/>
          </w:tcPr>
          <w:p w14:paraId="00B7522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78" w:type="dxa"/>
            <w:gridSpan w:val="3"/>
            <w:tcBorders>
              <w:top w:val="single" w:sz="8" w:space="0" w:color="auto"/>
              <w:left w:val="nil"/>
              <w:bottom w:val="single" w:sz="8" w:space="0" w:color="auto"/>
              <w:right w:val="single" w:sz="8" w:space="0" w:color="000000"/>
            </w:tcBorders>
            <w:vAlign w:val="center"/>
            <w:hideMark/>
          </w:tcPr>
          <w:p w14:paraId="13D7F76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 and reform</w:t>
            </w:r>
          </w:p>
        </w:tc>
      </w:tr>
      <w:tr w:rsidR="00614438" w:rsidRPr="003E0710" w14:paraId="7B660158" w14:textId="77777777" w:rsidTr="00614438">
        <w:trPr>
          <w:gridAfter w:val="1"/>
          <w:wAfter w:w="222" w:type="dxa"/>
          <w:trHeight w:val="315"/>
        </w:trPr>
        <w:tc>
          <w:tcPr>
            <w:tcW w:w="3280" w:type="dxa"/>
            <w:tcBorders>
              <w:top w:val="nil"/>
              <w:left w:val="single" w:sz="8" w:space="0" w:color="auto"/>
              <w:bottom w:val="single" w:sz="8" w:space="0" w:color="auto"/>
              <w:right w:val="single" w:sz="8" w:space="0" w:color="auto"/>
            </w:tcBorders>
            <w:shd w:val="clear" w:color="auto" w:fill="244062"/>
            <w:vAlign w:val="center"/>
            <w:hideMark/>
          </w:tcPr>
          <w:p w14:paraId="0713B1D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78" w:type="dxa"/>
            <w:gridSpan w:val="3"/>
            <w:tcBorders>
              <w:top w:val="single" w:sz="8" w:space="0" w:color="auto"/>
              <w:left w:val="nil"/>
              <w:bottom w:val="single" w:sz="8" w:space="0" w:color="auto"/>
              <w:right w:val="single" w:sz="8" w:space="0" w:color="000000"/>
            </w:tcBorders>
            <w:vAlign w:val="center"/>
            <w:hideMark/>
          </w:tcPr>
          <w:p w14:paraId="199B71B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Agriculture and LULUCF</w:t>
            </w:r>
          </w:p>
        </w:tc>
      </w:tr>
      <w:tr w:rsidR="00614438" w:rsidRPr="003E0710" w14:paraId="0370A248" w14:textId="77777777" w:rsidTr="00614438">
        <w:trPr>
          <w:gridAfter w:val="1"/>
          <w:wAfter w:w="222" w:type="dxa"/>
          <w:trHeight w:val="315"/>
        </w:trPr>
        <w:tc>
          <w:tcPr>
            <w:tcW w:w="3280" w:type="dxa"/>
            <w:tcBorders>
              <w:top w:val="nil"/>
              <w:left w:val="single" w:sz="8" w:space="0" w:color="auto"/>
              <w:bottom w:val="single" w:sz="8" w:space="0" w:color="auto"/>
              <w:right w:val="single" w:sz="8" w:space="0" w:color="auto"/>
            </w:tcBorders>
            <w:shd w:val="clear" w:color="auto" w:fill="244062"/>
            <w:vAlign w:val="center"/>
            <w:hideMark/>
          </w:tcPr>
          <w:p w14:paraId="134E8FF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78" w:type="dxa"/>
            <w:gridSpan w:val="3"/>
            <w:tcBorders>
              <w:top w:val="single" w:sz="8" w:space="0" w:color="auto"/>
              <w:left w:val="nil"/>
              <w:bottom w:val="single" w:sz="8" w:space="0" w:color="auto"/>
              <w:right w:val="single" w:sz="8" w:space="0" w:color="000000"/>
            </w:tcBorders>
            <w:vAlign w:val="center"/>
            <w:hideMark/>
          </w:tcPr>
          <w:p w14:paraId="47F4FDDF" w14:textId="77777777" w:rsidR="00614438" w:rsidRPr="003E0710" w:rsidRDefault="00614438" w:rsidP="003E0710">
            <w:pPr>
              <w:numPr>
                <w:ilvl w:val="0"/>
                <w:numId w:val="32"/>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Environmental Protection</w:t>
            </w:r>
          </w:p>
          <w:p w14:paraId="1CBC2E61" w14:textId="77777777" w:rsidR="00614438" w:rsidRPr="003E0710" w:rsidRDefault="00614438" w:rsidP="003E0710">
            <w:pPr>
              <w:numPr>
                <w:ilvl w:val="0"/>
                <w:numId w:val="32"/>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Agriculture, Forestry and Water Economy</w:t>
            </w:r>
          </w:p>
          <w:p w14:paraId="7A4BF4F5" w14:textId="77777777" w:rsidR="00614438" w:rsidRPr="003E0710" w:rsidRDefault="00614438" w:rsidP="003E0710">
            <w:pPr>
              <w:numPr>
                <w:ilvl w:val="0"/>
                <w:numId w:val="32"/>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Construction, Transport and Infrastructure</w:t>
            </w:r>
          </w:p>
          <w:p w14:paraId="4F016446" w14:textId="77777777" w:rsidR="007A68CC" w:rsidRPr="003E0710" w:rsidRDefault="007A68CC" w:rsidP="003E0710">
            <w:pPr>
              <w:numPr>
                <w:ilvl w:val="0"/>
                <w:numId w:val="32"/>
              </w:numPr>
              <w:spacing w:after="0"/>
              <w:jc w:val="both"/>
              <w:rPr>
                <w:rFonts w:ascii="Times New Roman" w:hAnsi="Times New Roman" w:cs="Times New Roman"/>
                <w:sz w:val="20"/>
                <w:szCs w:val="20"/>
              </w:rPr>
            </w:pPr>
            <w:r w:rsidRPr="003E0710">
              <w:rPr>
                <w:rFonts w:ascii="Times New Roman" w:hAnsi="Times New Roman" w:cs="Times New Roman"/>
                <w:sz w:val="20"/>
                <w:szCs w:val="20"/>
              </w:rPr>
              <w:t>Local unit of government</w:t>
            </w:r>
          </w:p>
        </w:tc>
      </w:tr>
      <w:tr w:rsidR="00614438" w:rsidRPr="003E0710" w14:paraId="4747E39E" w14:textId="77777777" w:rsidTr="00614438">
        <w:trPr>
          <w:gridAfter w:val="1"/>
          <w:wAfter w:w="222" w:type="dxa"/>
          <w:trHeight w:val="315"/>
        </w:trPr>
        <w:tc>
          <w:tcPr>
            <w:tcW w:w="3280" w:type="dxa"/>
            <w:tcBorders>
              <w:top w:val="nil"/>
              <w:left w:val="single" w:sz="8" w:space="0" w:color="auto"/>
              <w:bottom w:val="single" w:sz="8" w:space="0" w:color="auto"/>
              <w:right w:val="nil"/>
            </w:tcBorders>
            <w:shd w:val="clear" w:color="auto" w:fill="244062"/>
            <w:vAlign w:val="center"/>
            <w:hideMark/>
          </w:tcPr>
          <w:p w14:paraId="130E574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78" w:type="dxa"/>
            <w:gridSpan w:val="3"/>
            <w:tcBorders>
              <w:top w:val="single" w:sz="8" w:space="0" w:color="auto"/>
              <w:left w:val="nil"/>
              <w:bottom w:val="single" w:sz="8" w:space="0" w:color="auto"/>
              <w:right w:val="single" w:sz="8" w:space="0" w:color="000000"/>
            </w:tcBorders>
            <w:vAlign w:val="center"/>
            <w:hideMark/>
          </w:tcPr>
          <w:p w14:paraId="2836542C" w14:textId="77777777" w:rsidR="00614438" w:rsidRPr="003E0710" w:rsidRDefault="00614438" w:rsidP="003E0710">
            <w:pPr>
              <w:numPr>
                <w:ilvl w:val="0"/>
                <w:numId w:val="32"/>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Environmental Protection</w:t>
            </w:r>
          </w:p>
        </w:tc>
      </w:tr>
      <w:tr w:rsidR="00614438" w:rsidRPr="003E0710" w14:paraId="521ABF73" w14:textId="77777777" w:rsidTr="00614438">
        <w:trPr>
          <w:gridAfter w:val="1"/>
          <w:wAfter w:w="222" w:type="dxa"/>
          <w:trHeight w:val="315"/>
        </w:trPr>
        <w:tc>
          <w:tcPr>
            <w:tcW w:w="3280" w:type="dxa"/>
            <w:tcBorders>
              <w:top w:val="nil"/>
              <w:left w:val="single" w:sz="8" w:space="0" w:color="auto"/>
              <w:bottom w:val="single" w:sz="8" w:space="0" w:color="auto"/>
              <w:right w:val="nil"/>
            </w:tcBorders>
            <w:shd w:val="clear" w:color="auto" w:fill="244062"/>
            <w:vAlign w:val="center"/>
            <w:hideMark/>
          </w:tcPr>
          <w:p w14:paraId="2BF3F0C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78" w:type="dxa"/>
            <w:gridSpan w:val="3"/>
            <w:tcBorders>
              <w:top w:val="single" w:sz="8" w:space="0" w:color="auto"/>
              <w:left w:val="nil"/>
              <w:bottom w:val="single" w:sz="8" w:space="0" w:color="auto"/>
              <w:right w:val="single" w:sz="8" w:space="0" w:color="000000"/>
            </w:tcBorders>
            <w:vAlign w:val="center"/>
            <w:hideMark/>
          </w:tcPr>
          <w:p w14:paraId="4867D31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Number of groves / parks / green roofs that have been added on annual base, emissions reduction (Gg CO</w:t>
            </w:r>
            <w:r w:rsidRPr="003E0710">
              <w:rPr>
                <w:rFonts w:ascii="Times New Roman" w:hAnsi="Times New Roman" w:cs="Times New Roman"/>
                <w:sz w:val="20"/>
                <w:szCs w:val="20"/>
                <w:vertAlign w:val="subscript"/>
                <w:lang w:val="en-GB"/>
              </w:rPr>
              <w:t>2</w:t>
            </w:r>
            <w:r w:rsidRPr="003E0710">
              <w:rPr>
                <w:rFonts w:ascii="Times New Roman" w:hAnsi="Times New Roman" w:cs="Times New Roman"/>
                <w:sz w:val="20"/>
                <w:szCs w:val="20"/>
                <w:lang w:val="en-GB"/>
              </w:rPr>
              <w:t>-eq)</w:t>
            </w:r>
          </w:p>
        </w:tc>
      </w:tr>
      <w:tr w:rsidR="00614438" w:rsidRPr="003E0710" w14:paraId="1F821452" w14:textId="77777777" w:rsidTr="00614438">
        <w:trPr>
          <w:gridAfter w:val="1"/>
          <w:wAfter w:w="222" w:type="dxa"/>
          <w:trHeight w:val="301"/>
        </w:trPr>
        <w:tc>
          <w:tcPr>
            <w:tcW w:w="3280" w:type="dxa"/>
            <w:tcBorders>
              <w:top w:val="nil"/>
              <w:left w:val="single" w:sz="8" w:space="0" w:color="auto"/>
              <w:bottom w:val="single" w:sz="8" w:space="0" w:color="auto"/>
              <w:right w:val="single" w:sz="8" w:space="0" w:color="auto"/>
            </w:tcBorders>
            <w:shd w:val="clear" w:color="auto" w:fill="244062"/>
            <w:vAlign w:val="center"/>
            <w:hideMark/>
          </w:tcPr>
          <w:p w14:paraId="672F764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78" w:type="dxa"/>
            <w:gridSpan w:val="3"/>
            <w:tcBorders>
              <w:top w:val="single" w:sz="8" w:space="0" w:color="auto"/>
              <w:left w:val="nil"/>
              <w:bottom w:val="single" w:sz="8" w:space="0" w:color="auto"/>
              <w:right w:val="single" w:sz="8" w:space="0" w:color="000000"/>
            </w:tcBorders>
            <w:vAlign w:val="center"/>
          </w:tcPr>
          <w:p w14:paraId="22D9FB15"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15E48D2E" w14:textId="77777777" w:rsidTr="00614438">
        <w:trPr>
          <w:gridAfter w:val="1"/>
          <w:wAfter w:w="222" w:type="dxa"/>
          <w:trHeight w:val="458"/>
        </w:trPr>
        <w:tc>
          <w:tcPr>
            <w:tcW w:w="3280" w:type="dxa"/>
            <w:vMerge w:val="restart"/>
            <w:tcBorders>
              <w:top w:val="nil"/>
              <w:left w:val="single" w:sz="8" w:space="0" w:color="auto"/>
              <w:bottom w:val="single" w:sz="8" w:space="0" w:color="000000"/>
              <w:right w:val="single" w:sz="8" w:space="0" w:color="auto"/>
            </w:tcBorders>
            <w:shd w:val="clear" w:color="auto" w:fill="244062"/>
            <w:vAlign w:val="center"/>
            <w:hideMark/>
          </w:tcPr>
          <w:p w14:paraId="5C52506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78"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CE34540" w14:textId="77777777" w:rsidR="00614438" w:rsidRPr="003E0710" w:rsidRDefault="00614438" w:rsidP="003E0710">
            <w:pPr>
              <w:numPr>
                <w:ilvl w:val="0"/>
                <w:numId w:val="33"/>
              </w:numPr>
              <w:spacing w:after="0"/>
              <w:jc w:val="both"/>
              <w:rPr>
                <w:rFonts w:ascii="Times New Roman" w:hAnsi="Times New Roman" w:cs="Times New Roman"/>
                <w:sz w:val="20"/>
                <w:szCs w:val="20"/>
              </w:rPr>
            </w:pPr>
            <w:r w:rsidRPr="003E0710">
              <w:rPr>
                <w:rFonts w:ascii="Times New Roman" w:hAnsi="Times New Roman" w:cs="Times New Roman"/>
                <w:sz w:val="20"/>
                <w:szCs w:val="20"/>
              </w:rPr>
              <w:t>Regulation 2018/1999</w:t>
            </w:r>
          </w:p>
        </w:tc>
      </w:tr>
      <w:tr w:rsidR="00614438" w:rsidRPr="003E0710" w14:paraId="3B992708"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7C08EAE2"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D27E3BF"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7E591C21"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6B8B4185"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7D7B4049"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C5E1D50"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41977C60"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71E85D75" w14:textId="77777777" w:rsidTr="00614438">
        <w:trPr>
          <w:trHeight w:val="495"/>
        </w:trPr>
        <w:tc>
          <w:tcPr>
            <w:tcW w:w="3280" w:type="dxa"/>
            <w:tcBorders>
              <w:top w:val="nil"/>
              <w:left w:val="single" w:sz="8" w:space="0" w:color="auto"/>
              <w:bottom w:val="single" w:sz="8" w:space="0" w:color="auto"/>
              <w:right w:val="single" w:sz="8" w:space="0" w:color="auto"/>
            </w:tcBorders>
            <w:shd w:val="clear" w:color="auto" w:fill="244062"/>
            <w:vAlign w:val="center"/>
            <w:hideMark/>
          </w:tcPr>
          <w:p w14:paraId="585D729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78" w:type="dxa"/>
            <w:gridSpan w:val="3"/>
            <w:tcBorders>
              <w:top w:val="single" w:sz="8" w:space="0" w:color="auto"/>
              <w:left w:val="nil"/>
              <w:bottom w:val="single" w:sz="8" w:space="0" w:color="auto"/>
              <w:right w:val="single" w:sz="8" w:space="0" w:color="000000"/>
            </w:tcBorders>
            <w:vAlign w:val="center"/>
            <w:hideMark/>
          </w:tcPr>
          <w:p w14:paraId="14010A35" w14:textId="77777777" w:rsidR="00614438" w:rsidRPr="003E0710" w:rsidRDefault="00614438" w:rsidP="003E0710">
            <w:pPr>
              <w:numPr>
                <w:ilvl w:val="0"/>
                <w:numId w:val="34"/>
              </w:numPr>
              <w:spacing w:after="0"/>
              <w:jc w:val="both"/>
              <w:rPr>
                <w:rFonts w:ascii="Times New Roman" w:hAnsi="Times New Roman" w:cs="Times New Roman"/>
                <w:sz w:val="20"/>
                <w:szCs w:val="20"/>
              </w:rPr>
            </w:pPr>
            <w:r w:rsidRPr="003E0710">
              <w:rPr>
                <w:rFonts w:ascii="Times New Roman" w:hAnsi="Times New Roman" w:cs="Times New Roman"/>
                <w:sz w:val="20"/>
                <w:szCs w:val="20"/>
              </w:rPr>
              <w:t>Sustainable Urban Development Strategy of the Republic of Serbia until 2030</w:t>
            </w:r>
          </w:p>
        </w:tc>
        <w:tc>
          <w:tcPr>
            <w:tcW w:w="222" w:type="dxa"/>
            <w:vAlign w:val="center"/>
            <w:hideMark/>
          </w:tcPr>
          <w:p w14:paraId="06F14B74"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59F31B1A" w14:textId="77777777" w:rsidTr="00614438">
        <w:trPr>
          <w:trHeight w:val="315"/>
        </w:trPr>
        <w:tc>
          <w:tcPr>
            <w:tcW w:w="3280" w:type="dxa"/>
            <w:tcBorders>
              <w:top w:val="nil"/>
              <w:left w:val="single" w:sz="8" w:space="0" w:color="auto"/>
              <w:bottom w:val="single" w:sz="8" w:space="0" w:color="auto"/>
              <w:right w:val="single" w:sz="8" w:space="0" w:color="auto"/>
            </w:tcBorders>
            <w:shd w:val="clear" w:color="auto" w:fill="244062"/>
            <w:vAlign w:val="center"/>
            <w:hideMark/>
          </w:tcPr>
          <w:p w14:paraId="7A5633C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78" w:type="dxa"/>
            <w:gridSpan w:val="3"/>
            <w:tcBorders>
              <w:top w:val="single" w:sz="8" w:space="0" w:color="auto"/>
              <w:left w:val="nil"/>
              <w:bottom w:val="single" w:sz="8" w:space="0" w:color="auto"/>
              <w:right w:val="single" w:sz="8" w:space="0" w:color="000000"/>
            </w:tcBorders>
            <w:vAlign w:val="center"/>
            <w:hideMark/>
          </w:tcPr>
          <w:p w14:paraId="580E720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6.5 M€</w:t>
            </w:r>
          </w:p>
        </w:tc>
        <w:tc>
          <w:tcPr>
            <w:tcW w:w="222" w:type="dxa"/>
            <w:vAlign w:val="center"/>
            <w:hideMark/>
          </w:tcPr>
          <w:p w14:paraId="3D394AB0"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28B37AD8" w14:textId="77777777" w:rsidTr="00614438">
        <w:trPr>
          <w:trHeight w:val="315"/>
        </w:trPr>
        <w:tc>
          <w:tcPr>
            <w:tcW w:w="3280" w:type="dxa"/>
            <w:tcBorders>
              <w:top w:val="nil"/>
              <w:left w:val="single" w:sz="8" w:space="0" w:color="auto"/>
              <w:bottom w:val="single" w:sz="8" w:space="0" w:color="auto"/>
              <w:right w:val="single" w:sz="8" w:space="0" w:color="auto"/>
            </w:tcBorders>
            <w:shd w:val="clear" w:color="auto" w:fill="244062"/>
            <w:vAlign w:val="center"/>
            <w:hideMark/>
          </w:tcPr>
          <w:p w14:paraId="5E63942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78" w:type="dxa"/>
            <w:gridSpan w:val="3"/>
            <w:tcBorders>
              <w:top w:val="single" w:sz="8" w:space="0" w:color="auto"/>
              <w:left w:val="nil"/>
              <w:bottom w:val="single" w:sz="8" w:space="0" w:color="auto"/>
              <w:right w:val="single" w:sz="8" w:space="0" w:color="000000"/>
            </w:tcBorders>
            <w:vAlign w:val="center"/>
            <w:hideMark/>
          </w:tcPr>
          <w:p w14:paraId="2D368E1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20F66CAA" w14:textId="77777777" w:rsidR="00614438" w:rsidRPr="003E0710" w:rsidRDefault="00614438" w:rsidP="003E0710">
            <w:pPr>
              <w:spacing w:after="0"/>
              <w:jc w:val="both"/>
              <w:rPr>
                <w:rFonts w:ascii="Times New Roman" w:hAnsi="Times New Roman" w:cs="Times New Roman"/>
                <w:sz w:val="20"/>
                <w:szCs w:val="20"/>
                <w:lang w:val="en-GB"/>
              </w:rPr>
            </w:pPr>
          </w:p>
        </w:tc>
      </w:tr>
    </w:tbl>
    <w:p w14:paraId="087C7615"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70"/>
        <w:gridCol w:w="1114"/>
        <w:gridCol w:w="935"/>
        <w:gridCol w:w="4139"/>
        <w:gridCol w:w="222"/>
      </w:tblGrid>
      <w:tr w:rsidR="00614438" w:rsidRPr="003E0710" w14:paraId="63117367" w14:textId="77777777" w:rsidTr="00614438">
        <w:trPr>
          <w:gridAfter w:val="1"/>
          <w:wAfter w:w="222" w:type="dxa"/>
          <w:trHeight w:val="780"/>
        </w:trPr>
        <w:tc>
          <w:tcPr>
            <w:tcW w:w="3270"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9CAAD4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1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5F66C96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PM_D10</w:t>
            </w:r>
          </w:p>
        </w:tc>
        <w:tc>
          <w:tcPr>
            <w:tcW w:w="935" w:type="dxa"/>
            <w:tcBorders>
              <w:top w:val="single" w:sz="8" w:space="0" w:color="auto"/>
              <w:left w:val="nil"/>
              <w:bottom w:val="single" w:sz="8" w:space="0" w:color="auto"/>
              <w:right w:val="single" w:sz="8" w:space="0" w:color="auto"/>
            </w:tcBorders>
            <w:shd w:val="clear" w:color="auto" w:fill="244062"/>
            <w:vAlign w:val="center"/>
            <w:hideMark/>
          </w:tcPr>
          <w:p w14:paraId="054A106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139" w:type="dxa"/>
            <w:tcBorders>
              <w:top w:val="single" w:sz="8" w:space="0" w:color="auto"/>
              <w:left w:val="nil"/>
              <w:bottom w:val="single" w:sz="8" w:space="0" w:color="auto"/>
              <w:right w:val="single" w:sz="8" w:space="0" w:color="auto"/>
            </w:tcBorders>
            <w:shd w:val="clear" w:color="auto" w:fill="E7E6E6" w:themeFill="background2"/>
            <w:vAlign w:val="center"/>
            <w:hideMark/>
          </w:tcPr>
          <w:p w14:paraId="0563DC9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Measures for the reduction of CH</w:t>
            </w:r>
            <w:r w:rsidRPr="003E0710">
              <w:rPr>
                <w:rFonts w:ascii="Times New Roman" w:hAnsi="Times New Roman" w:cs="Times New Roman"/>
                <w:sz w:val="20"/>
                <w:szCs w:val="20"/>
                <w:vertAlign w:val="subscript"/>
                <w:lang w:val="en-GB"/>
              </w:rPr>
              <w:t>4</w:t>
            </w:r>
            <w:r w:rsidRPr="003E0710">
              <w:rPr>
                <w:rFonts w:ascii="Times New Roman" w:hAnsi="Times New Roman" w:cs="Times New Roman"/>
                <w:sz w:val="20"/>
                <w:szCs w:val="20"/>
                <w:lang w:val="en-GB"/>
              </w:rPr>
              <w:t xml:space="preserve"> emissions from the enteric fermentation of animals</w:t>
            </w:r>
          </w:p>
        </w:tc>
      </w:tr>
      <w:tr w:rsidR="00614438" w:rsidRPr="003E0710" w14:paraId="4D8D0AB2" w14:textId="77777777" w:rsidTr="00614438">
        <w:trPr>
          <w:gridAfter w:val="1"/>
          <w:wAfter w:w="222" w:type="dxa"/>
          <w:trHeight w:val="389"/>
        </w:trPr>
        <w:tc>
          <w:tcPr>
            <w:tcW w:w="3270" w:type="dxa"/>
            <w:tcBorders>
              <w:top w:val="nil"/>
              <w:left w:val="single" w:sz="8" w:space="0" w:color="auto"/>
              <w:bottom w:val="single" w:sz="8" w:space="0" w:color="auto"/>
              <w:right w:val="nil"/>
            </w:tcBorders>
            <w:shd w:val="clear" w:color="auto" w:fill="244062"/>
            <w:vAlign w:val="center"/>
            <w:hideMark/>
          </w:tcPr>
          <w:p w14:paraId="2F85104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88" w:type="dxa"/>
            <w:gridSpan w:val="3"/>
            <w:tcBorders>
              <w:top w:val="single" w:sz="8" w:space="0" w:color="auto"/>
              <w:left w:val="nil"/>
              <w:bottom w:val="single" w:sz="8" w:space="0" w:color="auto"/>
              <w:right w:val="single" w:sz="8" w:space="0" w:color="000000"/>
            </w:tcBorders>
            <w:vAlign w:val="center"/>
            <w:hideMark/>
          </w:tcPr>
          <w:p w14:paraId="1ECD85A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 CH</w:t>
            </w:r>
            <w:r w:rsidRPr="003E0710">
              <w:rPr>
                <w:rFonts w:ascii="Times New Roman" w:hAnsi="Times New Roman" w:cs="Times New Roman"/>
                <w:sz w:val="20"/>
                <w:szCs w:val="20"/>
                <w:vertAlign w:val="subscript"/>
                <w:lang w:val="en-GB"/>
              </w:rPr>
              <w:t>4</w:t>
            </w:r>
            <w:r w:rsidRPr="003E0710">
              <w:rPr>
                <w:rFonts w:ascii="Times New Roman" w:hAnsi="Times New Roman" w:cs="Times New Roman"/>
                <w:sz w:val="20"/>
                <w:szCs w:val="20"/>
                <w:lang w:val="en-GB"/>
              </w:rPr>
              <w:t xml:space="preserve"> emissions reduction</w:t>
            </w:r>
          </w:p>
        </w:tc>
      </w:tr>
      <w:tr w:rsidR="00614438" w:rsidRPr="003E0710" w14:paraId="62587A1B" w14:textId="77777777" w:rsidTr="00614438">
        <w:trPr>
          <w:gridAfter w:val="1"/>
          <w:wAfter w:w="222" w:type="dxa"/>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36E01CE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88" w:type="dxa"/>
            <w:gridSpan w:val="3"/>
            <w:tcBorders>
              <w:top w:val="single" w:sz="8" w:space="0" w:color="auto"/>
              <w:left w:val="nil"/>
              <w:bottom w:val="single" w:sz="8" w:space="0" w:color="auto"/>
              <w:right w:val="single" w:sz="8" w:space="0" w:color="000000"/>
            </w:tcBorders>
            <w:vAlign w:val="center"/>
            <w:hideMark/>
          </w:tcPr>
          <w:p w14:paraId="4EC1229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 Contribution to the objective of reduction of GHG emissions by 40.3% (with LULUCF) by 2030 compared to 1990 levels</w:t>
            </w:r>
          </w:p>
        </w:tc>
      </w:tr>
      <w:tr w:rsidR="00614438" w:rsidRPr="003E0710" w14:paraId="3B63ADEF" w14:textId="77777777" w:rsidTr="00614438">
        <w:trPr>
          <w:gridAfter w:val="1"/>
          <w:wAfter w:w="222" w:type="dxa"/>
          <w:trHeight w:val="924"/>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77513EB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88" w:type="dxa"/>
            <w:gridSpan w:val="3"/>
            <w:tcBorders>
              <w:top w:val="single" w:sz="8" w:space="0" w:color="auto"/>
              <w:left w:val="nil"/>
              <w:bottom w:val="single" w:sz="8" w:space="0" w:color="auto"/>
              <w:right w:val="single" w:sz="8" w:space="0" w:color="000000"/>
            </w:tcBorders>
            <w:vAlign w:val="center"/>
            <w:hideMark/>
          </w:tcPr>
          <w:p w14:paraId="02DEE0D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PM_D10 will facilitate the reduction of CH</w:t>
            </w:r>
            <w:r w:rsidRPr="003E0710">
              <w:rPr>
                <w:rFonts w:ascii="Times New Roman" w:hAnsi="Times New Roman" w:cs="Times New Roman"/>
                <w:sz w:val="20"/>
                <w:szCs w:val="20"/>
                <w:vertAlign w:val="subscript"/>
                <w:lang w:val="en-GB"/>
              </w:rPr>
              <w:t>4</w:t>
            </w:r>
            <w:r w:rsidRPr="003E0710">
              <w:rPr>
                <w:rFonts w:ascii="Times New Roman" w:hAnsi="Times New Roman" w:cs="Times New Roman"/>
                <w:sz w:val="20"/>
                <w:szCs w:val="20"/>
                <w:lang w:val="en-GB"/>
              </w:rPr>
              <w:t xml:space="preserve"> emissions through the modification of the feed composition and nutrition practice in livestock. It is a cost-effective measure, as it does not require subsidies or incentives. Practical training and demonstration for farmers will be sufficient.</w:t>
            </w:r>
          </w:p>
        </w:tc>
      </w:tr>
      <w:tr w:rsidR="00614438" w:rsidRPr="003E0710" w14:paraId="0A3D6B31" w14:textId="77777777" w:rsidTr="00614438">
        <w:trPr>
          <w:gridAfter w:val="1"/>
          <w:wAfter w:w="222" w:type="dxa"/>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7A1474E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88" w:type="dxa"/>
            <w:gridSpan w:val="3"/>
            <w:tcBorders>
              <w:top w:val="single" w:sz="8" w:space="0" w:color="auto"/>
              <w:left w:val="nil"/>
              <w:bottom w:val="single" w:sz="8" w:space="0" w:color="auto"/>
              <w:right w:val="single" w:sz="8" w:space="0" w:color="000000"/>
            </w:tcBorders>
            <w:vAlign w:val="center"/>
            <w:hideMark/>
          </w:tcPr>
          <w:p w14:paraId="7DD5B2E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2024-2030</w:t>
            </w:r>
          </w:p>
        </w:tc>
      </w:tr>
      <w:tr w:rsidR="00614438" w:rsidRPr="003E0710" w14:paraId="450DE524" w14:textId="77777777" w:rsidTr="00614438">
        <w:trPr>
          <w:gridAfter w:val="1"/>
          <w:wAfter w:w="222" w:type="dxa"/>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7145E27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88" w:type="dxa"/>
            <w:gridSpan w:val="3"/>
            <w:tcBorders>
              <w:top w:val="single" w:sz="8" w:space="0" w:color="auto"/>
              <w:left w:val="nil"/>
              <w:bottom w:val="single" w:sz="8" w:space="0" w:color="auto"/>
              <w:right w:val="single" w:sz="8" w:space="0" w:color="000000"/>
            </w:tcBorders>
            <w:vAlign w:val="center"/>
            <w:hideMark/>
          </w:tcPr>
          <w:p w14:paraId="210E84E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Reform</w:t>
            </w:r>
          </w:p>
        </w:tc>
      </w:tr>
      <w:tr w:rsidR="00614438" w:rsidRPr="003E0710" w14:paraId="73716EDE" w14:textId="77777777" w:rsidTr="00614438">
        <w:trPr>
          <w:gridAfter w:val="1"/>
          <w:wAfter w:w="222" w:type="dxa"/>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411C71A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88" w:type="dxa"/>
            <w:gridSpan w:val="3"/>
            <w:tcBorders>
              <w:top w:val="single" w:sz="8" w:space="0" w:color="auto"/>
              <w:left w:val="nil"/>
              <w:bottom w:val="single" w:sz="8" w:space="0" w:color="auto"/>
              <w:right w:val="single" w:sz="8" w:space="0" w:color="000000"/>
            </w:tcBorders>
            <w:vAlign w:val="center"/>
            <w:hideMark/>
          </w:tcPr>
          <w:p w14:paraId="7B40791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Agriculture and LULUCF</w:t>
            </w:r>
          </w:p>
        </w:tc>
      </w:tr>
      <w:tr w:rsidR="00614438" w:rsidRPr="003E0710" w14:paraId="6EF32443" w14:textId="77777777" w:rsidTr="00614438">
        <w:trPr>
          <w:gridAfter w:val="1"/>
          <w:wAfter w:w="222" w:type="dxa"/>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61B737D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88" w:type="dxa"/>
            <w:gridSpan w:val="3"/>
            <w:tcBorders>
              <w:top w:val="single" w:sz="8" w:space="0" w:color="auto"/>
              <w:left w:val="nil"/>
              <w:bottom w:val="single" w:sz="8" w:space="0" w:color="auto"/>
              <w:right w:val="single" w:sz="8" w:space="0" w:color="000000"/>
            </w:tcBorders>
            <w:vAlign w:val="center"/>
            <w:hideMark/>
          </w:tcPr>
          <w:p w14:paraId="4CE6941D" w14:textId="77777777" w:rsidR="00614438" w:rsidRPr="003E0710" w:rsidRDefault="00614438" w:rsidP="003E0710">
            <w:pPr>
              <w:numPr>
                <w:ilvl w:val="0"/>
                <w:numId w:val="34"/>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for Agriculture, Forestry and Water Management</w:t>
            </w:r>
          </w:p>
          <w:p w14:paraId="44CD0848" w14:textId="77777777" w:rsidR="00614438" w:rsidRPr="003E0710" w:rsidRDefault="00614438" w:rsidP="003E0710">
            <w:pPr>
              <w:numPr>
                <w:ilvl w:val="0"/>
                <w:numId w:val="34"/>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Directorate for Agrarian payments</w:t>
            </w:r>
          </w:p>
          <w:p w14:paraId="08C393A4" w14:textId="77777777" w:rsidR="00614438" w:rsidRPr="003E0710" w:rsidRDefault="00614438" w:rsidP="003E0710">
            <w:pPr>
              <w:numPr>
                <w:ilvl w:val="0"/>
                <w:numId w:val="34"/>
              </w:numPr>
              <w:spacing w:after="0"/>
              <w:jc w:val="both"/>
              <w:rPr>
                <w:rFonts w:ascii="Times New Roman" w:hAnsi="Times New Roman" w:cs="Times New Roman"/>
                <w:sz w:val="20"/>
                <w:szCs w:val="20"/>
              </w:rPr>
            </w:pPr>
            <w:r w:rsidRPr="003E0710">
              <w:rPr>
                <w:rFonts w:ascii="Times New Roman" w:hAnsi="Times New Roman" w:cs="Times New Roman"/>
                <w:sz w:val="20"/>
                <w:szCs w:val="20"/>
              </w:rPr>
              <w:t>Veterinary Directorate</w:t>
            </w:r>
          </w:p>
          <w:p w14:paraId="5203BA1E" w14:textId="77777777" w:rsidR="00614438" w:rsidRPr="003E0710" w:rsidRDefault="00614438" w:rsidP="003E0710">
            <w:pPr>
              <w:numPr>
                <w:ilvl w:val="0"/>
                <w:numId w:val="34"/>
              </w:numPr>
              <w:spacing w:after="0"/>
              <w:jc w:val="both"/>
              <w:rPr>
                <w:rFonts w:ascii="Times New Roman" w:hAnsi="Times New Roman" w:cs="Times New Roman"/>
                <w:sz w:val="20"/>
                <w:szCs w:val="20"/>
              </w:rPr>
            </w:pPr>
            <w:r w:rsidRPr="003E0710">
              <w:rPr>
                <w:rFonts w:ascii="Times New Roman" w:hAnsi="Times New Roman" w:cs="Times New Roman"/>
                <w:sz w:val="20"/>
                <w:szCs w:val="20"/>
              </w:rPr>
              <w:t>Chamber of Commerce and Industry</w:t>
            </w:r>
          </w:p>
          <w:p w14:paraId="7407EBEF" w14:textId="77777777" w:rsidR="00614438" w:rsidRPr="003E0710" w:rsidRDefault="00614438" w:rsidP="003E0710">
            <w:pPr>
              <w:numPr>
                <w:ilvl w:val="0"/>
                <w:numId w:val="34"/>
              </w:numPr>
              <w:spacing w:after="0"/>
              <w:jc w:val="both"/>
              <w:rPr>
                <w:rFonts w:ascii="Times New Roman" w:hAnsi="Times New Roman" w:cs="Times New Roman"/>
                <w:sz w:val="20"/>
                <w:szCs w:val="20"/>
              </w:rPr>
            </w:pPr>
            <w:r w:rsidRPr="003E0710">
              <w:rPr>
                <w:rFonts w:ascii="Times New Roman" w:hAnsi="Times New Roman" w:cs="Times New Roman"/>
                <w:sz w:val="20"/>
                <w:szCs w:val="20"/>
              </w:rPr>
              <w:t>Research institut</w:t>
            </w:r>
            <w:r w:rsidR="007A68CC" w:rsidRPr="003E0710">
              <w:rPr>
                <w:rFonts w:ascii="Times New Roman" w:hAnsi="Times New Roman" w:cs="Times New Roman"/>
                <w:sz w:val="20"/>
                <w:szCs w:val="20"/>
              </w:rPr>
              <w:t>e</w:t>
            </w:r>
            <w:r w:rsidRPr="003E0710">
              <w:rPr>
                <w:rFonts w:ascii="Times New Roman" w:hAnsi="Times New Roman" w:cs="Times New Roman"/>
                <w:sz w:val="20"/>
                <w:szCs w:val="20"/>
              </w:rPr>
              <w:t>s</w:t>
            </w:r>
          </w:p>
        </w:tc>
      </w:tr>
      <w:tr w:rsidR="00614438" w:rsidRPr="003E0710" w14:paraId="1DCC563E" w14:textId="77777777" w:rsidTr="00614438">
        <w:trPr>
          <w:gridAfter w:val="1"/>
          <w:wAfter w:w="222" w:type="dxa"/>
          <w:trHeight w:val="315"/>
        </w:trPr>
        <w:tc>
          <w:tcPr>
            <w:tcW w:w="3270" w:type="dxa"/>
            <w:tcBorders>
              <w:top w:val="nil"/>
              <w:left w:val="single" w:sz="8" w:space="0" w:color="auto"/>
              <w:bottom w:val="single" w:sz="8" w:space="0" w:color="auto"/>
              <w:right w:val="nil"/>
            </w:tcBorders>
            <w:shd w:val="clear" w:color="auto" w:fill="244062"/>
            <w:vAlign w:val="center"/>
            <w:hideMark/>
          </w:tcPr>
          <w:p w14:paraId="00C302A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88" w:type="dxa"/>
            <w:gridSpan w:val="3"/>
            <w:tcBorders>
              <w:top w:val="single" w:sz="8" w:space="0" w:color="auto"/>
              <w:left w:val="nil"/>
              <w:bottom w:val="single" w:sz="8" w:space="0" w:color="auto"/>
              <w:right w:val="single" w:sz="8" w:space="0" w:color="000000"/>
            </w:tcBorders>
            <w:vAlign w:val="center"/>
            <w:hideMark/>
          </w:tcPr>
          <w:p w14:paraId="544A3C5A" w14:textId="77777777" w:rsidR="00614438" w:rsidRPr="003E0710" w:rsidRDefault="00614438" w:rsidP="003E0710">
            <w:pPr>
              <w:numPr>
                <w:ilvl w:val="0"/>
                <w:numId w:val="34"/>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Environmental Protection</w:t>
            </w:r>
          </w:p>
          <w:p w14:paraId="3EFA278E" w14:textId="77777777" w:rsidR="00614438" w:rsidRPr="003E0710" w:rsidRDefault="00614438" w:rsidP="003E0710">
            <w:pPr>
              <w:numPr>
                <w:ilvl w:val="0"/>
                <w:numId w:val="34"/>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for Agriculture, Forestry and Water Management</w:t>
            </w:r>
          </w:p>
        </w:tc>
      </w:tr>
      <w:tr w:rsidR="00614438" w:rsidRPr="003E0710" w14:paraId="50C3EC4A" w14:textId="77777777" w:rsidTr="00614438">
        <w:trPr>
          <w:gridAfter w:val="1"/>
          <w:wAfter w:w="222" w:type="dxa"/>
          <w:trHeight w:val="315"/>
        </w:trPr>
        <w:tc>
          <w:tcPr>
            <w:tcW w:w="3270" w:type="dxa"/>
            <w:tcBorders>
              <w:top w:val="nil"/>
              <w:left w:val="single" w:sz="8" w:space="0" w:color="auto"/>
              <w:bottom w:val="single" w:sz="8" w:space="0" w:color="auto"/>
              <w:right w:val="nil"/>
            </w:tcBorders>
            <w:shd w:val="clear" w:color="auto" w:fill="244062"/>
            <w:vAlign w:val="center"/>
            <w:hideMark/>
          </w:tcPr>
          <w:p w14:paraId="4315525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88" w:type="dxa"/>
            <w:gridSpan w:val="3"/>
            <w:tcBorders>
              <w:top w:val="single" w:sz="8" w:space="0" w:color="auto"/>
              <w:left w:val="nil"/>
              <w:bottom w:val="single" w:sz="8" w:space="0" w:color="auto"/>
              <w:right w:val="single" w:sz="8" w:space="0" w:color="000000"/>
            </w:tcBorders>
            <w:vAlign w:val="center"/>
            <w:hideMark/>
          </w:tcPr>
          <w:p w14:paraId="24043722" w14:textId="77777777" w:rsidR="007A68CC"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Number of farms (dairy cows and other animals as a percentage of the total population) </w:t>
            </w:r>
            <w:r w:rsidR="007A68CC" w:rsidRPr="003E0710">
              <w:rPr>
                <w:rFonts w:ascii="Times New Roman" w:hAnsi="Times New Roman" w:cs="Times New Roman"/>
                <w:sz w:val="20"/>
                <w:szCs w:val="20"/>
                <w:lang w:val="en-GB"/>
              </w:rPr>
              <w:t>for which</w:t>
            </w:r>
            <w:r w:rsidRPr="003E0710">
              <w:rPr>
                <w:rFonts w:ascii="Times New Roman" w:hAnsi="Times New Roman" w:cs="Times New Roman"/>
                <w:sz w:val="20"/>
                <w:szCs w:val="20"/>
                <w:lang w:val="en-GB"/>
              </w:rPr>
              <w:t xml:space="preserve"> total mixed ration (TMR) </w:t>
            </w:r>
            <w:r w:rsidR="007A68CC" w:rsidRPr="003E0710">
              <w:rPr>
                <w:rFonts w:ascii="Times New Roman" w:hAnsi="Times New Roman" w:cs="Times New Roman"/>
                <w:sz w:val="20"/>
                <w:szCs w:val="20"/>
                <w:lang w:val="en-GB"/>
              </w:rPr>
              <w:t xml:space="preserve">as feed is used </w:t>
            </w:r>
            <w:r w:rsidRPr="003E0710">
              <w:rPr>
                <w:rFonts w:ascii="Times New Roman" w:hAnsi="Times New Roman" w:cs="Times New Roman"/>
                <w:sz w:val="20"/>
                <w:szCs w:val="20"/>
                <w:lang w:val="en-GB"/>
              </w:rPr>
              <w:t>and nutrition management on biannual base, CH</w:t>
            </w:r>
            <w:r w:rsidRPr="003E0710">
              <w:rPr>
                <w:rFonts w:ascii="Times New Roman" w:hAnsi="Times New Roman" w:cs="Times New Roman"/>
                <w:sz w:val="20"/>
                <w:szCs w:val="20"/>
                <w:vertAlign w:val="subscript"/>
                <w:lang w:val="en-GB"/>
              </w:rPr>
              <w:t>4</w:t>
            </w:r>
            <w:r w:rsidRPr="003E0710">
              <w:rPr>
                <w:rFonts w:ascii="Times New Roman" w:hAnsi="Times New Roman" w:cs="Times New Roman"/>
                <w:sz w:val="20"/>
                <w:szCs w:val="20"/>
                <w:lang w:val="en-GB"/>
              </w:rPr>
              <w:t xml:space="preserve"> emissions reduction (Gg CO</w:t>
            </w:r>
            <w:r w:rsidRPr="003E0710">
              <w:rPr>
                <w:rFonts w:ascii="Times New Roman" w:hAnsi="Times New Roman" w:cs="Times New Roman"/>
                <w:sz w:val="20"/>
                <w:szCs w:val="20"/>
                <w:vertAlign w:val="subscript"/>
                <w:lang w:val="en-GB"/>
              </w:rPr>
              <w:t>2</w:t>
            </w:r>
            <w:r w:rsidRPr="003E0710">
              <w:rPr>
                <w:rFonts w:ascii="Times New Roman" w:hAnsi="Times New Roman" w:cs="Times New Roman"/>
                <w:sz w:val="20"/>
                <w:szCs w:val="20"/>
                <w:lang w:val="en-GB"/>
              </w:rPr>
              <w:t>-eq)</w:t>
            </w:r>
          </w:p>
        </w:tc>
      </w:tr>
      <w:tr w:rsidR="00614438" w:rsidRPr="003E0710" w14:paraId="1F1E6320" w14:textId="77777777" w:rsidTr="00614438">
        <w:trPr>
          <w:gridAfter w:val="1"/>
          <w:wAfter w:w="222" w:type="dxa"/>
          <w:trHeight w:val="470"/>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074CC40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88" w:type="dxa"/>
            <w:gridSpan w:val="3"/>
            <w:tcBorders>
              <w:top w:val="single" w:sz="8" w:space="0" w:color="auto"/>
              <w:left w:val="nil"/>
              <w:bottom w:val="single" w:sz="8" w:space="0" w:color="auto"/>
              <w:right w:val="single" w:sz="8" w:space="0" w:color="000000"/>
            </w:tcBorders>
            <w:vAlign w:val="center"/>
          </w:tcPr>
          <w:p w14:paraId="2708FEA9"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1290054" w14:textId="77777777" w:rsidTr="00614438">
        <w:trPr>
          <w:gridAfter w:val="1"/>
          <w:wAfter w:w="222" w:type="dxa"/>
          <w:trHeight w:val="458"/>
        </w:trPr>
        <w:tc>
          <w:tcPr>
            <w:tcW w:w="3270" w:type="dxa"/>
            <w:vMerge w:val="restart"/>
            <w:tcBorders>
              <w:top w:val="nil"/>
              <w:left w:val="single" w:sz="8" w:space="0" w:color="auto"/>
              <w:bottom w:val="single" w:sz="8" w:space="0" w:color="000000"/>
              <w:right w:val="single" w:sz="8" w:space="0" w:color="auto"/>
            </w:tcBorders>
            <w:shd w:val="clear" w:color="auto" w:fill="244062"/>
            <w:vAlign w:val="center"/>
            <w:hideMark/>
          </w:tcPr>
          <w:p w14:paraId="6BCD924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88"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4871647E" w14:textId="77777777" w:rsidR="00614438" w:rsidRPr="003E0710" w:rsidRDefault="00614438" w:rsidP="003E0710">
            <w:pPr>
              <w:numPr>
                <w:ilvl w:val="0"/>
                <w:numId w:val="33"/>
              </w:numPr>
              <w:spacing w:after="0"/>
              <w:jc w:val="both"/>
              <w:rPr>
                <w:rFonts w:ascii="Times New Roman" w:hAnsi="Times New Roman" w:cs="Times New Roman"/>
                <w:sz w:val="20"/>
                <w:szCs w:val="20"/>
              </w:rPr>
            </w:pPr>
            <w:r w:rsidRPr="003E0710">
              <w:rPr>
                <w:rFonts w:ascii="Times New Roman" w:hAnsi="Times New Roman" w:cs="Times New Roman"/>
                <w:sz w:val="20"/>
                <w:szCs w:val="20"/>
              </w:rPr>
              <w:t>Regulation 2018/1999</w:t>
            </w:r>
          </w:p>
        </w:tc>
      </w:tr>
      <w:tr w:rsidR="00614438" w:rsidRPr="003E0710" w14:paraId="0A16999A"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5CFE6617"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69F5673"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49C4484D"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1497EF69"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200F6471"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98CFF12"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01221BFA"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397DDB38" w14:textId="77777777" w:rsidTr="00614438">
        <w:trPr>
          <w:trHeight w:val="253"/>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23C83B5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88" w:type="dxa"/>
            <w:gridSpan w:val="3"/>
            <w:tcBorders>
              <w:top w:val="single" w:sz="8" w:space="0" w:color="auto"/>
              <w:left w:val="nil"/>
              <w:bottom w:val="single" w:sz="8" w:space="0" w:color="auto"/>
              <w:right w:val="single" w:sz="8" w:space="0" w:color="000000"/>
            </w:tcBorders>
            <w:vAlign w:val="center"/>
            <w:hideMark/>
          </w:tcPr>
          <w:p w14:paraId="5399D77B" w14:textId="77777777" w:rsidR="00614438" w:rsidRPr="003E0710" w:rsidRDefault="00614438" w:rsidP="003E0710">
            <w:pPr>
              <w:numPr>
                <w:ilvl w:val="0"/>
                <w:numId w:val="33"/>
              </w:numPr>
              <w:spacing w:after="0"/>
              <w:jc w:val="both"/>
              <w:rPr>
                <w:rFonts w:ascii="Times New Roman" w:hAnsi="Times New Roman" w:cs="Times New Roman"/>
                <w:sz w:val="20"/>
                <w:szCs w:val="20"/>
              </w:rPr>
            </w:pPr>
            <w:r w:rsidRPr="003E0710">
              <w:rPr>
                <w:rFonts w:ascii="Times New Roman" w:hAnsi="Times New Roman" w:cs="Times New Roman"/>
                <w:sz w:val="20"/>
                <w:szCs w:val="20"/>
              </w:rPr>
              <w:t>Low-carbon Development Strategy for the period 2023-2030 with projections until 2050</w:t>
            </w:r>
          </w:p>
        </w:tc>
        <w:tc>
          <w:tcPr>
            <w:tcW w:w="222" w:type="dxa"/>
            <w:vAlign w:val="center"/>
            <w:hideMark/>
          </w:tcPr>
          <w:p w14:paraId="4FEC5B78"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351CFBEF" w14:textId="77777777" w:rsidTr="00614438">
        <w:trPr>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2C4FB7E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88" w:type="dxa"/>
            <w:gridSpan w:val="3"/>
            <w:tcBorders>
              <w:top w:val="single" w:sz="8" w:space="0" w:color="auto"/>
              <w:left w:val="nil"/>
              <w:bottom w:val="single" w:sz="8" w:space="0" w:color="auto"/>
              <w:right w:val="single" w:sz="8" w:space="0" w:color="000000"/>
            </w:tcBorders>
            <w:vAlign w:val="center"/>
            <w:hideMark/>
          </w:tcPr>
          <w:p w14:paraId="094EFA7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0.5 M€</w:t>
            </w:r>
          </w:p>
        </w:tc>
        <w:tc>
          <w:tcPr>
            <w:tcW w:w="222" w:type="dxa"/>
            <w:vAlign w:val="center"/>
            <w:hideMark/>
          </w:tcPr>
          <w:p w14:paraId="35EBE0D4"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75E9AD19" w14:textId="77777777" w:rsidTr="00614438">
        <w:trPr>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33F9CE4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88" w:type="dxa"/>
            <w:gridSpan w:val="3"/>
            <w:tcBorders>
              <w:top w:val="single" w:sz="8" w:space="0" w:color="auto"/>
              <w:left w:val="nil"/>
              <w:bottom w:val="single" w:sz="8" w:space="0" w:color="auto"/>
              <w:right w:val="single" w:sz="8" w:space="0" w:color="000000"/>
            </w:tcBorders>
            <w:vAlign w:val="center"/>
            <w:hideMark/>
          </w:tcPr>
          <w:p w14:paraId="116B341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58BA15F8" w14:textId="77777777" w:rsidR="00614438" w:rsidRPr="003E0710" w:rsidRDefault="00614438" w:rsidP="003E0710">
            <w:pPr>
              <w:spacing w:after="0"/>
              <w:jc w:val="both"/>
              <w:rPr>
                <w:rFonts w:ascii="Times New Roman" w:hAnsi="Times New Roman" w:cs="Times New Roman"/>
                <w:sz w:val="20"/>
                <w:szCs w:val="20"/>
                <w:lang w:val="en-GB"/>
              </w:rPr>
            </w:pPr>
          </w:p>
        </w:tc>
      </w:tr>
    </w:tbl>
    <w:p w14:paraId="20A28867"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70"/>
        <w:gridCol w:w="1114"/>
        <w:gridCol w:w="934"/>
        <w:gridCol w:w="4140"/>
        <w:gridCol w:w="222"/>
      </w:tblGrid>
      <w:tr w:rsidR="00614438" w:rsidRPr="003E0710" w14:paraId="1847FBCB" w14:textId="77777777" w:rsidTr="00614438">
        <w:trPr>
          <w:gridAfter w:val="1"/>
          <w:wAfter w:w="222" w:type="dxa"/>
          <w:trHeight w:val="780"/>
        </w:trPr>
        <w:tc>
          <w:tcPr>
            <w:tcW w:w="3270"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165795B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1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3916323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PM_D11</w:t>
            </w:r>
          </w:p>
        </w:tc>
        <w:tc>
          <w:tcPr>
            <w:tcW w:w="934" w:type="dxa"/>
            <w:tcBorders>
              <w:top w:val="single" w:sz="8" w:space="0" w:color="auto"/>
              <w:left w:val="nil"/>
              <w:bottom w:val="single" w:sz="8" w:space="0" w:color="auto"/>
              <w:right w:val="single" w:sz="8" w:space="0" w:color="auto"/>
            </w:tcBorders>
            <w:shd w:val="clear" w:color="auto" w:fill="244062"/>
            <w:vAlign w:val="center"/>
            <w:hideMark/>
          </w:tcPr>
          <w:p w14:paraId="23923BE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140" w:type="dxa"/>
            <w:tcBorders>
              <w:top w:val="single" w:sz="8" w:space="0" w:color="auto"/>
              <w:left w:val="nil"/>
              <w:bottom w:val="single" w:sz="8" w:space="0" w:color="auto"/>
              <w:right w:val="single" w:sz="8" w:space="0" w:color="auto"/>
            </w:tcBorders>
            <w:shd w:val="clear" w:color="auto" w:fill="E7E6E6" w:themeFill="background2"/>
            <w:vAlign w:val="center"/>
            <w:hideMark/>
          </w:tcPr>
          <w:p w14:paraId="3C11F74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Improvement of manure management for the reduction of CH</w:t>
            </w:r>
            <w:r w:rsidRPr="003E0710">
              <w:rPr>
                <w:rFonts w:ascii="Times New Roman" w:hAnsi="Times New Roman" w:cs="Times New Roman"/>
                <w:sz w:val="20"/>
                <w:szCs w:val="20"/>
                <w:vertAlign w:val="subscript"/>
                <w:lang w:val="en-GB"/>
              </w:rPr>
              <w:t>4</w:t>
            </w:r>
            <w:r w:rsidRPr="003E0710">
              <w:rPr>
                <w:rFonts w:ascii="Times New Roman" w:hAnsi="Times New Roman" w:cs="Times New Roman"/>
                <w:sz w:val="20"/>
                <w:szCs w:val="20"/>
                <w:lang w:val="en-GB"/>
              </w:rPr>
              <w:t xml:space="preserve"> and N</w:t>
            </w:r>
            <w:r w:rsidRPr="003E0710">
              <w:rPr>
                <w:rFonts w:ascii="Times New Roman" w:hAnsi="Times New Roman" w:cs="Times New Roman"/>
                <w:sz w:val="20"/>
                <w:szCs w:val="20"/>
                <w:vertAlign w:val="subscript"/>
                <w:lang w:val="en-GB"/>
              </w:rPr>
              <w:t>2</w:t>
            </w:r>
            <w:r w:rsidRPr="003E0710">
              <w:rPr>
                <w:rFonts w:ascii="Times New Roman" w:hAnsi="Times New Roman" w:cs="Times New Roman"/>
                <w:sz w:val="20"/>
                <w:szCs w:val="20"/>
                <w:lang w:val="en-GB"/>
              </w:rPr>
              <w:t>O emissions</w:t>
            </w:r>
          </w:p>
        </w:tc>
      </w:tr>
      <w:tr w:rsidR="00614438" w:rsidRPr="003E0710" w14:paraId="0B4C821F" w14:textId="77777777" w:rsidTr="00614438">
        <w:trPr>
          <w:gridAfter w:val="1"/>
          <w:wAfter w:w="222" w:type="dxa"/>
          <w:trHeight w:val="271"/>
        </w:trPr>
        <w:tc>
          <w:tcPr>
            <w:tcW w:w="3270" w:type="dxa"/>
            <w:tcBorders>
              <w:top w:val="nil"/>
              <w:left w:val="single" w:sz="8" w:space="0" w:color="auto"/>
              <w:bottom w:val="single" w:sz="8" w:space="0" w:color="auto"/>
              <w:right w:val="nil"/>
            </w:tcBorders>
            <w:shd w:val="clear" w:color="auto" w:fill="244062"/>
            <w:vAlign w:val="center"/>
            <w:hideMark/>
          </w:tcPr>
          <w:p w14:paraId="1C93598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88" w:type="dxa"/>
            <w:gridSpan w:val="3"/>
            <w:tcBorders>
              <w:top w:val="single" w:sz="8" w:space="0" w:color="auto"/>
              <w:left w:val="nil"/>
              <w:bottom w:val="single" w:sz="8" w:space="0" w:color="auto"/>
              <w:right w:val="single" w:sz="8" w:space="0" w:color="000000"/>
            </w:tcBorders>
            <w:vAlign w:val="center"/>
            <w:hideMark/>
          </w:tcPr>
          <w:p w14:paraId="5BDEBED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 CH</w:t>
            </w:r>
            <w:r w:rsidRPr="003E0710">
              <w:rPr>
                <w:rFonts w:ascii="Times New Roman" w:hAnsi="Times New Roman" w:cs="Times New Roman"/>
                <w:sz w:val="20"/>
                <w:szCs w:val="20"/>
                <w:vertAlign w:val="subscript"/>
                <w:lang w:val="en-GB"/>
              </w:rPr>
              <w:t xml:space="preserve">4 </w:t>
            </w:r>
            <w:r w:rsidRPr="003E0710">
              <w:rPr>
                <w:rFonts w:ascii="Times New Roman" w:hAnsi="Times New Roman" w:cs="Times New Roman"/>
                <w:sz w:val="20"/>
                <w:szCs w:val="20"/>
                <w:lang w:val="en-GB"/>
              </w:rPr>
              <w:t>and N</w:t>
            </w:r>
            <w:r w:rsidRPr="003E0710">
              <w:rPr>
                <w:rFonts w:ascii="Times New Roman" w:hAnsi="Times New Roman" w:cs="Times New Roman"/>
                <w:sz w:val="20"/>
                <w:szCs w:val="20"/>
                <w:vertAlign w:val="subscript"/>
                <w:lang w:val="en-GB"/>
              </w:rPr>
              <w:t>2</w:t>
            </w:r>
            <w:r w:rsidRPr="003E0710">
              <w:rPr>
                <w:rFonts w:ascii="Times New Roman" w:hAnsi="Times New Roman" w:cs="Times New Roman"/>
                <w:sz w:val="20"/>
                <w:szCs w:val="20"/>
                <w:lang w:val="en-GB"/>
              </w:rPr>
              <w:t>O emissions reduction</w:t>
            </w:r>
          </w:p>
        </w:tc>
      </w:tr>
      <w:tr w:rsidR="00614438" w:rsidRPr="003E0710" w14:paraId="573CB2A5" w14:textId="77777777" w:rsidTr="00614438">
        <w:trPr>
          <w:gridAfter w:val="1"/>
          <w:wAfter w:w="222" w:type="dxa"/>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1128995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88" w:type="dxa"/>
            <w:gridSpan w:val="3"/>
            <w:tcBorders>
              <w:top w:val="single" w:sz="8" w:space="0" w:color="auto"/>
              <w:left w:val="nil"/>
              <w:bottom w:val="single" w:sz="8" w:space="0" w:color="auto"/>
              <w:right w:val="single" w:sz="8" w:space="0" w:color="000000"/>
            </w:tcBorders>
            <w:vAlign w:val="center"/>
            <w:hideMark/>
          </w:tcPr>
          <w:p w14:paraId="5D8F22F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Contribution to the objective of reduction of GHG emissions by 40.3% (with LULUCF) by 2030 compared to 1990 levels</w:t>
            </w:r>
          </w:p>
        </w:tc>
      </w:tr>
      <w:tr w:rsidR="00614438" w:rsidRPr="003E0710" w14:paraId="284B99BF" w14:textId="77777777" w:rsidTr="00614438">
        <w:trPr>
          <w:gridAfter w:val="1"/>
          <w:wAfter w:w="222" w:type="dxa"/>
          <w:trHeight w:val="443"/>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4E9E532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88" w:type="dxa"/>
            <w:gridSpan w:val="3"/>
            <w:tcBorders>
              <w:top w:val="single" w:sz="8" w:space="0" w:color="auto"/>
              <w:left w:val="nil"/>
              <w:bottom w:val="single" w:sz="8" w:space="0" w:color="auto"/>
              <w:right w:val="single" w:sz="8" w:space="0" w:color="000000"/>
            </w:tcBorders>
            <w:vAlign w:val="center"/>
            <w:hideMark/>
          </w:tcPr>
          <w:p w14:paraId="2AE82E7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PM_D11 will facilitate the reduction of both CH</w:t>
            </w:r>
            <w:r w:rsidRPr="003E0710">
              <w:rPr>
                <w:rFonts w:ascii="Times New Roman" w:hAnsi="Times New Roman" w:cs="Times New Roman"/>
                <w:sz w:val="20"/>
                <w:szCs w:val="20"/>
                <w:vertAlign w:val="subscript"/>
                <w:lang w:val="en-GB"/>
              </w:rPr>
              <w:t>4</w:t>
            </w:r>
            <w:r w:rsidR="007A68CC" w:rsidRPr="003E0710">
              <w:rPr>
                <w:rFonts w:ascii="Times New Roman" w:hAnsi="Times New Roman" w:cs="Times New Roman"/>
                <w:sz w:val="20"/>
                <w:szCs w:val="20"/>
                <w:vertAlign w:val="subscript"/>
                <w:lang w:val="en-GB"/>
              </w:rPr>
              <w:t xml:space="preserve"> </w:t>
            </w:r>
            <w:r w:rsidRPr="003E0710">
              <w:rPr>
                <w:rFonts w:ascii="Times New Roman" w:hAnsi="Times New Roman" w:cs="Times New Roman"/>
                <w:sz w:val="20"/>
                <w:szCs w:val="20"/>
                <w:lang w:val="en-GB"/>
              </w:rPr>
              <w:t>and indirect nitrous oxide (N</w:t>
            </w:r>
            <w:r w:rsidRPr="003E0710">
              <w:rPr>
                <w:rFonts w:ascii="Times New Roman" w:hAnsi="Times New Roman" w:cs="Times New Roman"/>
                <w:sz w:val="20"/>
                <w:szCs w:val="20"/>
                <w:vertAlign w:val="subscript"/>
                <w:lang w:val="en-GB"/>
              </w:rPr>
              <w:t>2</w:t>
            </w:r>
            <w:r w:rsidRPr="003E0710">
              <w:rPr>
                <w:rFonts w:ascii="Times New Roman" w:hAnsi="Times New Roman" w:cs="Times New Roman"/>
                <w:sz w:val="20"/>
                <w:szCs w:val="20"/>
                <w:lang w:val="en-GB"/>
              </w:rPr>
              <w:t>O) emissions through the improvement of manure management by anaerobic digestion.</w:t>
            </w:r>
          </w:p>
        </w:tc>
      </w:tr>
      <w:tr w:rsidR="00614438" w:rsidRPr="003E0710" w14:paraId="3B02837F" w14:textId="77777777" w:rsidTr="00614438">
        <w:trPr>
          <w:gridAfter w:val="1"/>
          <w:wAfter w:w="222" w:type="dxa"/>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7755FA4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88" w:type="dxa"/>
            <w:gridSpan w:val="3"/>
            <w:tcBorders>
              <w:top w:val="single" w:sz="8" w:space="0" w:color="auto"/>
              <w:left w:val="nil"/>
              <w:bottom w:val="single" w:sz="8" w:space="0" w:color="auto"/>
              <w:right w:val="single" w:sz="8" w:space="0" w:color="000000"/>
            </w:tcBorders>
            <w:vAlign w:val="center"/>
            <w:hideMark/>
          </w:tcPr>
          <w:p w14:paraId="386FFB2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2024-2030</w:t>
            </w:r>
          </w:p>
        </w:tc>
      </w:tr>
      <w:tr w:rsidR="00614438" w:rsidRPr="003E0710" w14:paraId="35A43396" w14:textId="77777777" w:rsidTr="00614438">
        <w:trPr>
          <w:gridAfter w:val="1"/>
          <w:wAfter w:w="222" w:type="dxa"/>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6A7B7CC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Type of measure</w:t>
            </w:r>
          </w:p>
        </w:tc>
        <w:tc>
          <w:tcPr>
            <w:tcW w:w="6188" w:type="dxa"/>
            <w:gridSpan w:val="3"/>
            <w:tcBorders>
              <w:top w:val="single" w:sz="8" w:space="0" w:color="auto"/>
              <w:left w:val="nil"/>
              <w:bottom w:val="single" w:sz="8" w:space="0" w:color="auto"/>
              <w:right w:val="single" w:sz="8" w:space="0" w:color="000000"/>
            </w:tcBorders>
            <w:vAlign w:val="center"/>
            <w:hideMark/>
          </w:tcPr>
          <w:p w14:paraId="1E6F79E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w:t>
            </w:r>
          </w:p>
        </w:tc>
      </w:tr>
      <w:tr w:rsidR="00614438" w:rsidRPr="003E0710" w14:paraId="3ECDE0D4" w14:textId="77777777" w:rsidTr="00614438">
        <w:trPr>
          <w:gridAfter w:val="1"/>
          <w:wAfter w:w="222" w:type="dxa"/>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775BE2D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88" w:type="dxa"/>
            <w:gridSpan w:val="3"/>
            <w:tcBorders>
              <w:top w:val="single" w:sz="8" w:space="0" w:color="auto"/>
              <w:left w:val="nil"/>
              <w:bottom w:val="single" w:sz="8" w:space="0" w:color="auto"/>
              <w:right w:val="single" w:sz="8" w:space="0" w:color="000000"/>
            </w:tcBorders>
            <w:vAlign w:val="center"/>
            <w:hideMark/>
          </w:tcPr>
          <w:p w14:paraId="1B19909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Agriculture and LULUCF</w:t>
            </w:r>
          </w:p>
        </w:tc>
      </w:tr>
      <w:tr w:rsidR="00614438" w:rsidRPr="003E0710" w14:paraId="7835F5EF" w14:textId="77777777" w:rsidTr="00614438">
        <w:trPr>
          <w:gridAfter w:val="1"/>
          <w:wAfter w:w="222" w:type="dxa"/>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7B37004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88" w:type="dxa"/>
            <w:gridSpan w:val="3"/>
            <w:tcBorders>
              <w:top w:val="single" w:sz="8" w:space="0" w:color="auto"/>
              <w:left w:val="nil"/>
              <w:bottom w:val="single" w:sz="8" w:space="0" w:color="auto"/>
              <w:right w:val="single" w:sz="8" w:space="0" w:color="000000"/>
            </w:tcBorders>
            <w:vAlign w:val="center"/>
            <w:hideMark/>
          </w:tcPr>
          <w:p w14:paraId="081286C7" w14:textId="77777777" w:rsidR="00614438" w:rsidRPr="003E0710" w:rsidRDefault="00614438" w:rsidP="003E0710">
            <w:pPr>
              <w:numPr>
                <w:ilvl w:val="0"/>
                <w:numId w:val="35"/>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for Agriculture, Forestry and Water Management</w:t>
            </w:r>
          </w:p>
          <w:p w14:paraId="49C931D2" w14:textId="77777777" w:rsidR="00614438" w:rsidRPr="003E0710" w:rsidRDefault="00614438" w:rsidP="003E0710">
            <w:pPr>
              <w:numPr>
                <w:ilvl w:val="0"/>
                <w:numId w:val="35"/>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Directorate for Agrarian payments</w:t>
            </w:r>
          </w:p>
          <w:p w14:paraId="4689219A" w14:textId="77777777" w:rsidR="00614438" w:rsidRPr="003E0710" w:rsidRDefault="00614438" w:rsidP="003E0710">
            <w:pPr>
              <w:numPr>
                <w:ilvl w:val="0"/>
                <w:numId w:val="35"/>
              </w:numPr>
              <w:spacing w:after="0"/>
              <w:jc w:val="both"/>
              <w:rPr>
                <w:rFonts w:ascii="Times New Roman" w:hAnsi="Times New Roman" w:cs="Times New Roman"/>
                <w:sz w:val="20"/>
                <w:szCs w:val="20"/>
              </w:rPr>
            </w:pPr>
            <w:r w:rsidRPr="003E0710">
              <w:rPr>
                <w:rFonts w:ascii="Times New Roman" w:hAnsi="Times New Roman" w:cs="Times New Roman"/>
                <w:sz w:val="20"/>
                <w:szCs w:val="20"/>
              </w:rPr>
              <w:t>Veterinary Directorate</w:t>
            </w:r>
          </w:p>
          <w:p w14:paraId="15DAE265" w14:textId="77777777" w:rsidR="00614438" w:rsidRPr="003E0710" w:rsidRDefault="00614438" w:rsidP="003E0710">
            <w:pPr>
              <w:numPr>
                <w:ilvl w:val="0"/>
                <w:numId w:val="35"/>
              </w:numPr>
              <w:spacing w:after="0"/>
              <w:jc w:val="both"/>
              <w:rPr>
                <w:rFonts w:ascii="Times New Roman" w:hAnsi="Times New Roman" w:cs="Times New Roman"/>
                <w:sz w:val="20"/>
                <w:szCs w:val="20"/>
              </w:rPr>
            </w:pPr>
            <w:r w:rsidRPr="003E0710">
              <w:rPr>
                <w:rFonts w:ascii="Times New Roman" w:hAnsi="Times New Roman" w:cs="Times New Roman"/>
                <w:sz w:val="20"/>
                <w:szCs w:val="20"/>
              </w:rPr>
              <w:t>Chamber of Commerce</w:t>
            </w:r>
            <w:r w:rsidR="00754CA6" w:rsidRPr="003E0710">
              <w:rPr>
                <w:rFonts w:ascii="Times New Roman" w:hAnsi="Times New Roman" w:cs="Times New Roman"/>
                <w:sz w:val="20"/>
                <w:szCs w:val="20"/>
              </w:rPr>
              <w:t xml:space="preserve"> and Industry</w:t>
            </w:r>
          </w:p>
          <w:p w14:paraId="092C012E" w14:textId="77777777" w:rsidR="00614438" w:rsidRPr="003E0710" w:rsidRDefault="00614438" w:rsidP="003E0710">
            <w:pPr>
              <w:numPr>
                <w:ilvl w:val="0"/>
                <w:numId w:val="35"/>
              </w:numPr>
              <w:spacing w:after="0"/>
              <w:jc w:val="both"/>
              <w:rPr>
                <w:rFonts w:ascii="Times New Roman" w:hAnsi="Times New Roman" w:cs="Times New Roman"/>
                <w:sz w:val="20"/>
                <w:szCs w:val="20"/>
              </w:rPr>
            </w:pPr>
            <w:r w:rsidRPr="003E0710">
              <w:rPr>
                <w:rFonts w:ascii="Times New Roman" w:hAnsi="Times New Roman" w:cs="Times New Roman"/>
                <w:sz w:val="20"/>
                <w:szCs w:val="20"/>
              </w:rPr>
              <w:t>Research institut</w:t>
            </w:r>
            <w:r w:rsidR="00874BB8" w:rsidRPr="003E0710">
              <w:rPr>
                <w:rFonts w:ascii="Times New Roman" w:hAnsi="Times New Roman" w:cs="Times New Roman"/>
                <w:sz w:val="20"/>
                <w:szCs w:val="20"/>
              </w:rPr>
              <w:t>e</w:t>
            </w:r>
            <w:r w:rsidRPr="003E0710">
              <w:rPr>
                <w:rFonts w:ascii="Times New Roman" w:hAnsi="Times New Roman" w:cs="Times New Roman"/>
                <w:sz w:val="20"/>
                <w:szCs w:val="20"/>
              </w:rPr>
              <w:t>s</w:t>
            </w:r>
          </w:p>
        </w:tc>
      </w:tr>
      <w:tr w:rsidR="00614438" w:rsidRPr="003E0710" w14:paraId="7A503492" w14:textId="77777777" w:rsidTr="00614438">
        <w:trPr>
          <w:gridAfter w:val="1"/>
          <w:wAfter w:w="222" w:type="dxa"/>
          <w:trHeight w:val="315"/>
        </w:trPr>
        <w:tc>
          <w:tcPr>
            <w:tcW w:w="3270" w:type="dxa"/>
            <w:tcBorders>
              <w:top w:val="nil"/>
              <w:left w:val="single" w:sz="8" w:space="0" w:color="auto"/>
              <w:bottom w:val="single" w:sz="8" w:space="0" w:color="auto"/>
              <w:right w:val="nil"/>
            </w:tcBorders>
            <w:shd w:val="clear" w:color="auto" w:fill="244062"/>
            <w:vAlign w:val="center"/>
            <w:hideMark/>
          </w:tcPr>
          <w:p w14:paraId="4928C2D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88" w:type="dxa"/>
            <w:gridSpan w:val="3"/>
            <w:tcBorders>
              <w:top w:val="single" w:sz="8" w:space="0" w:color="auto"/>
              <w:left w:val="nil"/>
              <w:bottom w:val="single" w:sz="8" w:space="0" w:color="auto"/>
              <w:right w:val="single" w:sz="8" w:space="0" w:color="000000"/>
            </w:tcBorders>
            <w:vAlign w:val="center"/>
            <w:hideMark/>
          </w:tcPr>
          <w:p w14:paraId="3BC6A278" w14:textId="77777777" w:rsidR="00614438" w:rsidRPr="003E0710" w:rsidRDefault="00614438" w:rsidP="003E0710">
            <w:pPr>
              <w:numPr>
                <w:ilvl w:val="0"/>
                <w:numId w:val="35"/>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Environmental Protection</w:t>
            </w:r>
          </w:p>
          <w:p w14:paraId="4E53A791" w14:textId="77777777" w:rsidR="00614438" w:rsidRPr="003E0710" w:rsidRDefault="00614438" w:rsidP="003E0710">
            <w:pPr>
              <w:numPr>
                <w:ilvl w:val="0"/>
                <w:numId w:val="35"/>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for Agriculture, Forestry and Water Management</w:t>
            </w:r>
          </w:p>
        </w:tc>
      </w:tr>
      <w:tr w:rsidR="00614438" w:rsidRPr="003E0710" w14:paraId="13A3DBA7" w14:textId="77777777" w:rsidTr="00614438">
        <w:trPr>
          <w:gridAfter w:val="1"/>
          <w:wAfter w:w="222" w:type="dxa"/>
          <w:trHeight w:val="315"/>
        </w:trPr>
        <w:tc>
          <w:tcPr>
            <w:tcW w:w="3270" w:type="dxa"/>
            <w:tcBorders>
              <w:top w:val="nil"/>
              <w:left w:val="single" w:sz="8" w:space="0" w:color="auto"/>
              <w:bottom w:val="single" w:sz="8" w:space="0" w:color="auto"/>
              <w:right w:val="nil"/>
            </w:tcBorders>
            <w:shd w:val="clear" w:color="auto" w:fill="244062"/>
            <w:vAlign w:val="center"/>
            <w:hideMark/>
          </w:tcPr>
          <w:p w14:paraId="71FDCF8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88" w:type="dxa"/>
            <w:gridSpan w:val="3"/>
            <w:tcBorders>
              <w:top w:val="single" w:sz="8" w:space="0" w:color="auto"/>
              <w:left w:val="nil"/>
              <w:bottom w:val="single" w:sz="8" w:space="0" w:color="auto"/>
              <w:right w:val="single" w:sz="8" w:space="0" w:color="000000"/>
            </w:tcBorders>
            <w:vAlign w:val="center"/>
            <w:hideMark/>
          </w:tcPr>
          <w:p w14:paraId="310E7B7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Number of farms (dairy cows and other animals as a percentage of the total population) </w:t>
            </w:r>
            <w:r w:rsidR="00874BB8" w:rsidRPr="003E0710">
              <w:rPr>
                <w:rFonts w:ascii="Times New Roman" w:hAnsi="Times New Roman" w:cs="Times New Roman"/>
                <w:sz w:val="20"/>
                <w:szCs w:val="20"/>
                <w:lang w:val="en-GB"/>
              </w:rPr>
              <w:t xml:space="preserve">on which </w:t>
            </w:r>
            <w:r w:rsidRPr="003E0710">
              <w:rPr>
                <w:rFonts w:ascii="Times New Roman" w:hAnsi="Times New Roman" w:cs="Times New Roman"/>
                <w:sz w:val="20"/>
                <w:szCs w:val="20"/>
                <w:lang w:val="en-GB"/>
              </w:rPr>
              <w:t xml:space="preserve">modified manure management on </w:t>
            </w:r>
            <w:r w:rsidR="00874BB8" w:rsidRPr="003E0710">
              <w:rPr>
                <w:rFonts w:ascii="Times New Roman" w:hAnsi="Times New Roman" w:cs="Times New Roman"/>
                <w:sz w:val="20"/>
                <w:szCs w:val="20"/>
                <w:lang w:val="en-GB"/>
              </w:rPr>
              <w:t xml:space="preserve">a </w:t>
            </w:r>
            <w:r w:rsidRPr="003E0710">
              <w:rPr>
                <w:rFonts w:ascii="Times New Roman" w:hAnsi="Times New Roman" w:cs="Times New Roman"/>
                <w:sz w:val="20"/>
                <w:szCs w:val="20"/>
                <w:lang w:val="en-GB"/>
              </w:rPr>
              <w:t>2-5 years base</w:t>
            </w:r>
            <w:r w:rsidR="00874BB8" w:rsidRPr="003E0710">
              <w:rPr>
                <w:rFonts w:ascii="Times New Roman" w:hAnsi="Times New Roman" w:cs="Times New Roman"/>
                <w:sz w:val="20"/>
                <w:szCs w:val="20"/>
                <w:lang w:val="en-GB"/>
              </w:rPr>
              <w:t xml:space="preserve"> is implemented</w:t>
            </w:r>
            <w:r w:rsidRPr="003E0710">
              <w:rPr>
                <w:rFonts w:ascii="Times New Roman" w:hAnsi="Times New Roman" w:cs="Times New Roman"/>
                <w:sz w:val="20"/>
                <w:szCs w:val="20"/>
                <w:lang w:val="en-GB"/>
              </w:rPr>
              <w:t>, CH</w:t>
            </w:r>
            <w:r w:rsidRPr="003E0710">
              <w:rPr>
                <w:rFonts w:ascii="Times New Roman" w:hAnsi="Times New Roman" w:cs="Times New Roman"/>
                <w:sz w:val="20"/>
                <w:szCs w:val="20"/>
                <w:vertAlign w:val="subscript"/>
                <w:lang w:val="en-GB"/>
              </w:rPr>
              <w:t>4</w:t>
            </w:r>
            <w:r w:rsidRPr="003E0710">
              <w:rPr>
                <w:rFonts w:ascii="Times New Roman" w:hAnsi="Times New Roman" w:cs="Times New Roman"/>
                <w:sz w:val="20"/>
                <w:szCs w:val="20"/>
                <w:lang w:val="en-GB"/>
              </w:rPr>
              <w:t xml:space="preserve"> and N</w:t>
            </w:r>
            <w:r w:rsidRPr="003E0710">
              <w:rPr>
                <w:rFonts w:ascii="Times New Roman" w:hAnsi="Times New Roman" w:cs="Times New Roman"/>
                <w:sz w:val="20"/>
                <w:szCs w:val="20"/>
                <w:vertAlign w:val="subscript"/>
                <w:lang w:val="en-GB"/>
              </w:rPr>
              <w:t>2</w:t>
            </w:r>
            <w:r w:rsidRPr="003E0710">
              <w:rPr>
                <w:rFonts w:ascii="Times New Roman" w:hAnsi="Times New Roman" w:cs="Times New Roman"/>
                <w:sz w:val="20"/>
                <w:szCs w:val="20"/>
                <w:lang w:val="en-GB"/>
              </w:rPr>
              <w:t>O</w:t>
            </w:r>
            <w:r w:rsidR="00874BB8" w:rsidRPr="003E0710">
              <w:rPr>
                <w:rFonts w:ascii="Times New Roman" w:hAnsi="Times New Roman" w:cs="Times New Roman"/>
                <w:sz w:val="20"/>
                <w:szCs w:val="20"/>
                <w:lang w:val="en-GB"/>
              </w:rPr>
              <w:t xml:space="preserve"> </w:t>
            </w:r>
            <w:r w:rsidRPr="003E0710">
              <w:rPr>
                <w:rFonts w:ascii="Times New Roman" w:hAnsi="Times New Roman" w:cs="Times New Roman"/>
                <w:sz w:val="20"/>
                <w:szCs w:val="20"/>
                <w:lang w:val="en-GB"/>
              </w:rPr>
              <w:t>emissions reduction (Gg CO</w:t>
            </w:r>
            <w:r w:rsidRPr="003E0710">
              <w:rPr>
                <w:rFonts w:ascii="Times New Roman" w:hAnsi="Times New Roman" w:cs="Times New Roman"/>
                <w:sz w:val="20"/>
                <w:szCs w:val="20"/>
                <w:vertAlign w:val="subscript"/>
                <w:lang w:val="en-GB"/>
              </w:rPr>
              <w:t>2</w:t>
            </w:r>
            <w:r w:rsidRPr="003E0710">
              <w:rPr>
                <w:rFonts w:ascii="Times New Roman" w:hAnsi="Times New Roman" w:cs="Times New Roman"/>
                <w:sz w:val="20"/>
                <w:szCs w:val="20"/>
                <w:lang w:val="en-GB"/>
              </w:rPr>
              <w:t>-eq) </w:t>
            </w:r>
          </w:p>
        </w:tc>
      </w:tr>
      <w:tr w:rsidR="00614438" w:rsidRPr="003E0710" w14:paraId="524F35CA" w14:textId="77777777" w:rsidTr="00614438">
        <w:trPr>
          <w:gridAfter w:val="1"/>
          <w:wAfter w:w="222" w:type="dxa"/>
          <w:trHeight w:val="391"/>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102E517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88" w:type="dxa"/>
            <w:gridSpan w:val="3"/>
            <w:tcBorders>
              <w:top w:val="single" w:sz="8" w:space="0" w:color="auto"/>
              <w:left w:val="nil"/>
              <w:bottom w:val="single" w:sz="8" w:space="0" w:color="auto"/>
              <w:right w:val="single" w:sz="8" w:space="0" w:color="000000"/>
            </w:tcBorders>
            <w:vAlign w:val="center"/>
          </w:tcPr>
          <w:p w14:paraId="5BF7F3C2"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5669DADF" w14:textId="77777777" w:rsidTr="00614438">
        <w:trPr>
          <w:gridAfter w:val="1"/>
          <w:wAfter w:w="222" w:type="dxa"/>
          <w:trHeight w:val="458"/>
        </w:trPr>
        <w:tc>
          <w:tcPr>
            <w:tcW w:w="3270" w:type="dxa"/>
            <w:vMerge w:val="restart"/>
            <w:tcBorders>
              <w:top w:val="nil"/>
              <w:left w:val="single" w:sz="8" w:space="0" w:color="auto"/>
              <w:bottom w:val="single" w:sz="8" w:space="0" w:color="000000"/>
              <w:right w:val="single" w:sz="8" w:space="0" w:color="auto"/>
            </w:tcBorders>
            <w:shd w:val="clear" w:color="auto" w:fill="244062"/>
            <w:vAlign w:val="center"/>
            <w:hideMark/>
          </w:tcPr>
          <w:p w14:paraId="43CF57D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88"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04694ADE" w14:textId="77777777" w:rsidR="00614438" w:rsidRPr="003E0710" w:rsidRDefault="00614438" w:rsidP="003E0710">
            <w:pPr>
              <w:numPr>
                <w:ilvl w:val="0"/>
                <w:numId w:val="36"/>
              </w:numPr>
              <w:spacing w:after="0"/>
              <w:jc w:val="both"/>
              <w:rPr>
                <w:rFonts w:ascii="Times New Roman" w:hAnsi="Times New Roman" w:cs="Times New Roman"/>
                <w:sz w:val="20"/>
                <w:szCs w:val="20"/>
              </w:rPr>
            </w:pPr>
            <w:r w:rsidRPr="003E0710">
              <w:rPr>
                <w:rFonts w:ascii="Times New Roman" w:hAnsi="Times New Roman" w:cs="Times New Roman"/>
                <w:sz w:val="20"/>
                <w:szCs w:val="20"/>
              </w:rPr>
              <w:t>Regulation 2018/1999</w:t>
            </w:r>
          </w:p>
        </w:tc>
      </w:tr>
      <w:tr w:rsidR="00614438" w:rsidRPr="003E0710" w14:paraId="59CAAC83"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35FE8E01"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19A92E9"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2202A041"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287CEB5"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4F490D32"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08C1307"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58C2C18B"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640C8541" w14:textId="77777777" w:rsidTr="00614438">
        <w:trPr>
          <w:trHeight w:val="283"/>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6F11CE1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88" w:type="dxa"/>
            <w:gridSpan w:val="3"/>
            <w:tcBorders>
              <w:top w:val="single" w:sz="8" w:space="0" w:color="auto"/>
              <w:left w:val="nil"/>
              <w:bottom w:val="single" w:sz="8" w:space="0" w:color="auto"/>
              <w:right w:val="single" w:sz="8" w:space="0" w:color="000000"/>
            </w:tcBorders>
            <w:vAlign w:val="center"/>
            <w:hideMark/>
          </w:tcPr>
          <w:p w14:paraId="191C4E7B" w14:textId="77777777" w:rsidR="00614438" w:rsidRPr="003E0710" w:rsidRDefault="00614438" w:rsidP="003E0710">
            <w:pPr>
              <w:numPr>
                <w:ilvl w:val="0"/>
                <w:numId w:val="36"/>
              </w:numPr>
              <w:spacing w:after="0"/>
              <w:jc w:val="both"/>
              <w:rPr>
                <w:rFonts w:ascii="Times New Roman" w:hAnsi="Times New Roman" w:cs="Times New Roman"/>
                <w:sz w:val="20"/>
                <w:szCs w:val="20"/>
              </w:rPr>
            </w:pPr>
            <w:r w:rsidRPr="003E0710">
              <w:rPr>
                <w:rFonts w:ascii="Times New Roman" w:hAnsi="Times New Roman" w:cs="Times New Roman"/>
                <w:sz w:val="20"/>
                <w:szCs w:val="20"/>
              </w:rPr>
              <w:t>Low-carbon Development Strategy for the period 2023-2030 with projections until 2050</w:t>
            </w:r>
          </w:p>
        </w:tc>
        <w:tc>
          <w:tcPr>
            <w:tcW w:w="222" w:type="dxa"/>
            <w:vAlign w:val="center"/>
            <w:hideMark/>
          </w:tcPr>
          <w:p w14:paraId="6DFB7D8D"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53A1C0A1" w14:textId="77777777" w:rsidTr="00614438">
        <w:trPr>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4F60F25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88" w:type="dxa"/>
            <w:gridSpan w:val="3"/>
            <w:tcBorders>
              <w:top w:val="single" w:sz="8" w:space="0" w:color="auto"/>
              <w:left w:val="nil"/>
              <w:bottom w:val="single" w:sz="8" w:space="0" w:color="auto"/>
              <w:right w:val="single" w:sz="8" w:space="0" w:color="000000"/>
            </w:tcBorders>
            <w:vAlign w:val="center"/>
            <w:hideMark/>
          </w:tcPr>
          <w:p w14:paraId="553DEAB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9 M€</w:t>
            </w:r>
          </w:p>
        </w:tc>
        <w:tc>
          <w:tcPr>
            <w:tcW w:w="222" w:type="dxa"/>
            <w:vAlign w:val="center"/>
            <w:hideMark/>
          </w:tcPr>
          <w:p w14:paraId="43634D85"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6B9F483" w14:textId="77777777" w:rsidTr="00614438">
        <w:trPr>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7F67CE1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88" w:type="dxa"/>
            <w:gridSpan w:val="3"/>
            <w:tcBorders>
              <w:top w:val="single" w:sz="8" w:space="0" w:color="auto"/>
              <w:left w:val="nil"/>
              <w:bottom w:val="single" w:sz="8" w:space="0" w:color="auto"/>
              <w:right w:val="single" w:sz="8" w:space="0" w:color="000000"/>
            </w:tcBorders>
            <w:vAlign w:val="center"/>
            <w:hideMark/>
          </w:tcPr>
          <w:p w14:paraId="4C5AD80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541F101C" w14:textId="77777777" w:rsidR="00614438" w:rsidRPr="003E0710" w:rsidRDefault="00614438" w:rsidP="003E0710">
            <w:pPr>
              <w:spacing w:after="0"/>
              <w:jc w:val="both"/>
              <w:rPr>
                <w:rFonts w:ascii="Times New Roman" w:hAnsi="Times New Roman" w:cs="Times New Roman"/>
                <w:sz w:val="20"/>
                <w:szCs w:val="20"/>
                <w:lang w:val="en-GB"/>
              </w:rPr>
            </w:pPr>
          </w:p>
        </w:tc>
      </w:tr>
    </w:tbl>
    <w:p w14:paraId="66E62678"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77"/>
        <w:gridCol w:w="1114"/>
        <w:gridCol w:w="936"/>
        <w:gridCol w:w="4131"/>
        <w:gridCol w:w="222"/>
      </w:tblGrid>
      <w:tr w:rsidR="00614438" w:rsidRPr="003E0710" w14:paraId="7FCC670B" w14:textId="77777777" w:rsidTr="00614438">
        <w:trPr>
          <w:gridAfter w:val="1"/>
          <w:wAfter w:w="222" w:type="dxa"/>
          <w:trHeight w:val="780"/>
        </w:trPr>
        <w:tc>
          <w:tcPr>
            <w:tcW w:w="327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65EC47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1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1CA451F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PM_D12</w:t>
            </w:r>
          </w:p>
        </w:tc>
        <w:tc>
          <w:tcPr>
            <w:tcW w:w="936" w:type="dxa"/>
            <w:tcBorders>
              <w:top w:val="single" w:sz="8" w:space="0" w:color="auto"/>
              <w:left w:val="nil"/>
              <w:bottom w:val="single" w:sz="8" w:space="0" w:color="auto"/>
              <w:right w:val="single" w:sz="8" w:space="0" w:color="auto"/>
            </w:tcBorders>
            <w:shd w:val="clear" w:color="auto" w:fill="244062"/>
            <w:vAlign w:val="center"/>
            <w:hideMark/>
          </w:tcPr>
          <w:p w14:paraId="66E93BC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131" w:type="dxa"/>
            <w:tcBorders>
              <w:top w:val="single" w:sz="8" w:space="0" w:color="auto"/>
              <w:left w:val="nil"/>
              <w:bottom w:val="single" w:sz="8" w:space="0" w:color="auto"/>
              <w:right w:val="single" w:sz="8" w:space="0" w:color="auto"/>
            </w:tcBorders>
            <w:shd w:val="clear" w:color="auto" w:fill="E7E6E6" w:themeFill="background2"/>
            <w:vAlign w:val="center"/>
            <w:hideMark/>
          </w:tcPr>
          <w:p w14:paraId="1CA84E3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Measures for the reduction of direct and indirect N</w:t>
            </w:r>
            <w:r w:rsidRPr="003E0710">
              <w:rPr>
                <w:rFonts w:ascii="Times New Roman" w:hAnsi="Times New Roman" w:cs="Times New Roman"/>
                <w:sz w:val="20"/>
                <w:szCs w:val="20"/>
                <w:vertAlign w:val="subscript"/>
                <w:lang w:val="en-GB"/>
              </w:rPr>
              <w:t>2</w:t>
            </w:r>
            <w:r w:rsidRPr="003E0710">
              <w:rPr>
                <w:rFonts w:ascii="Times New Roman" w:hAnsi="Times New Roman" w:cs="Times New Roman"/>
                <w:sz w:val="20"/>
                <w:szCs w:val="20"/>
                <w:lang w:val="en-GB"/>
              </w:rPr>
              <w:t>O emissions from managed soils</w:t>
            </w:r>
          </w:p>
        </w:tc>
      </w:tr>
      <w:tr w:rsidR="00614438" w:rsidRPr="003E0710" w14:paraId="00A6997A" w14:textId="77777777" w:rsidTr="00614438">
        <w:trPr>
          <w:gridAfter w:val="1"/>
          <w:wAfter w:w="222" w:type="dxa"/>
          <w:trHeight w:val="332"/>
        </w:trPr>
        <w:tc>
          <w:tcPr>
            <w:tcW w:w="3277" w:type="dxa"/>
            <w:tcBorders>
              <w:top w:val="nil"/>
              <w:left w:val="single" w:sz="8" w:space="0" w:color="auto"/>
              <w:bottom w:val="single" w:sz="8" w:space="0" w:color="auto"/>
              <w:right w:val="nil"/>
            </w:tcBorders>
            <w:shd w:val="clear" w:color="auto" w:fill="244062"/>
            <w:vAlign w:val="center"/>
            <w:hideMark/>
          </w:tcPr>
          <w:p w14:paraId="5F9A088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81" w:type="dxa"/>
            <w:gridSpan w:val="3"/>
            <w:tcBorders>
              <w:top w:val="single" w:sz="8" w:space="0" w:color="auto"/>
              <w:left w:val="nil"/>
              <w:bottom w:val="single" w:sz="8" w:space="0" w:color="auto"/>
              <w:right w:val="single" w:sz="8" w:space="0" w:color="000000"/>
            </w:tcBorders>
            <w:vAlign w:val="center"/>
            <w:hideMark/>
          </w:tcPr>
          <w:p w14:paraId="3345324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 N</w:t>
            </w:r>
            <w:r w:rsidRPr="003E0710">
              <w:rPr>
                <w:rFonts w:ascii="Times New Roman" w:hAnsi="Times New Roman" w:cs="Times New Roman"/>
                <w:sz w:val="20"/>
                <w:szCs w:val="20"/>
                <w:vertAlign w:val="subscript"/>
                <w:lang w:val="en-GB"/>
              </w:rPr>
              <w:t>2</w:t>
            </w:r>
            <w:r w:rsidRPr="003E0710">
              <w:rPr>
                <w:rFonts w:ascii="Times New Roman" w:hAnsi="Times New Roman" w:cs="Times New Roman"/>
                <w:sz w:val="20"/>
                <w:szCs w:val="20"/>
                <w:lang w:val="en-GB"/>
              </w:rPr>
              <w:t>O emissions reduction</w:t>
            </w:r>
          </w:p>
        </w:tc>
      </w:tr>
      <w:tr w:rsidR="00614438" w:rsidRPr="003E0710" w14:paraId="5F93E6F1" w14:textId="77777777" w:rsidTr="00614438">
        <w:trPr>
          <w:gridAfter w:val="1"/>
          <w:wAfter w:w="222" w:type="dxa"/>
          <w:trHeight w:val="315"/>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125A7BF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81" w:type="dxa"/>
            <w:gridSpan w:val="3"/>
            <w:tcBorders>
              <w:top w:val="single" w:sz="8" w:space="0" w:color="auto"/>
              <w:left w:val="nil"/>
              <w:bottom w:val="single" w:sz="8" w:space="0" w:color="auto"/>
              <w:right w:val="single" w:sz="8" w:space="0" w:color="000000"/>
            </w:tcBorders>
            <w:vAlign w:val="center"/>
            <w:hideMark/>
          </w:tcPr>
          <w:p w14:paraId="345297B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 Contribution to the objective of reduction of GHG emissions by 40.3% (with LULUCF) by 2030 compared to 1990 levels</w:t>
            </w:r>
          </w:p>
        </w:tc>
      </w:tr>
      <w:tr w:rsidR="00614438" w:rsidRPr="003E0710" w14:paraId="318FEB5A" w14:textId="77777777" w:rsidTr="00614438">
        <w:trPr>
          <w:gridAfter w:val="1"/>
          <w:wAfter w:w="222" w:type="dxa"/>
          <w:trHeight w:val="2295"/>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480F935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81" w:type="dxa"/>
            <w:gridSpan w:val="3"/>
            <w:tcBorders>
              <w:top w:val="single" w:sz="8" w:space="0" w:color="auto"/>
              <w:left w:val="nil"/>
              <w:bottom w:val="single" w:sz="8" w:space="0" w:color="auto"/>
              <w:right w:val="single" w:sz="8" w:space="0" w:color="000000"/>
            </w:tcBorders>
            <w:vAlign w:val="center"/>
            <w:hideMark/>
          </w:tcPr>
          <w:p w14:paraId="189536D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PM_D12 will facilitate the N</w:t>
            </w:r>
            <w:r w:rsidRPr="003E0710">
              <w:rPr>
                <w:rFonts w:ascii="Times New Roman" w:hAnsi="Times New Roman" w:cs="Times New Roman"/>
                <w:sz w:val="20"/>
                <w:szCs w:val="20"/>
                <w:vertAlign w:val="subscript"/>
                <w:lang w:val="en-GB"/>
              </w:rPr>
              <w:t>2</w:t>
            </w:r>
            <w:r w:rsidRPr="003E0710">
              <w:rPr>
                <w:rFonts w:ascii="Times New Roman" w:hAnsi="Times New Roman" w:cs="Times New Roman"/>
                <w:sz w:val="20"/>
                <w:szCs w:val="20"/>
                <w:lang w:val="en-GB"/>
              </w:rPr>
              <w:t>O emission reduction from managed soils through the following indicative ways:</w:t>
            </w:r>
          </w:p>
          <w:p w14:paraId="2F65D110" w14:textId="77777777" w:rsidR="00614438" w:rsidRPr="003E0710" w:rsidRDefault="00614438" w:rsidP="003E0710">
            <w:pPr>
              <w:numPr>
                <w:ilvl w:val="0"/>
                <w:numId w:val="37"/>
              </w:numPr>
              <w:spacing w:after="0"/>
              <w:jc w:val="both"/>
              <w:rPr>
                <w:rFonts w:ascii="Times New Roman" w:hAnsi="Times New Roman" w:cs="Times New Roman"/>
                <w:sz w:val="20"/>
                <w:szCs w:val="20"/>
              </w:rPr>
            </w:pPr>
            <w:r w:rsidRPr="003E0710">
              <w:rPr>
                <w:rFonts w:ascii="Times New Roman" w:hAnsi="Times New Roman" w:cs="Times New Roman"/>
                <w:sz w:val="20"/>
                <w:szCs w:val="20"/>
              </w:rPr>
              <w:t>Us</w:t>
            </w:r>
            <w:r w:rsidR="00874BB8" w:rsidRPr="003E0710">
              <w:rPr>
                <w:rFonts w:ascii="Times New Roman" w:hAnsi="Times New Roman" w:cs="Times New Roman"/>
                <w:sz w:val="20"/>
                <w:szCs w:val="20"/>
              </w:rPr>
              <w:t>ing</w:t>
            </w:r>
            <w:r w:rsidRPr="003E0710">
              <w:rPr>
                <w:rFonts w:ascii="Times New Roman" w:hAnsi="Times New Roman" w:cs="Times New Roman"/>
                <w:sz w:val="20"/>
                <w:szCs w:val="20"/>
              </w:rPr>
              <w:t xml:space="preserve"> less nitrogen fertiliser.</w:t>
            </w:r>
          </w:p>
          <w:p w14:paraId="70122F6C" w14:textId="77777777" w:rsidR="00614438" w:rsidRPr="003E0710" w:rsidRDefault="00614438" w:rsidP="003E0710">
            <w:pPr>
              <w:numPr>
                <w:ilvl w:val="0"/>
                <w:numId w:val="37"/>
              </w:numPr>
              <w:spacing w:after="0"/>
              <w:jc w:val="both"/>
              <w:rPr>
                <w:rFonts w:ascii="Times New Roman" w:hAnsi="Times New Roman" w:cs="Times New Roman"/>
                <w:sz w:val="20"/>
                <w:szCs w:val="20"/>
              </w:rPr>
            </w:pPr>
            <w:r w:rsidRPr="003E0710">
              <w:rPr>
                <w:rFonts w:ascii="Times New Roman" w:hAnsi="Times New Roman" w:cs="Times New Roman"/>
                <w:sz w:val="20"/>
                <w:szCs w:val="20"/>
              </w:rPr>
              <w:t>Us</w:t>
            </w:r>
            <w:r w:rsidR="00874BB8" w:rsidRPr="003E0710">
              <w:rPr>
                <w:rFonts w:ascii="Times New Roman" w:hAnsi="Times New Roman" w:cs="Times New Roman"/>
                <w:sz w:val="20"/>
                <w:szCs w:val="20"/>
              </w:rPr>
              <w:t>ing</w:t>
            </w:r>
            <w:r w:rsidRPr="003E0710">
              <w:rPr>
                <w:rFonts w:ascii="Times New Roman" w:hAnsi="Times New Roman" w:cs="Times New Roman"/>
                <w:sz w:val="20"/>
                <w:szCs w:val="20"/>
              </w:rPr>
              <w:t xml:space="preserve"> split applications of nitrogen fertilisers.</w:t>
            </w:r>
          </w:p>
          <w:p w14:paraId="04B22F8F" w14:textId="77777777" w:rsidR="00614438" w:rsidRPr="003E0710" w:rsidRDefault="00614438" w:rsidP="003E0710">
            <w:pPr>
              <w:numPr>
                <w:ilvl w:val="0"/>
                <w:numId w:val="37"/>
              </w:numPr>
              <w:spacing w:after="0"/>
              <w:jc w:val="both"/>
              <w:rPr>
                <w:rFonts w:ascii="Times New Roman" w:hAnsi="Times New Roman" w:cs="Times New Roman"/>
                <w:sz w:val="20"/>
                <w:szCs w:val="20"/>
              </w:rPr>
            </w:pPr>
            <w:r w:rsidRPr="003E0710">
              <w:rPr>
                <w:rFonts w:ascii="Times New Roman" w:hAnsi="Times New Roman" w:cs="Times New Roman"/>
                <w:sz w:val="20"/>
                <w:szCs w:val="20"/>
              </w:rPr>
              <w:t>Us</w:t>
            </w:r>
            <w:r w:rsidR="00874BB8" w:rsidRPr="003E0710">
              <w:rPr>
                <w:rFonts w:ascii="Times New Roman" w:hAnsi="Times New Roman" w:cs="Times New Roman"/>
                <w:sz w:val="20"/>
                <w:szCs w:val="20"/>
              </w:rPr>
              <w:t>ing</w:t>
            </w:r>
            <w:r w:rsidRPr="003E0710">
              <w:rPr>
                <w:rFonts w:ascii="Times New Roman" w:hAnsi="Times New Roman" w:cs="Times New Roman"/>
                <w:sz w:val="20"/>
                <w:szCs w:val="20"/>
              </w:rPr>
              <w:t xml:space="preserve"> legume crops or pastures in the rotation instead of nitrogen fertiliser.</w:t>
            </w:r>
          </w:p>
          <w:p w14:paraId="42D73506" w14:textId="77777777" w:rsidR="00614438" w:rsidRPr="003E0710" w:rsidRDefault="00614438" w:rsidP="003E0710">
            <w:pPr>
              <w:numPr>
                <w:ilvl w:val="0"/>
                <w:numId w:val="37"/>
              </w:numPr>
              <w:spacing w:after="0"/>
              <w:jc w:val="both"/>
              <w:rPr>
                <w:rFonts w:ascii="Times New Roman" w:hAnsi="Times New Roman" w:cs="Times New Roman"/>
                <w:sz w:val="20"/>
                <w:szCs w:val="20"/>
              </w:rPr>
            </w:pPr>
            <w:r w:rsidRPr="003E0710">
              <w:rPr>
                <w:rFonts w:ascii="Times New Roman" w:hAnsi="Times New Roman" w:cs="Times New Roman"/>
                <w:sz w:val="20"/>
                <w:szCs w:val="20"/>
              </w:rPr>
              <w:t>Us</w:t>
            </w:r>
            <w:r w:rsidR="00874BB8" w:rsidRPr="003E0710">
              <w:rPr>
                <w:rFonts w:ascii="Times New Roman" w:hAnsi="Times New Roman" w:cs="Times New Roman"/>
                <w:sz w:val="20"/>
                <w:szCs w:val="20"/>
              </w:rPr>
              <w:t>ing</w:t>
            </w:r>
            <w:r w:rsidRPr="003E0710">
              <w:rPr>
                <w:rFonts w:ascii="Times New Roman" w:hAnsi="Times New Roman" w:cs="Times New Roman"/>
                <w:sz w:val="20"/>
                <w:szCs w:val="20"/>
              </w:rPr>
              <w:t xml:space="preserve"> minimum tillage for cropping.</w:t>
            </w:r>
          </w:p>
          <w:p w14:paraId="551A0A3C" w14:textId="77777777" w:rsidR="00614438" w:rsidRPr="003E0710" w:rsidRDefault="00614438" w:rsidP="003E0710">
            <w:pPr>
              <w:numPr>
                <w:ilvl w:val="0"/>
                <w:numId w:val="37"/>
              </w:numPr>
              <w:spacing w:after="0"/>
              <w:jc w:val="both"/>
              <w:rPr>
                <w:rFonts w:ascii="Times New Roman" w:hAnsi="Times New Roman" w:cs="Times New Roman"/>
                <w:sz w:val="20"/>
                <w:szCs w:val="20"/>
              </w:rPr>
            </w:pPr>
            <w:r w:rsidRPr="003E0710">
              <w:rPr>
                <w:rFonts w:ascii="Times New Roman" w:hAnsi="Times New Roman" w:cs="Times New Roman"/>
                <w:sz w:val="20"/>
                <w:szCs w:val="20"/>
              </w:rPr>
              <w:t>Prevent</w:t>
            </w:r>
            <w:r w:rsidR="00874BB8" w:rsidRPr="003E0710">
              <w:rPr>
                <w:rFonts w:ascii="Times New Roman" w:hAnsi="Times New Roman" w:cs="Times New Roman"/>
                <w:sz w:val="20"/>
                <w:szCs w:val="20"/>
              </w:rPr>
              <w:t>ing</w:t>
            </w:r>
            <w:r w:rsidRPr="003E0710">
              <w:rPr>
                <w:rFonts w:ascii="Times New Roman" w:hAnsi="Times New Roman" w:cs="Times New Roman"/>
                <w:sz w:val="20"/>
                <w:szCs w:val="20"/>
              </w:rPr>
              <w:t xml:space="preserve"> waterlogging.</w:t>
            </w:r>
          </w:p>
          <w:p w14:paraId="63077E94" w14:textId="77777777" w:rsidR="00614438" w:rsidRPr="003E0710" w:rsidRDefault="00614438" w:rsidP="003E0710">
            <w:pPr>
              <w:numPr>
                <w:ilvl w:val="0"/>
                <w:numId w:val="37"/>
              </w:numPr>
              <w:spacing w:after="0"/>
              <w:jc w:val="both"/>
              <w:rPr>
                <w:rFonts w:ascii="Times New Roman" w:hAnsi="Times New Roman" w:cs="Times New Roman"/>
                <w:sz w:val="20"/>
                <w:szCs w:val="20"/>
              </w:rPr>
            </w:pPr>
            <w:r w:rsidRPr="003E0710">
              <w:rPr>
                <w:rFonts w:ascii="Times New Roman" w:hAnsi="Times New Roman" w:cs="Times New Roman"/>
                <w:sz w:val="20"/>
                <w:szCs w:val="20"/>
              </w:rPr>
              <w:t>Us</w:t>
            </w:r>
            <w:r w:rsidR="00874BB8" w:rsidRPr="003E0710">
              <w:rPr>
                <w:rFonts w:ascii="Times New Roman" w:hAnsi="Times New Roman" w:cs="Times New Roman"/>
                <w:sz w:val="20"/>
                <w:szCs w:val="20"/>
              </w:rPr>
              <w:t>ing</w:t>
            </w:r>
            <w:r w:rsidRPr="003E0710">
              <w:rPr>
                <w:rFonts w:ascii="Times New Roman" w:hAnsi="Times New Roman" w:cs="Times New Roman"/>
                <w:sz w:val="20"/>
                <w:szCs w:val="20"/>
              </w:rPr>
              <w:t xml:space="preserve"> nitrification inhibitors.</w:t>
            </w:r>
          </w:p>
        </w:tc>
      </w:tr>
      <w:tr w:rsidR="00614438" w:rsidRPr="003E0710" w14:paraId="7EB6B846" w14:textId="77777777" w:rsidTr="00614438">
        <w:trPr>
          <w:gridAfter w:val="1"/>
          <w:wAfter w:w="222" w:type="dxa"/>
          <w:trHeight w:val="315"/>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7944B1A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81" w:type="dxa"/>
            <w:gridSpan w:val="3"/>
            <w:tcBorders>
              <w:top w:val="single" w:sz="8" w:space="0" w:color="auto"/>
              <w:left w:val="nil"/>
              <w:bottom w:val="single" w:sz="8" w:space="0" w:color="auto"/>
              <w:right w:val="single" w:sz="8" w:space="0" w:color="000000"/>
            </w:tcBorders>
            <w:vAlign w:val="center"/>
            <w:hideMark/>
          </w:tcPr>
          <w:p w14:paraId="5B5FA12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2024-2030</w:t>
            </w:r>
          </w:p>
        </w:tc>
      </w:tr>
      <w:tr w:rsidR="00614438" w:rsidRPr="003E0710" w14:paraId="153F69DA" w14:textId="77777777" w:rsidTr="00614438">
        <w:trPr>
          <w:gridAfter w:val="1"/>
          <w:wAfter w:w="222" w:type="dxa"/>
          <w:trHeight w:val="315"/>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42C8447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81" w:type="dxa"/>
            <w:gridSpan w:val="3"/>
            <w:tcBorders>
              <w:top w:val="single" w:sz="8" w:space="0" w:color="auto"/>
              <w:left w:val="nil"/>
              <w:bottom w:val="single" w:sz="8" w:space="0" w:color="auto"/>
              <w:right w:val="single" w:sz="8" w:space="0" w:color="000000"/>
            </w:tcBorders>
            <w:vAlign w:val="center"/>
            <w:hideMark/>
          </w:tcPr>
          <w:p w14:paraId="17F7B74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w:t>
            </w:r>
          </w:p>
        </w:tc>
      </w:tr>
      <w:tr w:rsidR="00614438" w:rsidRPr="003E0710" w14:paraId="6F9A0924" w14:textId="77777777" w:rsidTr="00614438">
        <w:trPr>
          <w:gridAfter w:val="1"/>
          <w:wAfter w:w="222" w:type="dxa"/>
          <w:trHeight w:val="315"/>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3CCC8D1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81" w:type="dxa"/>
            <w:gridSpan w:val="3"/>
            <w:tcBorders>
              <w:top w:val="single" w:sz="8" w:space="0" w:color="auto"/>
              <w:left w:val="nil"/>
              <w:bottom w:val="single" w:sz="8" w:space="0" w:color="auto"/>
              <w:right w:val="single" w:sz="8" w:space="0" w:color="000000"/>
            </w:tcBorders>
            <w:vAlign w:val="center"/>
            <w:hideMark/>
          </w:tcPr>
          <w:p w14:paraId="0E4E5EDD" w14:textId="77777777" w:rsidR="00614438" w:rsidRPr="003E0710" w:rsidRDefault="00614438" w:rsidP="003E0710">
            <w:pPr>
              <w:spacing w:after="0"/>
              <w:jc w:val="both"/>
              <w:rPr>
                <w:rFonts w:ascii="Times New Roman" w:hAnsi="Times New Roman" w:cs="Times New Roman"/>
                <w:sz w:val="20"/>
                <w:szCs w:val="20"/>
              </w:rPr>
            </w:pPr>
            <w:r w:rsidRPr="003E0710">
              <w:rPr>
                <w:rFonts w:ascii="Times New Roman" w:hAnsi="Times New Roman" w:cs="Times New Roman"/>
                <w:sz w:val="20"/>
                <w:szCs w:val="20"/>
                <w:lang w:val="en-GB"/>
              </w:rPr>
              <w:t>Agriculture and LULUCF</w:t>
            </w:r>
          </w:p>
        </w:tc>
      </w:tr>
      <w:tr w:rsidR="00614438" w:rsidRPr="003E0710" w14:paraId="3887E960" w14:textId="77777777" w:rsidTr="00614438">
        <w:trPr>
          <w:gridAfter w:val="1"/>
          <w:wAfter w:w="222" w:type="dxa"/>
          <w:trHeight w:val="315"/>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035DA78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81" w:type="dxa"/>
            <w:gridSpan w:val="3"/>
            <w:tcBorders>
              <w:top w:val="single" w:sz="8" w:space="0" w:color="auto"/>
              <w:left w:val="nil"/>
              <w:bottom w:val="single" w:sz="8" w:space="0" w:color="auto"/>
              <w:right w:val="single" w:sz="8" w:space="0" w:color="000000"/>
            </w:tcBorders>
            <w:vAlign w:val="center"/>
            <w:hideMark/>
          </w:tcPr>
          <w:p w14:paraId="3AF002C3" w14:textId="77777777" w:rsidR="00614438" w:rsidRPr="003E0710" w:rsidRDefault="00614438" w:rsidP="003E0710">
            <w:pPr>
              <w:numPr>
                <w:ilvl w:val="0"/>
                <w:numId w:val="38"/>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for Agriculture, Forestry and Water Management</w:t>
            </w:r>
          </w:p>
          <w:p w14:paraId="24A6D932" w14:textId="77777777" w:rsidR="00614438" w:rsidRPr="003E0710" w:rsidRDefault="00614438" w:rsidP="003E0710">
            <w:pPr>
              <w:numPr>
                <w:ilvl w:val="0"/>
                <w:numId w:val="38"/>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Directorate for Agrarian payments</w:t>
            </w:r>
          </w:p>
          <w:p w14:paraId="2FE70B49" w14:textId="77777777" w:rsidR="00614438" w:rsidRPr="003E0710" w:rsidRDefault="00614438" w:rsidP="003E0710">
            <w:pPr>
              <w:numPr>
                <w:ilvl w:val="0"/>
                <w:numId w:val="38"/>
              </w:numPr>
              <w:spacing w:after="0"/>
              <w:jc w:val="both"/>
              <w:rPr>
                <w:rFonts w:ascii="Times New Roman" w:hAnsi="Times New Roman" w:cs="Times New Roman"/>
                <w:sz w:val="20"/>
                <w:szCs w:val="20"/>
              </w:rPr>
            </w:pPr>
            <w:r w:rsidRPr="003E0710">
              <w:rPr>
                <w:rFonts w:ascii="Times New Roman" w:hAnsi="Times New Roman" w:cs="Times New Roman"/>
                <w:sz w:val="20"/>
                <w:szCs w:val="20"/>
              </w:rPr>
              <w:t>Agricultural land</w:t>
            </w:r>
            <w:r w:rsidR="00874BB8" w:rsidRPr="003E0710">
              <w:rPr>
                <w:rFonts w:ascii="Times New Roman" w:hAnsi="Times New Roman" w:cs="Times New Roman"/>
                <w:sz w:val="20"/>
                <w:szCs w:val="20"/>
              </w:rPr>
              <w:t xml:space="preserve"> Directorate</w:t>
            </w:r>
          </w:p>
          <w:p w14:paraId="4DA8CB3B" w14:textId="77777777" w:rsidR="00614438" w:rsidRPr="003E0710" w:rsidRDefault="00614438" w:rsidP="003E0710">
            <w:pPr>
              <w:numPr>
                <w:ilvl w:val="0"/>
                <w:numId w:val="38"/>
              </w:numPr>
              <w:spacing w:after="0"/>
              <w:jc w:val="both"/>
              <w:rPr>
                <w:rFonts w:ascii="Times New Roman" w:hAnsi="Times New Roman" w:cs="Times New Roman"/>
                <w:sz w:val="20"/>
                <w:szCs w:val="20"/>
              </w:rPr>
            </w:pPr>
            <w:r w:rsidRPr="003E0710">
              <w:rPr>
                <w:rFonts w:ascii="Times New Roman" w:hAnsi="Times New Roman" w:cs="Times New Roman"/>
                <w:sz w:val="20"/>
                <w:szCs w:val="20"/>
              </w:rPr>
              <w:t>Farmers</w:t>
            </w:r>
          </w:p>
          <w:p w14:paraId="5F897CDC" w14:textId="77777777" w:rsidR="00614438" w:rsidRPr="003E0710" w:rsidRDefault="00614438" w:rsidP="003E0710">
            <w:pPr>
              <w:numPr>
                <w:ilvl w:val="0"/>
                <w:numId w:val="38"/>
              </w:numPr>
              <w:spacing w:after="0"/>
              <w:jc w:val="both"/>
              <w:rPr>
                <w:rFonts w:ascii="Times New Roman" w:hAnsi="Times New Roman" w:cs="Times New Roman"/>
                <w:sz w:val="20"/>
                <w:szCs w:val="20"/>
              </w:rPr>
            </w:pPr>
            <w:r w:rsidRPr="003E0710">
              <w:rPr>
                <w:rFonts w:ascii="Times New Roman" w:hAnsi="Times New Roman" w:cs="Times New Roman"/>
                <w:sz w:val="20"/>
                <w:szCs w:val="20"/>
              </w:rPr>
              <w:t>Research institut</w:t>
            </w:r>
            <w:r w:rsidR="00874BB8" w:rsidRPr="003E0710">
              <w:rPr>
                <w:rFonts w:ascii="Times New Roman" w:hAnsi="Times New Roman" w:cs="Times New Roman"/>
                <w:sz w:val="20"/>
                <w:szCs w:val="20"/>
              </w:rPr>
              <w:t>e</w:t>
            </w:r>
            <w:r w:rsidRPr="003E0710">
              <w:rPr>
                <w:rFonts w:ascii="Times New Roman" w:hAnsi="Times New Roman" w:cs="Times New Roman"/>
                <w:sz w:val="20"/>
                <w:szCs w:val="20"/>
              </w:rPr>
              <w:t>s</w:t>
            </w:r>
          </w:p>
        </w:tc>
      </w:tr>
      <w:tr w:rsidR="00614438" w:rsidRPr="003E0710" w14:paraId="56BC3617" w14:textId="77777777" w:rsidTr="00614438">
        <w:trPr>
          <w:gridAfter w:val="1"/>
          <w:wAfter w:w="222" w:type="dxa"/>
          <w:trHeight w:val="315"/>
        </w:trPr>
        <w:tc>
          <w:tcPr>
            <w:tcW w:w="3277" w:type="dxa"/>
            <w:tcBorders>
              <w:top w:val="nil"/>
              <w:left w:val="single" w:sz="8" w:space="0" w:color="auto"/>
              <w:bottom w:val="single" w:sz="8" w:space="0" w:color="auto"/>
              <w:right w:val="nil"/>
            </w:tcBorders>
            <w:shd w:val="clear" w:color="auto" w:fill="244062"/>
            <w:vAlign w:val="center"/>
            <w:hideMark/>
          </w:tcPr>
          <w:p w14:paraId="5110DF7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81" w:type="dxa"/>
            <w:gridSpan w:val="3"/>
            <w:tcBorders>
              <w:top w:val="single" w:sz="8" w:space="0" w:color="auto"/>
              <w:left w:val="nil"/>
              <w:bottom w:val="single" w:sz="8" w:space="0" w:color="auto"/>
              <w:right w:val="single" w:sz="8" w:space="0" w:color="000000"/>
            </w:tcBorders>
            <w:vAlign w:val="center"/>
            <w:hideMark/>
          </w:tcPr>
          <w:p w14:paraId="0F59BF09" w14:textId="77777777" w:rsidR="00614438" w:rsidRPr="003E0710" w:rsidRDefault="00614438" w:rsidP="003E0710">
            <w:pPr>
              <w:numPr>
                <w:ilvl w:val="0"/>
                <w:numId w:val="38"/>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Environmental Protection</w:t>
            </w:r>
          </w:p>
          <w:p w14:paraId="010277D7" w14:textId="77777777" w:rsidR="00614438" w:rsidRPr="003E0710" w:rsidRDefault="00614438" w:rsidP="003E0710">
            <w:pPr>
              <w:numPr>
                <w:ilvl w:val="0"/>
                <w:numId w:val="38"/>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for Agriculture, Forestry and Water Management</w:t>
            </w:r>
          </w:p>
        </w:tc>
      </w:tr>
      <w:tr w:rsidR="00614438" w:rsidRPr="003E0710" w14:paraId="7B3A0AB1" w14:textId="77777777" w:rsidTr="00614438">
        <w:trPr>
          <w:gridAfter w:val="1"/>
          <w:wAfter w:w="222" w:type="dxa"/>
          <w:trHeight w:val="315"/>
        </w:trPr>
        <w:tc>
          <w:tcPr>
            <w:tcW w:w="3277" w:type="dxa"/>
            <w:tcBorders>
              <w:top w:val="nil"/>
              <w:left w:val="single" w:sz="8" w:space="0" w:color="auto"/>
              <w:bottom w:val="single" w:sz="8" w:space="0" w:color="auto"/>
              <w:right w:val="nil"/>
            </w:tcBorders>
            <w:shd w:val="clear" w:color="auto" w:fill="244062"/>
            <w:vAlign w:val="center"/>
            <w:hideMark/>
          </w:tcPr>
          <w:p w14:paraId="0D73F90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81" w:type="dxa"/>
            <w:gridSpan w:val="3"/>
            <w:tcBorders>
              <w:top w:val="single" w:sz="8" w:space="0" w:color="auto"/>
              <w:left w:val="nil"/>
              <w:bottom w:val="single" w:sz="8" w:space="0" w:color="auto"/>
              <w:right w:val="single" w:sz="8" w:space="0" w:color="000000"/>
            </w:tcBorders>
            <w:vAlign w:val="center"/>
            <w:hideMark/>
          </w:tcPr>
          <w:p w14:paraId="352583B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Annual N</w:t>
            </w:r>
            <w:r w:rsidRPr="003E0710">
              <w:rPr>
                <w:rFonts w:ascii="Times New Roman" w:hAnsi="Times New Roman" w:cs="Times New Roman"/>
                <w:sz w:val="20"/>
                <w:szCs w:val="20"/>
                <w:vertAlign w:val="subscript"/>
                <w:lang w:val="en-GB"/>
              </w:rPr>
              <w:t>2</w:t>
            </w:r>
            <w:r w:rsidRPr="003E0710">
              <w:rPr>
                <w:rFonts w:ascii="Times New Roman" w:hAnsi="Times New Roman" w:cs="Times New Roman"/>
                <w:sz w:val="20"/>
                <w:szCs w:val="20"/>
                <w:lang w:val="en-GB"/>
              </w:rPr>
              <w:t>O</w:t>
            </w:r>
            <w:r w:rsidR="00874BB8" w:rsidRPr="003E0710">
              <w:rPr>
                <w:rFonts w:ascii="Times New Roman" w:hAnsi="Times New Roman" w:cs="Times New Roman"/>
                <w:sz w:val="20"/>
                <w:szCs w:val="20"/>
                <w:lang w:val="en-GB"/>
              </w:rPr>
              <w:t xml:space="preserve"> </w:t>
            </w:r>
            <w:r w:rsidRPr="003E0710">
              <w:rPr>
                <w:rFonts w:ascii="Times New Roman" w:hAnsi="Times New Roman" w:cs="Times New Roman"/>
                <w:sz w:val="20"/>
                <w:szCs w:val="20"/>
                <w:lang w:val="en-GB"/>
              </w:rPr>
              <w:t>emissions reduction (Gg CO</w:t>
            </w:r>
            <w:r w:rsidRPr="003E0710">
              <w:rPr>
                <w:rFonts w:ascii="Times New Roman" w:hAnsi="Times New Roman" w:cs="Times New Roman"/>
                <w:sz w:val="20"/>
                <w:szCs w:val="20"/>
                <w:vertAlign w:val="subscript"/>
                <w:lang w:val="en-GB"/>
              </w:rPr>
              <w:t>2</w:t>
            </w:r>
            <w:r w:rsidRPr="003E0710">
              <w:rPr>
                <w:rFonts w:ascii="Times New Roman" w:hAnsi="Times New Roman" w:cs="Times New Roman"/>
                <w:sz w:val="20"/>
                <w:szCs w:val="20"/>
                <w:lang w:val="en-GB"/>
              </w:rPr>
              <w:t>-eq)</w:t>
            </w:r>
          </w:p>
        </w:tc>
      </w:tr>
      <w:tr w:rsidR="00614438" w:rsidRPr="003E0710" w14:paraId="46DFD42C" w14:textId="77777777" w:rsidTr="00614438">
        <w:trPr>
          <w:gridAfter w:val="1"/>
          <w:wAfter w:w="222" w:type="dxa"/>
          <w:trHeight w:val="574"/>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7CB92FF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81" w:type="dxa"/>
            <w:gridSpan w:val="3"/>
            <w:tcBorders>
              <w:top w:val="single" w:sz="8" w:space="0" w:color="auto"/>
              <w:left w:val="nil"/>
              <w:bottom w:val="single" w:sz="8" w:space="0" w:color="auto"/>
              <w:right w:val="single" w:sz="8" w:space="0" w:color="000000"/>
            </w:tcBorders>
            <w:vAlign w:val="center"/>
          </w:tcPr>
          <w:p w14:paraId="677321AD"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69127AA5" w14:textId="77777777" w:rsidTr="00614438">
        <w:trPr>
          <w:gridAfter w:val="1"/>
          <w:wAfter w:w="222" w:type="dxa"/>
          <w:trHeight w:val="458"/>
        </w:trPr>
        <w:tc>
          <w:tcPr>
            <w:tcW w:w="3277" w:type="dxa"/>
            <w:vMerge w:val="restart"/>
            <w:tcBorders>
              <w:top w:val="nil"/>
              <w:left w:val="single" w:sz="8" w:space="0" w:color="auto"/>
              <w:bottom w:val="single" w:sz="8" w:space="0" w:color="000000"/>
              <w:right w:val="single" w:sz="8" w:space="0" w:color="auto"/>
            </w:tcBorders>
            <w:shd w:val="clear" w:color="auto" w:fill="244062"/>
            <w:vAlign w:val="center"/>
            <w:hideMark/>
          </w:tcPr>
          <w:p w14:paraId="13DB6C2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Union policy which resulted in the implementation of the PaM</w:t>
            </w:r>
          </w:p>
        </w:tc>
        <w:tc>
          <w:tcPr>
            <w:tcW w:w="618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3D12201" w14:textId="77777777" w:rsidR="00614438" w:rsidRPr="003E0710" w:rsidRDefault="00614438" w:rsidP="003E0710">
            <w:pPr>
              <w:numPr>
                <w:ilvl w:val="0"/>
                <w:numId w:val="39"/>
              </w:numPr>
              <w:spacing w:after="0"/>
              <w:jc w:val="both"/>
              <w:rPr>
                <w:rFonts w:ascii="Times New Roman" w:hAnsi="Times New Roman" w:cs="Times New Roman"/>
                <w:sz w:val="20"/>
                <w:szCs w:val="20"/>
              </w:rPr>
            </w:pPr>
            <w:r w:rsidRPr="003E0710">
              <w:rPr>
                <w:rFonts w:ascii="Times New Roman" w:hAnsi="Times New Roman" w:cs="Times New Roman"/>
                <w:sz w:val="20"/>
                <w:szCs w:val="20"/>
              </w:rPr>
              <w:t>Regulation 2018/1999</w:t>
            </w:r>
          </w:p>
        </w:tc>
      </w:tr>
      <w:tr w:rsidR="00614438" w:rsidRPr="003E0710" w14:paraId="412725ED"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04F7F691"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7BADE5C"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16F1466B"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5BE60D96"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15E6D1A3"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3051A34"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05CB1B61"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55EF8853" w14:textId="77777777" w:rsidTr="00614438">
        <w:trPr>
          <w:trHeight w:val="401"/>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23A419E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81" w:type="dxa"/>
            <w:gridSpan w:val="3"/>
            <w:tcBorders>
              <w:top w:val="single" w:sz="8" w:space="0" w:color="auto"/>
              <w:left w:val="nil"/>
              <w:bottom w:val="single" w:sz="8" w:space="0" w:color="auto"/>
              <w:right w:val="single" w:sz="8" w:space="0" w:color="000000"/>
            </w:tcBorders>
            <w:vAlign w:val="center"/>
            <w:hideMark/>
          </w:tcPr>
          <w:p w14:paraId="698331D2" w14:textId="77777777" w:rsidR="00614438" w:rsidRPr="003E0710" w:rsidRDefault="00614438" w:rsidP="003E0710">
            <w:pPr>
              <w:numPr>
                <w:ilvl w:val="0"/>
                <w:numId w:val="39"/>
              </w:numPr>
              <w:spacing w:after="0"/>
              <w:jc w:val="both"/>
              <w:rPr>
                <w:rFonts w:ascii="Times New Roman" w:hAnsi="Times New Roman" w:cs="Times New Roman"/>
                <w:sz w:val="20"/>
                <w:szCs w:val="20"/>
              </w:rPr>
            </w:pPr>
            <w:r w:rsidRPr="003E0710">
              <w:rPr>
                <w:rFonts w:ascii="Times New Roman" w:hAnsi="Times New Roman" w:cs="Times New Roman"/>
                <w:sz w:val="20"/>
                <w:szCs w:val="20"/>
              </w:rPr>
              <w:t>Low-carbon Development Strategy for the period 2023-2030 with projections until 2050</w:t>
            </w:r>
          </w:p>
        </w:tc>
        <w:tc>
          <w:tcPr>
            <w:tcW w:w="222" w:type="dxa"/>
            <w:vAlign w:val="center"/>
            <w:hideMark/>
          </w:tcPr>
          <w:p w14:paraId="691B433E"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704BFB88" w14:textId="77777777" w:rsidTr="00614438">
        <w:trPr>
          <w:trHeight w:val="315"/>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614DBA1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81" w:type="dxa"/>
            <w:gridSpan w:val="3"/>
            <w:tcBorders>
              <w:top w:val="single" w:sz="8" w:space="0" w:color="auto"/>
              <w:left w:val="nil"/>
              <w:bottom w:val="single" w:sz="8" w:space="0" w:color="auto"/>
              <w:right w:val="single" w:sz="8" w:space="0" w:color="000000"/>
            </w:tcBorders>
            <w:vAlign w:val="center"/>
            <w:hideMark/>
          </w:tcPr>
          <w:p w14:paraId="7DE8A0F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6 M€</w:t>
            </w:r>
          </w:p>
        </w:tc>
        <w:tc>
          <w:tcPr>
            <w:tcW w:w="222" w:type="dxa"/>
            <w:vAlign w:val="center"/>
            <w:hideMark/>
          </w:tcPr>
          <w:p w14:paraId="60747F7E"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2D7AF475" w14:textId="77777777" w:rsidTr="00614438">
        <w:trPr>
          <w:trHeight w:val="315"/>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2DFD8CC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81" w:type="dxa"/>
            <w:gridSpan w:val="3"/>
            <w:tcBorders>
              <w:top w:val="single" w:sz="8" w:space="0" w:color="auto"/>
              <w:left w:val="nil"/>
              <w:bottom w:val="single" w:sz="8" w:space="0" w:color="auto"/>
              <w:right w:val="single" w:sz="8" w:space="0" w:color="000000"/>
            </w:tcBorders>
            <w:vAlign w:val="center"/>
            <w:hideMark/>
          </w:tcPr>
          <w:p w14:paraId="730EE8F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1E0B2AF0" w14:textId="77777777" w:rsidR="00614438" w:rsidRPr="003E0710" w:rsidRDefault="00614438" w:rsidP="003E0710">
            <w:pPr>
              <w:spacing w:after="0"/>
              <w:jc w:val="both"/>
              <w:rPr>
                <w:rFonts w:ascii="Times New Roman" w:hAnsi="Times New Roman" w:cs="Times New Roman"/>
                <w:sz w:val="20"/>
                <w:szCs w:val="20"/>
                <w:lang w:val="en-GB"/>
              </w:rPr>
            </w:pPr>
          </w:p>
        </w:tc>
      </w:tr>
    </w:tbl>
    <w:p w14:paraId="6100F9FA"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77"/>
        <w:gridCol w:w="1114"/>
        <w:gridCol w:w="936"/>
        <w:gridCol w:w="4131"/>
        <w:gridCol w:w="222"/>
      </w:tblGrid>
      <w:tr w:rsidR="00614438" w:rsidRPr="003E0710" w14:paraId="69DE54E9" w14:textId="77777777" w:rsidTr="00614438">
        <w:trPr>
          <w:gridAfter w:val="1"/>
          <w:wAfter w:w="222" w:type="dxa"/>
          <w:trHeight w:val="780"/>
        </w:trPr>
        <w:tc>
          <w:tcPr>
            <w:tcW w:w="327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7D82E4F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1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2197400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PM_D13</w:t>
            </w:r>
          </w:p>
        </w:tc>
        <w:tc>
          <w:tcPr>
            <w:tcW w:w="936" w:type="dxa"/>
            <w:tcBorders>
              <w:top w:val="single" w:sz="8" w:space="0" w:color="auto"/>
              <w:left w:val="nil"/>
              <w:bottom w:val="single" w:sz="8" w:space="0" w:color="auto"/>
              <w:right w:val="single" w:sz="8" w:space="0" w:color="auto"/>
            </w:tcBorders>
            <w:shd w:val="clear" w:color="auto" w:fill="244062"/>
            <w:vAlign w:val="center"/>
            <w:hideMark/>
          </w:tcPr>
          <w:p w14:paraId="427F69D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131" w:type="dxa"/>
            <w:tcBorders>
              <w:top w:val="single" w:sz="8" w:space="0" w:color="auto"/>
              <w:left w:val="nil"/>
              <w:bottom w:val="single" w:sz="8" w:space="0" w:color="auto"/>
              <w:right w:val="single" w:sz="8" w:space="0" w:color="auto"/>
            </w:tcBorders>
            <w:shd w:val="clear" w:color="auto" w:fill="E7E6E6" w:themeFill="background2"/>
            <w:vAlign w:val="center"/>
            <w:hideMark/>
          </w:tcPr>
          <w:p w14:paraId="2D0D14A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Measures for reducing emissions from fertilizers use</w:t>
            </w:r>
          </w:p>
        </w:tc>
      </w:tr>
      <w:tr w:rsidR="00614438" w:rsidRPr="003E0710" w14:paraId="75C1E520" w14:textId="77777777" w:rsidTr="00614438">
        <w:trPr>
          <w:gridAfter w:val="1"/>
          <w:wAfter w:w="222" w:type="dxa"/>
          <w:trHeight w:val="301"/>
        </w:trPr>
        <w:tc>
          <w:tcPr>
            <w:tcW w:w="3277" w:type="dxa"/>
            <w:tcBorders>
              <w:top w:val="nil"/>
              <w:left w:val="single" w:sz="8" w:space="0" w:color="auto"/>
              <w:bottom w:val="single" w:sz="8" w:space="0" w:color="auto"/>
              <w:right w:val="nil"/>
            </w:tcBorders>
            <w:shd w:val="clear" w:color="auto" w:fill="244062"/>
            <w:vAlign w:val="center"/>
            <w:hideMark/>
          </w:tcPr>
          <w:p w14:paraId="116C4D5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81" w:type="dxa"/>
            <w:gridSpan w:val="3"/>
            <w:tcBorders>
              <w:top w:val="single" w:sz="8" w:space="0" w:color="auto"/>
              <w:left w:val="nil"/>
              <w:bottom w:val="single" w:sz="8" w:space="0" w:color="auto"/>
              <w:right w:val="single" w:sz="8" w:space="0" w:color="000000"/>
            </w:tcBorders>
            <w:vAlign w:val="center"/>
            <w:hideMark/>
          </w:tcPr>
          <w:p w14:paraId="02E0665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 NO2 emissions reduction</w:t>
            </w:r>
          </w:p>
        </w:tc>
      </w:tr>
      <w:tr w:rsidR="00614438" w:rsidRPr="003E0710" w14:paraId="29879505" w14:textId="77777777" w:rsidTr="00614438">
        <w:trPr>
          <w:gridAfter w:val="1"/>
          <w:wAfter w:w="222" w:type="dxa"/>
          <w:trHeight w:val="315"/>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2A7FE33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81" w:type="dxa"/>
            <w:gridSpan w:val="3"/>
            <w:tcBorders>
              <w:top w:val="single" w:sz="8" w:space="0" w:color="auto"/>
              <w:left w:val="nil"/>
              <w:bottom w:val="single" w:sz="8" w:space="0" w:color="auto"/>
              <w:right w:val="single" w:sz="8" w:space="0" w:color="000000"/>
            </w:tcBorders>
            <w:vAlign w:val="center"/>
            <w:hideMark/>
          </w:tcPr>
          <w:p w14:paraId="073C25E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Contribution to the objective of reduction of GHG emissions by 40.3% (with LULUCF) by 2030 compared to 1990 levels</w:t>
            </w:r>
          </w:p>
        </w:tc>
      </w:tr>
      <w:tr w:rsidR="00614438" w:rsidRPr="003E0710" w14:paraId="0242F189" w14:textId="77777777" w:rsidTr="00614438">
        <w:trPr>
          <w:gridAfter w:val="1"/>
          <w:wAfter w:w="222" w:type="dxa"/>
          <w:trHeight w:val="546"/>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516CA2D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81" w:type="dxa"/>
            <w:gridSpan w:val="3"/>
            <w:tcBorders>
              <w:top w:val="single" w:sz="8" w:space="0" w:color="auto"/>
              <w:left w:val="nil"/>
              <w:bottom w:val="single" w:sz="8" w:space="0" w:color="auto"/>
              <w:right w:val="single" w:sz="8" w:space="0" w:color="000000"/>
            </w:tcBorders>
            <w:vAlign w:val="center"/>
            <w:hideMark/>
          </w:tcPr>
          <w:p w14:paraId="4FAF79D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PM_D13 will facilitate the reduction of ammonia and nitrous oxide emissions resulting from the use of fertilizers through the application of new technologies such as:</w:t>
            </w:r>
          </w:p>
          <w:p w14:paraId="19E1998D" w14:textId="77777777" w:rsidR="00614438" w:rsidRPr="003E0710" w:rsidRDefault="00614438" w:rsidP="003E0710">
            <w:pPr>
              <w:numPr>
                <w:ilvl w:val="0"/>
                <w:numId w:val="40"/>
              </w:numPr>
              <w:spacing w:after="0"/>
              <w:jc w:val="both"/>
              <w:rPr>
                <w:rFonts w:ascii="Times New Roman" w:hAnsi="Times New Roman" w:cs="Times New Roman"/>
                <w:sz w:val="20"/>
                <w:szCs w:val="20"/>
              </w:rPr>
            </w:pPr>
            <w:r w:rsidRPr="003E0710">
              <w:rPr>
                <w:rFonts w:ascii="Times New Roman" w:hAnsi="Times New Roman" w:cs="Times New Roman"/>
                <w:sz w:val="20"/>
                <w:szCs w:val="20"/>
              </w:rPr>
              <w:t>foliar application;</w:t>
            </w:r>
          </w:p>
          <w:p w14:paraId="7ECC8066" w14:textId="77777777" w:rsidR="00614438" w:rsidRPr="003E0710" w:rsidRDefault="00614438" w:rsidP="003E0710">
            <w:pPr>
              <w:numPr>
                <w:ilvl w:val="0"/>
                <w:numId w:val="40"/>
              </w:numPr>
              <w:spacing w:after="0"/>
              <w:jc w:val="both"/>
              <w:rPr>
                <w:rFonts w:ascii="Times New Roman" w:hAnsi="Times New Roman" w:cs="Times New Roman"/>
                <w:sz w:val="20"/>
                <w:szCs w:val="20"/>
              </w:rPr>
            </w:pPr>
            <w:r w:rsidRPr="003E0710">
              <w:rPr>
                <w:rFonts w:ascii="Times New Roman" w:hAnsi="Times New Roman" w:cs="Times New Roman"/>
                <w:sz w:val="20"/>
                <w:szCs w:val="20"/>
              </w:rPr>
              <w:t>coated soluble granules to allow controlled release of nutrients in the root zone;</w:t>
            </w:r>
          </w:p>
          <w:p w14:paraId="0666C284" w14:textId="77777777" w:rsidR="00614438" w:rsidRPr="003E0710" w:rsidRDefault="00874BB8" w:rsidP="003E0710">
            <w:pPr>
              <w:numPr>
                <w:ilvl w:val="0"/>
                <w:numId w:val="40"/>
              </w:numPr>
              <w:spacing w:after="0"/>
              <w:jc w:val="both"/>
              <w:rPr>
                <w:rFonts w:ascii="Times New Roman" w:hAnsi="Times New Roman" w:cs="Times New Roman"/>
                <w:sz w:val="20"/>
                <w:szCs w:val="20"/>
              </w:rPr>
            </w:pPr>
            <w:r w:rsidRPr="003E0710">
              <w:rPr>
                <w:rFonts w:ascii="Times New Roman" w:hAnsi="Times New Roman" w:cs="Times New Roman"/>
                <w:sz w:val="20"/>
                <w:szCs w:val="20"/>
              </w:rPr>
              <w:t xml:space="preserve">a system of fertilization by </w:t>
            </w:r>
            <w:r w:rsidR="00614438" w:rsidRPr="003E0710">
              <w:rPr>
                <w:rFonts w:ascii="Times New Roman" w:hAnsi="Times New Roman" w:cs="Times New Roman"/>
                <w:sz w:val="20"/>
                <w:szCs w:val="20"/>
              </w:rPr>
              <w:t>urea deep placement;</w:t>
            </w:r>
          </w:p>
          <w:p w14:paraId="2F41065D" w14:textId="77777777" w:rsidR="00614438" w:rsidRPr="003E0710" w:rsidRDefault="00614438" w:rsidP="003E0710">
            <w:pPr>
              <w:numPr>
                <w:ilvl w:val="0"/>
                <w:numId w:val="40"/>
              </w:numPr>
              <w:spacing w:after="0"/>
              <w:jc w:val="both"/>
              <w:rPr>
                <w:rFonts w:ascii="Times New Roman" w:hAnsi="Times New Roman" w:cs="Times New Roman"/>
                <w:sz w:val="20"/>
                <w:szCs w:val="20"/>
              </w:rPr>
            </w:pPr>
            <w:r w:rsidRPr="003E0710">
              <w:rPr>
                <w:rFonts w:ascii="Times New Roman" w:hAnsi="Times New Roman" w:cs="Times New Roman"/>
                <w:sz w:val="20"/>
                <w:szCs w:val="20"/>
              </w:rPr>
              <w:t>adding inhibitors to slow the conversion of urea fertilizer to ammonia;</w:t>
            </w:r>
          </w:p>
          <w:p w14:paraId="6C9DF167" w14:textId="77777777" w:rsidR="00614438" w:rsidRPr="003E0710" w:rsidRDefault="00614438" w:rsidP="003E0710">
            <w:pPr>
              <w:numPr>
                <w:ilvl w:val="0"/>
                <w:numId w:val="40"/>
              </w:numPr>
              <w:spacing w:after="0"/>
              <w:jc w:val="both"/>
              <w:rPr>
                <w:rFonts w:ascii="Times New Roman" w:hAnsi="Times New Roman" w:cs="Times New Roman"/>
                <w:sz w:val="20"/>
                <w:szCs w:val="20"/>
              </w:rPr>
            </w:pPr>
            <w:r w:rsidRPr="003E0710">
              <w:rPr>
                <w:rFonts w:ascii="Times New Roman" w:hAnsi="Times New Roman" w:cs="Times New Roman"/>
                <w:sz w:val="20"/>
                <w:szCs w:val="20"/>
              </w:rPr>
              <w:t>adding soluble fertilizer to irrigation water to deliver nutrients to the root zone in a more precise and timely manner.</w:t>
            </w:r>
          </w:p>
        </w:tc>
      </w:tr>
      <w:tr w:rsidR="00614438" w:rsidRPr="003E0710" w14:paraId="680D8596" w14:textId="77777777" w:rsidTr="00614438">
        <w:trPr>
          <w:gridAfter w:val="1"/>
          <w:wAfter w:w="222" w:type="dxa"/>
          <w:trHeight w:val="315"/>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5D38C4A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81" w:type="dxa"/>
            <w:gridSpan w:val="3"/>
            <w:tcBorders>
              <w:top w:val="single" w:sz="8" w:space="0" w:color="auto"/>
              <w:left w:val="nil"/>
              <w:bottom w:val="single" w:sz="8" w:space="0" w:color="auto"/>
              <w:right w:val="single" w:sz="8" w:space="0" w:color="000000"/>
            </w:tcBorders>
            <w:vAlign w:val="center"/>
            <w:hideMark/>
          </w:tcPr>
          <w:p w14:paraId="65DCF0C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2024-2030</w:t>
            </w:r>
          </w:p>
        </w:tc>
      </w:tr>
      <w:tr w:rsidR="00614438" w:rsidRPr="003E0710" w14:paraId="59253E11" w14:textId="77777777" w:rsidTr="00614438">
        <w:trPr>
          <w:gridAfter w:val="1"/>
          <w:wAfter w:w="222" w:type="dxa"/>
          <w:trHeight w:val="315"/>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69CACB6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81" w:type="dxa"/>
            <w:gridSpan w:val="3"/>
            <w:tcBorders>
              <w:top w:val="single" w:sz="8" w:space="0" w:color="auto"/>
              <w:left w:val="nil"/>
              <w:bottom w:val="single" w:sz="8" w:space="0" w:color="auto"/>
              <w:right w:val="single" w:sz="8" w:space="0" w:color="000000"/>
            </w:tcBorders>
            <w:vAlign w:val="center"/>
            <w:hideMark/>
          </w:tcPr>
          <w:p w14:paraId="23E9BDD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w:t>
            </w:r>
          </w:p>
        </w:tc>
      </w:tr>
      <w:tr w:rsidR="00614438" w:rsidRPr="003E0710" w14:paraId="3F14352B" w14:textId="77777777" w:rsidTr="00614438">
        <w:trPr>
          <w:gridAfter w:val="1"/>
          <w:wAfter w:w="222" w:type="dxa"/>
          <w:trHeight w:val="315"/>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04CB054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81" w:type="dxa"/>
            <w:gridSpan w:val="3"/>
            <w:tcBorders>
              <w:top w:val="single" w:sz="8" w:space="0" w:color="auto"/>
              <w:left w:val="nil"/>
              <w:bottom w:val="single" w:sz="8" w:space="0" w:color="auto"/>
              <w:right w:val="single" w:sz="8" w:space="0" w:color="000000"/>
            </w:tcBorders>
            <w:vAlign w:val="center"/>
            <w:hideMark/>
          </w:tcPr>
          <w:p w14:paraId="7B95DB8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Agriculture and LULUCF</w:t>
            </w:r>
          </w:p>
        </w:tc>
      </w:tr>
      <w:tr w:rsidR="00614438" w:rsidRPr="003E0710" w14:paraId="20FD6965" w14:textId="77777777" w:rsidTr="00614438">
        <w:trPr>
          <w:gridAfter w:val="1"/>
          <w:wAfter w:w="222" w:type="dxa"/>
          <w:trHeight w:val="315"/>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05488C2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81" w:type="dxa"/>
            <w:gridSpan w:val="3"/>
            <w:tcBorders>
              <w:top w:val="single" w:sz="8" w:space="0" w:color="auto"/>
              <w:left w:val="nil"/>
              <w:bottom w:val="single" w:sz="8" w:space="0" w:color="auto"/>
              <w:right w:val="single" w:sz="8" w:space="0" w:color="000000"/>
            </w:tcBorders>
            <w:vAlign w:val="center"/>
            <w:hideMark/>
          </w:tcPr>
          <w:p w14:paraId="4B35DD0E" w14:textId="77777777" w:rsidR="00614438" w:rsidRPr="003E0710" w:rsidRDefault="00614438" w:rsidP="003E0710">
            <w:pPr>
              <w:numPr>
                <w:ilvl w:val="0"/>
                <w:numId w:val="41"/>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for Agriculture, Forestry and Water Management</w:t>
            </w:r>
          </w:p>
          <w:p w14:paraId="6C6E4BF5" w14:textId="77777777" w:rsidR="00614438" w:rsidRPr="003E0710" w:rsidRDefault="00614438" w:rsidP="003E0710">
            <w:pPr>
              <w:numPr>
                <w:ilvl w:val="0"/>
                <w:numId w:val="41"/>
              </w:numPr>
              <w:spacing w:after="0"/>
              <w:jc w:val="both"/>
              <w:rPr>
                <w:rFonts w:ascii="Times New Roman" w:hAnsi="Times New Roman" w:cs="Times New Roman"/>
                <w:sz w:val="20"/>
                <w:szCs w:val="20"/>
              </w:rPr>
            </w:pPr>
            <w:r w:rsidRPr="003E0710">
              <w:rPr>
                <w:rFonts w:ascii="Times New Roman" w:hAnsi="Times New Roman" w:cs="Times New Roman"/>
                <w:sz w:val="20"/>
                <w:szCs w:val="20"/>
              </w:rPr>
              <w:t>Agricultural Advisory Service</w:t>
            </w:r>
          </w:p>
          <w:p w14:paraId="5E64E918" w14:textId="77777777" w:rsidR="00614438" w:rsidRPr="003E0710" w:rsidRDefault="00614438" w:rsidP="003E0710">
            <w:pPr>
              <w:numPr>
                <w:ilvl w:val="0"/>
                <w:numId w:val="41"/>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Directorate for Agrarian Payments</w:t>
            </w:r>
          </w:p>
          <w:p w14:paraId="604F178E" w14:textId="77777777" w:rsidR="00614438" w:rsidRPr="003E0710" w:rsidRDefault="00614438" w:rsidP="003E0710">
            <w:pPr>
              <w:numPr>
                <w:ilvl w:val="0"/>
                <w:numId w:val="41"/>
              </w:numPr>
              <w:spacing w:after="0"/>
              <w:jc w:val="both"/>
              <w:rPr>
                <w:rFonts w:ascii="Times New Roman" w:hAnsi="Times New Roman" w:cs="Times New Roman"/>
                <w:sz w:val="20"/>
                <w:szCs w:val="20"/>
              </w:rPr>
            </w:pPr>
            <w:r w:rsidRPr="003E0710">
              <w:rPr>
                <w:rFonts w:ascii="Times New Roman" w:hAnsi="Times New Roman" w:cs="Times New Roman"/>
                <w:sz w:val="20"/>
                <w:szCs w:val="20"/>
              </w:rPr>
              <w:t>Agricultural land</w:t>
            </w:r>
            <w:r w:rsidR="00754CA6" w:rsidRPr="003E0710">
              <w:rPr>
                <w:rFonts w:ascii="Times New Roman" w:hAnsi="Times New Roman" w:cs="Times New Roman"/>
                <w:sz w:val="20"/>
                <w:szCs w:val="20"/>
              </w:rPr>
              <w:t xml:space="preserve"> Directorate</w:t>
            </w:r>
          </w:p>
          <w:p w14:paraId="55479A9F" w14:textId="77777777" w:rsidR="00614438" w:rsidRPr="003E0710" w:rsidRDefault="00614438" w:rsidP="003E0710">
            <w:pPr>
              <w:numPr>
                <w:ilvl w:val="0"/>
                <w:numId w:val="41"/>
              </w:numPr>
              <w:spacing w:after="0"/>
              <w:jc w:val="both"/>
              <w:rPr>
                <w:rFonts w:ascii="Times New Roman" w:hAnsi="Times New Roman" w:cs="Times New Roman"/>
                <w:sz w:val="20"/>
                <w:szCs w:val="20"/>
              </w:rPr>
            </w:pPr>
            <w:r w:rsidRPr="003E0710">
              <w:rPr>
                <w:rFonts w:ascii="Times New Roman" w:hAnsi="Times New Roman" w:cs="Times New Roman"/>
                <w:sz w:val="20"/>
                <w:szCs w:val="20"/>
              </w:rPr>
              <w:t>Chamber of Commerce</w:t>
            </w:r>
            <w:r w:rsidR="00754CA6" w:rsidRPr="003E0710">
              <w:rPr>
                <w:rFonts w:ascii="Times New Roman" w:hAnsi="Times New Roman" w:cs="Times New Roman"/>
                <w:sz w:val="20"/>
                <w:szCs w:val="20"/>
              </w:rPr>
              <w:t xml:space="preserve"> and Industry</w:t>
            </w:r>
          </w:p>
          <w:p w14:paraId="37039F27" w14:textId="77777777" w:rsidR="00614438" w:rsidRPr="003E0710" w:rsidRDefault="00614438" w:rsidP="003E0710">
            <w:pPr>
              <w:numPr>
                <w:ilvl w:val="0"/>
                <w:numId w:val="41"/>
              </w:numPr>
              <w:spacing w:after="0"/>
              <w:jc w:val="both"/>
              <w:rPr>
                <w:rFonts w:ascii="Times New Roman" w:hAnsi="Times New Roman" w:cs="Times New Roman"/>
                <w:sz w:val="20"/>
                <w:szCs w:val="20"/>
              </w:rPr>
            </w:pPr>
            <w:r w:rsidRPr="003E0710">
              <w:rPr>
                <w:rFonts w:ascii="Times New Roman" w:hAnsi="Times New Roman" w:cs="Times New Roman"/>
                <w:sz w:val="20"/>
                <w:szCs w:val="20"/>
              </w:rPr>
              <w:t>Farmers</w:t>
            </w:r>
          </w:p>
        </w:tc>
      </w:tr>
      <w:tr w:rsidR="00614438" w:rsidRPr="003E0710" w14:paraId="57323D36" w14:textId="77777777" w:rsidTr="00614438">
        <w:trPr>
          <w:gridAfter w:val="1"/>
          <w:wAfter w:w="222" w:type="dxa"/>
          <w:trHeight w:val="315"/>
        </w:trPr>
        <w:tc>
          <w:tcPr>
            <w:tcW w:w="3277" w:type="dxa"/>
            <w:tcBorders>
              <w:top w:val="nil"/>
              <w:left w:val="single" w:sz="8" w:space="0" w:color="auto"/>
              <w:bottom w:val="single" w:sz="8" w:space="0" w:color="auto"/>
              <w:right w:val="nil"/>
            </w:tcBorders>
            <w:shd w:val="clear" w:color="auto" w:fill="244062"/>
            <w:vAlign w:val="center"/>
            <w:hideMark/>
          </w:tcPr>
          <w:p w14:paraId="34C1137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81" w:type="dxa"/>
            <w:gridSpan w:val="3"/>
            <w:tcBorders>
              <w:top w:val="single" w:sz="8" w:space="0" w:color="auto"/>
              <w:left w:val="nil"/>
              <w:bottom w:val="single" w:sz="8" w:space="0" w:color="auto"/>
              <w:right w:val="single" w:sz="8" w:space="0" w:color="000000"/>
            </w:tcBorders>
            <w:vAlign w:val="center"/>
            <w:hideMark/>
          </w:tcPr>
          <w:p w14:paraId="6E13C864" w14:textId="77777777" w:rsidR="00614438" w:rsidRPr="003E0710" w:rsidRDefault="00614438" w:rsidP="003E0710">
            <w:pPr>
              <w:numPr>
                <w:ilvl w:val="0"/>
                <w:numId w:val="41"/>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Environmental Protection</w:t>
            </w:r>
          </w:p>
          <w:p w14:paraId="07FB8537" w14:textId="77777777" w:rsidR="00614438" w:rsidRPr="003E0710" w:rsidRDefault="00614438" w:rsidP="003E0710">
            <w:pPr>
              <w:numPr>
                <w:ilvl w:val="0"/>
                <w:numId w:val="41"/>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for Agriculture, Forestry and Water Management</w:t>
            </w:r>
          </w:p>
        </w:tc>
      </w:tr>
      <w:tr w:rsidR="00614438" w:rsidRPr="003E0710" w14:paraId="29A501B1" w14:textId="77777777" w:rsidTr="00614438">
        <w:trPr>
          <w:gridAfter w:val="1"/>
          <w:wAfter w:w="222" w:type="dxa"/>
          <w:trHeight w:val="315"/>
        </w:trPr>
        <w:tc>
          <w:tcPr>
            <w:tcW w:w="3277" w:type="dxa"/>
            <w:tcBorders>
              <w:top w:val="nil"/>
              <w:left w:val="single" w:sz="8" w:space="0" w:color="auto"/>
              <w:bottom w:val="single" w:sz="8" w:space="0" w:color="auto"/>
              <w:right w:val="nil"/>
            </w:tcBorders>
            <w:shd w:val="clear" w:color="auto" w:fill="244062"/>
            <w:vAlign w:val="center"/>
            <w:hideMark/>
          </w:tcPr>
          <w:p w14:paraId="3D631D3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81" w:type="dxa"/>
            <w:gridSpan w:val="3"/>
            <w:tcBorders>
              <w:top w:val="single" w:sz="8" w:space="0" w:color="auto"/>
              <w:left w:val="nil"/>
              <w:bottom w:val="single" w:sz="8" w:space="0" w:color="auto"/>
              <w:right w:val="single" w:sz="8" w:space="0" w:color="000000"/>
            </w:tcBorders>
            <w:vAlign w:val="center"/>
            <w:hideMark/>
          </w:tcPr>
          <w:p w14:paraId="1E65276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Annual amount of emissions reduction from fertilizers use (Gg CO2-eq)</w:t>
            </w:r>
          </w:p>
        </w:tc>
      </w:tr>
      <w:tr w:rsidR="00614438" w:rsidRPr="003E0710" w14:paraId="20D70ADD" w14:textId="77777777" w:rsidTr="00614438">
        <w:trPr>
          <w:gridAfter w:val="1"/>
          <w:wAfter w:w="222" w:type="dxa"/>
          <w:trHeight w:val="345"/>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3A3EBF6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81" w:type="dxa"/>
            <w:gridSpan w:val="3"/>
            <w:tcBorders>
              <w:top w:val="single" w:sz="8" w:space="0" w:color="auto"/>
              <w:left w:val="nil"/>
              <w:bottom w:val="single" w:sz="8" w:space="0" w:color="auto"/>
              <w:right w:val="single" w:sz="8" w:space="0" w:color="000000"/>
            </w:tcBorders>
            <w:vAlign w:val="center"/>
          </w:tcPr>
          <w:p w14:paraId="14411BE0"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0ACB569B" w14:textId="77777777" w:rsidTr="00614438">
        <w:trPr>
          <w:gridAfter w:val="1"/>
          <w:wAfter w:w="222" w:type="dxa"/>
          <w:trHeight w:val="458"/>
        </w:trPr>
        <w:tc>
          <w:tcPr>
            <w:tcW w:w="3277" w:type="dxa"/>
            <w:vMerge w:val="restart"/>
            <w:tcBorders>
              <w:top w:val="nil"/>
              <w:left w:val="single" w:sz="8" w:space="0" w:color="auto"/>
              <w:bottom w:val="single" w:sz="8" w:space="0" w:color="000000"/>
              <w:right w:val="single" w:sz="8" w:space="0" w:color="auto"/>
            </w:tcBorders>
            <w:shd w:val="clear" w:color="auto" w:fill="244062"/>
            <w:vAlign w:val="center"/>
            <w:hideMark/>
          </w:tcPr>
          <w:p w14:paraId="74C8736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8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48FF7228" w14:textId="77777777" w:rsidR="00614438" w:rsidRPr="003E0710" w:rsidRDefault="00614438" w:rsidP="003E0710">
            <w:pPr>
              <w:numPr>
                <w:ilvl w:val="0"/>
                <w:numId w:val="42"/>
              </w:numPr>
              <w:spacing w:after="0"/>
              <w:jc w:val="both"/>
              <w:rPr>
                <w:rFonts w:ascii="Times New Roman" w:hAnsi="Times New Roman" w:cs="Times New Roman"/>
                <w:sz w:val="20"/>
                <w:szCs w:val="20"/>
              </w:rPr>
            </w:pPr>
            <w:r w:rsidRPr="003E0710">
              <w:rPr>
                <w:rFonts w:ascii="Times New Roman" w:hAnsi="Times New Roman" w:cs="Times New Roman"/>
                <w:sz w:val="20"/>
                <w:szCs w:val="20"/>
              </w:rPr>
              <w:t>Regulation 2018/1999</w:t>
            </w:r>
          </w:p>
        </w:tc>
      </w:tr>
      <w:tr w:rsidR="00614438" w:rsidRPr="003E0710" w14:paraId="18FCDCE3"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35C62544"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D907AF2"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7AC95633"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012D57CB"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37B2BBC5"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EDA3D18"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7566BB53"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63783957" w14:textId="77777777" w:rsidTr="00614438">
        <w:trPr>
          <w:trHeight w:val="378"/>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438DA4F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81" w:type="dxa"/>
            <w:gridSpan w:val="3"/>
            <w:tcBorders>
              <w:top w:val="single" w:sz="8" w:space="0" w:color="auto"/>
              <w:left w:val="nil"/>
              <w:bottom w:val="single" w:sz="8" w:space="0" w:color="auto"/>
              <w:right w:val="single" w:sz="8" w:space="0" w:color="000000"/>
            </w:tcBorders>
            <w:vAlign w:val="center"/>
            <w:hideMark/>
          </w:tcPr>
          <w:p w14:paraId="2BFD931C" w14:textId="77777777" w:rsidR="00614438" w:rsidRPr="003E0710" w:rsidRDefault="00614438" w:rsidP="003E0710">
            <w:pPr>
              <w:numPr>
                <w:ilvl w:val="0"/>
                <w:numId w:val="42"/>
              </w:numPr>
              <w:spacing w:after="0"/>
              <w:jc w:val="both"/>
              <w:rPr>
                <w:rFonts w:ascii="Times New Roman" w:hAnsi="Times New Roman" w:cs="Times New Roman"/>
                <w:sz w:val="20"/>
                <w:szCs w:val="20"/>
              </w:rPr>
            </w:pPr>
            <w:r w:rsidRPr="003E0710">
              <w:rPr>
                <w:rFonts w:ascii="Times New Roman" w:hAnsi="Times New Roman" w:cs="Times New Roman"/>
                <w:sz w:val="20"/>
                <w:szCs w:val="20"/>
              </w:rPr>
              <w:t>Low-carbon Development Strategy for the period 2023-2030 with projections until 2050</w:t>
            </w:r>
          </w:p>
        </w:tc>
        <w:tc>
          <w:tcPr>
            <w:tcW w:w="222" w:type="dxa"/>
            <w:vAlign w:val="center"/>
            <w:hideMark/>
          </w:tcPr>
          <w:p w14:paraId="3A016B25"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5E42319B" w14:textId="77777777" w:rsidTr="00614438">
        <w:trPr>
          <w:trHeight w:val="315"/>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163CA2B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81" w:type="dxa"/>
            <w:gridSpan w:val="3"/>
            <w:tcBorders>
              <w:top w:val="single" w:sz="8" w:space="0" w:color="auto"/>
              <w:left w:val="nil"/>
              <w:bottom w:val="single" w:sz="8" w:space="0" w:color="auto"/>
              <w:right w:val="single" w:sz="8" w:space="0" w:color="000000"/>
            </w:tcBorders>
            <w:vAlign w:val="center"/>
            <w:hideMark/>
          </w:tcPr>
          <w:p w14:paraId="2F3AED5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28 M€</w:t>
            </w:r>
          </w:p>
        </w:tc>
        <w:tc>
          <w:tcPr>
            <w:tcW w:w="222" w:type="dxa"/>
            <w:vAlign w:val="center"/>
            <w:hideMark/>
          </w:tcPr>
          <w:p w14:paraId="02B11368"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4C863A8" w14:textId="77777777" w:rsidTr="00614438">
        <w:trPr>
          <w:trHeight w:val="315"/>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2C75E35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81" w:type="dxa"/>
            <w:gridSpan w:val="3"/>
            <w:tcBorders>
              <w:top w:val="single" w:sz="8" w:space="0" w:color="auto"/>
              <w:left w:val="nil"/>
              <w:bottom w:val="single" w:sz="8" w:space="0" w:color="auto"/>
              <w:right w:val="single" w:sz="8" w:space="0" w:color="000000"/>
            </w:tcBorders>
            <w:vAlign w:val="center"/>
            <w:hideMark/>
          </w:tcPr>
          <w:p w14:paraId="419EB3B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0061D8D7" w14:textId="77777777" w:rsidR="00614438" w:rsidRPr="003E0710" w:rsidRDefault="00614438" w:rsidP="003E0710">
            <w:pPr>
              <w:spacing w:after="0"/>
              <w:jc w:val="both"/>
              <w:rPr>
                <w:rFonts w:ascii="Times New Roman" w:hAnsi="Times New Roman" w:cs="Times New Roman"/>
                <w:sz w:val="20"/>
                <w:szCs w:val="20"/>
                <w:lang w:val="en-GB"/>
              </w:rPr>
            </w:pPr>
          </w:p>
        </w:tc>
      </w:tr>
    </w:tbl>
    <w:p w14:paraId="56A3FCAC" w14:textId="77777777" w:rsidR="00614438" w:rsidRPr="003E0710" w:rsidRDefault="00614438" w:rsidP="003E0710">
      <w:pPr>
        <w:spacing w:after="0"/>
        <w:jc w:val="both"/>
        <w:rPr>
          <w:rFonts w:ascii="Times New Roman" w:hAnsi="Times New Roman" w:cs="Times New Roman"/>
          <w:sz w:val="20"/>
          <w:szCs w:val="20"/>
          <w:lang w:val="en-GB"/>
        </w:rPr>
      </w:pPr>
    </w:p>
    <w:p w14:paraId="6C213623" w14:textId="77777777" w:rsidR="00614438" w:rsidRPr="00754CA6" w:rsidRDefault="00614438" w:rsidP="00485CA7">
      <w:pPr>
        <w:pStyle w:val="ListParagraph"/>
        <w:numPr>
          <w:ilvl w:val="3"/>
          <w:numId w:val="267"/>
        </w:numPr>
        <w:jc w:val="center"/>
        <w:rPr>
          <w:rFonts w:ascii="Times New Roman" w:hAnsi="Times New Roman" w:cs="Times New Roman"/>
          <w:sz w:val="24"/>
          <w:szCs w:val="24"/>
          <w:lang w:val="en-GB"/>
        </w:rPr>
      </w:pPr>
      <w:r w:rsidRPr="00754CA6">
        <w:rPr>
          <w:rFonts w:ascii="Times New Roman" w:hAnsi="Times New Roman" w:cs="Times New Roman"/>
          <w:sz w:val="24"/>
          <w:szCs w:val="24"/>
          <w:lang w:val="en-GB"/>
        </w:rPr>
        <w:t>Regional cooperation in this area</w:t>
      </w:r>
    </w:p>
    <w:p w14:paraId="5126CCE2" w14:textId="77777777" w:rsidR="00614438" w:rsidRPr="00614438" w:rsidRDefault="00614438" w:rsidP="00754CA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Western Balkans Green Fund Project</w:t>
      </w:r>
    </w:p>
    <w:p w14:paraId="588ED0CB" w14:textId="77777777" w:rsidR="00614438" w:rsidRPr="00614438" w:rsidRDefault="00614438" w:rsidP="00754CA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“Western Balkans Green Fund” Project offers an opportunity for the Republic of Serbia to play a leading role in the development of projects of Western Balkan region</w:t>
      </w:r>
      <w:r w:rsidR="00134BE7">
        <w:rPr>
          <w:rFonts w:ascii="Times New Roman" w:hAnsi="Times New Roman" w:cs="Times New Roman"/>
          <w:sz w:val="24"/>
          <w:szCs w:val="24"/>
          <w:lang w:val="en-GB"/>
        </w:rPr>
        <w:t xml:space="preserve"> (the Republic of </w:t>
      </w:r>
      <w:r w:rsidR="00134BE7">
        <w:rPr>
          <w:rFonts w:ascii="Times New Roman" w:hAnsi="Times New Roman" w:cs="Times New Roman"/>
          <w:sz w:val="24"/>
          <w:szCs w:val="24"/>
          <w:lang w:val="en-GB"/>
        </w:rPr>
        <w:lastRenderedPageBreak/>
        <w:t>Albania, Bosnia and Herzegovina, Kosovo*, the Republic of North Macedonia, the Republic of Montenegro, the Republic of Serbia)</w:t>
      </w:r>
      <w:r w:rsidRPr="00614438">
        <w:rPr>
          <w:rFonts w:ascii="Times New Roman" w:hAnsi="Times New Roman" w:cs="Times New Roman"/>
          <w:sz w:val="24"/>
          <w:szCs w:val="24"/>
          <w:lang w:val="en-GB"/>
        </w:rPr>
        <w:t xml:space="preserve"> related to their Nationally Determined Commitments and climate adaptation objectives, and allows Serbian undertakings to access more tender opportunities within the region.</w:t>
      </w:r>
    </w:p>
    <w:p w14:paraId="79ECDBA7" w14:textId="77777777" w:rsidR="0052206C" w:rsidRPr="00614438" w:rsidRDefault="00614438" w:rsidP="00134BE7">
      <w:pPr>
        <w:ind w:firstLine="48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Western Balkans is an emerging region of SE Europe where some of the challenges and risks are still rooted in extreme climatic events and environmental pollution. Such risks, however, may also encourage the introduction of new, </w:t>
      </w:r>
      <w:r w:rsidR="00E74D0B">
        <w:rPr>
          <w:rFonts w:ascii="Times New Roman" w:hAnsi="Times New Roman" w:cs="Times New Roman"/>
          <w:sz w:val="24"/>
          <w:szCs w:val="24"/>
          <w:lang w:val="en-GB"/>
        </w:rPr>
        <w:t xml:space="preserve">more </w:t>
      </w:r>
      <w:r w:rsidRPr="00614438">
        <w:rPr>
          <w:rFonts w:ascii="Times New Roman" w:hAnsi="Times New Roman" w:cs="Times New Roman"/>
          <w:sz w:val="24"/>
          <w:szCs w:val="24"/>
          <w:lang w:val="en-GB"/>
        </w:rPr>
        <w:t xml:space="preserve">efficient technologies and methods to ensure a greener and more sustainable future in the Western Balkan region. </w:t>
      </w:r>
      <w:r w:rsidR="0052206C" w:rsidRPr="0052206C">
        <w:rPr>
          <w:rFonts w:ascii="Times New Roman" w:hAnsi="Times New Roman" w:cs="Times New Roman"/>
          <w:sz w:val="24"/>
          <w:szCs w:val="24"/>
          <w:lang w:val="en-GB"/>
        </w:rPr>
        <w:t>This project supports the transformation process that also includes companies in the Republic of Serbia, and in addition to contributing to the improved provision of services with greater added value and trade in goods, it can also provide support to the countries of the Western Balkans region in fulfilling their obligations in the EU accession process.</w:t>
      </w:r>
    </w:p>
    <w:p w14:paraId="0EB382B1" w14:textId="77777777" w:rsidR="0052206C" w:rsidRPr="0052206C" w:rsidRDefault="0052206C" w:rsidP="0052206C">
      <w:pPr>
        <w:ind w:left="480"/>
        <w:jc w:val="both"/>
        <w:rPr>
          <w:rFonts w:ascii="Times New Roman" w:hAnsi="Times New Roman" w:cs="Times New Roman"/>
          <w:sz w:val="24"/>
          <w:szCs w:val="24"/>
          <w:lang w:val="en-GB"/>
        </w:rPr>
      </w:pPr>
      <w:r w:rsidRPr="0052206C">
        <w:rPr>
          <w:rFonts w:ascii="Times New Roman" w:hAnsi="Times New Roman" w:cs="Times New Roman"/>
          <w:sz w:val="24"/>
          <w:szCs w:val="24"/>
          <w:lang w:val="en-GB"/>
        </w:rPr>
        <w:t>Council for Regional Cooperation</w:t>
      </w:r>
    </w:p>
    <w:p w14:paraId="17A97EDE" w14:textId="77777777" w:rsidR="0052206C" w:rsidRPr="0052206C" w:rsidRDefault="0052206C" w:rsidP="0052206C">
      <w:pPr>
        <w:ind w:left="480"/>
        <w:jc w:val="both"/>
        <w:rPr>
          <w:rFonts w:ascii="Times New Roman" w:hAnsi="Times New Roman" w:cs="Times New Roman"/>
          <w:sz w:val="24"/>
          <w:szCs w:val="24"/>
          <w:lang w:val="en-GB"/>
        </w:rPr>
      </w:pPr>
    </w:p>
    <w:p w14:paraId="5C74D7D3" w14:textId="77777777" w:rsidR="0052206C" w:rsidRPr="0052206C" w:rsidRDefault="0052206C" w:rsidP="0052206C">
      <w:pPr>
        <w:ind w:firstLine="480"/>
        <w:jc w:val="both"/>
        <w:rPr>
          <w:rFonts w:ascii="Times New Roman" w:hAnsi="Times New Roman" w:cs="Times New Roman"/>
          <w:sz w:val="24"/>
          <w:szCs w:val="24"/>
          <w:lang w:val="en-GB"/>
        </w:rPr>
      </w:pPr>
      <w:r w:rsidRPr="0052206C">
        <w:rPr>
          <w:rFonts w:ascii="Times New Roman" w:hAnsi="Times New Roman" w:cs="Times New Roman"/>
          <w:sz w:val="24"/>
          <w:szCs w:val="24"/>
          <w:lang w:val="en-GB"/>
        </w:rPr>
        <w:t>The action plan for the implementation of the Sofia Declaration on the Green Agenda for the Western Balkans for the period 2021-2030 arose from the Sofia Declaration and serves to implement it. The action plan defines concrete measures, organization in implementation as well as framework deadlines for each measure. AP includes the following areas: 1) Decarbonization, 2) Circular economy, 3) Pollution reduction, 4) Sustainable agriculture, and 5) Protection of nature and biological diversity. The action plan was prepared with the coordination of the Regional Cooperation Council (RCC) and the working group for the environment, which has the role of monitoring the implementation of this plan. The Ministry of Environmental Protection is a member of the RCC and coordinates the regional and national process.</w:t>
      </w:r>
    </w:p>
    <w:p w14:paraId="098896F1" w14:textId="77777777" w:rsidR="0052206C" w:rsidRPr="0052206C" w:rsidRDefault="0052206C" w:rsidP="0052206C">
      <w:pPr>
        <w:ind w:firstLine="480"/>
        <w:jc w:val="both"/>
        <w:rPr>
          <w:rFonts w:ascii="Times New Roman" w:hAnsi="Times New Roman" w:cs="Times New Roman"/>
          <w:sz w:val="24"/>
          <w:szCs w:val="24"/>
          <w:lang w:val="en-GB"/>
        </w:rPr>
      </w:pPr>
      <w:r w:rsidRPr="0052206C">
        <w:rPr>
          <w:rFonts w:ascii="Times New Roman" w:hAnsi="Times New Roman" w:cs="Times New Roman"/>
          <w:sz w:val="24"/>
          <w:szCs w:val="24"/>
          <w:lang w:val="en-GB"/>
        </w:rPr>
        <w:t>This Action Plan outlines the framework for its coordination and monitoring, while the main responsibility for its implementation rests with the economies of the Western Balkans, which follow intersectoral and interinstitutional cooperation. This Action Plan takes into account the main political processes, international frameworks and agreements, the latest developments in practical policies and in particular legislative and non-legislative acts adopted at the EU level. This includes the European Green Deal (EGD) (EU Climate Framework, EU Biodiversity Strategy, EU Farm to Fork Strategy, Ready for (Climate) Package 55%, Zero Pollution Action Plan etc.), energy and climate end goals/ the ambitions of the Western Balkans for 2030 in line with the intermediate climate goals of the EU, in order to reduce GHG emissions by at least 55%.</w:t>
      </w:r>
    </w:p>
    <w:p w14:paraId="5813547F" w14:textId="77777777" w:rsidR="0052206C" w:rsidRPr="0052206C" w:rsidRDefault="0052206C" w:rsidP="0052206C">
      <w:pPr>
        <w:ind w:firstLine="480"/>
        <w:jc w:val="both"/>
        <w:rPr>
          <w:rFonts w:ascii="Times New Roman" w:hAnsi="Times New Roman" w:cs="Times New Roman"/>
          <w:sz w:val="24"/>
          <w:szCs w:val="24"/>
          <w:lang w:val="en-GB"/>
        </w:rPr>
      </w:pPr>
      <w:r w:rsidRPr="0052206C">
        <w:rPr>
          <w:rFonts w:ascii="Times New Roman" w:hAnsi="Times New Roman" w:cs="Times New Roman"/>
          <w:sz w:val="24"/>
          <w:szCs w:val="24"/>
          <w:lang w:val="en-GB"/>
        </w:rPr>
        <w:t>In order to facilitate guidance and enable a well-informed decision-making process, the RCC maintains a platform for dialogue with European Commission services, relevant regional organizations that have mandates in relevant practical policy areas in the Western Balkans region (such as the Secretariat of the Energy Community, the Permanent Secretariat of the Transport Community, the Permanent working group for regional rural development, International Union for Conservation of Nature (IUCN), with international financial institutions, various socioeconomic partners, non-governmental organizations, academic and scientific community.</w:t>
      </w:r>
    </w:p>
    <w:p w14:paraId="789D67C5" w14:textId="77777777" w:rsidR="0052206C" w:rsidRDefault="0052206C" w:rsidP="0052206C">
      <w:pPr>
        <w:ind w:firstLine="480"/>
        <w:jc w:val="both"/>
        <w:rPr>
          <w:rFonts w:ascii="Times New Roman" w:hAnsi="Times New Roman" w:cs="Times New Roman"/>
          <w:sz w:val="24"/>
          <w:szCs w:val="24"/>
          <w:lang w:val="en-GB"/>
        </w:rPr>
      </w:pPr>
      <w:r w:rsidRPr="0052206C">
        <w:rPr>
          <w:rFonts w:ascii="Times New Roman" w:hAnsi="Times New Roman" w:cs="Times New Roman"/>
          <w:sz w:val="24"/>
          <w:szCs w:val="24"/>
          <w:lang w:val="en-GB"/>
        </w:rPr>
        <w:t>The Government passed the Decision on the formation of the Working Group for the implementation of the goals of the Sofia Declaration on the Green Agenda for the Western Balkans in the previous period. The President of the Working Group is the Minister for Environmental Protection. The working group has 105 members representing 22 institutions. Coordination of the process takes place all the time.</w:t>
      </w:r>
    </w:p>
    <w:p w14:paraId="49A2F663" w14:textId="77777777" w:rsidR="0052206C" w:rsidRDefault="0052206C" w:rsidP="00E74D0B">
      <w:pPr>
        <w:ind w:left="480"/>
        <w:jc w:val="both"/>
        <w:rPr>
          <w:rFonts w:ascii="Times New Roman" w:hAnsi="Times New Roman" w:cs="Times New Roman"/>
          <w:sz w:val="24"/>
          <w:szCs w:val="24"/>
          <w:lang w:val="en-GB"/>
        </w:rPr>
      </w:pPr>
    </w:p>
    <w:p w14:paraId="0BD31DB1" w14:textId="77777777" w:rsidR="00614438" w:rsidRPr="00614438" w:rsidRDefault="005118CB" w:rsidP="00E74D0B">
      <w:pPr>
        <w:ind w:left="480"/>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3.1.1.3 </w:t>
      </w:r>
      <w:r w:rsidR="00614438" w:rsidRPr="00614438">
        <w:rPr>
          <w:rFonts w:ascii="Times New Roman" w:hAnsi="Times New Roman" w:cs="Times New Roman"/>
          <w:sz w:val="24"/>
          <w:szCs w:val="24"/>
          <w:lang w:val="en-GB"/>
        </w:rPr>
        <w:t>Without prejudice to the applicability of state aid rules, financing measures, including EU support and the use of EU funds, in this area at national level, if applicable</w:t>
      </w:r>
    </w:p>
    <w:p w14:paraId="3D26CE17"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 significant part of the funding for the implementation of the aforementioned proposed policy measures, especially in the areas of waste, rural development and forestry, is expected to come from EU funds.</w:t>
      </w:r>
    </w:p>
    <w:p w14:paraId="14BD2A71" w14:textId="77777777" w:rsidR="00614438" w:rsidRPr="005118CB" w:rsidRDefault="00614438" w:rsidP="00485CA7">
      <w:pPr>
        <w:pStyle w:val="ListParagraph"/>
        <w:numPr>
          <w:ilvl w:val="2"/>
          <w:numId w:val="267"/>
        </w:numPr>
        <w:jc w:val="center"/>
        <w:rPr>
          <w:rFonts w:ascii="Times New Roman" w:hAnsi="Times New Roman" w:cs="Times New Roman"/>
          <w:sz w:val="24"/>
          <w:szCs w:val="24"/>
          <w:lang w:val="en-GB"/>
        </w:rPr>
      </w:pPr>
      <w:r w:rsidRPr="005118CB">
        <w:rPr>
          <w:rFonts w:ascii="Times New Roman" w:hAnsi="Times New Roman" w:cs="Times New Roman"/>
          <w:sz w:val="24"/>
          <w:szCs w:val="24"/>
          <w:lang w:val="en-GB"/>
        </w:rPr>
        <w:t>Renewable energy</w:t>
      </w:r>
    </w:p>
    <w:p w14:paraId="3811DB9C" w14:textId="77777777" w:rsidR="00614438" w:rsidRPr="00614438" w:rsidRDefault="005118CB" w:rsidP="005118CB">
      <w:pPr>
        <w:ind w:firstLine="720"/>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3.1.2.1 </w:t>
      </w:r>
      <w:r w:rsidR="00614438" w:rsidRPr="00614438">
        <w:rPr>
          <w:rFonts w:ascii="Times New Roman" w:hAnsi="Times New Roman" w:cs="Times New Roman"/>
          <w:sz w:val="24"/>
          <w:szCs w:val="24"/>
          <w:lang w:val="en-GB"/>
        </w:rPr>
        <w:t>Policies and measures to achieve the national contribution to the binding EU level 2030 target for renewable energy and trajectories as presented in 2.2 including sector- and technology-specific measures</w:t>
      </w:r>
    </w:p>
    <w:p w14:paraId="2022D01B" w14:textId="77777777" w:rsidR="00614438" w:rsidRPr="00614438" w:rsidRDefault="00614438" w:rsidP="005118CB">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Electricity</w:t>
      </w:r>
    </w:p>
    <w:p w14:paraId="72966CE1" w14:textId="239D3762" w:rsidR="00614438" w:rsidRPr="00614438" w:rsidRDefault="00614438" w:rsidP="005118CB">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support scheme, which is foreseen within the Law on the Use of Renewable Energy Sources, will be continued for renumerating the produced electricity from renewable energy technologies. Operational aid will be provided in the form of a market premium to renewable energy projects, while </w:t>
      </w:r>
      <w:r w:rsidR="00554D76">
        <w:rPr>
          <w:rFonts w:ascii="Times New Roman" w:hAnsi="Times New Roman" w:cs="Times New Roman"/>
          <w:sz w:val="24"/>
          <w:szCs w:val="24"/>
          <w:lang w:val="en-GB"/>
        </w:rPr>
        <w:t>carrying out</w:t>
      </w:r>
      <w:r w:rsidRPr="00614438">
        <w:rPr>
          <w:rFonts w:ascii="Times New Roman" w:hAnsi="Times New Roman" w:cs="Times New Roman"/>
          <w:sz w:val="24"/>
          <w:szCs w:val="24"/>
          <w:lang w:val="en-GB"/>
        </w:rPr>
        <w:t xml:space="preserve"> auctions along with the strategic partnerships will ensure that the operational aid will be provided with an open, transparent, competitive, non-discriminatory and cost-effective manner avoiding unnecessary distortions of electricity markets as well as taking into account possible system integration costs and the required grid stability. Simultaneously, the renewable energy stations should have specific obligations in regards their participation in the electricity as will be depicted within the legislative framework, which will be adapted in order to be fully aligned with the provisions of Directive (EU) 2019/944 for the common rules in order to function the internal electricity market and the Regulation (EU) 2019/943 for specifying balancing responsibilities of the participants. The gradual obligation of the renewable energy stations will be foreseen in accordance to the installed capacity and technical maturity of the stations, while the operation of aggregators will be examined also as alternative option for fulfilling their balancing responsibilities. Generally, the significant regulatory and implementation challenges in regards the compliance with the balancing responsibilities should be addressed effectively in the coming period ensuring the smooth penetration of renewable technologies for electricity production.</w:t>
      </w:r>
    </w:p>
    <w:p w14:paraId="0FDBE21C" w14:textId="77777777" w:rsidR="00614438" w:rsidRPr="00614438" w:rsidRDefault="00614438" w:rsidP="00DE3EF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Additional financial and fiscal incentives will be provided to innovative and demonstration projects for electricity production under the condition that they are capable of leading to a considerable increase of the national value added and addressing significant local energy needs. The support of small decentralized renewable energy systems will be also examined within the framework of the established monitoring mechanism at least on annual basis taking into consideration the potential benefits to the electricity grids due to the avoided investments for the adaptation, enhancement and expansion of the grid networks.</w:t>
      </w:r>
    </w:p>
    <w:p w14:paraId="017E1515" w14:textId="77777777" w:rsidR="00614438" w:rsidRPr="00614438" w:rsidRDefault="00614438" w:rsidP="00DE3EF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guarantees of origin scheme will foster the further deployment of renewable energy technologies as a supplementary environmental mechanism informing the final customers about the share or quantity of the energy from renewable sources in an energy supplier's energy mix and in the energy supplied to consumers under contracts marketed with reference to the consumption of energy from renewable sources with objective, transparent and non-discriminatory criteria.</w:t>
      </w:r>
    </w:p>
    <w:p w14:paraId="5CFB6FFD" w14:textId="77777777" w:rsidR="00DE3EF6" w:rsidRPr="003E0710" w:rsidRDefault="00DE3EF6" w:rsidP="003E0710">
      <w:pPr>
        <w:spacing w:after="0"/>
        <w:ind w:firstLine="720"/>
        <w:jc w:val="both"/>
        <w:rPr>
          <w:rFonts w:ascii="Times New Roman" w:hAnsi="Times New Roman" w:cs="Times New Roman"/>
          <w:sz w:val="20"/>
          <w:szCs w:val="20"/>
          <w:lang w:val="en-GB"/>
        </w:rPr>
      </w:pPr>
      <w:r w:rsidRPr="00DE3EF6">
        <w:rPr>
          <w:rFonts w:ascii="Times New Roman" w:hAnsi="Times New Roman" w:cs="Times New Roman"/>
          <w:sz w:val="24"/>
          <w:szCs w:val="24"/>
          <w:lang w:val="en-GB"/>
        </w:rPr>
        <w:t xml:space="preserve">Finally, it will be possible to adapt to changed climatic conditions, improve and expand electricity networks in order to avoid congestion and enable the optimal participation of planned renewable energy plants. Accordingly, the </w:t>
      </w:r>
      <w:r>
        <w:rPr>
          <w:rFonts w:ascii="Times New Roman" w:hAnsi="Times New Roman" w:cs="Times New Roman"/>
          <w:sz w:val="24"/>
          <w:szCs w:val="24"/>
          <w:lang w:val="en-GB"/>
        </w:rPr>
        <w:t>cod</w:t>
      </w:r>
      <w:r w:rsidRPr="00DE3EF6">
        <w:rPr>
          <w:rFonts w:ascii="Times New Roman" w:hAnsi="Times New Roman" w:cs="Times New Roman"/>
          <w:sz w:val="24"/>
          <w:szCs w:val="24"/>
          <w:lang w:val="en-GB"/>
        </w:rPr>
        <w:t xml:space="preserve">es on the operation of distribution and transmission </w:t>
      </w:r>
      <w:r w:rsidRPr="00DE3EF6">
        <w:rPr>
          <w:rFonts w:ascii="Times New Roman" w:hAnsi="Times New Roman" w:cs="Times New Roman"/>
          <w:sz w:val="24"/>
          <w:szCs w:val="24"/>
          <w:lang w:val="en-GB"/>
        </w:rPr>
        <w:lastRenderedPageBreak/>
        <w:t>systems will be revised, and the implementation of the plan for necessary investments in electricity networks will continue, taking into account the integration of new plants on renewable energy sources.</w:t>
      </w:r>
    </w:p>
    <w:tbl>
      <w:tblPr>
        <w:tblW w:w="9680" w:type="dxa"/>
        <w:tblLook w:val="04A0" w:firstRow="1" w:lastRow="0" w:firstColumn="1" w:lastColumn="0" w:noHBand="0" w:noVBand="1"/>
      </w:tblPr>
      <w:tblGrid>
        <w:gridCol w:w="3327"/>
        <w:gridCol w:w="950"/>
        <w:gridCol w:w="945"/>
        <w:gridCol w:w="4236"/>
        <w:gridCol w:w="222"/>
      </w:tblGrid>
      <w:tr w:rsidR="00614438" w:rsidRPr="003E0710" w14:paraId="43E63A65" w14:textId="77777777" w:rsidTr="00614438">
        <w:trPr>
          <w:gridAfter w:val="1"/>
          <w:wAfter w:w="222" w:type="dxa"/>
          <w:trHeight w:val="780"/>
        </w:trPr>
        <w:tc>
          <w:tcPr>
            <w:tcW w:w="3330"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50420F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40" w:type="dxa"/>
            <w:tcBorders>
              <w:top w:val="single" w:sz="8" w:space="0" w:color="auto"/>
              <w:left w:val="nil"/>
              <w:bottom w:val="single" w:sz="8" w:space="0" w:color="auto"/>
              <w:right w:val="single" w:sz="8" w:space="0" w:color="auto"/>
            </w:tcBorders>
            <w:shd w:val="clear" w:color="auto" w:fill="E7E6E6" w:themeFill="background2"/>
            <w:vAlign w:val="center"/>
            <w:hideMark/>
          </w:tcPr>
          <w:p w14:paraId="7A708F4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PM_D19</w:t>
            </w:r>
          </w:p>
        </w:tc>
        <w:tc>
          <w:tcPr>
            <w:tcW w:w="946" w:type="dxa"/>
            <w:tcBorders>
              <w:top w:val="single" w:sz="8" w:space="0" w:color="auto"/>
              <w:left w:val="nil"/>
              <w:bottom w:val="single" w:sz="8" w:space="0" w:color="auto"/>
              <w:right w:val="single" w:sz="8" w:space="0" w:color="auto"/>
            </w:tcBorders>
            <w:shd w:val="clear" w:color="auto" w:fill="244062"/>
            <w:vAlign w:val="center"/>
            <w:hideMark/>
          </w:tcPr>
          <w:p w14:paraId="4B3636F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42" w:type="dxa"/>
            <w:tcBorders>
              <w:top w:val="single" w:sz="8" w:space="0" w:color="auto"/>
              <w:left w:val="nil"/>
              <w:bottom w:val="single" w:sz="8" w:space="0" w:color="auto"/>
              <w:right w:val="single" w:sz="8" w:space="0" w:color="auto"/>
            </w:tcBorders>
            <w:shd w:val="clear" w:color="auto" w:fill="E7E6E6" w:themeFill="background2"/>
            <w:vAlign w:val="center"/>
            <w:hideMark/>
          </w:tcPr>
          <w:p w14:paraId="79E7925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Provision of operation aid for electricity production from renewable stations based on auctions and strategic partnerships</w:t>
            </w:r>
          </w:p>
        </w:tc>
      </w:tr>
      <w:tr w:rsidR="00614438" w:rsidRPr="003E0710" w14:paraId="6FD482FF" w14:textId="77777777" w:rsidTr="00614438">
        <w:trPr>
          <w:gridAfter w:val="1"/>
          <w:wAfter w:w="222" w:type="dxa"/>
          <w:trHeight w:val="291"/>
        </w:trPr>
        <w:tc>
          <w:tcPr>
            <w:tcW w:w="3330" w:type="dxa"/>
            <w:tcBorders>
              <w:top w:val="nil"/>
              <w:left w:val="single" w:sz="8" w:space="0" w:color="auto"/>
              <w:bottom w:val="single" w:sz="8" w:space="0" w:color="auto"/>
              <w:right w:val="nil"/>
            </w:tcBorders>
            <w:shd w:val="clear" w:color="auto" w:fill="244062"/>
            <w:vAlign w:val="center"/>
            <w:hideMark/>
          </w:tcPr>
          <w:p w14:paraId="725B1B6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28" w:type="dxa"/>
            <w:gridSpan w:val="3"/>
            <w:tcBorders>
              <w:top w:val="single" w:sz="8" w:space="0" w:color="auto"/>
              <w:left w:val="nil"/>
              <w:bottom w:val="single" w:sz="8" w:space="0" w:color="auto"/>
              <w:right w:val="single" w:sz="8" w:space="0" w:color="000000"/>
            </w:tcBorders>
            <w:vAlign w:val="center"/>
            <w:hideMark/>
          </w:tcPr>
          <w:p w14:paraId="2C37B2D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Increase share of RES in electricity </w:t>
            </w:r>
          </w:p>
        </w:tc>
      </w:tr>
      <w:tr w:rsidR="00614438" w:rsidRPr="003E0710" w14:paraId="2E179CF8"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46B266E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28" w:type="dxa"/>
            <w:gridSpan w:val="3"/>
            <w:tcBorders>
              <w:top w:val="single" w:sz="8" w:space="0" w:color="auto"/>
              <w:left w:val="nil"/>
              <w:bottom w:val="single" w:sz="8" w:space="0" w:color="auto"/>
              <w:right w:val="single" w:sz="8" w:space="0" w:color="000000"/>
            </w:tcBorders>
            <w:vAlign w:val="center"/>
            <w:hideMark/>
          </w:tcPr>
          <w:p w14:paraId="45216B2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at least 3.1 GW of wind parks and photovoltaic plants </w:t>
            </w:r>
          </w:p>
        </w:tc>
      </w:tr>
      <w:tr w:rsidR="00614438" w:rsidRPr="003E0710" w14:paraId="21A66E84" w14:textId="77777777" w:rsidTr="00614438">
        <w:trPr>
          <w:gridAfter w:val="1"/>
          <w:wAfter w:w="222" w:type="dxa"/>
          <w:trHeight w:val="58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5AED909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28" w:type="dxa"/>
            <w:gridSpan w:val="3"/>
            <w:tcBorders>
              <w:top w:val="single" w:sz="8" w:space="0" w:color="auto"/>
              <w:left w:val="nil"/>
              <w:bottom w:val="single" w:sz="8" w:space="0" w:color="auto"/>
              <w:right w:val="single" w:sz="8" w:space="0" w:color="000000"/>
            </w:tcBorders>
            <w:vAlign w:val="center"/>
            <w:hideMark/>
          </w:tcPr>
          <w:p w14:paraId="66D1AB8D" w14:textId="095313C8"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PM_D19 will continue the implementation of a support scheme for the production of electricity from renewable energy sources according to the provisions of the Law on the use of renewable energy sources.</w:t>
            </w:r>
            <w:r w:rsidR="00DE3EF6" w:rsidRPr="003E0710">
              <w:rPr>
                <w:rFonts w:ascii="Times New Roman" w:hAnsi="Times New Roman" w:cs="Times New Roman"/>
                <w:sz w:val="20"/>
                <w:szCs w:val="20"/>
                <w:lang w:val="en-GB"/>
              </w:rPr>
              <w:t xml:space="preserve"> </w:t>
            </w:r>
            <w:r w:rsidRPr="003E0710">
              <w:rPr>
                <w:rFonts w:ascii="Times New Roman" w:hAnsi="Times New Roman" w:cs="Times New Roman"/>
                <w:sz w:val="20"/>
                <w:szCs w:val="20"/>
                <w:lang w:val="en-GB"/>
              </w:rPr>
              <w:t>Operational aid will be provided through the developed support scheme in the form of a market premium, so as to foster the electricity production from renewable technologies. Up to 1.3 GW is envisaged in three-year auction plan by 2025 and up to 2 GW from strategic partnerships. The c</w:t>
            </w:r>
            <w:r w:rsidR="00554D76" w:rsidRPr="003E0710">
              <w:rPr>
                <w:rFonts w:ascii="Times New Roman" w:hAnsi="Times New Roman" w:cs="Times New Roman"/>
                <w:sz w:val="20"/>
                <w:szCs w:val="20"/>
                <w:lang w:val="en-GB"/>
              </w:rPr>
              <w:t>arrying out</w:t>
            </w:r>
            <w:r w:rsidRPr="003E0710">
              <w:rPr>
                <w:rFonts w:ascii="Times New Roman" w:hAnsi="Times New Roman" w:cs="Times New Roman"/>
                <w:sz w:val="20"/>
                <w:szCs w:val="20"/>
                <w:lang w:val="en-GB"/>
              </w:rPr>
              <w:t xml:space="preserve"> of auctions along with the strategic partnerships will ensure that the operational aid will be provided with an open, transparent, competitive, non-discriminatory and cost-effective manner avoiding unnecessary distortions of electricity markets as well as taking into account possible system integration costs and the required grid stability. Moreover, the sustainability of the financial support will be ensured, while the publication of a long-term schedule of auctions and quotas will provide the required stability for the investors, who are willing to participate in the planned auctions.</w:t>
            </w:r>
          </w:p>
          <w:p w14:paraId="14AF3C3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It should be noted that the three-year incentive plan, which is foreseen in article 13 of the Law on Rational Use of </w:t>
            </w:r>
            <w:r w:rsidR="00DE3EF6" w:rsidRPr="003E0710">
              <w:rPr>
                <w:rFonts w:ascii="Times New Roman" w:hAnsi="Times New Roman" w:cs="Times New Roman"/>
                <w:sz w:val="20"/>
                <w:szCs w:val="20"/>
                <w:lang w:val="en-GB"/>
              </w:rPr>
              <w:t>RES</w:t>
            </w:r>
            <w:r w:rsidRPr="003E0710">
              <w:rPr>
                <w:rFonts w:ascii="Times New Roman" w:hAnsi="Times New Roman" w:cs="Times New Roman"/>
                <w:sz w:val="20"/>
                <w:szCs w:val="20"/>
                <w:lang w:val="en-GB"/>
              </w:rPr>
              <w:t xml:space="preserve"> will be drafted taking into account the planned RES investments including detailed information about the estimated timing and the anticipated capacities.</w:t>
            </w:r>
          </w:p>
        </w:tc>
      </w:tr>
      <w:tr w:rsidR="00614438" w:rsidRPr="003E0710" w14:paraId="0F44A607"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08EA719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28" w:type="dxa"/>
            <w:gridSpan w:val="3"/>
            <w:tcBorders>
              <w:top w:val="single" w:sz="8" w:space="0" w:color="auto"/>
              <w:left w:val="nil"/>
              <w:bottom w:val="single" w:sz="8" w:space="0" w:color="auto"/>
              <w:right w:val="single" w:sz="8" w:space="0" w:color="000000"/>
            </w:tcBorders>
            <w:vAlign w:val="center"/>
            <w:hideMark/>
          </w:tcPr>
          <w:p w14:paraId="25141A6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w:t>
            </w:r>
            <w:r w:rsidR="00DE3EF6" w:rsidRPr="003E0710">
              <w:rPr>
                <w:rFonts w:ascii="Times New Roman" w:hAnsi="Times New Roman" w:cs="Times New Roman"/>
                <w:sz w:val="20"/>
                <w:szCs w:val="20"/>
                <w:lang w:val="en-GB"/>
              </w:rPr>
              <w:t>4</w:t>
            </w:r>
            <w:r w:rsidRPr="003E0710">
              <w:rPr>
                <w:rFonts w:ascii="Times New Roman" w:hAnsi="Times New Roman" w:cs="Times New Roman"/>
                <w:sz w:val="20"/>
                <w:szCs w:val="20"/>
                <w:lang w:val="en-GB"/>
              </w:rPr>
              <w:t>-2030</w:t>
            </w:r>
          </w:p>
        </w:tc>
      </w:tr>
      <w:tr w:rsidR="00614438" w:rsidRPr="003E0710" w14:paraId="614445A7"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57A2032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28" w:type="dxa"/>
            <w:gridSpan w:val="3"/>
            <w:tcBorders>
              <w:top w:val="single" w:sz="8" w:space="0" w:color="auto"/>
              <w:left w:val="nil"/>
              <w:bottom w:val="single" w:sz="8" w:space="0" w:color="auto"/>
              <w:right w:val="single" w:sz="8" w:space="0" w:color="000000"/>
            </w:tcBorders>
            <w:vAlign w:val="center"/>
            <w:hideMark/>
          </w:tcPr>
          <w:p w14:paraId="7D5FDA3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w:t>
            </w:r>
          </w:p>
        </w:tc>
      </w:tr>
      <w:tr w:rsidR="00614438" w:rsidRPr="003E0710" w14:paraId="4B28B633"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1330FC4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28" w:type="dxa"/>
            <w:gridSpan w:val="3"/>
            <w:tcBorders>
              <w:top w:val="single" w:sz="8" w:space="0" w:color="auto"/>
              <w:left w:val="nil"/>
              <w:bottom w:val="single" w:sz="8" w:space="0" w:color="auto"/>
              <w:right w:val="single" w:sz="8" w:space="0" w:color="000000"/>
            </w:tcBorders>
            <w:vAlign w:val="center"/>
            <w:hideMark/>
          </w:tcPr>
          <w:p w14:paraId="594BC74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Electricity </w:t>
            </w:r>
          </w:p>
        </w:tc>
      </w:tr>
      <w:tr w:rsidR="00614438" w:rsidRPr="003E0710" w14:paraId="74E8A4F5"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73E2A05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28" w:type="dxa"/>
            <w:gridSpan w:val="3"/>
            <w:tcBorders>
              <w:top w:val="single" w:sz="8" w:space="0" w:color="auto"/>
              <w:left w:val="nil"/>
              <w:bottom w:val="single" w:sz="8" w:space="0" w:color="auto"/>
              <w:right w:val="single" w:sz="8" w:space="0" w:color="000000"/>
            </w:tcBorders>
            <w:vAlign w:val="center"/>
            <w:hideMark/>
          </w:tcPr>
          <w:p w14:paraId="582DECF7"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Mining and Energy</w:t>
            </w:r>
          </w:p>
        </w:tc>
      </w:tr>
      <w:tr w:rsidR="00614438" w:rsidRPr="003E0710" w14:paraId="375DAA04" w14:textId="77777777" w:rsidTr="00614438">
        <w:trPr>
          <w:gridAfter w:val="1"/>
          <w:wAfter w:w="222" w:type="dxa"/>
          <w:trHeight w:val="315"/>
        </w:trPr>
        <w:tc>
          <w:tcPr>
            <w:tcW w:w="3330" w:type="dxa"/>
            <w:tcBorders>
              <w:top w:val="nil"/>
              <w:left w:val="single" w:sz="8" w:space="0" w:color="auto"/>
              <w:bottom w:val="single" w:sz="8" w:space="0" w:color="auto"/>
              <w:right w:val="nil"/>
            </w:tcBorders>
            <w:shd w:val="clear" w:color="auto" w:fill="244062"/>
            <w:vAlign w:val="center"/>
            <w:hideMark/>
          </w:tcPr>
          <w:p w14:paraId="1C0D340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28" w:type="dxa"/>
            <w:gridSpan w:val="3"/>
            <w:tcBorders>
              <w:top w:val="single" w:sz="8" w:space="0" w:color="auto"/>
              <w:left w:val="nil"/>
              <w:bottom w:val="single" w:sz="8" w:space="0" w:color="auto"/>
              <w:right w:val="single" w:sz="8" w:space="0" w:color="000000"/>
            </w:tcBorders>
            <w:vAlign w:val="center"/>
            <w:hideMark/>
          </w:tcPr>
          <w:p w14:paraId="4192CA0A"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w:t>
            </w:r>
          </w:p>
        </w:tc>
      </w:tr>
      <w:tr w:rsidR="00614438" w:rsidRPr="003E0710" w14:paraId="55BE6DB8" w14:textId="77777777" w:rsidTr="00614438">
        <w:trPr>
          <w:gridAfter w:val="1"/>
          <w:wAfter w:w="222" w:type="dxa"/>
          <w:trHeight w:val="315"/>
        </w:trPr>
        <w:tc>
          <w:tcPr>
            <w:tcW w:w="3330" w:type="dxa"/>
            <w:tcBorders>
              <w:top w:val="nil"/>
              <w:left w:val="single" w:sz="8" w:space="0" w:color="auto"/>
              <w:bottom w:val="single" w:sz="8" w:space="0" w:color="auto"/>
              <w:right w:val="nil"/>
            </w:tcBorders>
            <w:shd w:val="clear" w:color="auto" w:fill="244062"/>
            <w:vAlign w:val="center"/>
            <w:hideMark/>
          </w:tcPr>
          <w:p w14:paraId="1F5020C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28" w:type="dxa"/>
            <w:gridSpan w:val="3"/>
            <w:tcBorders>
              <w:top w:val="single" w:sz="8" w:space="0" w:color="auto"/>
              <w:left w:val="nil"/>
              <w:bottom w:val="single" w:sz="8" w:space="0" w:color="auto"/>
              <w:right w:val="single" w:sz="8" w:space="0" w:color="000000"/>
            </w:tcBorders>
            <w:vAlign w:val="center"/>
            <w:hideMark/>
          </w:tcPr>
          <w:p w14:paraId="6005B35A"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Installed capacity and produced RES electricity </w:t>
            </w:r>
          </w:p>
        </w:tc>
      </w:tr>
      <w:tr w:rsidR="00614438" w:rsidRPr="003E0710" w14:paraId="1DB68240" w14:textId="77777777" w:rsidTr="00614438">
        <w:trPr>
          <w:gridAfter w:val="1"/>
          <w:wAfter w:w="222" w:type="dxa"/>
          <w:trHeight w:val="287"/>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0584068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28" w:type="dxa"/>
            <w:gridSpan w:val="3"/>
            <w:tcBorders>
              <w:top w:val="single" w:sz="8" w:space="0" w:color="auto"/>
              <w:left w:val="nil"/>
              <w:bottom w:val="single" w:sz="8" w:space="0" w:color="auto"/>
              <w:right w:val="single" w:sz="8" w:space="0" w:color="000000"/>
            </w:tcBorders>
            <w:vAlign w:val="center"/>
            <w:hideMark/>
          </w:tcPr>
          <w:p w14:paraId="34FA7AD3" w14:textId="77777777" w:rsidR="00614438" w:rsidRPr="003E0710" w:rsidRDefault="00614438" w:rsidP="003E0710">
            <w:pPr>
              <w:numPr>
                <w:ilvl w:val="0"/>
                <w:numId w:val="43"/>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Energy efficiency (the promoted RES technologies will deliver also primary energy savings contributing to the achievement of the relevant targets)</w:t>
            </w:r>
          </w:p>
          <w:p w14:paraId="0846C314" w14:textId="77777777" w:rsidR="00614438" w:rsidRPr="003E0710" w:rsidRDefault="00614438" w:rsidP="003E0710">
            <w:pPr>
              <w:numPr>
                <w:ilvl w:val="0"/>
                <w:numId w:val="43"/>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Energy security (the penetration of RES technologies will reduce the energy import dependency from third countries and increase the deployment of domestic energy sources)</w:t>
            </w:r>
          </w:p>
        </w:tc>
      </w:tr>
      <w:tr w:rsidR="00614438" w:rsidRPr="003E0710" w14:paraId="2C25081C" w14:textId="77777777" w:rsidTr="00614438">
        <w:trPr>
          <w:gridAfter w:val="1"/>
          <w:wAfter w:w="222" w:type="dxa"/>
          <w:trHeight w:val="458"/>
        </w:trPr>
        <w:tc>
          <w:tcPr>
            <w:tcW w:w="3330" w:type="dxa"/>
            <w:vMerge w:val="restart"/>
            <w:tcBorders>
              <w:top w:val="nil"/>
              <w:left w:val="single" w:sz="8" w:space="0" w:color="auto"/>
              <w:bottom w:val="single" w:sz="8" w:space="0" w:color="000000"/>
              <w:right w:val="single" w:sz="8" w:space="0" w:color="auto"/>
            </w:tcBorders>
            <w:shd w:val="clear" w:color="auto" w:fill="244062"/>
            <w:vAlign w:val="center"/>
            <w:hideMark/>
          </w:tcPr>
          <w:p w14:paraId="7DAF9CA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28"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5189BFC"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1FEC6734"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23B4F3CA"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FF94926"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49781C8F"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7A7C69F"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4B3FF3C8"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F781AD7"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6DAAAC7A"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410188A2" w14:textId="77777777" w:rsidTr="00614438">
        <w:trPr>
          <w:trHeight w:val="33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0A7B96C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28" w:type="dxa"/>
            <w:gridSpan w:val="3"/>
            <w:tcBorders>
              <w:top w:val="single" w:sz="8" w:space="0" w:color="auto"/>
              <w:left w:val="nil"/>
              <w:bottom w:val="single" w:sz="8" w:space="0" w:color="auto"/>
              <w:right w:val="single" w:sz="8" w:space="0" w:color="000000"/>
            </w:tcBorders>
            <w:vAlign w:val="center"/>
            <w:hideMark/>
          </w:tcPr>
          <w:p w14:paraId="42553CE5" w14:textId="77777777" w:rsidR="00614438" w:rsidRPr="003E0710" w:rsidRDefault="00614438" w:rsidP="003E0710">
            <w:pPr>
              <w:numPr>
                <w:ilvl w:val="0"/>
                <w:numId w:val="44"/>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the use of renewable energy sources</w:t>
            </w:r>
          </w:p>
        </w:tc>
        <w:tc>
          <w:tcPr>
            <w:tcW w:w="222" w:type="dxa"/>
            <w:vAlign w:val="center"/>
            <w:hideMark/>
          </w:tcPr>
          <w:p w14:paraId="5B0DF1C9"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0E32FBB4" w14:textId="77777777" w:rsidTr="00614438">
        <w:trPr>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72E375C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28" w:type="dxa"/>
            <w:gridSpan w:val="3"/>
            <w:tcBorders>
              <w:top w:val="single" w:sz="8" w:space="0" w:color="auto"/>
              <w:left w:val="nil"/>
              <w:bottom w:val="single" w:sz="8" w:space="0" w:color="auto"/>
              <w:right w:val="single" w:sz="8" w:space="0" w:color="000000"/>
            </w:tcBorders>
            <w:vAlign w:val="center"/>
            <w:hideMark/>
          </w:tcPr>
          <w:p w14:paraId="1B2B609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3.0 B€</w:t>
            </w:r>
          </w:p>
        </w:tc>
        <w:tc>
          <w:tcPr>
            <w:tcW w:w="222" w:type="dxa"/>
            <w:vAlign w:val="center"/>
            <w:hideMark/>
          </w:tcPr>
          <w:p w14:paraId="6A24508C"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5CA75031" w14:textId="77777777" w:rsidTr="00614438">
        <w:trPr>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54EEF0F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28" w:type="dxa"/>
            <w:gridSpan w:val="3"/>
            <w:tcBorders>
              <w:top w:val="single" w:sz="8" w:space="0" w:color="auto"/>
              <w:left w:val="nil"/>
              <w:bottom w:val="single" w:sz="8" w:space="0" w:color="auto"/>
              <w:right w:val="single" w:sz="8" w:space="0" w:color="000000"/>
            </w:tcBorders>
            <w:vAlign w:val="center"/>
            <w:hideMark/>
          </w:tcPr>
          <w:p w14:paraId="6DA040D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Own funds that will be compensated through the operational aid</w:t>
            </w:r>
          </w:p>
        </w:tc>
        <w:tc>
          <w:tcPr>
            <w:tcW w:w="222" w:type="dxa"/>
            <w:vAlign w:val="center"/>
            <w:hideMark/>
          </w:tcPr>
          <w:p w14:paraId="37E4B959" w14:textId="77777777" w:rsidR="00614438" w:rsidRPr="003E0710" w:rsidRDefault="00614438" w:rsidP="003E0710">
            <w:pPr>
              <w:spacing w:after="0"/>
              <w:jc w:val="both"/>
              <w:rPr>
                <w:rFonts w:ascii="Times New Roman" w:hAnsi="Times New Roman" w:cs="Times New Roman"/>
                <w:sz w:val="20"/>
                <w:szCs w:val="20"/>
                <w:lang w:val="en-GB"/>
              </w:rPr>
            </w:pPr>
          </w:p>
        </w:tc>
      </w:tr>
    </w:tbl>
    <w:p w14:paraId="19BC3EDF"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26"/>
        <w:gridCol w:w="950"/>
        <w:gridCol w:w="945"/>
        <w:gridCol w:w="4237"/>
        <w:gridCol w:w="222"/>
      </w:tblGrid>
      <w:tr w:rsidR="00614438" w:rsidRPr="003E0710" w14:paraId="3B897E4C" w14:textId="77777777" w:rsidTr="00614438">
        <w:trPr>
          <w:gridAfter w:val="1"/>
          <w:wAfter w:w="222" w:type="dxa"/>
          <w:trHeight w:val="780"/>
        </w:trPr>
        <w:tc>
          <w:tcPr>
            <w:tcW w:w="3329"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65C4A70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41" w:type="dxa"/>
            <w:tcBorders>
              <w:top w:val="single" w:sz="8" w:space="0" w:color="auto"/>
              <w:left w:val="nil"/>
              <w:bottom w:val="single" w:sz="8" w:space="0" w:color="auto"/>
              <w:right w:val="single" w:sz="8" w:space="0" w:color="auto"/>
            </w:tcBorders>
            <w:shd w:val="clear" w:color="auto" w:fill="E7E6E6" w:themeFill="background2"/>
            <w:vAlign w:val="center"/>
            <w:hideMark/>
          </w:tcPr>
          <w:p w14:paraId="4448DCA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PM_D20</w:t>
            </w:r>
          </w:p>
        </w:tc>
        <w:tc>
          <w:tcPr>
            <w:tcW w:w="946" w:type="dxa"/>
            <w:tcBorders>
              <w:top w:val="single" w:sz="8" w:space="0" w:color="auto"/>
              <w:left w:val="nil"/>
              <w:bottom w:val="single" w:sz="8" w:space="0" w:color="auto"/>
              <w:right w:val="single" w:sz="8" w:space="0" w:color="auto"/>
            </w:tcBorders>
            <w:shd w:val="clear" w:color="auto" w:fill="244062"/>
            <w:vAlign w:val="center"/>
            <w:hideMark/>
          </w:tcPr>
          <w:p w14:paraId="3A470C4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42" w:type="dxa"/>
            <w:tcBorders>
              <w:top w:val="single" w:sz="8" w:space="0" w:color="auto"/>
              <w:left w:val="nil"/>
              <w:bottom w:val="single" w:sz="8" w:space="0" w:color="auto"/>
              <w:right w:val="single" w:sz="8" w:space="0" w:color="auto"/>
            </w:tcBorders>
            <w:shd w:val="clear" w:color="auto" w:fill="E7E6E6" w:themeFill="background2"/>
            <w:vAlign w:val="center"/>
            <w:hideMark/>
          </w:tcPr>
          <w:p w14:paraId="52AFC0E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Development of the legislative framework for the participation of the RES producers in electricity market</w:t>
            </w:r>
          </w:p>
        </w:tc>
      </w:tr>
      <w:tr w:rsidR="00614438" w:rsidRPr="003E0710" w14:paraId="1D69360C" w14:textId="77777777" w:rsidTr="00614438">
        <w:trPr>
          <w:gridAfter w:val="1"/>
          <w:wAfter w:w="222" w:type="dxa"/>
          <w:trHeight w:val="371"/>
        </w:trPr>
        <w:tc>
          <w:tcPr>
            <w:tcW w:w="3329" w:type="dxa"/>
            <w:tcBorders>
              <w:top w:val="nil"/>
              <w:left w:val="single" w:sz="8" w:space="0" w:color="auto"/>
              <w:bottom w:val="single" w:sz="8" w:space="0" w:color="auto"/>
              <w:right w:val="nil"/>
            </w:tcBorders>
            <w:shd w:val="clear" w:color="auto" w:fill="244062"/>
            <w:vAlign w:val="center"/>
            <w:hideMark/>
          </w:tcPr>
          <w:p w14:paraId="24BEEB8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29" w:type="dxa"/>
            <w:gridSpan w:val="3"/>
            <w:tcBorders>
              <w:top w:val="single" w:sz="8" w:space="0" w:color="auto"/>
              <w:left w:val="nil"/>
              <w:bottom w:val="single" w:sz="8" w:space="0" w:color="auto"/>
              <w:right w:val="single" w:sz="8" w:space="0" w:color="000000"/>
            </w:tcBorders>
            <w:vAlign w:val="center"/>
            <w:hideMark/>
          </w:tcPr>
          <w:p w14:paraId="4B5F2DB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Increase share of RES in electricity </w:t>
            </w:r>
            <w:r w:rsidR="00DE3EF6" w:rsidRPr="003E0710">
              <w:rPr>
                <w:rFonts w:ascii="Times New Roman" w:hAnsi="Times New Roman" w:cs="Times New Roman"/>
                <w:sz w:val="20"/>
                <w:szCs w:val="20"/>
                <w:lang w:val="en-GB"/>
              </w:rPr>
              <w:t>production</w:t>
            </w:r>
          </w:p>
        </w:tc>
      </w:tr>
      <w:tr w:rsidR="00614438" w:rsidRPr="003E0710" w14:paraId="7C773B50"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684B342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 xml:space="preserve">Quantified objective: </w:t>
            </w:r>
          </w:p>
        </w:tc>
        <w:tc>
          <w:tcPr>
            <w:tcW w:w="6129" w:type="dxa"/>
            <w:gridSpan w:val="3"/>
            <w:tcBorders>
              <w:top w:val="single" w:sz="8" w:space="0" w:color="auto"/>
              <w:left w:val="nil"/>
              <w:bottom w:val="single" w:sz="8" w:space="0" w:color="auto"/>
              <w:right w:val="single" w:sz="8" w:space="0" w:color="000000"/>
            </w:tcBorders>
            <w:vAlign w:val="center"/>
            <w:hideMark/>
          </w:tcPr>
          <w:p w14:paraId="281D05E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Harmonizing balancing capacity and demand</w:t>
            </w:r>
            <w:r w:rsidR="00AE5F6A" w:rsidRPr="003E0710">
              <w:rPr>
                <w:rFonts w:ascii="Times New Roman" w:hAnsi="Times New Roman" w:cs="Times New Roman"/>
                <w:sz w:val="20"/>
                <w:szCs w:val="20"/>
                <w:lang w:val="en-GB"/>
              </w:rPr>
              <w:t>,</w:t>
            </w:r>
            <w:r w:rsidRPr="003E0710">
              <w:rPr>
                <w:rFonts w:ascii="Times New Roman" w:hAnsi="Times New Roman" w:cs="Times New Roman"/>
                <w:sz w:val="20"/>
                <w:szCs w:val="20"/>
                <w:lang w:val="en-GB"/>
              </w:rPr>
              <w:t xml:space="preserve"> and reduction of the respective costs</w:t>
            </w:r>
          </w:p>
        </w:tc>
      </w:tr>
      <w:tr w:rsidR="00614438" w:rsidRPr="003E0710" w14:paraId="79535DFB" w14:textId="77777777" w:rsidTr="00614438">
        <w:trPr>
          <w:gridAfter w:val="1"/>
          <w:wAfter w:w="222" w:type="dxa"/>
          <w:trHeight w:val="1771"/>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052B5D3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29" w:type="dxa"/>
            <w:gridSpan w:val="3"/>
            <w:tcBorders>
              <w:top w:val="single" w:sz="8" w:space="0" w:color="auto"/>
              <w:left w:val="nil"/>
              <w:bottom w:val="single" w:sz="8" w:space="0" w:color="auto"/>
              <w:right w:val="single" w:sz="8" w:space="0" w:color="000000"/>
            </w:tcBorders>
            <w:vAlign w:val="center"/>
            <w:hideMark/>
          </w:tcPr>
          <w:p w14:paraId="6BA3788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PM_D20 will foster the imposition of balancing obligation to renewable energy stations so as to participate in the electricity market. The legislative framework for the participation of the renewable energy producers in electricity market will be effectively adapted, while the impact of the balancing responsibilities will be examined for the different types of renewable stations taking into consideration their installed capacity and their technical maturity. Moreover, the provided capability to fulfil the obligation by aggregators will be examined focusing on all the operational aspects so as to be applied with accuracy and transparency.</w:t>
            </w:r>
          </w:p>
        </w:tc>
      </w:tr>
      <w:tr w:rsidR="00614438" w:rsidRPr="003E0710" w14:paraId="75CFFA26"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0E49541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29" w:type="dxa"/>
            <w:gridSpan w:val="3"/>
            <w:tcBorders>
              <w:top w:val="single" w:sz="8" w:space="0" w:color="auto"/>
              <w:left w:val="nil"/>
              <w:bottom w:val="single" w:sz="8" w:space="0" w:color="auto"/>
              <w:right w:val="single" w:sz="8" w:space="0" w:color="000000"/>
            </w:tcBorders>
            <w:vAlign w:val="center"/>
            <w:hideMark/>
          </w:tcPr>
          <w:p w14:paraId="2E2C5545" w14:textId="77777777" w:rsidR="00614438" w:rsidRPr="003E0710" w:rsidRDefault="00614438" w:rsidP="003E0710">
            <w:pPr>
              <w:spacing w:after="0"/>
              <w:jc w:val="both"/>
              <w:rPr>
                <w:rFonts w:ascii="Times New Roman" w:hAnsi="Times New Roman" w:cs="Times New Roman"/>
                <w:sz w:val="20"/>
                <w:szCs w:val="20"/>
              </w:rPr>
            </w:pPr>
            <w:r w:rsidRPr="003E0710">
              <w:rPr>
                <w:rFonts w:ascii="Times New Roman" w:hAnsi="Times New Roman" w:cs="Times New Roman"/>
                <w:sz w:val="20"/>
                <w:szCs w:val="20"/>
                <w:lang w:val="en-GB"/>
              </w:rPr>
              <w:t>202</w:t>
            </w:r>
            <w:r w:rsidR="00DE3EF6" w:rsidRPr="003E0710">
              <w:rPr>
                <w:rFonts w:ascii="Times New Roman" w:hAnsi="Times New Roman" w:cs="Times New Roman"/>
                <w:sz w:val="20"/>
                <w:szCs w:val="20"/>
                <w:lang w:val="en-GB"/>
              </w:rPr>
              <w:t>4</w:t>
            </w:r>
            <w:r w:rsidRPr="003E0710">
              <w:rPr>
                <w:rFonts w:ascii="Times New Roman" w:hAnsi="Times New Roman" w:cs="Times New Roman"/>
                <w:sz w:val="20"/>
                <w:szCs w:val="20"/>
                <w:lang w:val="en-GB"/>
              </w:rPr>
              <w:t>-20</w:t>
            </w:r>
            <w:r w:rsidRPr="003E0710">
              <w:rPr>
                <w:rFonts w:ascii="Times New Roman" w:hAnsi="Times New Roman" w:cs="Times New Roman"/>
                <w:sz w:val="20"/>
                <w:szCs w:val="20"/>
              </w:rPr>
              <w:t>26</w:t>
            </w:r>
          </w:p>
        </w:tc>
      </w:tr>
      <w:tr w:rsidR="00614438" w:rsidRPr="003E0710" w14:paraId="3DF664BA"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46BC8BF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29" w:type="dxa"/>
            <w:gridSpan w:val="3"/>
            <w:tcBorders>
              <w:top w:val="single" w:sz="8" w:space="0" w:color="auto"/>
              <w:left w:val="nil"/>
              <w:bottom w:val="single" w:sz="8" w:space="0" w:color="auto"/>
              <w:right w:val="single" w:sz="8" w:space="0" w:color="000000"/>
            </w:tcBorders>
            <w:vAlign w:val="center"/>
            <w:hideMark/>
          </w:tcPr>
          <w:p w14:paraId="4A51C4C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Regulatory</w:t>
            </w:r>
          </w:p>
        </w:tc>
      </w:tr>
      <w:tr w:rsidR="00614438" w:rsidRPr="003E0710" w14:paraId="07282E50"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3082FF0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29" w:type="dxa"/>
            <w:gridSpan w:val="3"/>
            <w:tcBorders>
              <w:top w:val="single" w:sz="8" w:space="0" w:color="auto"/>
              <w:left w:val="nil"/>
              <w:bottom w:val="single" w:sz="8" w:space="0" w:color="auto"/>
              <w:right w:val="single" w:sz="8" w:space="0" w:color="000000"/>
            </w:tcBorders>
            <w:vAlign w:val="center"/>
            <w:hideMark/>
          </w:tcPr>
          <w:p w14:paraId="2C7E5FA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Electricity </w:t>
            </w:r>
          </w:p>
        </w:tc>
      </w:tr>
      <w:tr w:rsidR="00614438" w:rsidRPr="003E0710" w14:paraId="7E344D2C"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2B855FB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29" w:type="dxa"/>
            <w:gridSpan w:val="3"/>
            <w:tcBorders>
              <w:top w:val="single" w:sz="8" w:space="0" w:color="auto"/>
              <w:left w:val="nil"/>
              <w:bottom w:val="single" w:sz="8" w:space="0" w:color="auto"/>
              <w:right w:val="single" w:sz="8" w:space="0" w:color="000000"/>
            </w:tcBorders>
            <w:vAlign w:val="center"/>
            <w:hideMark/>
          </w:tcPr>
          <w:p w14:paraId="36B5F993"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Mining and Energy</w:t>
            </w:r>
          </w:p>
        </w:tc>
      </w:tr>
      <w:tr w:rsidR="00614438" w:rsidRPr="003E0710" w14:paraId="1E9E5226" w14:textId="77777777" w:rsidTr="00614438">
        <w:trPr>
          <w:gridAfter w:val="1"/>
          <w:wAfter w:w="222" w:type="dxa"/>
          <w:trHeight w:val="315"/>
        </w:trPr>
        <w:tc>
          <w:tcPr>
            <w:tcW w:w="3329" w:type="dxa"/>
            <w:tcBorders>
              <w:top w:val="nil"/>
              <w:left w:val="single" w:sz="8" w:space="0" w:color="auto"/>
              <w:bottom w:val="single" w:sz="8" w:space="0" w:color="auto"/>
              <w:right w:val="nil"/>
            </w:tcBorders>
            <w:shd w:val="clear" w:color="auto" w:fill="244062"/>
            <w:vAlign w:val="center"/>
            <w:hideMark/>
          </w:tcPr>
          <w:p w14:paraId="378189D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29" w:type="dxa"/>
            <w:gridSpan w:val="3"/>
            <w:tcBorders>
              <w:top w:val="single" w:sz="8" w:space="0" w:color="auto"/>
              <w:left w:val="nil"/>
              <w:bottom w:val="single" w:sz="8" w:space="0" w:color="auto"/>
              <w:right w:val="single" w:sz="8" w:space="0" w:color="000000"/>
            </w:tcBorders>
            <w:vAlign w:val="center"/>
            <w:hideMark/>
          </w:tcPr>
          <w:p w14:paraId="7F91FCDB"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w:t>
            </w:r>
          </w:p>
        </w:tc>
      </w:tr>
      <w:tr w:rsidR="00614438" w:rsidRPr="003E0710" w14:paraId="1509D8FC" w14:textId="77777777" w:rsidTr="00614438">
        <w:trPr>
          <w:gridAfter w:val="1"/>
          <w:wAfter w:w="222" w:type="dxa"/>
          <w:trHeight w:val="315"/>
        </w:trPr>
        <w:tc>
          <w:tcPr>
            <w:tcW w:w="3329" w:type="dxa"/>
            <w:tcBorders>
              <w:top w:val="nil"/>
              <w:left w:val="single" w:sz="8" w:space="0" w:color="auto"/>
              <w:bottom w:val="single" w:sz="8" w:space="0" w:color="auto"/>
              <w:right w:val="nil"/>
            </w:tcBorders>
            <w:shd w:val="clear" w:color="auto" w:fill="244062"/>
            <w:vAlign w:val="center"/>
            <w:hideMark/>
          </w:tcPr>
          <w:p w14:paraId="3AC2478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29" w:type="dxa"/>
            <w:gridSpan w:val="3"/>
            <w:tcBorders>
              <w:top w:val="single" w:sz="8" w:space="0" w:color="auto"/>
              <w:left w:val="nil"/>
              <w:bottom w:val="single" w:sz="8" w:space="0" w:color="auto"/>
              <w:right w:val="single" w:sz="8" w:space="0" w:color="000000"/>
            </w:tcBorders>
            <w:vAlign w:val="center"/>
            <w:hideMark/>
          </w:tcPr>
          <w:p w14:paraId="4A4004ED"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Development of legislative and regulatory framework</w:t>
            </w:r>
          </w:p>
        </w:tc>
      </w:tr>
      <w:tr w:rsidR="00614438" w:rsidRPr="003E0710" w14:paraId="444C2166" w14:textId="77777777" w:rsidTr="00614438">
        <w:trPr>
          <w:gridAfter w:val="1"/>
          <w:wAfter w:w="222" w:type="dxa"/>
          <w:trHeight w:val="159"/>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35D5E9B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29" w:type="dxa"/>
            <w:gridSpan w:val="3"/>
            <w:tcBorders>
              <w:top w:val="single" w:sz="8" w:space="0" w:color="auto"/>
              <w:left w:val="nil"/>
              <w:bottom w:val="single" w:sz="8" w:space="0" w:color="auto"/>
              <w:right w:val="single" w:sz="8" w:space="0" w:color="000000"/>
            </w:tcBorders>
            <w:vAlign w:val="center"/>
            <w:hideMark/>
          </w:tcPr>
          <w:p w14:paraId="6A737408"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efficiency (the promoted RES technologies will deliver also primary energy savings contributing to the achievement of the relevant targets)</w:t>
            </w:r>
          </w:p>
          <w:p w14:paraId="6A374858"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security (the penetration of RES technologies will reduce the energy import dependency from third countries and increase the deployment of domestic energy sources)</w:t>
            </w:r>
          </w:p>
          <w:p w14:paraId="65DF5852"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Internal energy market (the penetration of RES technologies will reinforce the market integration and coupling and ensure electricity system adequacy and flexibility)</w:t>
            </w:r>
          </w:p>
        </w:tc>
      </w:tr>
      <w:tr w:rsidR="00614438" w:rsidRPr="003E0710" w14:paraId="70E6AD5B" w14:textId="77777777" w:rsidTr="00614438">
        <w:trPr>
          <w:gridAfter w:val="1"/>
          <w:wAfter w:w="222" w:type="dxa"/>
          <w:trHeight w:val="458"/>
        </w:trPr>
        <w:tc>
          <w:tcPr>
            <w:tcW w:w="3329" w:type="dxa"/>
            <w:vMerge w:val="restart"/>
            <w:tcBorders>
              <w:top w:val="nil"/>
              <w:left w:val="single" w:sz="8" w:space="0" w:color="auto"/>
              <w:bottom w:val="single" w:sz="8" w:space="0" w:color="000000"/>
              <w:right w:val="single" w:sz="8" w:space="0" w:color="auto"/>
            </w:tcBorders>
            <w:shd w:val="clear" w:color="auto" w:fill="244062"/>
            <w:vAlign w:val="center"/>
            <w:hideMark/>
          </w:tcPr>
          <w:p w14:paraId="37AA173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29"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348F4DE"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1DEC23D8"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5C956B8D"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B4BE4D9"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599756DC"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1AA618CA"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0727DADB"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F03BEAE"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6DB6D8BF"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4BA68973" w14:textId="77777777" w:rsidTr="00614438">
        <w:trPr>
          <w:trHeight w:val="391"/>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7111CB8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29" w:type="dxa"/>
            <w:gridSpan w:val="3"/>
            <w:tcBorders>
              <w:top w:val="single" w:sz="8" w:space="0" w:color="auto"/>
              <w:left w:val="nil"/>
              <w:bottom w:val="single" w:sz="8" w:space="0" w:color="auto"/>
              <w:right w:val="single" w:sz="8" w:space="0" w:color="000000"/>
            </w:tcBorders>
            <w:vAlign w:val="center"/>
            <w:hideMark/>
          </w:tcPr>
          <w:p w14:paraId="52BA0B8E"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Energy</w:t>
            </w:r>
          </w:p>
          <w:p w14:paraId="465A16D6"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the use of renewable energy sources</w:t>
            </w:r>
          </w:p>
        </w:tc>
        <w:tc>
          <w:tcPr>
            <w:tcW w:w="222" w:type="dxa"/>
            <w:vAlign w:val="center"/>
            <w:hideMark/>
          </w:tcPr>
          <w:p w14:paraId="092AD7D4"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6F39AF44" w14:textId="77777777" w:rsidTr="00614438">
        <w:trPr>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4EF3EBC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29" w:type="dxa"/>
            <w:gridSpan w:val="3"/>
            <w:tcBorders>
              <w:top w:val="single" w:sz="8" w:space="0" w:color="auto"/>
              <w:left w:val="nil"/>
              <w:bottom w:val="single" w:sz="8" w:space="0" w:color="auto"/>
              <w:right w:val="single" w:sz="8" w:space="0" w:color="000000"/>
            </w:tcBorders>
            <w:vAlign w:val="center"/>
            <w:hideMark/>
          </w:tcPr>
          <w:p w14:paraId="7EA8F37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0.2 M€</w:t>
            </w:r>
          </w:p>
        </w:tc>
        <w:tc>
          <w:tcPr>
            <w:tcW w:w="222" w:type="dxa"/>
            <w:vAlign w:val="center"/>
            <w:hideMark/>
          </w:tcPr>
          <w:p w14:paraId="329091E4"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03C1047" w14:textId="77777777" w:rsidTr="00614438">
        <w:trPr>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1305C2E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29" w:type="dxa"/>
            <w:gridSpan w:val="3"/>
            <w:tcBorders>
              <w:top w:val="single" w:sz="8" w:space="0" w:color="auto"/>
              <w:left w:val="nil"/>
              <w:bottom w:val="single" w:sz="8" w:space="0" w:color="auto"/>
              <w:right w:val="single" w:sz="8" w:space="0" w:color="000000"/>
            </w:tcBorders>
            <w:vAlign w:val="center"/>
            <w:hideMark/>
          </w:tcPr>
          <w:p w14:paraId="5F140EC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1F880532" w14:textId="77777777" w:rsidR="00614438" w:rsidRPr="003E0710" w:rsidRDefault="00614438" w:rsidP="003E0710">
            <w:pPr>
              <w:spacing w:after="0"/>
              <w:jc w:val="both"/>
              <w:rPr>
                <w:rFonts w:ascii="Times New Roman" w:hAnsi="Times New Roman" w:cs="Times New Roman"/>
                <w:sz w:val="20"/>
                <w:szCs w:val="20"/>
                <w:lang w:val="en-GB"/>
              </w:rPr>
            </w:pPr>
          </w:p>
        </w:tc>
      </w:tr>
    </w:tbl>
    <w:p w14:paraId="5B4947B6"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27"/>
        <w:gridCol w:w="950"/>
        <w:gridCol w:w="945"/>
        <w:gridCol w:w="4236"/>
        <w:gridCol w:w="222"/>
      </w:tblGrid>
      <w:tr w:rsidR="00614438" w:rsidRPr="003E0710" w14:paraId="43C9265F" w14:textId="77777777" w:rsidTr="00614438">
        <w:trPr>
          <w:gridAfter w:val="1"/>
          <w:wAfter w:w="222" w:type="dxa"/>
          <w:trHeight w:val="780"/>
        </w:trPr>
        <w:tc>
          <w:tcPr>
            <w:tcW w:w="3330"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550FBB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40" w:type="dxa"/>
            <w:tcBorders>
              <w:top w:val="single" w:sz="8" w:space="0" w:color="auto"/>
              <w:left w:val="nil"/>
              <w:bottom w:val="single" w:sz="8" w:space="0" w:color="auto"/>
              <w:right w:val="single" w:sz="8" w:space="0" w:color="auto"/>
            </w:tcBorders>
            <w:shd w:val="clear" w:color="auto" w:fill="E7E6E6" w:themeFill="background2"/>
            <w:vAlign w:val="center"/>
            <w:hideMark/>
          </w:tcPr>
          <w:p w14:paraId="2ED66DB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PM_D21</w:t>
            </w:r>
          </w:p>
        </w:tc>
        <w:tc>
          <w:tcPr>
            <w:tcW w:w="946" w:type="dxa"/>
            <w:tcBorders>
              <w:top w:val="single" w:sz="8" w:space="0" w:color="auto"/>
              <w:left w:val="nil"/>
              <w:bottom w:val="single" w:sz="8" w:space="0" w:color="auto"/>
              <w:right w:val="single" w:sz="8" w:space="0" w:color="auto"/>
            </w:tcBorders>
            <w:shd w:val="clear" w:color="auto" w:fill="244062"/>
            <w:vAlign w:val="center"/>
            <w:hideMark/>
          </w:tcPr>
          <w:p w14:paraId="733B8FB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42" w:type="dxa"/>
            <w:tcBorders>
              <w:top w:val="single" w:sz="8" w:space="0" w:color="auto"/>
              <w:left w:val="nil"/>
              <w:bottom w:val="single" w:sz="8" w:space="0" w:color="auto"/>
              <w:right w:val="single" w:sz="8" w:space="0" w:color="auto"/>
            </w:tcBorders>
            <w:shd w:val="clear" w:color="auto" w:fill="E7E6E6" w:themeFill="background2"/>
            <w:vAlign w:val="center"/>
            <w:hideMark/>
          </w:tcPr>
          <w:p w14:paraId="4F0667C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Supporting electricity production from renewable stations that will not participate into the auctions including the deployment of renewables power purchase agreements</w:t>
            </w:r>
          </w:p>
        </w:tc>
      </w:tr>
      <w:tr w:rsidR="00614438" w:rsidRPr="003E0710" w14:paraId="474C5D47" w14:textId="77777777" w:rsidTr="00614438">
        <w:trPr>
          <w:gridAfter w:val="1"/>
          <w:wAfter w:w="222" w:type="dxa"/>
          <w:trHeight w:val="385"/>
        </w:trPr>
        <w:tc>
          <w:tcPr>
            <w:tcW w:w="3330" w:type="dxa"/>
            <w:tcBorders>
              <w:top w:val="nil"/>
              <w:left w:val="single" w:sz="8" w:space="0" w:color="auto"/>
              <w:bottom w:val="single" w:sz="8" w:space="0" w:color="auto"/>
              <w:right w:val="nil"/>
            </w:tcBorders>
            <w:shd w:val="clear" w:color="auto" w:fill="244062"/>
            <w:vAlign w:val="center"/>
            <w:hideMark/>
          </w:tcPr>
          <w:p w14:paraId="16D1F0D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28" w:type="dxa"/>
            <w:gridSpan w:val="3"/>
            <w:tcBorders>
              <w:top w:val="single" w:sz="8" w:space="0" w:color="auto"/>
              <w:left w:val="nil"/>
              <w:bottom w:val="single" w:sz="8" w:space="0" w:color="auto"/>
              <w:right w:val="single" w:sz="8" w:space="0" w:color="000000"/>
            </w:tcBorders>
            <w:vAlign w:val="center"/>
            <w:hideMark/>
          </w:tcPr>
          <w:p w14:paraId="0F122CC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Increase share of RES in electricity </w:t>
            </w:r>
          </w:p>
        </w:tc>
      </w:tr>
      <w:tr w:rsidR="00614438" w:rsidRPr="003E0710" w14:paraId="6B4019B3"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57A3533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28" w:type="dxa"/>
            <w:gridSpan w:val="3"/>
            <w:tcBorders>
              <w:top w:val="single" w:sz="8" w:space="0" w:color="auto"/>
              <w:left w:val="nil"/>
              <w:bottom w:val="single" w:sz="8" w:space="0" w:color="auto"/>
              <w:right w:val="single" w:sz="8" w:space="0" w:color="000000"/>
            </w:tcBorders>
            <w:vAlign w:val="center"/>
            <w:hideMark/>
          </w:tcPr>
          <w:p w14:paraId="2FBC70CC" w14:textId="77777777" w:rsidR="00614438" w:rsidRPr="003E0710" w:rsidRDefault="00AE5F6A"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Approximately</w:t>
            </w:r>
            <w:r w:rsidR="00614438" w:rsidRPr="003E0710">
              <w:rPr>
                <w:rFonts w:ascii="Times New Roman" w:hAnsi="Times New Roman" w:cs="Times New Roman"/>
                <w:sz w:val="20"/>
                <w:szCs w:val="20"/>
                <w:lang w:val="en-GB"/>
              </w:rPr>
              <w:t xml:space="preserve"> 0.5 GW of photovoltaic systems will be supported by PM_D21 in combination with PM_D26</w:t>
            </w:r>
          </w:p>
        </w:tc>
      </w:tr>
      <w:tr w:rsidR="00614438" w:rsidRPr="003E0710" w14:paraId="789BAE57" w14:textId="77777777" w:rsidTr="00614438">
        <w:trPr>
          <w:gridAfter w:val="1"/>
          <w:wAfter w:w="222" w:type="dxa"/>
          <w:trHeight w:val="712"/>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1526CED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28" w:type="dxa"/>
            <w:gridSpan w:val="3"/>
            <w:tcBorders>
              <w:top w:val="single" w:sz="8" w:space="0" w:color="auto"/>
              <w:left w:val="nil"/>
              <w:bottom w:val="single" w:sz="8" w:space="0" w:color="auto"/>
              <w:right w:val="single" w:sz="8" w:space="0" w:color="000000"/>
            </w:tcBorders>
            <w:vAlign w:val="center"/>
            <w:hideMark/>
          </w:tcPr>
          <w:p w14:paraId="0CD97CF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PM_D21 will foresees the potential provision of operational aid to the renewable energy sources, which will not participate into the planned auctions within the framework of PM_D19, primarily for small scale-decentralized RES systems. The economic support will be differentiated for each renewable energy source separately according to their operational characteristics in order to ensure that a fair and transparent profitability will be given to the investors. A monitoring mechanism will be applied for determining the provided support for each renewable energy technology separately according to the evolution of their cost and the technological improvements and for assessing the effectiveness of the provided incentives. The support to small decentralized renewable energy systems will be designed taking into consideration the potential benefits to the </w:t>
            </w:r>
            <w:r w:rsidRPr="003E0710">
              <w:rPr>
                <w:rFonts w:ascii="Times New Roman" w:hAnsi="Times New Roman" w:cs="Times New Roman"/>
                <w:sz w:val="20"/>
                <w:szCs w:val="20"/>
                <w:lang w:val="en-GB"/>
              </w:rPr>
              <w:lastRenderedPageBreak/>
              <w:t>electricity grids, due to the avoided investments for the adaptation, enhancement and expansion of the grid networks, and supporting households as micro-investors.</w:t>
            </w:r>
          </w:p>
          <w:p w14:paraId="0E9B3944" w14:textId="77777777" w:rsidR="00A210D1"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Finally, the legislative framework for the conclusion of bilateral contracts for renewable power purchase agreements among RES suppliers and final energy consumers will be completed in order to sell produced electricity for a predefined period facilitating the further deployment of renewable energy. Towards this direction, targeted economic incentives will be explored also for the uptake of renewables power purchase agreements. </w:t>
            </w:r>
          </w:p>
          <w:p w14:paraId="73F0A80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Moreover, additional tools will be developed in order to facilitate the conclusion of the power purchase agreements (e.g. platform for arranging and monitoring the contracts, template for the contract, guidelines etc.), while the scheme of the guarantees of origin will be expanded to cover them and to provide an additional profit.</w:t>
            </w:r>
          </w:p>
          <w:p w14:paraId="726A71C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Finally, the potential regulatory and administrative barriers will be assessed so as to remove unjustified barriers to and foster their unhampered deployment. Last but not least, it will be ensured that the renewables power purchase agreements are not subject to disproportionate or discriminatory procedures or charges.</w:t>
            </w:r>
          </w:p>
        </w:tc>
      </w:tr>
      <w:tr w:rsidR="00614438" w:rsidRPr="003E0710" w14:paraId="1C3C95D4"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077C31B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Implementation Timeframe</w:t>
            </w:r>
          </w:p>
        </w:tc>
        <w:tc>
          <w:tcPr>
            <w:tcW w:w="6128" w:type="dxa"/>
            <w:gridSpan w:val="3"/>
            <w:tcBorders>
              <w:top w:val="single" w:sz="8" w:space="0" w:color="auto"/>
              <w:left w:val="nil"/>
              <w:bottom w:val="single" w:sz="8" w:space="0" w:color="auto"/>
              <w:right w:val="single" w:sz="8" w:space="0" w:color="000000"/>
            </w:tcBorders>
            <w:vAlign w:val="center"/>
            <w:hideMark/>
          </w:tcPr>
          <w:p w14:paraId="428C524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2025-2030</w:t>
            </w:r>
          </w:p>
        </w:tc>
      </w:tr>
      <w:tr w:rsidR="00614438" w:rsidRPr="003E0710" w14:paraId="5378C099"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5B4CB66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28" w:type="dxa"/>
            <w:gridSpan w:val="3"/>
            <w:tcBorders>
              <w:top w:val="single" w:sz="8" w:space="0" w:color="auto"/>
              <w:left w:val="nil"/>
              <w:bottom w:val="single" w:sz="8" w:space="0" w:color="auto"/>
              <w:right w:val="single" w:sz="8" w:space="0" w:color="000000"/>
            </w:tcBorders>
            <w:vAlign w:val="center"/>
            <w:hideMark/>
          </w:tcPr>
          <w:p w14:paraId="28FED68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 Regulatory</w:t>
            </w:r>
          </w:p>
        </w:tc>
      </w:tr>
      <w:tr w:rsidR="00614438" w:rsidRPr="003E0710" w14:paraId="1FD3788B"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5A81995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28" w:type="dxa"/>
            <w:gridSpan w:val="3"/>
            <w:tcBorders>
              <w:top w:val="single" w:sz="8" w:space="0" w:color="auto"/>
              <w:left w:val="nil"/>
              <w:bottom w:val="single" w:sz="8" w:space="0" w:color="auto"/>
              <w:right w:val="single" w:sz="8" w:space="0" w:color="000000"/>
            </w:tcBorders>
            <w:vAlign w:val="center"/>
            <w:hideMark/>
          </w:tcPr>
          <w:p w14:paraId="38E40D0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Electricity </w:t>
            </w:r>
          </w:p>
        </w:tc>
      </w:tr>
      <w:tr w:rsidR="00614438" w:rsidRPr="003E0710" w14:paraId="559A1AA1"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0EC4212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28" w:type="dxa"/>
            <w:gridSpan w:val="3"/>
            <w:tcBorders>
              <w:top w:val="single" w:sz="8" w:space="0" w:color="auto"/>
              <w:left w:val="nil"/>
              <w:bottom w:val="single" w:sz="8" w:space="0" w:color="auto"/>
              <w:right w:val="single" w:sz="8" w:space="0" w:color="000000"/>
            </w:tcBorders>
            <w:vAlign w:val="center"/>
            <w:hideMark/>
          </w:tcPr>
          <w:p w14:paraId="15396310"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Mining and Energy</w:t>
            </w:r>
          </w:p>
        </w:tc>
      </w:tr>
      <w:tr w:rsidR="00614438" w:rsidRPr="003E0710" w14:paraId="0B0A9908" w14:textId="77777777" w:rsidTr="00614438">
        <w:trPr>
          <w:gridAfter w:val="1"/>
          <w:wAfter w:w="222" w:type="dxa"/>
          <w:trHeight w:val="315"/>
        </w:trPr>
        <w:tc>
          <w:tcPr>
            <w:tcW w:w="3330" w:type="dxa"/>
            <w:tcBorders>
              <w:top w:val="nil"/>
              <w:left w:val="single" w:sz="8" w:space="0" w:color="auto"/>
              <w:bottom w:val="single" w:sz="8" w:space="0" w:color="auto"/>
              <w:right w:val="nil"/>
            </w:tcBorders>
            <w:shd w:val="clear" w:color="auto" w:fill="244062"/>
            <w:vAlign w:val="center"/>
            <w:hideMark/>
          </w:tcPr>
          <w:p w14:paraId="13FC66B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28" w:type="dxa"/>
            <w:gridSpan w:val="3"/>
            <w:tcBorders>
              <w:top w:val="single" w:sz="8" w:space="0" w:color="auto"/>
              <w:left w:val="nil"/>
              <w:bottom w:val="single" w:sz="8" w:space="0" w:color="auto"/>
              <w:right w:val="single" w:sz="8" w:space="0" w:color="000000"/>
            </w:tcBorders>
            <w:vAlign w:val="center"/>
            <w:hideMark/>
          </w:tcPr>
          <w:p w14:paraId="54FD0DE3"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w:t>
            </w:r>
          </w:p>
        </w:tc>
      </w:tr>
      <w:tr w:rsidR="00614438" w:rsidRPr="003E0710" w14:paraId="7CBC54C9" w14:textId="77777777" w:rsidTr="00614438">
        <w:trPr>
          <w:gridAfter w:val="1"/>
          <w:wAfter w:w="222" w:type="dxa"/>
          <w:trHeight w:val="315"/>
        </w:trPr>
        <w:tc>
          <w:tcPr>
            <w:tcW w:w="3330" w:type="dxa"/>
            <w:tcBorders>
              <w:top w:val="nil"/>
              <w:left w:val="single" w:sz="8" w:space="0" w:color="auto"/>
              <w:bottom w:val="single" w:sz="8" w:space="0" w:color="auto"/>
              <w:right w:val="nil"/>
            </w:tcBorders>
            <w:shd w:val="clear" w:color="auto" w:fill="244062"/>
            <w:vAlign w:val="center"/>
            <w:hideMark/>
          </w:tcPr>
          <w:p w14:paraId="309D7A0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28" w:type="dxa"/>
            <w:gridSpan w:val="3"/>
            <w:tcBorders>
              <w:top w:val="single" w:sz="8" w:space="0" w:color="auto"/>
              <w:left w:val="nil"/>
              <w:bottom w:val="single" w:sz="8" w:space="0" w:color="auto"/>
              <w:right w:val="single" w:sz="8" w:space="0" w:color="000000"/>
            </w:tcBorders>
            <w:vAlign w:val="center"/>
            <w:hideMark/>
          </w:tcPr>
          <w:p w14:paraId="245F729A"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Installed capacity and produced RES electricity</w:t>
            </w:r>
          </w:p>
        </w:tc>
      </w:tr>
      <w:tr w:rsidR="00614438" w:rsidRPr="003E0710" w14:paraId="467505D1" w14:textId="77777777" w:rsidTr="00614438">
        <w:trPr>
          <w:gridAfter w:val="1"/>
          <w:wAfter w:w="222" w:type="dxa"/>
          <w:trHeight w:val="417"/>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600D90D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28" w:type="dxa"/>
            <w:gridSpan w:val="3"/>
            <w:tcBorders>
              <w:top w:val="single" w:sz="8" w:space="0" w:color="auto"/>
              <w:left w:val="nil"/>
              <w:bottom w:val="single" w:sz="8" w:space="0" w:color="auto"/>
              <w:right w:val="single" w:sz="8" w:space="0" w:color="000000"/>
            </w:tcBorders>
            <w:vAlign w:val="center"/>
            <w:hideMark/>
          </w:tcPr>
          <w:p w14:paraId="037B5338" w14:textId="77777777" w:rsidR="00614438" w:rsidRPr="003E0710" w:rsidRDefault="00614438" w:rsidP="003E0710">
            <w:pPr>
              <w:numPr>
                <w:ilvl w:val="0"/>
                <w:numId w:val="43"/>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Energy efficiency (the promoted RES technologies will deliver also primary energy savings contributing to the achievement of the relevant targets)</w:t>
            </w:r>
          </w:p>
          <w:p w14:paraId="2D343228" w14:textId="77777777" w:rsidR="00614438" w:rsidRPr="003E0710" w:rsidRDefault="00614438" w:rsidP="003E0710">
            <w:pPr>
              <w:numPr>
                <w:ilvl w:val="0"/>
                <w:numId w:val="43"/>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Energy security (the penetration of RES technologies will reduce the energy import dependency from third countries and increase the deployment of domestic energy sources)</w:t>
            </w:r>
          </w:p>
        </w:tc>
      </w:tr>
      <w:tr w:rsidR="00614438" w:rsidRPr="003E0710" w14:paraId="2053E8C9" w14:textId="77777777" w:rsidTr="00614438">
        <w:trPr>
          <w:gridAfter w:val="1"/>
          <w:wAfter w:w="222" w:type="dxa"/>
          <w:trHeight w:val="458"/>
        </w:trPr>
        <w:tc>
          <w:tcPr>
            <w:tcW w:w="3330" w:type="dxa"/>
            <w:vMerge w:val="restart"/>
            <w:tcBorders>
              <w:top w:val="nil"/>
              <w:left w:val="single" w:sz="8" w:space="0" w:color="auto"/>
              <w:bottom w:val="single" w:sz="8" w:space="0" w:color="000000"/>
              <w:right w:val="single" w:sz="8" w:space="0" w:color="auto"/>
            </w:tcBorders>
            <w:shd w:val="clear" w:color="auto" w:fill="244062"/>
            <w:vAlign w:val="center"/>
            <w:hideMark/>
          </w:tcPr>
          <w:p w14:paraId="126D023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28"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AFB936E"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272E6312"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4E162A61"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364B064"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08CFCE6A"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5368BE85"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399B639C"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94928BF"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26ACEF65"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4E1B75EE" w14:textId="77777777" w:rsidTr="00614438">
        <w:trPr>
          <w:trHeight w:val="323"/>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7461E36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28" w:type="dxa"/>
            <w:gridSpan w:val="3"/>
            <w:tcBorders>
              <w:top w:val="single" w:sz="8" w:space="0" w:color="auto"/>
              <w:left w:val="nil"/>
              <w:bottom w:val="single" w:sz="8" w:space="0" w:color="auto"/>
              <w:right w:val="single" w:sz="8" w:space="0" w:color="000000"/>
            </w:tcBorders>
            <w:vAlign w:val="center"/>
            <w:hideMark/>
          </w:tcPr>
          <w:p w14:paraId="6A5F0179"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Energy</w:t>
            </w:r>
          </w:p>
          <w:p w14:paraId="59C86B61"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the use of renewable energy sources</w:t>
            </w:r>
          </w:p>
        </w:tc>
        <w:tc>
          <w:tcPr>
            <w:tcW w:w="222" w:type="dxa"/>
            <w:vAlign w:val="center"/>
            <w:hideMark/>
          </w:tcPr>
          <w:p w14:paraId="78CC3BB5"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29EBEAAD" w14:textId="77777777" w:rsidTr="00614438">
        <w:trPr>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0E8809F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28" w:type="dxa"/>
            <w:gridSpan w:val="3"/>
            <w:tcBorders>
              <w:top w:val="single" w:sz="8" w:space="0" w:color="auto"/>
              <w:left w:val="nil"/>
              <w:bottom w:val="single" w:sz="8" w:space="0" w:color="auto"/>
              <w:right w:val="single" w:sz="8" w:space="0" w:color="000000"/>
            </w:tcBorders>
            <w:vAlign w:val="center"/>
            <w:hideMark/>
          </w:tcPr>
          <w:p w14:paraId="13F264A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0.7 B€</w:t>
            </w:r>
          </w:p>
        </w:tc>
        <w:tc>
          <w:tcPr>
            <w:tcW w:w="222" w:type="dxa"/>
            <w:vAlign w:val="center"/>
            <w:hideMark/>
          </w:tcPr>
          <w:p w14:paraId="550B348D"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2E0740F5" w14:textId="77777777" w:rsidTr="00614438">
        <w:trPr>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5A96C67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28" w:type="dxa"/>
            <w:gridSpan w:val="3"/>
            <w:tcBorders>
              <w:top w:val="single" w:sz="8" w:space="0" w:color="auto"/>
              <w:left w:val="nil"/>
              <w:bottom w:val="single" w:sz="8" w:space="0" w:color="auto"/>
              <w:right w:val="single" w:sz="8" w:space="0" w:color="000000"/>
            </w:tcBorders>
            <w:vAlign w:val="center"/>
            <w:hideMark/>
          </w:tcPr>
          <w:p w14:paraId="65479D7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 and own funds</w:t>
            </w:r>
          </w:p>
        </w:tc>
        <w:tc>
          <w:tcPr>
            <w:tcW w:w="222" w:type="dxa"/>
            <w:vAlign w:val="center"/>
            <w:hideMark/>
          </w:tcPr>
          <w:p w14:paraId="0771A658" w14:textId="77777777" w:rsidR="00614438" w:rsidRPr="003E0710" w:rsidRDefault="00614438" w:rsidP="003E0710">
            <w:pPr>
              <w:spacing w:after="0"/>
              <w:jc w:val="both"/>
              <w:rPr>
                <w:rFonts w:ascii="Times New Roman" w:hAnsi="Times New Roman" w:cs="Times New Roman"/>
                <w:sz w:val="20"/>
                <w:szCs w:val="20"/>
                <w:lang w:val="en-GB"/>
              </w:rPr>
            </w:pPr>
          </w:p>
        </w:tc>
      </w:tr>
    </w:tbl>
    <w:p w14:paraId="6753B950"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26"/>
        <w:gridCol w:w="950"/>
        <w:gridCol w:w="945"/>
        <w:gridCol w:w="4237"/>
        <w:gridCol w:w="222"/>
      </w:tblGrid>
      <w:tr w:rsidR="00614438" w:rsidRPr="003E0710" w14:paraId="10B4DC5B" w14:textId="77777777" w:rsidTr="00614438">
        <w:trPr>
          <w:gridAfter w:val="1"/>
          <w:wAfter w:w="222" w:type="dxa"/>
          <w:trHeight w:val="780"/>
        </w:trPr>
        <w:tc>
          <w:tcPr>
            <w:tcW w:w="3329"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11F928C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40" w:type="dxa"/>
            <w:tcBorders>
              <w:top w:val="single" w:sz="8" w:space="0" w:color="auto"/>
              <w:left w:val="nil"/>
              <w:bottom w:val="single" w:sz="8" w:space="0" w:color="auto"/>
              <w:right w:val="single" w:sz="8" w:space="0" w:color="auto"/>
            </w:tcBorders>
            <w:shd w:val="clear" w:color="auto" w:fill="E7E6E6" w:themeFill="background2"/>
            <w:vAlign w:val="center"/>
            <w:hideMark/>
          </w:tcPr>
          <w:p w14:paraId="1E9D1CC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PM_D22</w:t>
            </w:r>
          </w:p>
        </w:tc>
        <w:tc>
          <w:tcPr>
            <w:tcW w:w="946" w:type="dxa"/>
            <w:tcBorders>
              <w:top w:val="single" w:sz="8" w:space="0" w:color="auto"/>
              <w:left w:val="nil"/>
              <w:bottom w:val="single" w:sz="8" w:space="0" w:color="auto"/>
              <w:right w:val="single" w:sz="8" w:space="0" w:color="auto"/>
            </w:tcBorders>
            <w:shd w:val="clear" w:color="auto" w:fill="244062"/>
            <w:vAlign w:val="center"/>
            <w:hideMark/>
          </w:tcPr>
          <w:p w14:paraId="0C66B02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43" w:type="dxa"/>
            <w:tcBorders>
              <w:top w:val="single" w:sz="8" w:space="0" w:color="auto"/>
              <w:left w:val="nil"/>
              <w:bottom w:val="single" w:sz="8" w:space="0" w:color="auto"/>
              <w:right w:val="single" w:sz="8" w:space="0" w:color="auto"/>
            </w:tcBorders>
            <w:shd w:val="clear" w:color="auto" w:fill="E7E6E6" w:themeFill="background2"/>
            <w:vAlign w:val="center"/>
            <w:hideMark/>
          </w:tcPr>
          <w:p w14:paraId="5A808D2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Provision of economic support to innovative and demonstration pilot RES projects</w:t>
            </w:r>
          </w:p>
        </w:tc>
      </w:tr>
      <w:tr w:rsidR="00614438" w:rsidRPr="003E0710" w14:paraId="031D7FC1" w14:textId="77777777" w:rsidTr="00614438">
        <w:trPr>
          <w:gridAfter w:val="1"/>
          <w:wAfter w:w="222" w:type="dxa"/>
          <w:trHeight w:val="357"/>
        </w:trPr>
        <w:tc>
          <w:tcPr>
            <w:tcW w:w="3329" w:type="dxa"/>
            <w:tcBorders>
              <w:top w:val="nil"/>
              <w:left w:val="single" w:sz="8" w:space="0" w:color="auto"/>
              <w:bottom w:val="single" w:sz="8" w:space="0" w:color="auto"/>
              <w:right w:val="nil"/>
            </w:tcBorders>
            <w:shd w:val="clear" w:color="auto" w:fill="244062"/>
            <w:vAlign w:val="center"/>
            <w:hideMark/>
          </w:tcPr>
          <w:p w14:paraId="05763CD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29" w:type="dxa"/>
            <w:gridSpan w:val="3"/>
            <w:tcBorders>
              <w:top w:val="single" w:sz="8" w:space="0" w:color="auto"/>
              <w:left w:val="nil"/>
              <w:bottom w:val="single" w:sz="8" w:space="0" w:color="auto"/>
              <w:right w:val="single" w:sz="8" w:space="0" w:color="000000"/>
            </w:tcBorders>
            <w:vAlign w:val="center"/>
            <w:hideMark/>
          </w:tcPr>
          <w:p w14:paraId="2408DD4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Increase share of RES in electricity </w:t>
            </w:r>
          </w:p>
        </w:tc>
      </w:tr>
      <w:tr w:rsidR="00614438" w:rsidRPr="003E0710" w14:paraId="487663F3"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1DBAC0D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29" w:type="dxa"/>
            <w:gridSpan w:val="3"/>
            <w:tcBorders>
              <w:top w:val="single" w:sz="8" w:space="0" w:color="auto"/>
              <w:left w:val="nil"/>
              <w:bottom w:val="single" w:sz="8" w:space="0" w:color="auto"/>
              <w:right w:val="single" w:sz="8" w:space="0" w:color="000000"/>
            </w:tcBorders>
            <w:vAlign w:val="center"/>
            <w:hideMark/>
          </w:tcPr>
          <w:p w14:paraId="2085CF8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Contribution to measure PM_D21</w:t>
            </w:r>
          </w:p>
        </w:tc>
      </w:tr>
      <w:tr w:rsidR="00614438" w:rsidRPr="003E0710" w14:paraId="171F2A34" w14:textId="77777777" w:rsidTr="00614438">
        <w:trPr>
          <w:gridAfter w:val="1"/>
          <w:wAfter w:w="222" w:type="dxa"/>
          <w:trHeight w:val="443"/>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00E5443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29" w:type="dxa"/>
            <w:gridSpan w:val="3"/>
            <w:tcBorders>
              <w:top w:val="single" w:sz="8" w:space="0" w:color="auto"/>
              <w:left w:val="nil"/>
              <w:bottom w:val="single" w:sz="8" w:space="0" w:color="auto"/>
              <w:right w:val="single" w:sz="8" w:space="0" w:color="000000"/>
            </w:tcBorders>
            <w:vAlign w:val="center"/>
            <w:hideMark/>
          </w:tcPr>
          <w:p w14:paraId="76758FEB" w14:textId="77777777" w:rsidR="00A210D1"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PM_D22 will provide financial and fiscal incentives, such as investment aid, tax exemptions or reductions, tax refunds, to innovative and demonstration projects under the precondition that they lead to a considerable increase of the national value added and address significant local energy needs. The installation of floating photovoltaics </w:t>
            </w:r>
            <w:r w:rsidR="00A210D1" w:rsidRPr="003E0710">
              <w:rPr>
                <w:rFonts w:ascii="Times New Roman" w:hAnsi="Times New Roman" w:cs="Times New Roman"/>
                <w:sz w:val="20"/>
                <w:szCs w:val="20"/>
                <w:lang w:val="en-GB"/>
              </w:rPr>
              <w:t xml:space="preserve">power plants </w:t>
            </w:r>
            <w:r w:rsidRPr="003E0710">
              <w:rPr>
                <w:rFonts w:ascii="Times New Roman" w:hAnsi="Times New Roman" w:cs="Times New Roman"/>
                <w:sz w:val="20"/>
                <w:szCs w:val="20"/>
                <w:lang w:val="en-GB"/>
              </w:rPr>
              <w:t xml:space="preserve">and vertical wind turbines, the promotion of small wind turbines, the construction of concentrated solar power plants and the development </w:t>
            </w:r>
            <w:r w:rsidR="00EC5DDF" w:rsidRPr="003E0710">
              <w:rPr>
                <w:rFonts w:ascii="Times New Roman" w:hAnsi="Times New Roman" w:cs="Times New Roman"/>
                <w:sz w:val="20"/>
                <w:szCs w:val="20"/>
                <w:lang w:val="en-GB"/>
              </w:rPr>
              <w:t xml:space="preserve">of </w:t>
            </w:r>
            <w:r w:rsidRPr="003E0710">
              <w:rPr>
                <w:rFonts w:ascii="Times New Roman" w:hAnsi="Times New Roman" w:cs="Times New Roman"/>
                <w:sz w:val="20"/>
                <w:szCs w:val="20"/>
                <w:lang w:val="en-GB"/>
              </w:rPr>
              <w:t xml:space="preserve">enhanced geothermal systems </w:t>
            </w:r>
            <w:r w:rsidR="00A210D1" w:rsidRPr="003E0710">
              <w:rPr>
                <w:rFonts w:ascii="Times New Roman" w:hAnsi="Times New Roman" w:cs="Times New Roman"/>
                <w:sz w:val="20"/>
                <w:szCs w:val="20"/>
                <w:lang w:val="en-GB"/>
              </w:rPr>
              <w:t xml:space="preserve">form a tentative list of innovative and demonstration pilot projects to be considered. Support for small </w:t>
            </w:r>
            <w:r w:rsidR="00A210D1" w:rsidRPr="003E0710">
              <w:rPr>
                <w:rFonts w:ascii="Times New Roman" w:hAnsi="Times New Roman" w:cs="Times New Roman"/>
                <w:sz w:val="20"/>
                <w:szCs w:val="20"/>
                <w:lang w:val="en-GB"/>
              </w:rPr>
              <w:lastRenderedPageBreak/>
              <w:t>decentralized renewable energy systems will also be considered taking into account the potential benefits for power grids.</w:t>
            </w:r>
          </w:p>
        </w:tc>
      </w:tr>
      <w:tr w:rsidR="00614438" w:rsidRPr="003E0710" w14:paraId="64130A9E"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21A2C74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Implementation Timeframe</w:t>
            </w:r>
          </w:p>
        </w:tc>
        <w:tc>
          <w:tcPr>
            <w:tcW w:w="6129" w:type="dxa"/>
            <w:gridSpan w:val="3"/>
            <w:tcBorders>
              <w:top w:val="single" w:sz="8" w:space="0" w:color="auto"/>
              <w:left w:val="nil"/>
              <w:bottom w:val="single" w:sz="8" w:space="0" w:color="auto"/>
              <w:right w:val="single" w:sz="8" w:space="0" w:color="000000"/>
            </w:tcBorders>
            <w:vAlign w:val="center"/>
            <w:hideMark/>
          </w:tcPr>
          <w:p w14:paraId="7CC31BE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2025-2030</w:t>
            </w:r>
          </w:p>
        </w:tc>
      </w:tr>
      <w:tr w:rsidR="00614438" w:rsidRPr="003E0710" w14:paraId="17378950"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498B402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29" w:type="dxa"/>
            <w:gridSpan w:val="3"/>
            <w:tcBorders>
              <w:top w:val="single" w:sz="8" w:space="0" w:color="auto"/>
              <w:left w:val="nil"/>
              <w:bottom w:val="single" w:sz="8" w:space="0" w:color="auto"/>
              <w:right w:val="single" w:sz="8" w:space="0" w:color="000000"/>
            </w:tcBorders>
            <w:vAlign w:val="center"/>
            <w:hideMark/>
          </w:tcPr>
          <w:p w14:paraId="7E29734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w:t>
            </w:r>
          </w:p>
        </w:tc>
      </w:tr>
      <w:tr w:rsidR="00614438" w:rsidRPr="003E0710" w14:paraId="227251BE"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489B8FE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29" w:type="dxa"/>
            <w:gridSpan w:val="3"/>
            <w:tcBorders>
              <w:top w:val="single" w:sz="8" w:space="0" w:color="auto"/>
              <w:left w:val="nil"/>
              <w:bottom w:val="single" w:sz="8" w:space="0" w:color="auto"/>
              <w:right w:val="single" w:sz="8" w:space="0" w:color="000000"/>
            </w:tcBorders>
            <w:vAlign w:val="center"/>
            <w:hideMark/>
          </w:tcPr>
          <w:p w14:paraId="12ECD34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Electricity </w:t>
            </w:r>
          </w:p>
        </w:tc>
      </w:tr>
      <w:tr w:rsidR="00614438" w:rsidRPr="003E0710" w14:paraId="5C89EC66"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16B69EA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29" w:type="dxa"/>
            <w:gridSpan w:val="3"/>
            <w:tcBorders>
              <w:top w:val="single" w:sz="8" w:space="0" w:color="auto"/>
              <w:left w:val="nil"/>
              <w:bottom w:val="single" w:sz="8" w:space="0" w:color="auto"/>
              <w:right w:val="single" w:sz="8" w:space="0" w:color="000000"/>
            </w:tcBorders>
            <w:vAlign w:val="center"/>
            <w:hideMark/>
          </w:tcPr>
          <w:p w14:paraId="76F1EC3F"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Mining and Energy</w:t>
            </w:r>
          </w:p>
          <w:p w14:paraId="3A011CD5"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Finance</w:t>
            </w:r>
          </w:p>
          <w:p w14:paraId="57BBD93D" w14:textId="77777777" w:rsidR="00614438" w:rsidRPr="003E0710" w:rsidRDefault="00614438" w:rsidP="003E0710">
            <w:pPr>
              <w:spacing w:after="0"/>
              <w:ind w:left="720"/>
              <w:jc w:val="both"/>
              <w:rPr>
                <w:rFonts w:ascii="Times New Roman" w:hAnsi="Times New Roman" w:cs="Times New Roman"/>
                <w:sz w:val="20"/>
                <w:szCs w:val="20"/>
              </w:rPr>
            </w:pPr>
          </w:p>
        </w:tc>
      </w:tr>
      <w:tr w:rsidR="00614438" w:rsidRPr="003E0710" w14:paraId="18C48F57" w14:textId="77777777" w:rsidTr="00614438">
        <w:trPr>
          <w:gridAfter w:val="1"/>
          <w:wAfter w:w="222" w:type="dxa"/>
          <w:trHeight w:val="315"/>
        </w:trPr>
        <w:tc>
          <w:tcPr>
            <w:tcW w:w="3329" w:type="dxa"/>
            <w:tcBorders>
              <w:top w:val="nil"/>
              <w:left w:val="single" w:sz="8" w:space="0" w:color="auto"/>
              <w:bottom w:val="single" w:sz="8" w:space="0" w:color="auto"/>
              <w:right w:val="nil"/>
            </w:tcBorders>
            <w:shd w:val="clear" w:color="auto" w:fill="244062"/>
            <w:vAlign w:val="center"/>
            <w:hideMark/>
          </w:tcPr>
          <w:p w14:paraId="323EECD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29" w:type="dxa"/>
            <w:gridSpan w:val="3"/>
            <w:tcBorders>
              <w:top w:val="single" w:sz="8" w:space="0" w:color="auto"/>
              <w:left w:val="nil"/>
              <w:bottom w:val="single" w:sz="8" w:space="0" w:color="auto"/>
              <w:right w:val="single" w:sz="8" w:space="0" w:color="000000"/>
            </w:tcBorders>
            <w:vAlign w:val="center"/>
            <w:hideMark/>
          </w:tcPr>
          <w:p w14:paraId="331070CF"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w:t>
            </w:r>
          </w:p>
        </w:tc>
      </w:tr>
      <w:tr w:rsidR="00614438" w:rsidRPr="003E0710" w14:paraId="4C33179B" w14:textId="77777777" w:rsidTr="00614438">
        <w:trPr>
          <w:gridAfter w:val="1"/>
          <w:wAfter w:w="222" w:type="dxa"/>
          <w:trHeight w:val="315"/>
        </w:trPr>
        <w:tc>
          <w:tcPr>
            <w:tcW w:w="3329" w:type="dxa"/>
            <w:tcBorders>
              <w:top w:val="nil"/>
              <w:left w:val="single" w:sz="8" w:space="0" w:color="auto"/>
              <w:bottom w:val="single" w:sz="8" w:space="0" w:color="auto"/>
              <w:right w:val="nil"/>
            </w:tcBorders>
            <w:shd w:val="clear" w:color="auto" w:fill="244062"/>
            <w:vAlign w:val="center"/>
            <w:hideMark/>
          </w:tcPr>
          <w:p w14:paraId="47BBC3C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29" w:type="dxa"/>
            <w:gridSpan w:val="3"/>
            <w:tcBorders>
              <w:top w:val="single" w:sz="8" w:space="0" w:color="auto"/>
              <w:left w:val="nil"/>
              <w:bottom w:val="single" w:sz="8" w:space="0" w:color="auto"/>
              <w:right w:val="single" w:sz="8" w:space="0" w:color="000000"/>
            </w:tcBorders>
            <w:vAlign w:val="center"/>
            <w:hideMark/>
          </w:tcPr>
          <w:p w14:paraId="0952E54B"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Installed capacity and produced RES electricity</w:t>
            </w:r>
          </w:p>
        </w:tc>
      </w:tr>
      <w:tr w:rsidR="00614438" w:rsidRPr="003E0710" w14:paraId="5572B2EB" w14:textId="77777777" w:rsidTr="00614438">
        <w:trPr>
          <w:gridAfter w:val="1"/>
          <w:wAfter w:w="222" w:type="dxa"/>
          <w:trHeight w:val="291"/>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5F1D795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29" w:type="dxa"/>
            <w:gridSpan w:val="3"/>
            <w:tcBorders>
              <w:top w:val="single" w:sz="8" w:space="0" w:color="auto"/>
              <w:left w:val="nil"/>
              <w:bottom w:val="single" w:sz="8" w:space="0" w:color="auto"/>
              <w:right w:val="single" w:sz="8" w:space="0" w:color="000000"/>
            </w:tcBorders>
            <w:vAlign w:val="center"/>
            <w:hideMark/>
          </w:tcPr>
          <w:p w14:paraId="08C4C4E4"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efficiency (the promoted RES technologies will deliver also primary energy savings contributing to the achievement of the relevant targets)</w:t>
            </w:r>
          </w:p>
          <w:p w14:paraId="7FC220D6"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security (the penetration of RES technologies will reduce the energy import dependency from third countries and increase the deployment of domestic energy sources)</w:t>
            </w:r>
          </w:p>
        </w:tc>
      </w:tr>
      <w:tr w:rsidR="00614438" w:rsidRPr="003E0710" w14:paraId="49C5D7F6" w14:textId="77777777" w:rsidTr="00614438">
        <w:trPr>
          <w:gridAfter w:val="1"/>
          <w:wAfter w:w="222" w:type="dxa"/>
          <w:trHeight w:val="458"/>
        </w:trPr>
        <w:tc>
          <w:tcPr>
            <w:tcW w:w="3329" w:type="dxa"/>
            <w:vMerge w:val="restart"/>
            <w:tcBorders>
              <w:top w:val="nil"/>
              <w:left w:val="single" w:sz="8" w:space="0" w:color="auto"/>
              <w:bottom w:val="single" w:sz="8" w:space="0" w:color="000000"/>
              <w:right w:val="single" w:sz="8" w:space="0" w:color="auto"/>
            </w:tcBorders>
            <w:shd w:val="clear" w:color="auto" w:fill="244062"/>
            <w:vAlign w:val="center"/>
            <w:hideMark/>
          </w:tcPr>
          <w:p w14:paraId="2C46C0E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29"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1634E76"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4C0E3C42"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45FAE311"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4E5CFD4"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3F62CAE3"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0EA8C275"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592A88FD"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FD64A05"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6AE2822C"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7614DC99" w14:textId="77777777" w:rsidTr="00614438">
        <w:trPr>
          <w:trHeight w:val="271"/>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7B38A85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29" w:type="dxa"/>
            <w:gridSpan w:val="3"/>
            <w:tcBorders>
              <w:top w:val="single" w:sz="8" w:space="0" w:color="auto"/>
              <w:left w:val="nil"/>
              <w:bottom w:val="single" w:sz="8" w:space="0" w:color="auto"/>
              <w:right w:val="single" w:sz="8" w:space="0" w:color="000000"/>
            </w:tcBorders>
            <w:vAlign w:val="center"/>
            <w:hideMark/>
          </w:tcPr>
          <w:p w14:paraId="479F0765"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the use of renewable energy sources</w:t>
            </w:r>
          </w:p>
        </w:tc>
        <w:tc>
          <w:tcPr>
            <w:tcW w:w="222" w:type="dxa"/>
            <w:vAlign w:val="center"/>
            <w:hideMark/>
          </w:tcPr>
          <w:p w14:paraId="3AEB75D9"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376109E2" w14:textId="77777777" w:rsidTr="00614438">
        <w:trPr>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195FC07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29" w:type="dxa"/>
            <w:gridSpan w:val="3"/>
            <w:tcBorders>
              <w:top w:val="single" w:sz="8" w:space="0" w:color="auto"/>
              <w:left w:val="nil"/>
              <w:bottom w:val="single" w:sz="8" w:space="0" w:color="auto"/>
              <w:right w:val="single" w:sz="8" w:space="0" w:color="000000"/>
            </w:tcBorders>
            <w:vAlign w:val="center"/>
            <w:hideMark/>
          </w:tcPr>
          <w:p w14:paraId="0967317B" w14:textId="77777777" w:rsidR="00614438" w:rsidRPr="003E0710" w:rsidRDefault="00EC5DDF"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Will b</w:t>
            </w:r>
            <w:r w:rsidR="00614438" w:rsidRPr="003E0710">
              <w:rPr>
                <w:rFonts w:ascii="Times New Roman" w:hAnsi="Times New Roman" w:cs="Times New Roman"/>
                <w:sz w:val="20"/>
                <w:szCs w:val="20"/>
                <w:lang w:val="en-GB"/>
              </w:rPr>
              <w:t>e integrated into PM_D21</w:t>
            </w:r>
          </w:p>
        </w:tc>
        <w:tc>
          <w:tcPr>
            <w:tcW w:w="222" w:type="dxa"/>
            <w:vAlign w:val="center"/>
            <w:hideMark/>
          </w:tcPr>
          <w:p w14:paraId="56E20184"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78E48209" w14:textId="77777777" w:rsidTr="00614438">
        <w:trPr>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20C4F04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29" w:type="dxa"/>
            <w:gridSpan w:val="3"/>
            <w:tcBorders>
              <w:top w:val="single" w:sz="8" w:space="0" w:color="auto"/>
              <w:left w:val="nil"/>
              <w:bottom w:val="single" w:sz="8" w:space="0" w:color="auto"/>
              <w:right w:val="single" w:sz="8" w:space="0" w:color="000000"/>
            </w:tcBorders>
            <w:vAlign w:val="center"/>
            <w:hideMark/>
          </w:tcPr>
          <w:p w14:paraId="3E42B11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1F902B94" w14:textId="77777777" w:rsidR="00614438" w:rsidRPr="003E0710" w:rsidRDefault="00614438" w:rsidP="003E0710">
            <w:pPr>
              <w:spacing w:after="0"/>
              <w:jc w:val="both"/>
              <w:rPr>
                <w:rFonts w:ascii="Times New Roman" w:hAnsi="Times New Roman" w:cs="Times New Roman"/>
                <w:sz w:val="20"/>
                <w:szCs w:val="20"/>
                <w:lang w:val="en-GB"/>
              </w:rPr>
            </w:pPr>
          </w:p>
        </w:tc>
      </w:tr>
    </w:tbl>
    <w:p w14:paraId="715D9917"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30"/>
        <w:gridCol w:w="950"/>
        <w:gridCol w:w="945"/>
        <w:gridCol w:w="4233"/>
        <w:gridCol w:w="222"/>
      </w:tblGrid>
      <w:tr w:rsidR="00614438" w:rsidRPr="003E0710" w14:paraId="450BF0F3" w14:textId="77777777" w:rsidTr="00614438">
        <w:trPr>
          <w:gridAfter w:val="1"/>
          <w:wAfter w:w="222" w:type="dxa"/>
          <w:trHeight w:val="780"/>
        </w:trPr>
        <w:tc>
          <w:tcPr>
            <w:tcW w:w="3333"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EC6F11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41" w:type="dxa"/>
            <w:tcBorders>
              <w:top w:val="single" w:sz="8" w:space="0" w:color="auto"/>
              <w:left w:val="nil"/>
              <w:bottom w:val="single" w:sz="8" w:space="0" w:color="auto"/>
              <w:right w:val="single" w:sz="8" w:space="0" w:color="auto"/>
            </w:tcBorders>
            <w:shd w:val="clear" w:color="auto" w:fill="E7E6E6" w:themeFill="background2"/>
            <w:vAlign w:val="center"/>
            <w:hideMark/>
          </w:tcPr>
          <w:p w14:paraId="211B717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PM_D23</w:t>
            </w:r>
          </w:p>
        </w:tc>
        <w:tc>
          <w:tcPr>
            <w:tcW w:w="946" w:type="dxa"/>
            <w:tcBorders>
              <w:top w:val="single" w:sz="8" w:space="0" w:color="auto"/>
              <w:left w:val="nil"/>
              <w:bottom w:val="single" w:sz="8" w:space="0" w:color="auto"/>
              <w:right w:val="single" w:sz="8" w:space="0" w:color="auto"/>
            </w:tcBorders>
            <w:shd w:val="clear" w:color="auto" w:fill="244062"/>
            <w:vAlign w:val="center"/>
            <w:hideMark/>
          </w:tcPr>
          <w:p w14:paraId="34DDD7D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38" w:type="dxa"/>
            <w:tcBorders>
              <w:top w:val="single" w:sz="8" w:space="0" w:color="auto"/>
              <w:left w:val="nil"/>
              <w:bottom w:val="single" w:sz="8" w:space="0" w:color="auto"/>
              <w:right w:val="single" w:sz="8" w:space="0" w:color="auto"/>
            </w:tcBorders>
            <w:shd w:val="clear" w:color="auto" w:fill="E7E6E6" w:themeFill="background2"/>
            <w:vAlign w:val="center"/>
            <w:hideMark/>
          </w:tcPr>
          <w:p w14:paraId="3DAD867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Fostering the further utilization of guarantees of origin for energy from RES in all end-uses</w:t>
            </w:r>
          </w:p>
        </w:tc>
      </w:tr>
      <w:tr w:rsidR="00614438" w:rsidRPr="003E0710" w14:paraId="4ECF0882" w14:textId="77777777" w:rsidTr="00614438">
        <w:trPr>
          <w:gridAfter w:val="1"/>
          <w:wAfter w:w="222" w:type="dxa"/>
          <w:trHeight w:val="321"/>
        </w:trPr>
        <w:tc>
          <w:tcPr>
            <w:tcW w:w="3333" w:type="dxa"/>
            <w:tcBorders>
              <w:top w:val="nil"/>
              <w:left w:val="single" w:sz="8" w:space="0" w:color="auto"/>
              <w:bottom w:val="single" w:sz="8" w:space="0" w:color="auto"/>
              <w:right w:val="nil"/>
            </w:tcBorders>
            <w:shd w:val="clear" w:color="auto" w:fill="244062"/>
            <w:vAlign w:val="center"/>
            <w:hideMark/>
          </w:tcPr>
          <w:p w14:paraId="762767D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25" w:type="dxa"/>
            <w:gridSpan w:val="3"/>
            <w:tcBorders>
              <w:top w:val="single" w:sz="8" w:space="0" w:color="auto"/>
              <w:left w:val="nil"/>
              <w:bottom w:val="single" w:sz="8" w:space="0" w:color="auto"/>
              <w:right w:val="single" w:sz="8" w:space="0" w:color="000000"/>
            </w:tcBorders>
            <w:vAlign w:val="center"/>
            <w:hideMark/>
          </w:tcPr>
          <w:p w14:paraId="60C709C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Increase share of RES in electricity, heating and cooling and transport</w:t>
            </w:r>
          </w:p>
        </w:tc>
      </w:tr>
      <w:tr w:rsidR="00614438" w:rsidRPr="003E0710" w14:paraId="68A2409A" w14:textId="77777777" w:rsidTr="00614438">
        <w:trPr>
          <w:gridAfter w:val="1"/>
          <w:wAfter w:w="222" w:type="dxa"/>
          <w:trHeight w:val="315"/>
        </w:trPr>
        <w:tc>
          <w:tcPr>
            <w:tcW w:w="3333" w:type="dxa"/>
            <w:tcBorders>
              <w:top w:val="nil"/>
              <w:left w:val="single" w:sz="8" w:space="0" w:color="auto"/>
              <w:bottom w:val="single" w:sz="8" w:space="0" w:color="auto"/>
              <w:right w:val="single" w:sz="8" w:space="0" w:color="auto"/>
            </w:tcBorders>
            <w:shd w:val="clear" w:color="auto" w:fill="244062"/>
            <w:vAlign w:val="center"/>
            <w:hideMark/>
          </w:tcPr>
          <w:p w14:paraId="77864EA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25" w:type="dxa"/>
            <w:gridSpan w:val="3"/>
            <w:tcBorders>
              <w:top w:val="single" w:sz="8" w:space="0" w:color="auto"/>
              <w:left w:val="nil"/>
              <w:bottom w:val="single" w:sz="8" w:space="0" w:color="auto"/>
              <w:right w:val="single" w:sz="8" w:space="0" w:color="000000"/>
            </w:tcBorders>
            <w:vAlign w:val="center"/>
            <w:hideMark/>
          </w:tcPr>
          <w:p w14:paraId="7685087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Contribution to the expected RES penetration for electricity production, heating and cooling and transport</w:t>
            </w:r>
          </w:p>
        </w:tc>
      </w:tr>
      <w:tr w:rsidR="00614438" w:rsidRPr="003E0710" w14:paraId="537B1ED9" w14:textId="77777777" w:rsidTr="00614438">
        <w:trPr>
          <w:gridAfter w:val="1"/>
          <w:wAfter w:w="222" w:type="dxa"/>
          <w:trHeight w:val="1337"/>
        </w:trPr>
        <w:tc>
          <w:tcPr>
            <w:tcW w:w="3333" w:type="dxa"/>
            <w:tcBorders>
              <w:top w:val="nil"/>
              <w:left w:val="single" w:sz="8" w:space="0" w:color="auto"/>
              <w:bottom w:val="single" w:sz="8" w:space="0" w:color="auto"/>
              <w:right w:val="single" w:sz="8" w:space="0" w:color="auto"/>
            </w:tcBorders>
            <w:shd w:val="clear" w:color="auto" w:fill="244062"/>
            <w:vAlign w:val="center"/>
            <w:hideMark/>
          </w:tcPr>
          <w:p w14:paraId="3395348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25" w:type="dxa"/>
            <w:gridSpan w:val="3"/>
            <w:tcBorders>
              <w:top w:val="single" w:sz="8" w:space="0" w:color="auto"/>
              <w:left w:val="nil"/>
              <w:bottom w:val="single" w:sz="8" w:space="0" w:color="auto"/>
              <w:right w:val="single" w:sz="8" w:space="0" w:color="000000"/>
            </w:tcBorders>
            <w:vAlign w:val="center"/>
            <w:hideMark/>
          </w:tcPr>
          <w:p w14:paraId="7E0CFE0C" w14:textId="77777777" w:rsidR="00EC5DDF" w:rsidRPr="003E0710" w:rsidRDefault="00614438" w:rsidP="003E0710">
            <w:pPr>
              <w:spacing w:after="0"/>
              <w:jc w:val="both"/>
              <w:rPr>
                <w:rFonts w:ascii="Times New Roman" w:hAnsi="Times New Roman" w:cs="Times New Roman"/>
                <w:sz w:val="20"/>
                <w:szCs w:val="20"/>
                <w:lang w:val="en-GB"/>
              </w:rPr>
            </w:pPr>
            <w:bookmarkStart w:id="133" w:name="_Hlk135853240"/>
            <w:r w:rsidRPr="003E0710">
              <w:rPr>
                <w:rFonts w:ascii="Times New Roman" w:hAnsi="Times New Roman" w:cs="Times New Roman"/>
                <w:sz w:val="20"/>
                <w:szCs w:val="20"/>
                <w:lang w:val="en-GB"/>
              </w:rPr>
              <w:t xml:space="preserve">PM_D23 will improve the guarantees of origin scheme, which is </w:t>
            </w:r>
            <w:r w:rsidR="00EC5DDF" w:rsidRPr="003E0710">
              <w:rPr>
                <w:rFonts w:ascii="Times New Roman" w:hAnsi="Times New Roman" w:cs="Times New Roman"/>
                <w:sz w:val="20"/>
                <w:szCs w:val="20"/>
                <w:lang w:val="en-GB"/>
              </w:rPr>
              <w:t xml:space="preserve">envisaged in </w:t>
            </w:r>
            <w:r w:rsidRPr="003E0710">
              <w:rPr>
                <w:rFonts w:ascii="Times New Roman" w:hAnsi="Times New Roman" w:cs="Times New Roman"/>
                <w:sz w:val="20"/>
                <w:szCs w:val="20"/>
                <w:lang w:val="en-GB"/>
              </w:rPr>
              <w:t xml:space="preserve">the </w:t>
            </w:r>
            <w:bookmarkEnd w:id="133"/>
            <w:r w:rsidR="00EC5DDF" w:rsidRPr="003E0710">
              <w:rPr>
                <w:rFonts w:ascii="Times New Roman" w:hAnsi="Times New Roman" w:cs="Times New Roman"/>
                <w:sz w:val="20"/>
                <w:szCs w:val="20"/>
                <w:lang w:val="en-GB"/>
              </w:rPr>
              <w:t>Law on the Use of Renewable Energy Sources, as an additional mechanism for environmental protection, which provides end customers with information about the share or amount of energy from renewable sources in the energy mix of suppliers and the energy delivered to consumers according to the contracts that are marketed by stating the consumption of energy from renewable sources, in an objective, transparent and non-discriminatory manner. The existing legislation will be expanded to cover not only electricity produced from RES plants, but also RES used in heating, cooling and transport. The operation of the register of guarantees of origin will be improved, which will facilitate the provision of information to all citizens. In addition, an auction scheme will be considered through which interested companies will be able to purchase guarantees of origin.</w:t>
            </w:r>
          </w:p>
        </w:tc>
      </w:tr>
      <w:tr w:rsidR="00614438" w:rsidRPr="003E0710" w14:paraId="35EEE38F" w14:textId="77777777" w:rsidTr="00614438">
        <w:trPr>
          <w:gridAfter w:val="1"/>
          <w:wAfter w:w="222" w:type="dxa"/>
          <w:trHeight w:val="315"/>
        </w:trPr>
        <w:tc>
          <w:tcPr>
            <w:tcW w:w="3333" w:type="dxa"/>
            <w:tcBorders>
              <w:top w:val="nil"/>
              <w:left w:val="single" w:sz="8" w:space="0" w:color="auto"/>
              <w:bottom w:val="single" w:sz="8" w:space="0" w:color="auto"/>
              <w:right w:val="single" w:sz="8" w:space="0" w:color="auto"/>
            </w:tcBorders>
            <w:shd w:val="clear" w:color="auto" w:fill="244062"/>
            <w:vAlign w:val="center"/>
            <w:hideMark/>
          </w:tcPr>
          <w:p w14:paraId="355B5AD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25" w:type="dxa"/>
            <w:gridSpan w:val="3"/>
            <w:tcBorders>
              <w:top w:val="single" w:sz="8" w:space="0" w:color="auto"/>
              <w:left w:val="nil"/>
              <w:bottom w:val="single" w:sz="8" w:space="0" w:color="auto"/>
              <w:right w:val="single" w:sz="8" w:space="0" w:color="000000"/>
            </w:tcBorders>
            <w:vAlign w:val="center"/>
            <w:hideMark/>
          </w:tcPr>
          <w:p w14:paraId="0CB925E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2025-2028</w:t>
            </w:r>
          </w:p>
        </w:tc>
      </w:tr>
      <w:tr w:rsidR="00614438" w:rsidRPr="003E0710" w14:paraId="586E348B" w14:textId="77777777" w:rsidTr="00614438">
        <w:trPr>
          <w:gridAfter w:val="1"/>
          <w:wAfter w:w="222" w:type="dxa"/>
          <w:trHeight w:val="315"/>
        </w:trPr>
        <w:tc>
          <w:tcPr>
            <w:tcW w:w="3333" w:type="dxa"/>
            <w:tcBorders>
              <w:top w:val="nil"/>
              <w:left w:val="single" w:sz="8" w:space="0" w:color="auto"/>
              <w:bottom w:val="single" w:sz="8" w:space="0" w:color="auto"/>
              <w:right w:val="single" w:sz="8" w:space="0" w:color="auto"/>
            </w:tcBorders>
            <w:shd w:val="clear" w:color="auto" w:fill="244062"/>
            <w:vAlign w:val="center"/>
            <w:hideMark/>
          </w:tcPr>
          <w:p w14:paraId="289CAEF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25" w:type="dxa"/>
            <w:gridSpan w:val="3"/>
            <w:tcBorders>
              <w:top w:val="single" w:sz="8" w:space="0" w:color="auto"/>
              <w:left w:val="nil"/>
              <w:bottom w:val="single" w:sz="8" w:space="0" w:color="auto"/>
              <w:right w:val="single" w:sz="8" w:space="0" w:color="000000"/>
            </w:tcBorders>
            <w:vAlign w:val="center"/>
            <w:hideMark/>
          </w:tcPr>
          <w:p w14:paraId="1DF1985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Reform</w:t>
            </w:r>
          </w:p>
        </w:tc>
      </w:tr>
      <w:tr w:rsidR="00614438" w:rsidRPr="003E0710" w14:paraId="5D97C8C1" w14:textId="77777777" w:rsidTr="00614438">
        <w:trPr>
          <w:gridAfter w:val="1"/>
          <w:wAfter w:w="222" w:type="dxa"/>
          <w:trHeight w:val="315"/>
        </w:trPr>
        <w:tc>
          <w:tcPr>
            <w:tcW w:w="3333" w:type="dxa"/>
            <w:tcBorders>
              <w:top w:val="nil"/>
              <w:left w:val="single" w:sz="8" w:space="0" w:color="auto"/>
              <w:bottom w:val="single" w:sz="8" w:space="0" w:color="auto"/>
              <w:right w:val="single" w:sz="8" w:space="0" w:color="auto"/>
            </w:tcBorders>
            <w:shd w:val="clear" w:color="auto" w:fill="244062"/>
            <w:vAlign w:val="center"/>
            <w:hideMark/>
          </w:tcPr>
          <w:p w14:paraId="16E2AAC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25" w:type="dxa"/>
            <w:gridSpan w:val="3"/>
            <w:tcBorders>
              <w:top w:val="single" w:sz="8" w:space="0" w:color="auto"/>
              <w:left w:val="nil"/>
              <w:bottom w:val="single" w:sz="8" w:space="0" w:color="auto"/>
              <w:right w:val="single" w:sz="8" w:space="0" w:color="000000"/>
            </w:tcBorders>
            <w:vAlign w:val="center"/>
            <w:hideMark/>
          </w:tcPr>
          <w:p w14:paraId="10BDD4C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All end-use sectors</w:t>
            </w:r>
          </w:p>
        </w:tc>
      </w:tr>
      <w:tr w:rsidR="00614438" w:rsidRPr="003E0710" w14:paraId="6F41CA1E" w14:textId="77777777" w:rsidTr="00614438">
        <w:trPr>
          <w:gridAfter w:val="1"/>
          <w:wAfter w:w="222" w:type="dxa"/>
          <w:trHeight w:val="315"/>
        </w:trPr>
        <w:tc>
          <w:tcPr>
            <w:tcW w:w="3333" w:type="dxa"/>
            <w:tcBorders>
              <w:top w:val="nil"/>
              <w:left w:val="single" w:sz="8" w:space="0" w:color="auto"/>
              <w:bottom w:val="single" w:sz="8" w:space="0" w:color="auto"/>
              <w:right w:val="single" w:sz="8" w:space="0" w:color="auto"/>
            </w:tcBorders>
            <w:shd w:val="clear" w:color="auto" w:fill="244062"/>
            <w:vAlign w:val="center"/>
            <w:hideMark/>
          </w:tcPr>
          <w:p w14:paraId="22FD696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25" w:type="dxa"/>
            <w:gridSpan w:val="3"/>
            <w:tcBorders>
              <w:top w:val="single" w:sz="8" w:space="0" w:color="auto"/>
              <w:left w:val="nil"/>
              <w:bottom w:val="single" w:sz="8" w:space="0" w:color="auto"/>
              <w:right w:val="single" w:sz="8" w:space="0" w:color="000000"/>
            </w:tcBorders>
            <w:vAlign w:val="center"/>
            <w:hideMark/>
          </w:tcPr>
          <w:p w14:paraId="6EC0A333"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Mining and Energy</w:t>
            </w:r>
          </w:p>
        </w:tc>
      </w:tr>
      <w:tr w:rsidR="00614438" w:rsidRPr="003E0710" w14:paraId="4E36DE79" w14:textId="77777777" w:rsidTr="00614438">
        <w:trPr>
          <w:gridAfter w:val="1"/>
          <w:wAfter w:w="222" w:type="dxa"/>
          <w:trHeight w:val="315"/>
        </w:trPr>
        <w:tc>
          <w:tcPr>
            <w:tcW w:w="3333" w:type="dxa"/>
            <w:tcBorders>
              <w:top w:val="nil"/>
              <w:left w:val="single" w:sz="8" w:space="0" w:color="auto"/>
              <w:bottom w:val="single" w:sz="8" w:space="0" w:color="auto"/>
              <w:right w:val="nil"/>
            </w:tcBorders>
            <w:shd w:val="clear" w:color="auto" w:fill="244062"/>
            <w:vAlign w:val="center"/>
            <w:hideMark/>
          </w:tcPr>
          <w:p w14:paraId="49F3E4F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25" w:type="dxa"/>
            <w:gridSpan w:val="3"/>
            <w:tcBorders>
              <w:top w:val="single" w:sz="8" w:space="0" w:color="auto"/>
              <w:left w:val="nil"/>
              <w:bottom w:val="single" w:sz="8" w:space="0" w:color="auto"/>
              <w:right w:val="single" w:sz="8" w:space="0" w:color="000000"/>
            </w:tcBorders>
            <w:vAlign w:val="center"/>
            <w:hideMark/>
          </w:tcPr>
          <w:p w14:paraId="2CA4ED78"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w:t>
            </w:r>
          </w:p>
        </w:tc>
      </w:tr>
      <w:tr w:rsidR="00614438" w:rsidRPr="003E0710" w14:paraId="4284E094" w14:textId="77777777" w:rsidTr="00614438">
        <w:trPr>
          <w:gridAfter w:val="1"/>
          <w:wAfter w:w="222" w:type="dxa"/>
          <w:trHeight w:val="315"/>
        </w:trPr>
        <w:tc>
          <w:tcPr>
            <w:tcW w:w="3333" w:type="dxa"/>
            <w:tcBorders>
              <w:top w:val="nil"/>
              <w:left w:val="single" w:sz="8" w:space="0" w:color="auto"/>
              <w:bottom w:val="single" w:sz="8" w:space="0" w:color="auto"/>
              <w:right w:val="nil"/>
            </w:tcBorders>
            <w:shd w:val="clear" w:color="auto" w:fill="244062"/>
            <w:vAlign w:val="center"/>
            <w:hideMark/>
          </w:tcPr>
          <w:p w14:paraId="2A01A58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25" w:type="dxa"/>
            <w:gridSpan w:val="3"/>
            <w:tcBorders>
              <w:top w:val="single" w:sz="8" w:space="0" w:color="auto"/>
              <w:left w:val="nil"/>
              <w:bottom w:val="single" w:sz="8" w:space="0" w:color="auto"/>
              <w:right w:val="single" w:sz="8" w:space="0" w:color="000000"/>
            </w:tcBorders>
            <w:vAlign w:val="center"/>
            <w:hideMark/>
          </w:tcPr>
          <w:p w14:paraId="1C389A51"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 xml:space="preserve">Issued guarantees of origin </w:t>
            </w:r>
          </w:p>
        </w:tc>
      </w:tr>
      <w:tr w:rsidR="00614438" w:rsidRPr="003E0710" w14:paraId="7656972F" w14:textId="77777777" w:rsidTr="00614438">
        <w:trPr>
          <w:gridAfter w:val="1"/>
          <w:wAfter w:w="222" w:type="dxa"/>
          <w:trHeight w:val="487"/>
        </w:trPr>
        <w:tc>
          <w:tcPr>
            <w:tcW w:w="3333" w:type="dxa"/>
            <w:tcBorders>
              <w:top w:val="nil"/>
              <w:left w:val="single" w:sz="8" w:space="0" w:color="auto"/>
              <w:bottom w:val="single" w:sz="8" w:space="0" w:color="auto"/>
              <w:right w:val="single" w:sz="8" w:space="0" w:color="auto"/>
            </w:tcBorders>
            <w:shd w:val="clear" w:color="auto" w:fill="244062"/>
            <w:vAlign w:val="center"/>
            <w:hideMark/>
          </w:tcPr>
          <w:p w14:paraId="7EA86EB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Other relevant Energy Union dimension(s) affected</w:t>
            </w:r>
          </w:p>
        </w:tc>
        <w:tc>
          <w:tcPr>
            <w:tcW w:w="6125" w:type="dxa"/>
            <w:gridSpan w:val="3"/>
            <w:tcBorders>
              <w:top w:val="single" w:sz="8" w:space="0" w:color="auto"/>
              <w:left w:val="nil"/>
              <w:bottom w:val="single" w:sz="8" w:space="0" w:color="auto"/>
              <w:right w:val="single" w:sz="8" w:space="0" w:color="000000"/>
            </w:tcBorders>
            <w:vAlign w:val="center"/>
            <w:hideMark/>
          </w:tcPr>
          <w:p w14:paraId="1EAC8AB2"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efficiency (the promoted RES technologies will deliver also primary energy savings contributing to the achievement of the relevant targets)</w:t>
            </w:r>
          </w:p>
          <w:p w14:paraId="5C51A042"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security (the penetration of RES technologies will reduce the energy import dependency from third countries and increase the deployment of domestic energy sources)</w:t>
            </w:r>
          </w:p>
          <w:p w14:paraId="427DFCC3"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Internal energy market (the penetration of RES technologies will reinforce marker integration and coupling)</w:t>
            </w:r>
          </w:p>
        </w:tc>
      </w:tr>
      <w:tr w:rsidR="00614438" w:rsidRPr="003E0710" w14:paraId="7976B089" w14:textId="77777777" w:rsidTr="00614438">
        <w:trPr>
          <w:gridAfter w:val="1"/>
          <w:wAfter w:w="222" w:type="dxa"/>
          <w:trHeight w:val="458"/>
        </w:trPr>
        <w:tc>
          <w:tcPr>
            <w:tcW w:w="3333" w:type="dxa"/>
            <w:vMerge w:val="restart"/>
            <w:tcBorders>
              <w:top w:val="nil"/>
              <w:left w:val="single" w:sz="8" w:space="0" w:color="auto"/>
              <w:bottom w:val="single" w:sz="8" w:space="0" w:color="000000"/>
              <w:right w:val="single" w:sz="8" w:space="0" w:color="auto"/>
            </w:tcBorders>
            <w:shd w:val="clear" w:color="auto" w:fill="244062"/>
            <w:vAlign w:val="center"/>
            <w:hideMark/>
          </w:tcPr>
          <w:p w14:paraId="72F2D7D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25"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94E3C93"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20DD8856"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595F6F81"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D458BE5"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3014967A"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568BE7B3"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6DC3FFB1"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33508D6"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74A0C3FE"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496985E3" w14:textId="77777777" w:rsidTr="00614438">
        <w:trPr>
          <w:trHeight w:val="434"/>
        </w:trPr>
        <w:tc>
          <w:tcPr>
            <w:tcW w:w="3333" w:type="dxa"/>
            <w:tcBorders>
              <w:top w:val="nil"/>
              <w:left w:val="single" w:sz="8" w:space="0" w:color="auto"/>
              <w:bottom w:val="single" w:sz="8" w:space="0" w:color="auto"/>
              <w:right w:val="single" w:sz="8" w:space="0" w:color="auto"/>
            </w:tcBorders>
            <w:shd w:val="clear" w:color="auto" w:fill="244062"/>
            <w:vAlign w:val="center"/>
            <w:hideMark/>
          </w:tcPr>
          <w:p w14:paraId="5044A4C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25" w:type="dxa"/>
            <w:gridSpan w:val="3"/>
            <w:tcBorders>
              <w:top w:val="single" w:sz="8" w:space="0" w:color="auto"/>
              <w:left w:val="nil"/>
              <w:bottom w:val="single" w:sz="8" w:space="0" w:color="auto"/>
              <w:right w:val="single" w:sz="8" w:space="0" w:color="000000"/>
            </w:tcBorders>
            <w:vAlign w:val="center"/>
            <w:hideMark/>
          </w:tcPr>
          <w:p w14:paraId="74715B13"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 xml:space="preserve">Law on the use of renewable energy sources </w:t>
            </w:r>
          </w:p>
        </w:tc>
        <w:tc>
          <w:tcPr>
            <w:tcW w:w="222" w:type="dxa"/>
            <w:vAlign w:val="center"/>
            <w:hideMark/>
          </w:tcPr>
          <w:p w14:paraId="3BBFD560"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0C9A0AA2" w14:textId="77777777" w:rsidTr="00614438">
        <w:trPr>
          <w:trHeight w:val="315"/>
        </w:trPr>
        <w:tc>
          <w:tcPr>
            <w:tcW w:w="3333" w:type="dxa"/>
            <w:tcBorders>
              <w:top w:val="nil"/>
              <w:left w:val="single" w:sz="8" w:space="0" w:color="auto"/>
              <w:bottom w:val="single" w:sz="8" w:space="0" w:color="auto"/>
              <w:right w:val="single" w:sz="8" w:space="0" w:color="auto"/>
            </w:tcBorders>
            <w:shd w:val="clear" w:color="auto" w:fill="244062"/>
            <w:vAlign w:val="center"/>
            <w:hideMark/>
          </w:tcPr>
          <w:p w14:paraId="7042304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25" w:type="dxa"/>
            <w:gridSpan w:val="3"/>
            <w:tcBorders>
              <w:top w:val="single" w:sz="8" w:space="0" w:color="auto"/>
              <w:left w:val="nil"/>
              <w:bottom w:val="single" w:sz="8" w:space="0" w:color="auto"/>
              <w:right w:val="single" w:sz="8" w:space="0" w:color="000000"/>
            </w:tcBorders>
            <w:vAlign w:val="center"/>
            <w:hideMark/>
          </w:tcPr>
          <w:p w14:paraId="3642F35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0.1 M€</w:t>
            </w:r>
          </w:p>
        </w:tc>
        <w:tc>
          <w:tcPr>
            <w:tcW w:w="222" w:type="dxa"/>
            <w:vAlign w:val="center"/>
            <w:hideMark/>
          </w:tcPr>
          <w:p w14:paraId="417DA7C5"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39292BB6" w14:textId="77777777" w:rsidTr="00614438">
        <w:trPr>
          <w:trHeight w:val="315"/>
        </w:trPr>
        <w:tc>
          <w:tcPr>
            <w:tcW w:w="3333" w:type="dxa"/>
            <w:tcBorders>
              <w:top w:val="nil"/>
              <w:left w:val="single" w:sz="8" w:space="0" w:color="auto"/>
              <w:bottom w:val="single" w:sz="8" w:space="0" w:color="auto"/>
              <w:right w:val="single" w:sz="8" w:space="0" w:color="auto"/>
            </w:tcBorders>
            <w:shd w:val="clear" w:color="auto" w:fill="244062"/>
            <w:vAlign w:val="center"/>
            <w:hideMark/>
          </w:tcPr>
          <w:p w14:paraId="0C96A91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25" w:type="dxa"/>
            <w:gridSpan w:val="3"/>
            <w:tcBorders>
              <w:top w:val="single" w:sz="8" w:space="0" w:color="auto"/>
              <w:left w:val="nil"/>
              <w:bottom w:val="single" w:sz="8" w:space="0" w:color="auto"/>
              <w:right w:val="single" w:sz="8" w:space="0" w:color="000000"/>
            </w:tcBorders>
            <w:vAlign w:val="center"/>
            <w:hideMark/>
          </w:tcPr>
          <w:p w14:paraId="0AE0BE3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and public funds</w:t>
            </w:r>
          </w:p>
        </w:tc>
        <w:tc>
          <w:tcPr>
            <w:tcW w:w="222" w:type="dxa"/>
            <w:vAlign w:val="center"/>
            <w:hideMark/>
          </w:tcPr>
          <w:p w14:paraId="6AEDA03D" w14:textId="77777777" w:rsidR="00614438" w:rsidRPr="003E0710" w:rsidRDefault="00614438" w:rsidP="003E0710">
            <w:pPr>
              <w:spacing w:after="0"/>
              <w:jc w:val="both"/>
              <w:rPr>
                <w:rFonts w:ascii="Times New Roman" w:hAnsi="Times New Roman" w:cs="Times New Roman"/>
                <w:sz w:val="20"/>
                <w:szCs w:val="20"/>
                <w:lang w:val="en-GB"/>
              </w:rPr>
            </w:pPr>
          </w:p>
        </w:tc>
      </w:tr>
    </w:tbl>
    <w:p w14:paraId="7B7EC027"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74"/>
        <w:gridCol w:w="1097"/>
        <w:gridCol w:w="936"/>
        <w:gridCol w:w="4151"/>
        <w:gridCol w:w="222"/>
      </w:tblGrid>
      <w:tr w:rsidR="00614438" w:rsidRPr="003E0710" w14:paraId="527178BB" w14:textId="77777777" w:rsidTr="00614438">
        <w:trPr>
          <w:gridAfter w:val="1"/>
          <w:wAfter w:w="222" w:type="dxa"/>
          <w:trHeight w:val="780"/>
        </w:trPr>
        <w:tc>
          <w:tcPr>
            <w:tcW w:w="3274"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489E8C9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1097" w:type="dxa"/>
            <w:tcBorders>
              <w:top w:val="single" w:sz="8" w:space="0" w:color="auto"/>
              <w:left w:val="nil"/>
              <w:bottom w:val="single" w:sz="8" w:space="0" w:color="auto"/>
              <w:right w:val="single" w:sz="8" w:space="0" w:color="auto"/>
            </w:tcBorders>
            <w:shd w:val="clear" w:color="auto" w:fill="E7E6E6" w:themeFill="background2"/>
            <w:vAlign w:val="center"/>
            <w:hideMark/>
          </w:tcPr>
          <w:p w14:paraId="0584FAA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PM_D28</w:t>
            </w:r>
          </w:p>
        </w:tc>
        <w:tc>
          <w:tcPr>
            <w:tcW w:w="936" w:type="dxa"/>
            <w:tcBorders>
              <w:top w:val="single" w:sz="8" w:space="0" w:color="auto"/>
              <w:left w:val="nil"/>
              <w:bottom w:val="single" w:sz="8" w:space="0" w:color="auto"/>
              <w:right w:val="single" w:sz="8" w:space="0" w:color="auto"/>
            </w:tcBorders>
            <w:shd w:val="clear" w:color="auto" w:fill="244062"/>
            <w:vAlign w:val="center"/>
            <w:hideMark/>
          </w:tcPr>
          <w:p w14:paraId="5990215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151" w:type="dxa"/>
            <w:tcBorders>
              <w:top w:val="single" w:sz="8" w:space="0" w:color="auto"/>
              <w:left w:val="nil"/>
              <w:bottom w:val="single" w:sz="8" w:space="0" w:color="auto"/>
              <w:right w:val="single" w:sz="8" w:space="0" w:color="auto"/>
            </w:tcBorders>
            <w:shd w:val="clear" w:color="auto" w:fill="E7E6E6" w:themeFill="background2"/>
            <w:vAlign w:val="center"/>
            <w:hideMark/>
          </w:tcPr>
          <w:p w14:paraId="095D116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Adaptation, enhancement and expansion of the grid networks for avoiding congestions and enabling the optimal penetration of RES</w:t>
            </w:r>
          </w:p>
        </w:tc>
      </w:tr>
      <w:tr w:rsidR="00614438" w:rsidRPr="003E0710" w14:paraId="14047195" w14:textId="77777777" w:rsidTr="00614438">
        <w:trPr>
          <w:gridAfter w:val="1"/>
          <w:wAfter w:w="222" w:type="dxa"/>
          <w:trHeight w:val="393"/>
        </w:trPr>
        <w:tc>
          <w:tcPr>
            <w:tcW w:w="3274" w:type="dxa"/>
            <w:tcBorders>
              <w:top w:val="nil"/>
              <w:left w:val="single" w:sz="8" w:space="0" w:color="auto"/>
              <w:bottom w:val="single" w:sz="8" w:space="0" w:color="auto"/>
              <w:right w:val="nil"/>
            </w:tcBorders>
            <w:shd w:val="clear" w:color="auto" w:fill="244062"/>
            <w:vAlign w:val="center"/>
            <w:hideMark/>
          </w:tcPr>
          <w:p w14:paraId="66316F6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84" w:type="dxa"/>
            <w:gridSpan w:val="3"/>
            <w:tcBorders>
              <w:top w:val="single" w:sz="8" w:space="0" w:color="auto"/>
              <w:left w:val="nil"/>
              <w:bottom w:val="single" w:sz="8" w:space="0" w:color="auto"/>
              <w:right w:val="single" w:sz="8" w:space="0" w:color="000000"/>
            </w:tcBorders>
            <w:vAlign w:val="center"/>
            <w:hideMark/>
          </w:tcPr>
          <w:p w14:paraId="118AC71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Increase share of RES in electricity </w:t>
            </w:r>
          </w:p>
        </w:tc>
      </w:tr>
      <w:tr w:rsidR="00614438" w:rsidRPr="003E0710" w14:paraId="4EF3F9CA" w14:textId="77777777" w:rsidTr="00614438">
        <w:trPr>
          <w:gridAfter w:val="1"/>
          <w:wAfter w:w="222" w:type="dxa"/>
          <w:trHeight w:val="315"/>
        </w:trPr>
        <w:tc>
          <w:tcPr>
            <w:tcW w:w="3274" w:type="dxa"/>
            <w:tcBorders>
              <w:top w:val="nil"/>
              <w:left w:val="single" w:sz="8" w:space="0" w:color="auto"/>
              <w:bottom w:val="single" w:sz="8" w:space="0" w:color="auto"/>
              <w:right w:val="single" w:sz="8" w:space="0" w:color="auto"/>
            </w:tcBorders>
            <w:shd w:val="clear" w:color="auto" w:fill="244062"/>
            <w:vAlign w:val="center"/>
            <w:hideMark/>
          </w:tcPr>
          <w:p w14:paraId="09862BC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84" w:type="dxa"/>
            <w:gridSpan w:val="3"/>
            <w:tcBorders>
              <w:top w:val="single" w:sz="8" w:space="0" w:color="auto"/>
              <w:left w:val="nil"/>
              <w:bottom w:val="single" w:sz="8" w:space="0" w:color="auto"/>
              <w:right w:val="single" w:sz="8" w:space="0" w:color="000000"/>
            </w:tcBorders>
            <w:vAlign w:val="center"/>
            <w:hideMark/>
          </w:tcPr>
          <w:p w14:paraId="7B49880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Contribution to the smooth and efficient operation</w:t>
            </w:r>
          </w:p>
        </w:tc>
      </w:tr>
      <w:tr w:rsidR="00614438" w:rsidRPr="003E0710" w14:paraId="41F47260" w14:textId="77777777" w:rsidTr="00614438">
        <w:trPr>
          <w:gridAfter w:val="1"/>
          <w:wAfter w:w="222" w:type="dxa"/>
          <w:trHeight w:val="2295"/>
        </w:trPr>
        <w:tc>
          <w:tcPr>
            <w:tcW w:w="3274" w:type="dxa"/>
            <w:tcBorders>
              <w:top w:val="nil"/>
              <w:left w:val="single" w:sz="8" w:space="0" w:color="auto"/>
              <w:bottom w:val="single" w:sz="8" w:space="0" w:color="auto"/>
              <w:right w:val="single" w:sz="8" w:space="0" w:color="auto"/>
            </w:tcBorders>
            <w:shd w:val="clear" w:color="auto" w:fill="244062"/>
            <w:vAlign w:val="center"/>
            <w:hideMark/>
          </w:tcPr>
          <w:p w14:paraId="00C2897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84" w:type="dxa"/>
            <w:gridSpan w:val="3"/>
            <w:tcBorders>
              <w:top w:val="single" w:sz="8" w:space="0" w:color="auto"/>
              <w:left w:val="nil"/>
              <w:bottom w:val="single" w:sz="8" w:space="0" w:color="auto"/>
              <w:right w:val="single" w:sz="8" w:space="0" w:color="000000"/>
            </w:tcBorders>
            <w:vAlign w:val="center"/>
            <w:hideMark/>
          </w:tcPr>
          <w:p w14:paraId="421F3301" w14:textId="77777777" w:rsidR="00AC0A50"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PM_D28 will facilitate the adaptation, enhancement and expansion of the grid networks in order to avoid congestions and to enable the optimal penetration of the planned renewable energy stations taking into consideration their variability according to the respective forecasts. </w:t>
            </w:r>
            <w:r w:rsidR="00AC0A50" w:rsidRPr="003E0710">
              <w:rPr>
                <w:rFonts w:ascii="Times New Roman" w:hAnsi="Times New Roman" w:cs="Times New Roman"/>
                <w:sz w:val="20"/>
                <w:szCs w:val="20"/>
                <w:lang w:val="en-GB"/>
              </w:rPr>
              <w:t>Moreover, when making decisions for the adaptation, improvement and expansion of electrical networks, system operators will continue to take into account the planned integration of renewable energy plants, whereby the costs of the necessary investments will be recovered through electricity tariffs. Finally, reactive power control and other services will be encouraged also due to the fact that they have become increasingly important for ensuring system stability, bearing in mind the withdrawal of fossil fuels and the increased use of renewable energy sources.</w:t>
            </w:r>
          </w:p>
        </w:tc>
      </w:tr>
      <w:tr w:rsidR="00614438" w:rsidRPr="003E0710" w14:paraId="5CA6B084" w14:textId="77777777" w:rsidTr="00614438">
        <w:trPr>
          <w:gridAfter w:val="1"/>
          <w:wAfter w:w="222" w:type="dxa"/>
          <w:trHeight w:val="315"/>
        </w:trPr>
        <w:tc>
          <w:tcPr>
            <w:tcW w:w="3274" w:type="dxa"/>
            <w:tcBorders>
              <w:top w:val="nil"/>
              <w:left w:val="single" w:sz="8" w:space="0" w:color="auto"/>
              <w:bottom w:val="single" w:sz="8" w:space="0" w:color="auto"/>
              <w:right w:val="single" w:sz="8" w:space="0" w:color="auto"/>
            </w:tcBorders>
            <w:shd w:val="clear" w:color="auto" w:fill="244062"/>
            <w:vAlign w:val="center"/>
            <w:hideMark/>
          </w:tcPr>
          <w:p w14:paraId="59D496F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84" w:type="dxa"/>
            <w:gridSpan w:val="3"/>
            <w:tcBorders>
              <w:top w:val="single" w:sz="8" w:space="0" w:color="auto"/>
              <w:left w:val="nil"/>
              <w:bottom w:val="single" w:sz="8" w:space="0" w:color="auto"/>
              <w:right w:val="single" w:sz="8" w:space="0" w:color="000000"/>
            </w:tcBorders>
            <w:vAlign w:val="center"/>
            <w:hideMark/>
          </w:tcPr>
          <w:p w14:paraId="4BB0E74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2025-2030</w:t>
            </w:r>
          </w:p>
        </w:tc>
      </w:tr>
      <w:tr w:rsidR="00614438" w:rsidRPr="003E0710" w14:paraId="1527CE13" w14:textId="77777777" w:rsidTr="00614438">
        <w:trPr>
          <w:gridAfter w:val="1"/>
          <w:wAfter w:w="222" w:type="dxa"/>
          <w:trHeight w:val="315"/>
        </w:trPr>
        <w:tc>
          <w:tcPr>
            <w:tcW w:w="3274" w:type="dxa"/>
            <w:tcBorders>
              <w:top w:val="nil"/>
              <w:left w:val="single" w:sz="8" w:space="0" w:color="auto"/>
              <w:bottom w:val="single" w:sz="8" w:space="0" w:color="auto"/>
              <w:right w:val="single" w:sz="8" w:space="0" w:color="auto"/>
            </w:tcBorders>
            <w:shd w:val="clear" w:color="auto" w:fill="244062"/>
            <w:vAlign w:val="center"/>
            <w:hideMark/>
          </w:tcPr>
          <w:p w14:paraId="01CEAA9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84" w:type="dxa"/>
            <w:gridSpan w:val="3"/>
            <w:tcBorders>
              <w:top w:val="single" w:sz="8" w:space="0" w:color="auto"/>
              <w:left w:val="nil"/>
              <w:bottom w:val="single" w:sz="8" w:space="0" w:color="auto"/>
              <w:right w:val="single" w:sz="8" w:space="0" w:color="000000"/>
            </w:tcBorders>
            <w:vAlign w:val="center"/>
            <w:hideMark/>
          </w:tcPr>
          <w:p w14:paraId="70735F9C" w14:textId="77777777" w:rsidR="00614438" w:rsidRPr="003E0710" w:rsidRDefault="00AC0A50"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w:t>
            </w:r>
          </w:p>
        </w:tc>
      </w:tr>
      <w:tr w:rsidR="00614438" w:rsidRPr="003E0710" w14:paraId="2893EA4C" w14:textId="77777777" w:rsidTr="00614438">
        <w:trPr>
          <w:gridAfter w:val="1"/>
          <w:wAfter w:w="222" w:type="dxa"/>
          <w:trHeight w:val="315"/>
        </w:trPr>
        <w:tc>
          <w:tcPr>
            <w:tcW w:w="3274" w:type="dxa"/>
            <w:tcBorders>
              <w:top w:val="nil"/>
              <w:left w:val="single" w:sz="8" w:space="0" w:color="auto"/>
              <w:bottom w:val="single" w:sz="8" w:space="0" w:color="auto"/>
              <w:right w:val="single" w:sz="8" w:space="0" w:color="auto"/>
            </w:tcBorders>
            <w:shd w:val="clear" w:color="auto" w:fill="244062"/>
            <w:vAlign w:val="center"/>
            <w:hideMark/>
          </w:tcPr>
          <w:p w14:paraId="331976C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84" w:type="dxa"/>
            <w:gridSpan w:val="3"/>
            <w:tcBorders>
              <w:top w:val="single" w:sz="8" w:space="0" w:color="auto"/>
              <w:left w:val="nil"/>
              <w:bottom w:val="single" w:sz="8" w:space="0" w:color="auto"/>
              <w:right w:val="single" w:sz="8" w:space="0" w:color="000000"/>
            </w:tcBorders>
            <w:vAlign w:val="center"/>
            <w:hideMark/>
          </w:tcPr>
          <w:p w14:paraId="72EDD1B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Electricity </w:t>
            </w:r>
          </w:p>
        </w:tc>
      </w:tr>
      <w:tr w:rsidR="00614438" w:rsidRPr="003E0710" w14:paraId="7AF9EDEE" w14:textId="77777777" w:rsidTr="00614438">
        <w:trPr>
          <w:gridAfter w:val="1"/>
          <w:wAfter w:w="222" w:type="dxa"/>
          <w:trHeight w:val="315"/>
        </w:trPr>
        <w:tc>
          <w:tcPr>
            <w:tcW w:w="3274" w:type="dxa"/>
            <w:tcBorders>
              <w:top w:val="nil"/>
              <w:left w:val="single" w:sz="8" w:space="0" w:color="auto"/>
              <w:bottom w:val="single" w:sz="8" w:space="0" w:color="auto"/>
              <w:right w:val="single" w:sz="8" w:space="0" w:color="auto"/>
            </w:tcBorders>
            <w:shd w:val="clear" w:color="auto" w:fill="244062"/>
            <w:vAlign w:val="center"/>
            <w:hideMark/>
          </w:tcPr>
          <w:p w14:paraId="4D9026B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84" w:type="dxa"/>
            <w:gridSpan w:val="3"/>
            <w:tcBorders>
              <w:top w:val="single" w:sz="8" w:space="0" w:color="auto"/>
              <w:left w:val="nil"/>
              <w:bottom w:val="single" w:sz="8" w:space="0" w:color="auto"/>
              <w:right w:val="single" w:sz="8" w:space="0" w:color="000000"/>
            </w:tcBorders>
            <w:vAlign w:val="center"/>
            <w:hideMark/>
          </w:tcPr>
          <w:p w14:paraId="2E2A5B21" w14:textId="77777777" w:rsidR="00614438" w:rsidRPr="003E0710" w:rsidRDefault="00614438" w:rsidP="003E0710">
            <w:pPr>
              <w:numPr>
                <w:ilvl w:val="0"/>
                <w:numId w:val="43"/>
              </w:numPr>
              <w:spacing w:after="0"/>
              <w:jc w:val="both"/>
              <w:rPr>
                <w:rFonts w:ascii="Times New Roman" w:hAnsi="Times New Roman" w:cs="Times New Roman"/>
                <w:sz w:val="20"/>
                <w:szCs w:val="20"/>
                <w:lang w:val="pt-PT"/>
              </w:rPr>
            </w:pPr>
            <w:r w:rsidRPr="003E0710">
              <w:rPr>
                <w:rFonts w:ascii="Times New Roman" w:hAnsi="Times New Roman" w:cs="Times New Roman"/>
                <w:sz w:val="20"/>
                <w:szCs w:val="20"/>
                <w:lang w:val="pt-PT"/>
              </w:rPr>
              <w:t>Elektrodistribucija Srbije d.o.o. Beograd EPS</w:t>
            </w:r>
          </w:p>
          <w:p w14:paraId="29F6C540" w14:textId="1D27FF51" w:rsidR="00614438" w:rsidRPr="003E0710" w:rsidRDefault="00AC0A50" w:rsidP="003E0710">
            <w:pPr>
              <w:numPr>
                <w:ilvl w:val="0"/>
                <w:numId w:val="43"/>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rPr>
              <w:t xml:space="preserve">JSC </w:t>
            </w:r>
            <w:r w:rsidR="00614438" w:rsidRPr="003E0710">
              <w:rPr>
                <w:rFonts w:ascii="Times New Roman" w:hAnsi="Times New Roman" w:cs="Times New Roman"/>
                <w:sz w:val="20"/>
                <w:szCs w:val="20"/>
              </w:rPr>
              <w:t>“Elektromreža Srbije“ - EMS</w:t>
            </w:r>
          </w:p>
        </w:tc>
      </w:tr>
      <w:tr w:rsidR="00614438" w:rsidRPr="003E0710" w14:paraId="6478D760" w14:textId="77777777" w:rsidTr="00614438">
        <w:trPr>
          <w:gridAfter w:val="1"/>
          <w:wAfter w:w="222" w:type="dxa"/>
          <w:trHeight w:val="315"/>
        </w:trPr>
        <w:tc>
          <w:tcPr>
            <w:tcW w:w="3274" w:type="dxa"/>
            <w:tcBorders>
              <w:top w:val="nil"/>
              <w:left w:val="single" w:sz="8" w:space="0" w:color="auto"/>
              <w:bottom w:val="single" w:sz="8" w:space="0" w:color="auto"/>
              <w:right w:val="nil"/>
            </w:tcBorders>
            <w:shd w:val="clear" w:color="auto" w:fill="244062"/>
            <w:vAlign w:val="center"/>
            <w:hideMark/>
          </w:tcPr>
          <w:p w14:paraId="6129C0D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84" w:type="dxa"/>
            <w:gridSpan w:val="3"/>
            <w:tcBorders>
              <w:top w:val="single" w:sz="8" w:space="0" w:color="auto"/>
              <w:left w:val="nil"/>
              <w:bottom w:val="single" w:sz="8" w:space="0" w:color="auto"/>
              <w:right w:val="single" w:sz="8" w:space="0" w:color="000000"/>
            </w:tcBorders>
            <w:vAlign w:val="center"/>
            <w:hideMark/>
          </w:tcPr>
          <w:p w14:paraId="19D6E76C"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w:t>
            </w:r>
          </w:p>
        </w:tc>
      </w:tr>
      <w:tr w:rsidR="00614438" w:rsidRPr="003E0710" w14:paraId="3A8500E3" w14:textId="77777777" w:rsidTr="00614438">
        <w:trPr>
          <w:gridAfter w:val="1"/>
          <w:wAfter w:w="222" w:type="dxa"/>
          <w:trHeight w:val="315"/>
        </w:trPr>
        <w:tc>
          <w:tcPr>
            <w:tcW w:w="3274" w:type="dxa"/>
            <w:tcBorders>
              <w:top w:val="nil"/>
              <w:left w:val="single" w:sz="8" w:space="0" w:color="auto"/>
              <w:bottom w:val="single" w:sz="8" w:space="0" w:color="auto"/>
              <w:right w:val="nil"/>
            </w:tcBorders>
            <w:shd w:val="clear" w:color="auto" w:fill="244062"/>
            <w:vAlign w:val="center"/>
            <w:hideMark/>
          </w:tcPr>
          <w:p w14:paraId="0AEB601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84" w:type="dxa"/>
            <w:gridSpan w:val="3"/>
            <w:tcBorders>
              <w:top w:val="single" w:sz="8" w:space="0" w:color="auto"/>
              <w:left w:val="nil"/>
              <w:bottom w:val="single" w:sz="8" w:space="0" w:color="auto"/>
              <w:right w:val="single" w:sz="8" w:space="0" w:color="000000"/>
            </w:tcBorders>
            <w:vAlign w:val="center"/>
            <w:hideMark/>
          </w:tcPr>
          <w:p w14:paraId="02D2CAAC"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Adapted, enhanced and expanded grid networks</w:t>
            </w:r>
          </w:p>
          <w:p w14:paraId="6BB5DA4F"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Developed legislative and regulatory framework </w:t>
            </w:r>
          </w:p>
        </w:tc>
      </w:tr>
      <w:tr w:rsidR="00614438" w:rsidRPr="003E0710" w14:paraId="27D5FD86" w14:textId="77777777" w:rsidTr="00614438">
        <w:trPr>
          <w:gridAfter w:val="1"/>
          <w:wAfter w:w="222" w:type="dxa"/>
          <w:trHeight w:val="377"/>
        </w:trPr>
        <w:tc>
          <w:tcPr>
            <w:tcW w:w="3274" w:type="dxa"/>
            <w:tcBorders>
              <w:top w:val="nil"/>
              <w:left w:val="single" w:sz="8" w:space="0" w:color="auto"/>
              <w:bottom w:val="single" w:sz="8" w:space="0" w:color="auto"/>
              <w:right w:val="single" w:sz="8" w:space="0" w:color="auto"/>
            </w:tcBorders>
            <w:shd w:val="clear" w:color="auto" w:fill="244062"/>
            <w:vAlign w:val="center"/>
            <w:hideMark/>
          </w:tcPr>
          <w:p w14:paraId="1B7FDC8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84" w:type="dxa"/>
            <w:gridSpan w:val="3"/>
            <w:tcBorders>
              <w:top w:val="single" w:sz="8" w:space="0" w:color="auto"/>
              <w:left w:val="nil"/>
              <w:bottom w:val="single" w:sz="8" w:space="0" w:color="auto"/>
              <w:right w:val="single" w:sz="8" w:space="0" w:color="000000"/>
            </w:tcBorders>
            <w:vAlign w:val="center"/>
            <w:hideMark/>
          </w:tcPr>
          <w:p w14:paraId="133B2B1D"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 xml:space="preserve">Energy efficiency (the promoted RES technologies will </w:t>
            </w:r>
            <w:r w:rsidR="00AC0A50" w:rsidRPr="003E0710">
              <w:rPr>
                <w:rFonts w:ascii="Times New Roman" w:hAnsi="Times New Roman" w:cs="Times New Roman"/>
                <w:sz w:val="20"/>
                <w:szCs w:val="20"/>
              </w:rPr>
              <w:t xml:space="preserve">also </w:t>
            </w:r>
            <w:r w:rsidRPr="003E0710">
              <w:rPr>
                <w:rFonts w:ascii="Times New Roman" w:hAnsi="Times New Roman" w:cs="Times New Roman"/>
                <w:sz w:val="20"/>
                <w:szCs w:val="20"/>
              </w:rPr>
              <w:t>deliver primary energy savings contributing to the achievement of the relevant targets)</w:t>
            </w:r>
          </w:p>
          <w:p w14:paraId="5FF1C0BD"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security (the penetration of RES technologies will reduce the energy import dependency from third countries and increase the deployment of domestic energy sources)</w:t>
            </w:r>
          </w:p>
          <w:p w14:paraId="587BFE42"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Internal energy market (the penetration of RES technologies will reinforce marker integration and coupling)</w:t>
            </w:r>
          </w:p>
        </w:tc>
      </w:tr>
      <w:tr w:rsidR="00614438" w:rsidRPr="003E0710" w14:paraId="2C8F45A7" w14:textId="77777777" w:rsidTr="00614438">
        <w:trPr>
          <w:gridAfter w:val="1"/>
          <w:wAfter w:w="222" w:type="dxa"/>
          <w:trHeight w:val="458"/>
        </w:trPr>
        <w:tc>
          <w:tcPr>
            <w:tcW w:w="3274" w:type="dxa"/>
            <w:vMerge w:val="restart"/>
            <w:tcBorders>
              <w:top w:val="nil"/>
              <w:left w:val="single" w:sz="8" w:space="0" w:color="auto"/>
              <w:bottom w:val="single" w:sz="8" w:space="0" w:color="000000"/>
              <w:right w:val="single" w:sz="8" w:space="0" w:color="auto"/>
            </w:tcBorders>
            <w:shd w:val="clear" w:color="auto" w:fill="244062"/>
            <w:vAlign w:val="center"/>
            <w:hideMark/>
          </w:tcPr>
          <w:p w14:paraId="576BC57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8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C831A28"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6A073F02"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0F6FD856"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0CB055A"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17992AAF"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381324FC" w14:textId="77777777" w:rsidTr="00614438">
        <w:trPr>
          <w:trHeight w:val="54"/>
        </w:trPr>
        <w:tc>
          <w:tcPr>
            <w:tcW w:w="0" w:type="auto"/>
            <w:vMerge/>
            <w:tcBorders>
              <w:top w:val="nil"/>
              <w:left w:val="single" w:sz="8" w:space="0" w:color="auto"/>
              <w:bottom w:val="single" w:sz="8" w:space="0" w:color="000000"/>
              <w:right w:val="single" w:sz="8" w:space="0" w:color="auto"/>
            </w:tcBorders>
            <w:vAlign w:val="center"/>
            <w:hideMark/>
          </w:tcPr>
          <w:p w14:paraId="33091BD9"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F7E31CA"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27490A0C"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0A2675A9" w14:textId="77777777" w:rsidTr="00614438">
        <w:trPr>
          <w:trHeight w:val="283"/>
        </w:trPr>
        <w:tc>
          <w:tcPr>
            <w:tcW w:w="3274" w:type="dxa"/>
            <w:tcBorders>
              <w:top w:val="nil"/>
              <w:left w:val="single" w:sz="8" w:space="0" w:color="auto"/>
              <w:bottom w:val="single" w:sz="8" w:space="0" w:color="auto"/>
              <w:right w:val="single" w:sz="8" w:space="0" w:color="auto"/>
            </w:tcBorders>
            <w:shd w:val="clear" w:color="auto" w:fill="244062"/>
            <w:vAlign w:val="center"/>
            <w:hideMark/>
          </w:tcPr>
          <w:p w14:paraId="517E9AF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Relevant National Planning Document (Legal, Regulatory Acts etc)</w:t>
            </w:r>
          </w:p>
        </w:tc>
        <w:tc>
          <w:tcPr>
            <w:tcW w:w="6184" w:type="dxa"/>
            <w:gridSpan w:val="3"/>
            <w:tcBorders>
              <w:top w:val="single" w:sz="8" w:space="0" w:color="auto"/>
              <w:left w:val="nil"/>
              <w:bottom w:val="single" w:sz="8" w:space="0" w:color="auto"/>
              <w:right w:val="single" w:sz="8" w:space="0" w:color="000000"/>
            </w:tcBorders>
            <w:vAlign w:val="center"/>
            <w:hideMark/>
          </w:tcPr>
          <w:p w14:paraId="010C7B4F"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Law</w:t>
            </w:r>
          </w:p>
          <w:p w14:paraId="56E33D4C"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Planning and Construction</w:t>
            </w:r>
          </w:p>
        </w:tc>
        <w:tc>
          <w:tcPr>
            <w:tcW w:w="222" w:type="dxa"/>
            <w:vAlign w:val="center"/>
            <w:hideMark/>
          </w:tcPr>
          <w:p w14:paraId="66B35DE8"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3E6F390E" w14:textId="77777777" w:rsidTr="00614438">
        <w:trPr>
          <w:trHeight w:val="315"/>
        </w:trPr>
        <w:tc>
          <w:tcPr>
            <w:tcW w:w="3274" w:type="dxa"/>
            <w:tcBorders>
              <w:top w:val="nil"/>
              <w:left w:val="single" w:sz="8" w:space="0" w:color="auto"/>
              <w:bottom w:val="single" w:sz="8" w:space="0" w:color="auto"/>
              <w:right w:val="single" w:sz="8" w:space="0" w:color="auto"/>
            </w:tcBorders>
            <w:shd w:val="clear" w:color="auto" w:fill="244062"/>
            <w:vAlign w:val="center"/>
            <w:hideMark/>
          </w:tcPr>
          <w:p w14:paraId="007C88D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84" w:type="dxa"/>
            <w:gridSpan w:val="3"/>
            <w:tcBorders>
              <w:top w:val="single" w:sz="8" w:space="0" w:color="auto"/>
              <w:left w:val="nil"/>
              <w:bottom w:val="single" w:sz="8" w:space="0" w:color="auto"/>
              <w:right w:val="single" w:sz="8" w:space="0" w:color="000000"/>
            </w:tcBorders>
            <w:vAlign w:val="center"/>
            <w:hideMark/>
          </w:tcPr>
          <w:p w14:paraId="449AA60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Under examination</w:t>
            </w:r>
          </w:p>
        </w:tc>
        <w:tc>
          <w:tcPr>
            <w:tcW w:w="222" w:type="dxa"/>
            <w:vAlign w:val="center"/>
            <w:hideMark/>
          </w:tcPr>
          <w:p w14:paraId="7BDF3E8A"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51A4390" w14:textId="77777777" w:rsidTr="00614438">
        <w:trPr>
          <w:trHeight w:val="315"/>
        </w:trPr>
        <w:tc>
          <w:tcPr>
            <w:tcW w:w="3274" w:type="dxa"/>
            <w:tcBorders>
              <w:top w:val="nil"/>
              <w:left w:val="single" w:sz="8" w:space="0" w:color="auto"/>
              <w:bottom w:val="single" w:sz="8" w:space="0" w:color="auto"/>
              <w:right w:val="single" w:sz="8" w:space="0" w:color="auto"/>
            </w:tcBorders>
            <w:shd w:val="clear" w:color="auto" w:fill="244062"/>
            <w:vAlign w:val="center"/>
            <w:hideMark/>
          </w:tcPr>
          <w:p w14:paraId="4BECB0E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84" w:type="dxa"/>
            <w:gridSpan w:val="3"/>
            <w:tcBorders>
              <w:top w:val="single" w:sz="8" w:space="0" w:color="auto"/>
              <w:left w:val="nil"/>
              <w:bottom w:val="single" w:sz="8" w:space="0" w:color="auto"/>
              <w:right w:val="single" w:sz="8" w:space="0" w:color="000000"/>
            </w:tcBorders>
            <w:vAlign w:val="center"/>
            <w:hideMark/>
          </w:tcPr>
          <w:p w14:paraId="524BF14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Under examination</w:t>
            </w:r>
          </w:p>
        </w:tc>
        <w:tc>
          <w:tcPr>
            <w:tcW w:w="222" w:type="dxa"/>
            <w:vAlign w:val="center"/>
            <w:hideMark/>
          </w:tcPr>
          <w:p w14:paraId="467301D6" w14:textId="77777777" w:rsidR="00614438" w:rsidRPr="003E0710" w:rsidRDefault="00614438" w:rsidP="003E0710">
            <w:pPr>
              <w:spacing w:after="0"/>
              <w:jc w:val="both"/>
              <w:rPr>
                <w:rFonts w:ascii="Times New Roman" w:hAnsi="Times New Roman" w:cs="Times New Roman"/>
                <w:sz w:val="20"/>
                <w:szCs w:val="20"/>
                <w:lang w:val="en-GB"/>
              </w:rPr>
            </w:pPr>
          </w:p>
        </w:tc>
      </w:tr>
    </w:tbl>
    <w:p w14:paraId="1B9EB678"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76"/>
        <w:gridCol w:w="1114"/>
        <w:gridCol w:w="935"/>
        <w:gridCol w:w="4133"/>
        <w:gridCol w:w="222"/>
      </w:tblGrid>
      <w:tr w:rsidR="00614438" w:rsidRPr="003E0710" w14:paraId="0157E474" w14:textId="77777777" w:rsidTr="00614438">
        <w:trPr>
          <w:gridAfter w:val="1"/>
          <w:wAfter w:w="222" w:type="dxa"/>
          <w:trHeight w:val="780"/>
        </w:trPr>
        <w:tc>
          <w:tcPr>
            <w:tcW w:w="3276"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2CAD43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1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2A3B10E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PM_D45</w:t>
            </w:r>
          </w:p>
        </w:tc>
        <w:tc>
          <w:tcPr>
            <w:tcW w:w="935" w:type="dxa"/>
            <w:tcBorders>
              <w:top w:val="single" w:sz="8" w:space="0" w:color="auto"/>
              <w:left w:val="nil"/>
              <w:bottom w:val="single" w:sz="8" w:space="0" w:color="auto"/>
              <w:right w:val="single" w:sz="8" w:space="0" w:color="auto"/>
            </w:tcBorders>
            <w:shd w:val="clear" w:color="auto" w:fill="244062"/>
            <w:vAlign w:val="center"/>
            <w:hideMark/>
          </w:tcPr>
          <w:p w14:paraId="3705259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133" w:type="dxa"/>
            <w:tcBorders>
              <w:top w:val="single" w:sz="8" w:space="0" w:color="auto"/>
              <w:left w:val="nil"/>
              <w:bottom w:val="single" w:sz="8" w:space="0" w:color="auto"/>
              <w:right w:val="single" w:sz="8" w:space="0" w:color="auto"/>
            </w:tcBorders>
            <w:shd w:val="clear" w:color="auto" w:fill="E7E6E6" w:themeFill="background2"/>
            <w:vAlign w:val="center"/>
            <w:hideMark/>
          </w:tcPr>
          <w:p w14:paraId="5B81103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Updating and optimizing the spatial planning framework</w:t>
            </w:r>
          </w:p>
        </w:tc>
      </w:tr>
      <w:tr w:rsidR="00614438" w:rsidRPr="003E0710" w14:paraId="5FACC514" w14:textId="77777777" w:rsidTr="00614438">
        <w:trPr>
          <w:gridAfter w:val="1"/>
          <w:wAfter w:w="222" w:type="dxa"/>
          <w:trHeight w:val="462"/>
        </w:trPr>
        <w:tc>
          <w:tcPr>
            <w:tcW w:w="3276" w:type="dxa"/>
            <w:tcBorders>
              <w:top w:val="nil"/>
              <w:left w:val="single" w:sz="8" w:space="0" w:color="auto"/>
              <w:bottom w:val="single" w:sz="8" w:space="0" w:color="auto"/>
              <w:right w:val="nil"/>
            </w:tcBorders>
            <w:shd w:val="clear" w:color="auto" w:fill="244062"/>
            <w:vAlign w:val="center"/>
            <w:hideMark/>
          </w:tcPr>
          <w:p w14:paraId="23E3DAC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82" w:type="dxa"/>
            <w:gridSpan w:val="3"/>
            <w:tcBorders>
              <w:top w:val="single" w:sz="8" w:space="0" w:color="auto"/>
              <w:left w:val="nil"/>
              <w:bottom w:val="single" w:sz="8" w:space="0" w:color="auto"/>
              <w:right w:val="single" w:sz="8" w:space="0" w:color="000000"/>
            </w:tcBorders>
            <w:vAlign w:val="center"/>
            <w:hideMark/>
          </w:tcPr>
          <w:p w14:paraId="774CFDA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Increase share of RES in electricity </w:t>
            </w:r>
          </w:p>
        </w:tc>
      </w:tr>
      <w:tr w:rsidR="00614438" w:rsidRPr="003E0710" w14:paraId="3EE33AC4" w14:textId="77777777" w:rsidTr="00614438">
        <w:trPr>
          <w:gridAfter w:val="1"/>
          <w:wAfter w:w="222" w:type="dxa"/>
          <w:trHeight w:val="315"/>
        </w:trPr>
        <w:tc>
          <w:tcPr>
            <w:tcW w:w="3276" w:type="dxa"/>
            <w:tcBorders>
              <w:top w:val="nil"/>
              <w:left w:val="single" w:sz="8" w:space="0" w:color="auto"/>
              <w:bottom w:val="single" w:sz="8" w:space="0" w:color="auto"/>
              <w:right w:val="single" w:sz="8" w:space="0" w:color="auto"/>
            </w:tcBorders>
            <w:shd w:val="clear" w:color="auto" w:fill="244062"/>
            <w:vAlign w:val="center"/>
            <w:hideMark/>
          </w:tcPr>
          <w:p w14:paraId="02116FC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82" w:type="dxa"/>
            <w:gridSpan w:val="3"/>
            <w:tcBorders>
              <w:top w:val="single" w:sz="8" w:space="0" w:color="auto"/>
              <w:left w:val="nil"/>
              <w:bottom w:val="single" w:sz="8" w:space="0" w:color="auto"/>
              <w:right w:val="single" w:sz="8" w:space="0" w:color="000000"/>
            </w:tcBorders>
            <w:vAlign w:val="center"/>
            <w:hideMark/>
          </w:tcPr>
          <w:p w14:paraId="71FAD5A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Contribution to the smooth and efficient operation</w:t>
            </w:r>
          </w:p>
        </w:tc>
      </w:tr>
      <w:tr w:rsidR="00614438" w:rsidRPr="003E0710" w14:paraId="478DDD53" w14:textId="77777777" w:rsidTr="00614438">
        <w:trPr>
          <w:gridAfter w:val="1"/>
          <w:wAfter w:w="222" w:type="dxa"/>
          <w:trHeight w:val="429"/>
        </w:trPr>
        <w:tc>
          <w:tcPr>
            <w:tcW w:w="3276" w:type="dxa"/>
            <w:tcBorders>
              <w:top w:val="nil"/>
              <w:left w:val="single" w:sz="8" w:space="0" w:color="auto"/>
              <w:bottom w:val="single" w:sz="8" w:space="0" w:color="auto"/>
              <w:right w:val="single" w:sz="8" w:space="0" w:color="auto"/>
            </w:tcBorders>
            <w:shd w:val="clear" w:color="auto" w:fill="244062"/>
            <w:vAlign w:val="center"/>
            <w:hideMark/>
          </w:tcPr>
          <w:p w14:paraId="2E524C8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82" w:type="dxa"/>
            <w:gridSpan w:val="3"/>
            <w:tcBorders>
              <w:top w:val="single" w:sz="8" w:space="0" w:color="auto"/>
              <w:left w:val="nil"/>
              <w:bottom w:val="single" w:sz="8" w:space="0" w:color="auto"/>
              <w:right w:val="single" w:sz="8" w:space="0" w:color="000000"/>
            </w:tcBorders>
            <w:vAlign w:val="center"/>
            <w:hideMark/>
          </w:tcPr>
          <w:p w14:paraId="264F3415" w14:textId="728B0B6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PM_D45 will examine the update, simplification and optimization of the existing spatial planning framework through the adoption of the respective law</w:t>
            </w:r>
            <w:r w:rsidR="005A4947" w:rsidRPr="003E0710">
              <w:rPr>
                <w:rFonts w:ascii="Times New Roman" w:hAnsi="Times New Roman" w:cs="Times New Roman"/>
                <w:sz w:val="20"/>
                <w:szCs w:val="20"/>
                <w:lang w:val="en-GB"/>
              </w:rPr>
              <w:t>,</w:t>
            </w:r>
            <w:r w:rsidRPr="003E0710">
              <w:rPr>
                <w:rFonts w:ascii="Times New Roman" w:hAnsi="Times New Roman" w:cs="Times New Roman"/>
                <w:sz w:val="20"/>
                <w:szCs w:val="20"/>
                <w:lang w:val="en-GB"/>
              </w:rPr>
              <w:t xml:space="preserve"> so as to become more transparent and effective avoiding subjectivity about the selected criteria </w:t>
            </w:r>
            <w:r w:rsidR="00554D76" w:rsidRPr="003E0710">
              <w:rPr>
                <w:rFonts w:ascii="Times New Roman" w:hAnsi="Times New Roman" w:cs="Times New Roman"/>
                <w:sz w:val="20"/>
                <w:szCs w:val="20"/>
                <w:lang w:val="en-GB"/>
              </w:rPr>
              <w:t>while</w:t>
            </w:r>
            <w:r w:rsidRPr="003E0710">
              <w:rPr>
                <w:rFonts w:ascii="Times New Roman" w:hAnsi="Times New Roman" w:cs="Times New Roman"/>
                <w:sz w:val="20"/>
                <w:szCs w:val="20"/>
                <w:lang w:val="en-GB"/>
              </w:rPr>
              <w:t xml:space="preserve"> spatial planning</w:t>
            </w:r>
            <w:r w:rsidR="00554D76" w:rsidRPr="003E0710">
              <w:rPr>
                <w:rFonts w:ascii="Times New Roman" w:hAnsi="Times New Roman" w:cs="Times New Roman"/>
                <w:sz w:val="20"/>
                <w:szCs w:val="20"/>
                <w:lang w:val="en-GB"/>
              </w:rPr>
              <w:t xml:space="preserve"> is carried out</w:t>
            </w:r>
            <w:r w:rsidRPr="003E0710">
              <w:rPr>
                <w:rFonts w:ascii="Times New Roman" w:hAnsi="Times New Roman" w:cs="Times New Roman"/>
                <w:sz w:val="20"/>
                <w:szCs w:val="20"/>
                <w:lang w:val="en-GB"/>
              </w:rPr>
              <w:t>. Specifically, the different categories of areas, in which the installation of renewable energy projects will be fully or partially excluded, have to be known in advance within a transparent framework. Moreover, the preconditions for the potential installation of renewable energy projects will be determined taking into account different criteria for the designation of the suitable areas, such as physiognomy, environmental protection, the actual technical and economic potential for the exploitation of renewable energy sources and the anthropogenic activities for each installation area separately. It should be noted that the adopted legislative framework will be in compliance with the “do no harm” principle, while a mechanism for examining and resolving potential disputes will be established.</w:t>
            </w:r>
          </w:p>
        </w:tc>
      </w:tr>
      <w:tr w:rsidR="00614438" w:rsidRPr="003E0710" w14:paraId="231EBC52" w14:textId="77777777" w:rsidTr="00614438">
        <w:trPr>
          <w:gridAfter w:val="1"/>
          <w:wAfter w:w="222" w:type="dxa"/>
          <w:trHeight w:val="315"/>
        </w:trPr>
        <w:tc>
          <w:tcPr>
            <w:tcW w:w="3276" w:type="dxa"/>
            <w:tcBorders>
              <w:top w:val="nil"/>
              <w:left w:val="single" w:sz="8" w:space="0" w:color="auto"/>
              <w:bottom w:val="single" w:sz="8" w:space="0" w:color="auto"/>
              <w:right w:val="single" w:sz="8" w:space="0" w:color="auto"/>
            </w:tcBorders>
            <w:shd w:val="clear" w:color="auto" w:fill="244062"/>
            <w:vAlign w:val="center"/>
            <w:hideMark/>
          </w:tcPr>
          <w:p w14:paraId="28708ED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82" w:type="dxa"/>
            <w:gridSpan w:val="3"/>
            <w:tcBorders>
              <w:top w:val="single" w:sz="8" w:space="0" w:color="auto"/>
              <w:left w:val="nil"/>
              <w:bottom w:val="single" w:sz="8" w:space="0" w:color="auto"/>
              <w:right w:val="single" w:sz="8" w:space="0" w:color="000000"/>
            </w:tcBorders>
            <w:vAlign w:val="center"/>
            <w:hideMark/>
          </w:tcPr>
          <w:p w14:paraId="0125D31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2025</w:t>
            </w:r>
          </w:p>
        </w:tc>
      </w:tr>
      <w:tr w:rsidR="00614438" w:rsidRPr="003E0710" w14:paraId="53EB6E7C" w14:textId="77777777" w:rsidTr="00614438">
        <w:trPr>
          <w:gridAfter w:val="1"/>
          <w:wAfter w:w="222" w:type="dxa"/>
          <w:trHeight w:val="315"/>
        </w:trPr>
        <w:tc>
          <w:tcPr>
            <w:tcW w:w="3276" w:type="dxa"/>
            <w:tcBorders>
              <w:top w:val="nil"/>
              <w:left w:val="single" w:sz="8" w:space="0" w:color="auto"/>
              <w:bottom w:val="single" w:sz="8" w:space="0" w:color="auto"/>
              <w:right w:val="single" w:sz="8" w:space="0" w:color="auto"/>
            </w:tcBorders>
            <w:shd w:val="clear" w:color="auto" w:fill="244062"/>
            <w:vAlign w:val="center"/>
            <w:hideMark/>
          </w:tcPr>
          <w:p w14:paraId="6D2B4F6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82" w:type="dxa"/>
            <w:gridSpan w:val="3"/>
            <w:tcBorders>
              <w:top w:val="single" w:sz="8" w:space="0" w:color="auto"/>
              <w:left w:val="nil"/>
              <w:bottom w:val="single" w:sz="8" w:space="0" w:color="auto"/>
              <w:right w:val="single" w:sz="8" w:space="0" w:color="000000"/>
            </w:tcBorders>
            <w:vAlign w:val="center"/>
            <w:hideMark/>
          </w:tcPr>
          <w:p w14:paraId="3192484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Reform</w:t>
            </w:r>
          </w:p>
        </w:tc>
      </w:tr>
      <w:tr w:rsidR="00614438" w:rsidRPr="003E0710" w14:paraId="344D7287" w14:textId="77777777" w:rsidTr="00614438">
        <w:trPr>
          <w:gridAfter w:val="1"/>
          <w:wAfter w:w="222" w:type="dxa"/>
          <w:trHeight w:val="315"/>
        </w:trPr>
        <w:tc>
          <w:tcPr>
            <w:tcW w:w="3276" w:type="dxa"/>
            <w:tcBorders>
              <w:top w:val="nil"/>
              <w:left w:val="single" w:sz="8" w:space="0" w:color="auto"/>
              <w:bottom w:val="single" w:sz="8" w:space="0" w:color="auto"/>
              <w:right w:val="single" w:sz="8" w:space="0" w:color="auto"/>
            </w:tcBorders>
            <w:shd w:val="clear" w:color="auto" w:fill="244062"/>
            <w:vAlign w:val="center"/>
            <w:hideMark/>
          </w:tcPr>
          <w:p w14:paraId="09FA68B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82" w:type="dxa"/>
            <w:gridSpan w:val="3"/>
            <w:tcBorders>
              <w:top w:val="single" w:sz="8" w:space="0" w:color="auto"/>
              <w:left w:val="nil"/>
              <w:bottom w:val="single" w:sz="8" w:space="0" w:color="auto"/>
              <w:right w:val="single" w:sz="8" w:space="0" w:color="000000"/>
            </w:tcBorders>
            <w:vAlign w:val="center"/>
            <w:hideMark/>
          </w:tcPr>
          <w:p w14:paraId="668FC38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Electricity </w:t>
            </w:r>
          </w:p>
        </w:tc>
      </w:tr>
      <w:tr w:rsidR="00614438" w:rsidRPr="003E0710" w14:paraId="1DEB6363" w14:textId="77777777" w:rsidTr="00614438">
        <w:trPr>
          <w:gridAfter w:val="1"/>
          <w:wAfter w:w="222" w:type="dxa"/>
          <w:trHeight w:val="315"/>
        </w:trPr>
        <w:tc>
          <w:tcPr>
            <w:tcW w:w="3276" w:type="dxa"/>
            <w:tcBorders>
              <w:top w:val="nil"/>
              <w:left w:val="single" w:sz="8" w:space="0" w:color="auto"/>
              <w:bottom w:val="single" w:sz="8" w:space="0" w:color="auto"/>
              <w:right w:val="single" w:sz="8" w:space="0" w:color="auto"/>
            </w:tcBorders>
            <w:shd w:val="clear" w:color="auto" w:fill="244062"/>
            <w:vAlign w:val="center"/>
            <w:hideMark/>
          </w:tcPr>
          <w:p w14:paraId="1A2F866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82" w:type="dxa"/>
            <w:gridSpan w:val="3"/>
            <w:tcBorders>
              <w:top w:val="single" w:sz="8" w:space="0" w:color="auto"/>
              <w:left w:val="nil"/>
              <w:bottom w:val="single" w:sz="8" w:space="0" w:color="auto"/>
              <w:right w:val="single" w:sz="8" w:space="0" w:color="000000"/>
            </w:tcBorders>
            <w:vAlign w:val="center"/>
            <w:hideMark/>
          </w:tcPr>
          <w:p w14:paraId="2C42E8D8" w14:textId="77777777" w:rsidR="00614438" w:rsidRPr="003E0710" w:rsidRDefault="00614438" w:rsidP="003E0710">
            <w:pPr>
              <w:numPr>
                <w:ilvl w:val="0"/>
                <w:numId w:val="45"/>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Construction, Transport and Infrastructure</w:t>
            </w:r>
          </w:p>
        </w:tc>
      </w:tr>
      <w:tr w:rsidR="00614438" w:rsidRPr="003E0710" w14:paraId="641086E0" w14:textId="77777777" w:rsidTr="00614438">
        <w:trPr>
          <w:gridAfter w:val="1"/>
          <w:wAfter w:w="222" w:type="dxa"/>
          <w:trHeight w:val="315"/>
        </w:trPr>
        <w:tc>
          <w:tcPr>
            <w:tcW w:w="3276" w:type="dxa"/>
            <w:tcBorders>
              <w:top w:val="nil"/>
              <w:left w:val="single" w:sz="8" w:space="0" w:color="auto"/>
              <w:bottom w:val="single" w:sz="8" w:space="0" w:color="auto"/>
              <w:right w:val="nil"/>
            </w:tcBorders>
            <w:shd w:val="clear" w:color="auto" w:fill="244062"/>
            <w:vAlign w:val="center"/>
            <w:hideMark/>
          </w:tcPr>
          <w:p w14:paraId="6A509A4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82" w:type="dxa"/>
            <w:gridSpan w:val="3"/>
            <w:tcBorders>
              <w:top w:val="single" w:sz="8" w:space="0" w:color="auto"/>
              <w:left w:val="nil"/>
              <w:bottom w:val="single" w:sz="8" w:space="0" w:color="auto"/>
              <w:right w:val="single" w:sz="8" w:space="0" w:color="000000"/>
            </w:tcBorders>
            <w:vAlign w:val="center"/>
            <w:hideMark/>
          </w:tcPr>
          <w:p w14:paraId="313BF41B" w14:textId="77777777" w:rsidR="00614438" w:rsidRPr="003E0710" w:rsidRDefault="00614438" w:rsidP="003E0710">
            <w:pPr>
              <w:numPr>
                <w:ilvl w:val="0"/>
                <w:numId w:val="45"/>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w:t>
            </w:r>
          </w:p>
        </w:tc>
      </w:tr>
      <w:tr w:rsidR="00614438" w:rsidRPr="003E0710" w14:paraId="77D40456" w14:textId="77777777" w:rsidTr="00614438">
        <w:trPr>
          <w:gridAfter w:val="1"/>
          <w:wAfter w:w="222" w:type="dxa"/>
          <w:trHeight w:val="315"/>
        </w:trPr>
        <w:tc>
          <w:tcPr>
            <w:tcW w:w="3276" w:type="dxa"/>
            <w:tcBorders>
              <w:top w:val="nil"/>
              <w:left w:val="single" w:sz="8" w:space="0" w:color="auto"/>
              <w:bottom w:val="single" w:sz="8" w:space="0" w:color="auto"/>
              <w:right w:val="nil"/>
            </w:tcBorders>
            <w:shd w:val="clear" w:color="auto" w:fill="244062"/>
            <w:vAlign w:val="center"/>
            <w:hideMark/>
          </w:tcPr>
          <w:p w14:paraId="69131BC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82" w:type="dxa"/>
            <w:gridSpan w:val="3"/>
            <w:tcBorders>
              <w:top w:val="single" w:sz="8" w:space="0" w:color="auto"/>
              <w:left w:val="nil"/>
              <w:bottom w:val="single" w:sz="8" w:space="0" w:color="auto"/>
              <w:right w:val="single" w:sz="8" w:space="0" w:color="000000"/>
            </w:tcBorders>
            <w:vAlign w:val="center"/>
            <w:hideMark/>
          </w:tcPr>
          <w:p w14:paraId="1D1CE042" w14:textId="77777777" w:rsidR="00614438" w:rsidRPr="003E0710" w:rsidRDefault="00614438" w:rsidP="003E0710">
            <w:pPr>
              <w:numPr>
                <w:ilvl w:val="0"/>
                <w:numId w:val="45"/>
              </w:numPr>
              <w:spacing w:after="0"/>
              <w:jc w:val="both"/>
              <w:rPr>
                <w:rFonts w:ascii="Times New Roman" w:hAnsi="Times New Roman" w:cs="Times New Roman"/>
                <w:sz w:val="20"/>
                <w:szCs w:val="20"/>
              </w:rPr>
            </w:pPr>
            <w:r w:rsidRPr="003E0710">
              <w:rPr>
                <w:rFonts w:ascii="Times New Roman" w:hAnsi="Times New Roman" w:cs="Times New Roman"/>
                <w:sz w:val="20"/>
                <w:szCs w:val="20"/>
              </w:rPr>
              <w:t>Developed legislative and regulatory framework</w:t>
            </w:r>
          </w:p>
        </w:tc>
      </w:tr>
      <w:tr w:rsidR="00614438" w:rsidRPr="003E0710" w14:paraId="160E87A7" w14:textId="77777777" w:rsidTr="00614438">
        <w:trPr>
          <w:gridAfter w:val="1"/>
          <w:wAfter w:w="222" w:type="dxa"/>
          <w:trHeight w:val="464"/>
        </w:trPr>
        <w:tc>
          <w:tcPr>
            <w:tcW w:w="3276" w:type="dxa"/>
            <w:tcBorders>
              <w:top w:val="nil"/>
              <w:left w:val="single" w:sz="8" w:space="0" w:color="auto"/>
              <w:bottom w:val="single" w:sz="8" w:space="0" w:color="auto"/>
              <w:right w:val="single" w:sz="8" w:space="0" w:color="auto"/>
            </w:tcBorders>
            <w:shd w:val="clear" w:color="auto" w:fill="244062"/>
            <w:vAlign w:val="center"/>
            <w:hideMark/>
          </w:tcPr>
          <w:p w14:paraId="1BB7589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82" w:type="dxa"/>
            <w:gridSpan w:val="3"/>
            <w:tcBorders>
              <w:top w:val="single" w:sz="8" w:space="0" w:color="auto"/>
              <w:left w:val="nil"/>
              <w:bottom w:val="single" w:sz="8" w:space="0" w:color="auto"/>
              <w:right w:val="single" w:sz="8" w:space="0" w:color="000000"/>
            </w:tcBorders>
            <w:vAlign w:val="center"/>
            <w:hideMark/>
          </w:tcPr>
          <w:p w14:paraId="63CDA04B" w14:textId="77777777" w:rsidR="00614438" w:rsidRPr="003E0710" w:rsidRDefault="00614438" w:rsidP="003E0710">
            <w:pPr>
              <w:numPr>
                <w:ilvl w:val="0"/>
                <w:numId w:val="45"/>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efficiency (the promoted RES technologies will deliver also primary energy savings contributing to the achievement of the relevant targets)</w:t>
            </w:r>
          </w:p>
          <w:p w14:paraId="628B537B" w14:textId="77777777" w:rsidR="00614438" w:rsidRPr="003E0710" w:rsidRDefault="00614438" w:rsidP="003E0710">
            <w:pPr>
              <w:numPr>
                <w:ilvl w:val="0"/>
                <w:numId w:val="45"/>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security (the penetration of RES technologies will reduce the energy import dependency from third countries and increase the deployment of domestic energy sources)</w:t>
            </w:r>
          </w:p>
        </w:tc>
      </w:tr>
      <w:tr w:rsidR="00614438" w:rsidRPr="003E0710" w14:paraId="6504FA82" w14:textId="77777777" w:rsidTr="00614438">
        <w:trPr>
          <w:gridAfter w:val="1"/>
          <w:wAfter w:w="222" w:type="dxa"/>
          <w:trHeight w:val="458"/>
        </w:trPr>
        <w:tc>
          <w:tcPr>
            <w:tcW w:w="3276" w:type="dxa"/>
            <w:vMerge w:val="restart"/>
            <w:tcBorders>
              <w:top w:val="nil"/>
              <w:left w:val="single" w:sz="8" w:space="0" w:color="auto"/>
              <w:bottom w:val="single" w:sz="8" w:space="0" w:color="000000"/>
              <w:right w:val="single" w:sz="8" w:space="0" w:color="auto"/>
            </w:tcBorders>
            <w:shd w:val="clear" w:color="auto" w:fill="244062"/>
            <w:vAlign w:val="center"/>
            <w:hideMark/>
          </w:tcPr>
          <w:p w14:paraId="4676CFB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82"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70B3BE1"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40412EA3"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0B0B29EB"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653C3EF"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16907E12"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18BC4BE2"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1FA7029A"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51B8A30"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6C912EC6"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78DADE44" w14:textId="77777777" w:rsidTr="00614438">
        <w:trPr>
          <w:trHeight w:val="371"/>
        </w:trPr>
        <w:tc>
          <w:tcPr>
            <w:tcW w:w="3276" w:type="dxa"/>
            <w:tcBorders>
              <w:top w:val="nil"/>
              <w:left w:val="single" w:sz="8" w:space="0" w:color="auto"/>
              <w:bottom w:val="single" w:sz="8" w:space="0" w:color="auto"/>
              <w:right w:val="single" w:sz="8" w:space="0" w:color="auto"/>
            </w:tcBorders>
            <w:shd w:val="clear" w:color="auto" w:fill="244062"/>
            <w:vAlign w:val="center"/>
            <w:hideMark/>
          </w:tcPr>
          <w:p w14:paraId="0AB7CA9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82" w:type="dxa"/>
            <w:gridSpan w:val="3"/>
            <w:tcBorders>
              <w:top w:val="single" w:sz="8" w:space="0" w:color="auto"/>
              <w:left w:val="nil"/>
              <w:bottom w:val="single" w:sz="8" w:space="0" w:color="auto"/>
              <w:right w:val="single" w:sz="8" w:space="0" w:color="000000"/>
            </w:tcBorders>
            <w:vAlign w:val="center"/>
            <w:hideMark/>
          </w:tcPr>
          <w:p w14:paraId="47E399C9"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vAlign w:val="center"/>
            <w:hideMark/>
          </w:tcPr>
          <w:p w14:paraId="018F7DD4"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4220E8B2" w14:textId="77777777" w:rsidTr="00614438">
        <w:trPr>
          <w:trHeight w:val="315"/>
        </w:trPr>
        <w:tc>
          <w:tcPr>
            <w:tcW w:w="3276" w:type="dxa"/>
            <w:tcBorders>
              <w:top w:val="nil"/>
              <w:left w:val="single" w:sz="8" w:space="0" w:color="auto"/>
              <w:bottom w:val="single" w:sz="8" w:space="0" w:color="auto"/>
              <w:right w:val="single" w:sz="8" w:space="0" w:color="auto"/>
            </w:tcBorders>
            <w:shd w:val="clear" w:color="auto" w:fill="244062"/>
            <w:vAlign w:val="center"/>
            <w:hideMark/>
          </w:tcPr>
          <w:p w14:paraId="7F8DD60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82" w:type="dxa"/>
            <w:gridSpan w:val="3"/>
            <w:tcBorders>
              <w:top w:val="single" w:sz="8" w:space="0" w:color="auto"/>
              <w:left w:val="nil"/>
              <w:bottom w:val="single" w:sz="8" w:space="0" w:color="auto"/>
              <w:right w:val="single" w:sz="8" w:space="0" w:color="000000"/>
            </w:tcBorders>
            <w:vAlign w:val="center"/>
            <w:hideMark/>
          </w:tcPr>
          <w:p w14:paraId="7F57E11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0.1 M€</w:t>
            </w:r>
          </w:p>
        </w:tc>
        <w:tc>
          <w:tcPr>
            <w:tcW w:w="222" w:type="dxa"/>
            <w:vAlign w:val="center"/>
            <w:hideMark/>
          </w:tcPr>
          <w:p w14:paraId="6964265F"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01BFBD95" w14:textId="77777777" w:rsidTr="00614438">
        <w:trPr>
          <w:trHeight w:val="315"/>
        </w:trPr>
        <w:tc>
          <w:tcPr>
            <w:tcW w:w="3276" w:type="dxa"/>
            <w:tcBorders>
              <w:top w:val="nil"/>
              <w:left w:val="single" w:sz="8" w:space="0" w:color="auto"/>
              <w:bottom w:val="single" w:sz="8" w:space="0" w:color="auto"/>
              <w:right w:val="single" w:sz="8" w:space="0" w:color="auto"/>
            </w:tcBorders>
            <w:shd w:val="clear" w:color="auto" w:fill="244062"/>
            <w:vAlign w:val="center"/>
            <w:hideMark/>
          </w:tcPr>
          <w:p w14:paraId="038BDAD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82" w:type="dxa"/>
            <w:gridSpan w:val="3"/>
            <w:tcBorders>
              <w:top w:val="single" w:sz="8" w:space="0" w:color="auto"/>
              <w:left w:val="nil"/>
              <w:bottom w:val="single" w:sz="8" w:space="0" w:color="auto"/>
              <w:right w:val="single" w:sz="8" w:space="0" w:color="000000"/>
            </w:tcBorders>
            <w:vAlign w:val="center"/>
            <w:hideMark/>
          </w:tcPr>
          <w:p w14:paraId="2758473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00B02D1F" w14:textId="77777777" w:rsidR="00614438" w:rsidRPr="003E0710" w:rsidRDefault="00614438" w:rsidP="003E0710">
            <w:pPr>
              <w:spacing w:after="0"/>
              <w:jc w:val="both"/>
              <w:rPr>
                <w:rFonts w:ascii="Times New Roman" w:hAnsi="Times New Roman" w:cs="Times New Roman"/>
                <w:sz w:val="20"/>
                <w:szCs w:val="20"/>
                <w:lang w:val="en-GB"/>
              </w:rPr>
            </w:pPr>
          </w:p>
        </w:tc>
      </w:tr>
    </w:tbl>
    <w:p w14:paraId="33D89CE7" w14:textId="77777777" w:rsidR="00614438" w:rsidRPr="003E0710" w:rsidRDefault="00614438" w:rsidP="003E0710">
      <w:pPr>
        <w:spacing w:after="0"/>
        <w:jc w:val="both"/>
        <w:rPr>
          <w:rFonts w:ascii="Times New Roman" w:hAnsi="Times New Roman" w:cs="Times New Roman"/>
          <w:sz w:val="20"/>
          <w:szCs w:val="20"/>
          <w:lang w:val="en-GB"/>
        </w:rPr>
      </w:pPr>
    </w:p>
    <w:p w14:paraId="1808097F" w14:textId="77777777" w:rsidR="00614438" w:rsidRPr="00614438" w:rsidRDefault="00614438" w:rsidP="00604DA5">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Heating and Cooling</w:t>
      </w:r>
    </w:p>
    <w:p w14:paraId="0761017A" w14:textId="77777777" w:rsidR="00614438" w:rsidRPr="00614438" w:rsidRDefault="00614438" w:rsidP="00604DA5">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renewable energy technologies for heating and cooling will be promoted through the integration of specific provisions and requirements into the Rulebook on Energy Efficiency in Buildings encouraging an increase in the number of nearly zero-energy buildings by applying cost-effective packages of measures. The mandatory installation of renewable energy technologies will be </w:t>
      </w:r>
      <w:r w:rsidRPr="00614438">
        <w:rPr>
          <w:rFonts w:ascii="Times New Roman" w:hAnsi="Times New Roman" w:cs="Times New Roman"/>
          <w:sz w:val="24"/>
          <w:szCs w:val="24"/>
          <w:lang w:val="en-GB"/>
        </w:rPr>
        <w:lastRenderedPageBreak/>
        <w:t>examined both for the case of new and renovated buildings, while the potential determination of minimum renewable energy participation in all buildings will be explored taking into consideration both the economic viability of the renewable energy technologies and the delivered energy savings. Moreover, targeted fiscal and economic incentives will be provided for the installation of the most cost-effective renewable energy technologies for heating and cooling.</w:t>
      </w:r>
    </w:p>
    <w:p w14:paraId="2F826739" w14:textId="77777777" w:rsidR="00614438" w:rsidRPr="003E0710" w:rsidRDefault="00614438" w:rsidP="003E0710">
      <w:pPr>
        <w:spacing w:after="0"/>
        <w:ind w:firstLine="720"/>
        <w:jc w:val="both"/>
        <w:rPr>
          <w:rFonts w:ascii="Times New Roman" w:hAnsi="Times New Roman" w:cs="Times New Roman"/>
          <w:sz w:val="20"/>
          <w:szCs w:val="20"/>
          <w:lang w:val="en-GB"/>
        </w:rPr>
      </w:pPr>
      <w:r w:rsidRPr="00614438">
        <w:rPr>
          <w:rFonts w:ascii="Times New Roman" w:hAnsi="Times New Roman" w:cs="Times New Roman"/>
          <w:sz w:val="24"/>
          <w:szCs w:val="24"/>
          <w:lang w:val="en-GB"/>
        </w:rPr>
        <w:t xml:space="preserve">These policy measures will be designed accordingly so as to maximize the synergies with the respective measures </w:t>
      </w:r>
      <w:r w:rsidR="00B938D4">
        <w:rPr>
          <w:rFonts w:ascii="Times New Roman" w:hAnsi="Times New Roman" w:cs="Times New Roman"/>
          <w:sz w:val="24"/>
          <w:szCs w:val="24"/>
          <w:lang w:val="en-GB"/>
        </w:rPr>
        <w:t>i</w:t>
      </w:r>
      <w:r w:rsidRPr="00614438">
        <w:rPr>
          <w:rFonts w:ascii="Times New Roman" w:hAnsi="Times New Roman" w:cs="Times New Roman"/>
          <w:sz w:val="24"/>
          <w:szCs w:val="24"/>
          <w:lang w:val="en-GB"/>
        </w:rPr>
        <w:t>n the energy efficiency dimension.</w:t>
      </w:r>
    </w:p>
    <w:tbl>
      <w:tblPr>
        <w:tblW w:w="9680" w:type="dxa"/>
        <w:tblLook w:val="04A0" w:firstRow="1" w:lastRow="0" w:firstColumn="1" w:lastColumn="0" w:noHBand="0" w:noVBand="1"/>
      </w:tblPr>
      <w:tblGrid>
        <w:gridCol w:w="3330"/>
        <w:gridCol w:w="950"/>
        <w:gridCol w:w="946"/>
        <w:gridCol w:w="4232"/>
        <w:gridCol w:w="222"/>
      </w:tblGrid>
      <w:tr w:rsidR="00614438" w:rsidRPr="003E0710" w14:paraId="72A81468" w14:textId="77777777" w:rsidTr="00614438">
        <w:trPr>
          <w:gridAfter w:val="1"/>
          <w:wAfter w:w="222" w:type="dxa"/>
          <w:trHeight w:val="780"/>
        </w:trPr>
        <w:tc>
          <w:tcPr>
            <w:tcW w:w="3332"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8BEB2E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06E1810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PM_D29</w:t>
            </w:r>
          </w:p>
        </w:tc>
        <w:tc>
          <w:tcPr>
            <w:tcW w:w="946" w:type="dxa"/>
            <w:tcBorders>
              <w:top w:val="single" w:sz="8" w:space="0" w:color="auto"/>
              <w:left w:val="nil"/>
              <w:bottom w:val="single" w:sz="8" w:space="0" w:color="auto"/>
              <w:right w:val="single" w:sz="8" w:space="0" w:color="auto"/>
            </w:tcBorders>
            <w:shd w:val="clear" w:color="auto" w:fill="244062"/>
            <w:vAlign w:val="center"/>
            <w:hideMark/>
          </w:tcPr>
          <w:p w14:paraId="141EA69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35" w:type="dxa"/>
            <w:tcBorders>
              <w:top w:val="single" w:sz="8" w:space="0" w:color="auto"/>
              <w:left w:val="nil"/>
              <w:bottom w:val="single" w:sz="8" w:space="0" w:color="auto"/>
              <w:right w:val="single" w:sz="8" w:space="0" w:color="auto"/>
            </w:tcBorders>
            <w:shd w:val="clear" w:color="auto" w:fill="E7E6E6" w:themeFill="background2"/>
            <w:vAlign w:val="center"/>
            <w:hideMark/>
          </w:tcPr>
          <w:p w14:paraId="76E963D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Promotion of RES for heating and cooling in new and renovated buildings</w:t>
            </w:r>
          </w:p>
        </w:tc>
      </w:tr>
      <w:tr w:rsidR="00614438" w:rsidRPr="003E0710" w14:paraId="0A874739" w14:textId="77777777" w:rsidTr="00614438">
        <w:trPr>
          <w:gridAfter w:val="1"/>
          <w:wAfter w:w="222" w:type="dxa"/>
          <w:trHeight w:val="333"/>
        </w:trPr>
        <w:tc>
          <w:tcPr>
            <w:tcW w:w="3332" w:type="dxa"/>
            <w:tcBorders>
              <w:top w:val="nil"/>
              <w:left w:val="single" w:sz="8" w:space="0" w:color="auto"/>
              <w:bottom w:val="single" w:sz="8" w:space="0" w:color="auto"/>
              <w:right w:val="nil"/>
            </w:tcBorders>
            <w:shd w:val="clear" w:color="auto" w:fill="244062"/>
            <w:vAlign w:val="center"/>
            <w:hideMark/>
          </w:tcPr>
          <w:p w14:paraId="3523C9C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26" w:type="dxa"/>
            <w:gridSpan w:val="3"/>
            <w:tcBorders>
              <w:top w:val="single" w:sz="8" w:space="0" w:color="auto"/>
              <w:left w:val="nil"/>
              <w:bottom w:val="single" w:sz="8" w:space="0" w:color="auto"/>
              <w:right w:val="single" w:sz="8" w:space="0" w:color="000000"/>
            </w:tcBorders>
            <w:vAlign w:val="center"/>
            <w:hideMark/>
          </w:tcPr>
          <w:p w14:paraId="3901863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Increase share of RES in heating and cooling</w:t>
            </w:r>
          </w:p>
        </w:tc>
      </w:tr>
      <w:tr w:rsidR="00614438" w:rsidRPr="003E0710" w14:paraId="794236E1" w14:textId="77777777" w:rsidTr="00614438">
        <w:trPr>
          <w:gridAfter w:val="1"/>
          <w:wAfter w:w="222" w:type="dxa"/>
          <w:trHeight w:val="315"/>
        </w:trPr>
        <w:tc>
          <w:tcPr>
            <w:tcW w:w="3332" w:type="dxa"/>
            <w:tcBorders>
              <w:top w:val="nil"/>
              <w:left w:val="single" w:sz="8" w:space="0" w:color="auto"/>
              <w:bottom w:val="single" w:sz="8" w:space="0" w:color="auto"/>
              <w:right w:val="single" w:sz="8" w:space="0" w:color="auto"/>
            </w:tcBorders>
            <w:shd w:val="clear" w:color="auto" w:fill="244062"/>
            <w:vAlign w:val="center"/>
            <w:hideMark/>
          </w:tcPr>
          <w:p w14:paraId="02C41B9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26" w:type="dxa"/>
            <w:gridSpan w:val="3"/>
            <w:tcBorders>
              <w:top w:val="single" w:sz="8" w:space="0" w:color="auto"/>
              <w:left w:val="nil"/>
              <w:bottom w:val="single" w:sz="8" w:space="0" w:color="auto"/>
              <w:right w:val="single" w:sz="8" w:space="0" w:color="000000"/>
            </w:tcBorders>
            <w:vAlign w:val="center"/>
            <w:hideMark/>
          </w:tcPr>
          <w:p w14:paraId="386441E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Contribution to the quantified objective of PM_D30</w:t>
            </w:r>
          </w:p>
        </w:tc>
      </w:tr>
      <w:tr w:rsidR="00614438" w:rsidRPr="003E0710" w14:paraId="614120E1" w14:textId="77777777" w:rsidTr="00614438">
        <w:trPr>
          <w:gridAfter w:val="1"/>
          <w:wAfter w:w="222" w:type="dxa"/>
          <w:trHeight w:val="2295"/>
        </w:trPr>
        <w:tc>
          <w:tcPr>
            <w:tcW w:w="3332" w:type="dxa"/>
            <w:tcBorders>
              <w:top w:val="nil"/>
              <w:left w:val="single" w:sz="8" w:space="0" w:color="auto"/>
              <w:bottom w:val="single" w:sz="8" w:space="0" w:color="auto"/>
              <w:right w:val="single" w:sz="8" w:space="0" w:color="auto"/>
            </w:tcBorders>
            <w:shd w:val="clear" w:color="auto" w:fill="244062"/>
            <w:vAlign w:val="center"/>
            <w:hideMark/>
          </w:tcPr>
          <w:p w14:paraId="7C404A6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26" w:type="dxa"/>
            <w:gridSpan w:val="3"/>
            <w:tcBorders>
              <w:top w:val="single" w:sz="8" w:space="0" w:color="auto"/>
              <w:left w:val="nil"/>
              <w:bottom w:val="single" w:sz="8" w:space="0" w:color="auto"/>
              <w:right w:val="single" w:sz="8" w:space="0" w:color="000000"/>
            </w:tcBorders>
            <w:vAlign w:val="center"/>
            <w:hideMark/>
          </w:tcPr>
          <w:p w14:paraId="49732437" w14:textId="77777777" w:rsidR="00604DA5" w:rsidRPr="003E0710" w:rsidRDefault="00604DA5"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PM_D29 will enable the application of renewable energy technologies in the field of heating and cooling by introducing special provisions and requirements in the law and by-laws regulating the energy efficiency of buildings, in order to enable the most economical increase in the number of almost zero energy buildings. The introduction of mandatory installation of renewable energy technologies, both in new and renovated buildings, will be taken into consideration, and the potential determination of the minimum share of renewable energy in all buildings will also be considered, taking into account the economic profitability of renewable energy technologies and energy savings achieved.</w:t>
            </w:r>
          </w:p>
        </w:tc>
      </w:tr>
      <w:tr w:rsidR="00614438" w:rsidRPr="003E0710" w14:paraId="3B3F6919" w14:textId="77777777" w:rsidTr="00614438">
        <w:trPr>
          <w:gridAfter w:val="1"/>
          <w:wAfter w:w="222" w:type="dxa"/>
          <w:trHeight w:val="315"/>
        </w:trPr>
        <w:tc>
          <w:tcPr>
            <w:tcW w:w="3332" w:type="dxa"/>
            <w:tcBorders>
              <w:top w:val="nil"/>
              <w:left w:val="single" w:sz="8" w:space="0" w:color="auto"/>
              <w:bottom w:val="single" w:sz="8" w:space="0" w:color="auto"/>
              <w:right w:val="single" w:sz="8" w:space="0" w:color="auto"/>
            </w:tcBorders>
            <w:shd w:val="clear" w:color="auto" w:fill="244062"/>
            <w:vAlign w:val="center"/>
            <w:hideMark/>
          </w:tcPr>
          <w:p w14:paraId="1A973BD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26" w:type="dxa"/>
            <w:gridSpan w:val="3"/>
            <w:tcBorders>
              <w:top w:val="single" w:sz="8" w:space="0" w:color="auto"/>
              <w:left w:val="nil"/>
              <w:bottom w:val="single" w:sz="8" w:space="0" w:color="auto"/>
              <w:right w:val="single" w:sz="8" w:space="0" w:color="000000"/>
            </w:tcBorders>
            <w:vAlign w:val="center"/>
            <w:hideMark/>
          </w:tcPr>
          <w:p w14:paraId="36DF9AB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w:t>
            </w:r>
            <w:r w:rsidR="00604DA5" w:rsidRPr="003E0710">
              <w:rPr>
                <w:rFonts w:ascii="Times New Roman" w:hAnsi="Times New Roman" w:cs="Times New Roman"/>
                <w:sz w:val="20"/>
                <w:szCs w:val="20"/>
                <w:lang w:val="en-GB"/>
              </w:rPr>
              <w:t>8</w:t>
            </w:r>
            <w:r w:rsidRPr="003E0710">
              <w:rPr>
                <w:rFonts w:ascii="Times New Roman" w:hAnsi="Times New Roman" w:cs="Times New Roman"/>
                <w:sz w:val="20"/>
                <w:szCs w:val="20"/>
                <w:lang w:val="en-GB"/>
              </w:rPr>
              <w:t>-20</w:t>
            </w:r>
            <w:r w:rsidR="00604DA5" w:rsidRPr="003E0710">
              <w:rPr>
                <w:rFonts w:ascii="Times New Roman" w:hAnsi="Times New Roman" w:cs="Times New Roman"/>
                <w:sz w:val="20"/>
                <w:szCs w:val="20"/>
                <w:lang w:val="en-GB"/>
              </w:rPr>
              <w:t>30</w:t>
            </w:r>
          </w:p>
        </w:tc>
      </w:tr>
      <w:tr w:rsidR="00614438" w:rsidRPr="003E0710" w14:paraId="090F5935" w14:textId="77777777" w:rsidTr="00614438">
        <w:trPr>
          <w:gridAfter w:val="1"/>
          <w:wAfter w:w="222" w:type="dxa"/>
          <w:trHeight w:val="315"/>
        </w:trPr>
        <w:tc>
          <w:tcPr>
            <w:tcW w:w="3332" w:type="dxa"/>
            <w:tcBorders>
              <w:top w:val="nil"/>
              <w:left w:val="single" w:sz="8" w:space="0" w:color="auto"/>
              <w:bottom w:val="single" w:sz="8" w:space="0" w:color="auto"/>
              <w:right w:val="single" w:sz="8" w:space="0" w:color="auto"/>
            </w:tcBorders>
            <w:shd w:val="clear" w:color="auto" w:fill="244062"/>
            <w:vAlign w:val="center"/>
            <w:hideMark/>
          </w:tcPr>
          <w:p w14:paraId="0AAFBF4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26" w:type="dxa"/>
            <w:gridSpan w:val="3"/>
            <w:tcBorders>
              <w:top w:val="single" w:sz="8" w:space="0" w:color="auto"/>
              <w:left w:val="nil"/>
              <w:bottom w:val="single" w:sz="8" w:space="0" w:color="auto"/>
              <w:right w:val="single" w:sz="8" w:space="0" w:color="000000"/>
            </w:tcBorders>
            <w:vAlign w:val="center"/>
            <w:hideMark/>
          </w:tcPr>
          <w:p w14:paraId="1349961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Regulatory</w:t>
            </w:r>
          </w:p>
        </w:tc>
      </w:tr>
      <w:tr w:rsidR="00614438" w:rsidRPr="003E0710" w14:paraId="6B20CCCD" w14:textId="77777777" w:rsidTr="00614438">
        <w:trPr>
          <w:gridAfter w:val="1"/>
          <w:wAfter w:w="222" w:type="dxa"/>
          <w:trHeight w:val="315"/>
        </w:trPr>
        <w:tc>
          <w:tcPr>
            <w:tcW w:w="3332" w:type="dxa"/>
            <w:tcBorders>
              <w:top w:val="nil"/>
              <w:left w:val="single" w:sz="8" w:space="0" w:color="auto"/>
              <w:bottom w:val="single" w:sz="8" w:space="0" w:color="auto"/>
              <w:right w:val="single" w:sz="8" w:space="0" w:color="auto"/>
            </w:tcBorders>
            <w:shd w:val="clear" w:color="auto" w:fill="244062"/>
            <w:vAlign w:val="center"/>
            <w:hideMark/>
          </w:tcPr>
          <w:p w14:paraId="2CDDF4D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26" w:type="dxa"/>
            <w:gridSpan w:val="3"/>
            <w:tcBorders>
              <w:top w:val="single" w:sz="8" w:space="0" w:color="auto"/>
              <w:left w:val="nil"/>
              <w:bottom w:val="single" w:sz="8" w:space="0" w:color="auto"/>
              <w:right w:val="single" w:sz="8" w:space="0" w:color="000000"/>
            </w:tcBorders>
            <w:vAlign w:val="center"/>
            <w:hideMark/>
          </w:tcPr>
          <w:p w14:paraId="5A07750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Heating and cooling</w:t>
            </w:r>
          </w:p>
        </w:tc>
      </w:tr>
      <w:tr w:rsidR="00614438" w:rsidRPr="003E0710" w14:paraId="40675E14" w14:textId="77777777" w:rsidTr="00614438">
        <w:trPr>
          <w:gridAfter w:val="1"/>
          <w:wAfter w:w="222" w:type="dxa"/>
          <w:trHeight w:val="315"/>
        </w:trPr>
        <w:tc>
          <w:tcPr>
            <w:tcW w:w="3332" w:type="dxa"/>
            <w:tcBorders>
              <w:top w:val="nil"/>
              <w:left w:val="single" w:sz="8" w:space="0" w:color="auto"/>
              <w:bottom w:val="single" w:sz="8" w:space="0" w:color="auto"/>
              <w:right w:val="single" w:sz="8" w:space="0" w:color="auto"/>
            </w:tcBorders>
            <w:shd w:val="clear" w:color="auto" w:fill="244062"/>
            <w:vAlign w:val="center"/>
            <w:hideMark/>
          </w:tcPr>
          <w:p w14:paraId="645DD71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26" w:type="dxa"/>
            <w:gridSpan w:val="3"/>
            <w:tcBorders>
              <w:top w:val="single" w:sz="8" w:space="0" w:color="auto"/>
              <w:left w:val="nil"/>
              <w:bottom w:val="single" w:sz="8" w:space="0" w:color="auto"/>
              <w:right w:val="single" w:sz="8" w:space="0" w:color="000000"/>
            </w:tcBorders>
            <w:vAlign w:val="center"/>
            <w:hideMark/>
          </w:tcPr>
          <w:p w14:paraId="7F10BE74"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Construction, Transport and Infrastructure</w:t>
            </w:r>
          </w:p>
        </w:tc>
      </w:tr>
      <w:tr w:rsidR="00614438" w:rsidRPr="003E0710" w14:paraId="1AF4ED53" w14:textId="77777777" w:rsidTr="00614438">
        <w:trPr>
          <w:gridAfter w:val="1"/>
          <w:wAfter w:w="222" w:type="dxa"/>
          <w:trHeight w:val="315"/>
        </w:trPr>
        <w:tc>
          <w:tcPr>
            <w:tcW w:w="3332" w:type="dxa"/>
            <w:tcBorders>
              <w:top w:val="nil"/>
              <w:left w:val="single" w:sz="8" w:space="0" w:color="auto"/>
              <w:bottom w:val="single" w:sz="8" w:space="0" w:color="auto"/>
              <w:right w:val="nil"/>
            </w:tcBorders>
            <w:shd w:val="clear" w:color="auto" w:fill="244062"/>
            <w:vAlign w:val="center"/>
            <w:hideMark/>
          </w:tcPr>
          <w:p w14:paraId="5890FB8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26" w:type="dxa"/>
            <w:gridSpan w:val="3"/>
            <w:tcBorders>
              <w:top w:val="single" w:sz="8" w:space="0" w:color="auto"/>
              <w:left w:val="nil"/>
              <w:bottom w:val="single" w:sz="8" w:space="0" w:color="auto"/>
              <w:right w:val="single" w:sz="8" w:space="0" w:color="000000"/>
            </w:tcBorders>
            <w:vAlign w:val="center"/>
            <w:hideMark/>
          </w:tcPr>
          <w:p w14:paraId="4D0D86B0"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w:t>
            </w:r>
          </w:p>
        </w:tc>
      </w:tr>
      <w:tr w:rsidR="00614438" w:rsidRPr="003E0710" w14:paraId="031D697F" w14:textId="77777777" w:rsidTr="00614438">
        <w:trPr>
          <w:gridAfter w:val="1"/>
          <w:wAfter w:w="222" w:type="dxa"/>
          <w:trHeight w:val="315"/>
        </w:trPr>
        <w:tc>
          <w:tcPr>
            <w:tcW w:w="3332" w:type="dxa"/>
            <w:tcBorders>
              <w:top w:val="nil"/>
              <w:left w:val="single" w:sz="8" w:space="0" w:color="auto"/>
              <w:bottom w:val="single" w:sz="8" w:space="0" w:color="auto"/>
              <w:right w:val="nil"/>
            </w:tcBorders>
            <w:shd w:val="clear" w:color="auto" w:fill="244062"/>
            <w:vAlign w:val="center"/>
            <w:hideMark/>
          </w:tcPr>
          <w:p w14:paraId="4141456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26" w:type="dxa"/>
            <w:gridSpan w:val="3"/>
            <w:tcBorders>
              <w:top w:val="single" w:sz="8" w:space="0" w:color="auto"/>
              <w:left w:val="nil"/>
              <w:bottom w:val="single" w:sz="8" w:space="0" w:color="auto"/>
              <w:right w:val="single" w:sz="8" w:space="0" w:color="000000"/>
            </w:tcBorders>
            <w:vAlign w:val="center"/>
            <w:hideMark/>
          </w:tcPr>
          <w:p w14:paraId="00100F09"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Produced RES heating and cooling</w:t>
            </w:r>
          </w:p>
        </w:tc>
      </w:tr>
      <w:tr w:rsidR="00614438" w:rsidRPr="003E0710" w14:paraId="36BD3E9A" w14:textId="77777777" w:rsidTr="00614438">
        <w:trPr>
          <w:gridAfter w:val="1"/>
          <w:wAfter w:w="222" w:type="dxa"/>
          <w:trHeight w:val="407"/>
        </w:trPr>
        <w:tc>
          <w:tcPr>
            <w:tcW w:w="3332" w:type="dxa"/>
            <w:tcBorders>
              <w:top w:val="nil"/>
              <w:left w:val="single" w:sz="8" w:space="0" w:color="auto"/>
              <w:bottom w:val="single" w:sz="8" w:space="0" w:color="auto"/>
              <w:right w:val="single" w:sz="8" w:space="0" w:color="auto"/>
            </w:tcBorders>
            <w:shd w:val="clear" w:color="auto" w:fill="244062"/>
            <w:vAlign w:val="center"/>
            <w:hideMark/>
          </w:tcPr>
          <w:p w14:paraId="1A64DA7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26" w:type="dxa"/>
            <w:gridSpan w:val="3"/>
            <w:tcBorders>
              <w:top w:val="single" w:sz="8" w:space="0" w:color="auto"/>
              <w:left w:val="nil"/>
              <w:bottom w:val="single" w:sz="8" w:space="0" w:color="auto"/>
              <w:right w:val="single" w:sz="8" w:space="0" w:color="000000"/>
            </w:tcBorders>
            <w:vAlign w:val="center"/>
            <w:hideMark/>
          </w:tcPr>
          <w:p w14:paraId="2A1E10F8"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 xml:space="preserve">Energy efficiency (the promoted RES technologies will </w:t>
            </w:r>
            <w:r w:rsidR="00604DA5" w:rsidRPr="003E0710">
              <w:rPr>
                <w:rFonts w:ascii="Times New Roman" w:hAnsi="Times New Roman" w:cs="Times New Roman"/>
                <w:sz w:val="20"/>
                <w:szCs w:val="20"/>
              </w:rPr>
              <w:t xml:space="preserve">also </w:t>
            </w:r>
            <w:r w:rsidRPr="003E0710">
              <w:rPr>
                <w:rFonts w:ascii="Times New Roman" w:hAnsi="Times New Roman" w:cs="Times New Roman"/>
                <w:sz w:val="20"/>
                <w:szCs w:val="20"/>
              </w:rPr>
              <w:t>deliver final and primary energy savings contributing to the achievement of the relevant targets)</w:t>
            </w:r>
          </w:p>
          <w:p w14:paraId="5E7DC68A"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security (the penetration of RES technologies will reduce the energy import dependency from third countries and increase the deployment of domestic energy sources)</w:t>
            </w:r>
          </w:p>
          <w:p w14:paraId="1A367899"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Internal energy market (the promoted energy efficiency technologies will contribute to the alleviation of energy poverty)</w:t>
            </w:r>
          </w:p>
        </w:tc>
      </w:tr>
      <w:tr w:rsidR="00614438" w:rsidRPr="003E0710" w14:paraId="6BDF3FE5" w14:textId="77777777" w:rsidTr="00614438">
        <w:trPr>
          <w:gridAfter w:val="1"/>
          <w:wAfter w:w="222" w:type="dxa"/>
          <w:trHeight w:val="458"/>
        </w:trPr>
        <w:tc>
          <w:tcPr>
            <w:tcW w:w="3332" w:type="dxa"/>
            <w:vMerge w:val="restart"/>
            <w:tcBorders>
              <w:top w:val="nil"/>
              <w:left w:val="single" w:sz="8" w:space="0" w:color="auto"/>
              <w:bottom w:val="single" w:sz="8" w:space="0" w:color="000000"/>
              <w:right w:val="single" w:sz="8" w:space="0" w:color="auto"/>
            </w:tcBorders>
            <w:shd w:val="clear" w:color="auto" w:fill="244062"/>
            <w:vAlign w:val="center"/>
            <w:hideMark/>
          </w:tcPr>
          <w:p w14:paraId="15177C8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26"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4112088F"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4B62C2B5"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6EA32E3F"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532230C"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6F773615"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6274440E"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26D475FE"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FBF5BC1"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2B2FC3B8"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3EA4708D" w14:textId="77777777" w:rsidTr="00614438">
        <w:trPr>
          <w:trHeight w:val="441"/>
        </w:trPr>
        <w:tc>
          <w:tcPr>
            <w:tcW w:w="3332" w:type="dxa"/>
            <w:tcBorders>
              <w:top w:val="nil"/>
              <w:left w:val="single" w:sz="8" w:space="0" w:color="auto"/>
              <w:bottom w:val="single" w:sz="8" w:space="0" w:color="auto"/>
              <w:right w:val="single" w:sz="8" w:space="0" w:color="auto"/>
            </w:tcBorders>
            <w:shd w:val="clear" w:color="auto" w:fill="244062"/>
            <w:vAlign w:val="center"/>
            <w:hideMark/>
          </w:tcPr>
          <w:p w14:paraId="2163C19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26" w:type="dxa"/>
            <w:gridSpan w:val="3"/>
            <w:tcBorders>
              <w:top w:val="single" w:sz="8" w:space="0" w:color="auto"/>
              <w:left w:val="nil"/>
              <w:bottom w:val="single" w:sz="8" w:space="0" w:color="auto"/>
              <w:right w:val="single" w:sz="8" w:space="0" w:color="000000"/>
            </w:tcBorders>
            <w:vAlign w:val="center"/>
            <w:hideMark/>
          </w:tcPr>
          <w:p w14:paraId="0B06F5BC"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Energy Efficiency and Rational Use of Energy</w:t>
            </w:r>
          </w:p>
          <w:p w14:paraId="250DD709" w14:textId="77777777" w:rsidR="00614438" w:rsidRPr="003E0710" w:rsidRDefault="00604DA5"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 xml:space="preserve">Law and by-laws </w:t>
            </w:r>
            <w:r w:rsidR="00614438" w:rsidRPr="003E0710">
              <w:rPr>
                <w:rFonts w:ascii="Times New Roman" w:hAnsi="Times New Roman" w:cs="Times New Roman"/>
                <w:sz w:val="20"/>
                <w:szCs w:val="20"/>
              </w:rPr>
              <w:t>on Energy Efficiency in Buildings</w:t>
            </w:r>
          </w:p>
        </w:tc>
        <w:tc>
          <w:tcPr>
            <w:tcW w:w="222" w:type="dxa"/>
            <w:vAlign w:val="center"/>
            <w:hideMark/>
          </w:tcPr>
          <w:p w14:paraId="1EFF2E6B"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1F234781" w14:textId="77777777" w:rsidTr="00614438">
        <w:trPr>
          <w:trHeight w:val="315"/>
        </w:trPr>
        <w:tc>
          <w:tcPr>
            <w:tcW w:w="3332" w:type="dxa"/>
            <w:tcBorders>
              <w:top w:val="nil"/>
              <w:left w:val="single" w:sz="8" w:space="0" w:color="auto"/>
              <w:bottom w:val="single" w:sz="8" w:space="0" w:color="auto"/>
              <w:right w:val="single" w:sz="8" w:space="0" w:color="auto"/>
            </w:tcBorders>
            <w:shd w:val="clear" w:color="auto" w:fill="244062"/>
            <w:vAlign w:val="center"/>
            <w:hideMark/>
          </w:tcPr>
          <w:p w14:paraId="457E951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26" w:type="dxa"/>
            <w:gridSpan w:val="3"/>
            <w:tcBorders>
              <w:top w:val="single" w:sz="4" w:space="0" w:color="auto"/>
              <w:left w:val="single" w:sz="4" w:space="0" w:color="auto"/>
              <w:bottom w:val="single" w:sz="4" w:space="0" w:color="000000"/>
              <w:right w:val="single" w:sz="4" w:space="0" w:color="auto"/>
            </w:tcBorders>
            <w:vAlign w:val="center"/>
            <w:hideMark/>
          </w:tcPr>
          <w:p w14:paraId="242B1C6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Budget incorporated into energy efficiency dimension measures (PM_EE1</w:t>
            </w:r>
            <w:r w:rsidR="00604DA5" w:rsidRPr="003E0710">
              <w:rPr>
                <w:rFonts w:ascii="Times New Roman" w:hAnsi="Times New Roman" w:cs="Times New Roman"/>
                <w:sz w:val="20"/>
                <w:szCs w:val="20"/>
                <w:lang w:val="en-GB"/>
              </w:rPr>
              <w:t>4</w:t>
            </w:r>
            <w:r w:rsidRPr="003E0710">
              <w:rPr>
                <w:rFonts w:ascii="Times New Roman" w:hAnsi="Times New Roman" w:cs="Times New Roman"/>
                <w:sz w:val="20"/>
                <w:szCs w:val="20"/>
                <w:lang w:val="en-GB"/>
              </w:rPr>
              <w:t>-PM_EE8)</w:t>
            </w:r>
            <w:r w:rsidR="00604DA5" w:rsidRPr="003E0710">
              <w:rPr>
                <w:rFonts w:ascii="Times New Roman" w:hAnsi="Times New Roman" w:cs="Times New Roman"/>
                <w:sz w:val="20"/>
                <w:szCs w:val="20"/>
                <w:lang w:val="en-GB"/>
              </w:rPr>
              <w:t xml:space="preserve"> 2518 million EUR for heat pumps nad 637 million EUR for solar thermal systems</w:t>
            </w:r>
          </w:p>
        </w:tc>
        <w:tc>
          <w:tcPr>
            <w:tcW w:w="222" w:type="dxa"/>
            <w:vAlign w:val="center"/>
            <w:hideMark/>
          </w:tcPr>
          <w:p w14:paraId="24EC7A79"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532D3B40" w14:textId="77777777" w:rsidTr="00614438">
        <w:trPr>
          <w:trHeight w:val="315"/>
        </w:trPr>
        <w:tc>
          <w:tcPr>
            <w:tcW w:w="3332" w:type="dxa"/>
            <w:tcBorders>
              <w:top w:val="nil"/>
              <w:left w:val="single" w:sz="8" w:space="0" w:color="auto"/>
              <w:bottom w:val="single" w:sz="8" w:space="0" w:color="auto"/>
              <w:right w:val="single" w:sz="8" w:space="0" w:color="auto"/>
            </w:tcBorders>
            <w:shd w:val="clear" w:color="auto" w:fill="244062"/>
            <w:vAlign w:val="center"/>
            <w:hideMark/>
          </w:tcPr>
          <w:p w14:paraId="277AE7A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26" w:type="dxa"/>
            <w:gridSpan w:val="3"/>
            <w:tcBorders>
              <w:top w:val="single" w:sz="4" w:space="0" w:color="auto"/>
              <w:left w:val="single" w:sz="4" w:space="0" w:color="auto"/>
              <w:bottom w:val="single" w:sz="4" w:space="0" w:color="000000"/>
              <w:right w:val="single" w:sz="4" w:space="0" w:color="auto"/>
            </w:tcBorders>
            <w:vAlign w:val="center"/>
            <w:hideMark/>
          </w:tcPr>
          <w:p w14:paraId="31157F3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 and own funds</w:t>
            </w:r>
          </w:p>
        </w:tc>
        <w:tc>
          <w:tcPr>
            <w:tcW w:w="222" w:type="dxa"/>
            <w:vAlign w:val="center"/>
            <w:hideMark/>
          </w:tcPr>
          <w:p w14:paraId="20BECF8E" w14:textId="77777777" w:rsidR="00614438" w:rsidRPr="003E0710" w:rsidRDefault="00614438" w:rsidP="003E0710">
            <w:pPr>
              <w:spacing w:after="0"/>
              <w:jc w:val="both"/>
              <w:rPr>
                <w:rFonts w:ascii="Times New Roman" w:hAnsi="Times New Roman" w:cs="Times New Roman"/>
                <w:sz w:val="20"/>
                <w:szCs w:val="20"/>
                <w:lang w:val="en-GB"/>
              </w:rPr>
            </w:pPr>
          </w:p>
        </w:tc>
      </w:tr>
    </w:tbl>
    <w:p w14:paraId="0946D6BA"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30"/>
        <w:gridCol w:w="950"/>
        <w:gridCol w:w="946"/>
        <w:gridCol w:w="4232"/>
        <w:gridCol w:w="222"/>
      </w:tblGrid>
      <w:tr w:rsidR="00614438" w:rsidRPr="003E0710" w14:paraId="4D3DA2FE" w14:textId="77777777" w:rsidTr="00614438">
        <w:trPr>
          <w:gridAfter w:val="1"/>
          <w:wAfter w:w="222" w:type="dxa"/>
          <w:trHeight w:val="780"/>
        </w:trPr>
        <w:tc>
          <w:tcPr>
            <w:tcW w:w="3332"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7DA8543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3DB2C59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PM_D30</w:t>
            </w:r>
          </w:p>
        </w:tc>
        <w:tc>
          <w:tcPr>
            <w:tcW w:w="946" w:type="dxa"/>
            <w:tcBorders>
              <w:top w:val="single" w:sz="8" w:space="0" w:color="auto"/>
              <w:left w:val="nil"/>
              <w:bottom w:val="single" w:sz="8" w:space="0" w:color="auto"/>
              <w:right w:val="single" w:sz="8" w:space="0" w:color="auto"/>
            </w:tcBorders>
            <w:shd w:val="clear" w:color="auto" w:fill="244062"/>
            <w:vAlign w:val="center"/>
            <w:hideMark/>
          </w:tcPr>
          <w:p w14:paraId="0E536AB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35" w:type="dxa"/>
            <w:tcBorders>
              <w:top w:val="single" w:sz="8" w:space="0" w:color="auto"/>
              <w:left w:val="nil"/>
              <w:bottom w:val="single" w:sz="8" w:space="0" w:color="auto"/>
              <w:right w:val="single" w:sz="8" w:space="0" w:color="auto"/>
            </w:tcBorders>
            <w:shd w:val="clear" w:color="auto" w:fill="E7E6E6" w:themeFill="background2"/>
            <w:vAlign w:val="center"/>
            <w:hideMark/>
          </w:tcPr>
          <w:p w14:paraId="3131595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Provision of fiscal and economic incentives to foster RES in heating and cooling</w:t>
            </w:r>
          </w:p>
        </w:tc>
      </w:tr>
      <w:tr w:rsidR="00614438" w:rsidRPr="003E0710" w14:paraId="5C53E629" w14:textId="77777777" w:rsidTr="00614438">
        <w:trPr>
          <w:gridAfter w:val="1"/>
          <w:wAfter w:w="222" w:type="dxa"/>
          <w:trHeight w:val="340"/>
        </w:trPr>
        <w:tc>
          <w:tcPr>
            <w:tcW w:w="3332" w:type="dxa"/>
            <w:tcBorders>
              <w:top w:val="nil"/>
              <w:left w:val="single" w:sz="8" w:space="0" w:color="auto"/>
              <w:bottom w:val="single" w:sz="8" w:space="0" w:color="auto"/>
              <w:right w:val="nil"/>
            </w:tcBorders>
            <w:shd w:val="clear" w:color="auto" w:fill="244062"/>
            <w:vAlign w:val="center"/>
            <w:hideMark/>
          </w:tcPr>
          <w:p w14:paraId="50A2C72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26" w:type="dxa"/>
            <w:gridSpan w:val="3"/>
            <w:tcBorders>
              <w:top w:val="single" w:sz="8" w:space="0" w:color="auto"/>
              <w:left w:val="nil"/>
              <w:bottom w:val="single" w:sz="8" w:space="0" w:color="auto"/>
              <w:right w:val="single" w:sz="8" w:space="0" w:color="000000"/>
            </w:tcBorders>
            <w:vAlign w:val="center"/>
            <w:hideMark/>
          </w:tcPr>
          <w:p w14:paraId="0FC038E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Increase share of RES in heating and cooling</w:t>
            </w:r>
          </w:p>
        </w:tc>
      </w:tr>
      <w:tr w:rsidR="00614438" w:rsidRPr="003E0710" w14:paraId="4D278704" w14:textId="77777777" w:rsidTr="00614438">
        <w:trPr>
          <w:gridAfter w:val="1"/>
          <w:wAfter w:w="222" w:type="dxa"/>
          <w:trHeight w:val="315"/>
        </w:trPr>
        <w:tc>
          <w:tcPr>
            <w:tcW w:w="3332" w:type="dxa"/>
            <w:tcBorders>
              <w:top w:val="nil"/>
              <w:left w:val="single" w:sz="8" w:space="0" w:color="auto"/>
              <w:bottom w:val="single" w:sz="8" w:space="0" w:color="auto"/>
              <w:right w:val="single" w:sz="8" w:space="0" w:color="auto"/>
            </w:tcBorders>
            <w:shd w:val="clear" w:color="auto" w:fill="244062"/>
            <w:vAlign w:val="center"/>
            <w:hideMark/>
          </w:tcPr>
          <w:p w14:paraId="19B1907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 xml:space="preserve">Quantified objective: </w:t>
            </w:r>
          </w:p>
        </w:tc>
        <w:tc>
          <w:tcPr>
            <w:tcW w:w="6126" w:type="dxa"/>
            <w:gridSpan w:val="3"/>
            <w:tcBorders>
              <w:top w:val="single" w:sz="4" w:space="0" w:color="auto"/>
              <w:left w:val="single" w:sz="4" w:space="0" w:color="auto"/>
              <w:bottom w:val="single" w:sz="4" w:space="0" w:color="000000"/>
              <w:right w:val="single" w:sz="4" w:space="0" w:color="auto"/>
            </w:tcBorders>
            <w:vAlign w:val="center"/>
            <w:hideMark/>
          </w:tcPr>
          <w:p w14:paraId="4C00938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1476 ktoe of biomass, 4 ktoe of geothermal energy, 25 ktoe of solar thermal energy and 145 ktoe of ambient heat</w:t>
            </w:r>
          </w:p>
        </w:tc>
      </w:tr>
      <w:tr w:rsidR="00614438" w:rsidRPr="003E0710" w14:paraId="11D66061" w14:textId="77777777" w:rsidTr="00614438">
        <w:trPr>
          <w:gridAfter w:val="1"/>
          <w:wAfter w:w="222" w:type="dxa"/>
          <w:trHeight w:val="301"/>
        </w:trPr>
        <w:tc>
          <w:tcPr>
            <w:tcW w:w="3332" w:type="dxa"/>
            <w:tcBorders>
              <w:top w:val="nil"/>
              <w:left w:val="single" w:sz="8" w:space="0" w:color="auto"/>
              <w:bottom w:val="single" w:sz="8" w:space="0" w:color="auto"/>
              <w:right w:val="single" w:sz="8" w:space="0" w:color="auto"/>
            </w:tcBorders>
            <w:shd w:val="clear" w:color="auto" w:fill="244062"/>
            <w:vAlign w:val="center"/>
            <w:hideMark/>
          </w:tcPr>
          <w:p w14:paraId="0073856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26" w:type="dxa"/>
            <w:gridSpan w:val="3"/>
            <w:tcBorders>
              <w:top w:val="single" w:sz="4" w:space="0" w:color="auto"/>
              <w:left w:val="single" w:sz="4" w:space="0" w:color="auto"/>
              <w:bottom w:val="single" w:sz="4" w:space="0" w:color="000000"/>
              <w:right w:val="single" w:sz="4" w:space="0" w:color="auto"/>
            </w:tcBorders>
            <w:vAlign w:val="center"/>
            <w:hideMark/>
          </w:tcPr>
          <w:p w14:paraId="6AD1E8A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PM_D30 will provide fiscal and economic incentives for the cost-effective support of renewable energy technologies for heating and cooling according to the provisions of Articles 71 and 74 of the Law on the use of renewable energy sources. The selection of the most effective technologies will be performed taking into account the available technical and economic potential and the technical peculiarities of each end-use sector separately. The </w:t>
            </w:r>
            <w:r w:rsidR="00F44FAF" w:rsidRPr="003E0710">
              <w:rPr>
                <w:rFonts w:ascii="Times New Roman" w:hAnsi="Times New Roman" w:cs="Times New Roman"/>
                <w:sz w:val="20"/>
                <w:szCs w:val="20"/>
                <w:lang w:val="en-GB"/>
              </w:rPr>
              <w:t xml:space="preserve">active </w:t>
            </w:r>
            <w:r w:rsidRPr="003E0710">
              <w:rPr>
                <w:rFonts w:ascii="Times New Roman" w:hAnsi="Times New Roman" w:cs="Times New Roman"/>
                <w:sz w:val="20"/>
                <w:szCs w:val="20"/>
                <w:lang w:val="en-GB"/>
              </w:rPr>
              <w:t>role of the local self-governments, which are also responsible for the implementation of incentive measures, will be enabled.</w:t>
            </w:r>
          </w:p>
        </w:tc>
      </w:tr>
      <w:tr w:rsidR="00614438" w:rsidRPr="003E0710" w14:paraId="2F4F7BB7" w14:textId="77777777" w:rsidTr="00614438">
        <w:trPr>
          <w:gridAfter w:val="1"/>
          <w:wAfter w:w="222" w:type="dxa"/>
          <w:trHeight w:val="315"/>
        </w:trPr>
        <w:tc>
          <w:tcPr>
            <w:tcW w:w="3332" w:type="dxa"/>
            <w:tcBorders>
              <w:top w:val="nil"/>
              <w:left w:val="single" w:sz="8" w:space="0" w:color="auto"/>
              <w:bottom w:val="single" w:sz="8" w:space="0" w:color="auto"/>
              <w:right w:val="single" w:sz="8" w:space="0" w:color="auto"/>
            </w:tcBorders>
            <w:shd w:val="clear" w:color="auto" w:fill="244062"/>
            <w:vAlign w:val="center"/>
            <w:hideMark/>
          </w:tcPr>
          <w:p w14:paraId="683C19D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26" w:type="dxa"/>
            <w:gridSpan w:val="3"/>
            <w:tcBorders>
              <w:top w:val="single" w:sz="4" w:space="0" w:color="auto"/>
              <w:left w:val="single" w:sz="4" w:space="0" w:color="auto"/>
              <w:bottom w:val="single" w:sz="4" w:space="0" w:color="000000"/>
              <w:right w:val="single" w:sz="4" w:space="0" w:color="auto"/>
            </w:tcBorders>
            <w:vAlign w:val="center"/>
            <w:hideMark/>
          </w:tcPr>
          <w:p w14:paraId="64B92F1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2025-2030</w:t>
            </w:r>
          </w:p>
        </w:tc>
      </w:tr>
      <w:tr w:rsidR="00614438" w:rsidRPr="003E0710" w14:paraId="3E4CFFFA" w14:textId="77777777" w:rsidTr="00614438">
        <w:trPr>
          <w:gridAfter w:val="1"/>
          <w:wAfter w:w="222" w:type="dxa"/>
          <w:trHeight w:val="315"/>
        </w:trPr>
        <w:tc>
          <w:tcPr>
            <w:tcW w:w="3332" w:type="dxa"/>
            <w:tcBorders>
              <w:top w:val="nil"/>
              <w:left w:val="single" w:sz="8" w:space="0" w:color="auto"/>
              <w:bottom w:val="single" w:sz="8" w:space="0" w:color="auto"/>
              <w:right w:val="single" w:sz="8" w:space="0" w:color="auto"/>
            </w:tcBorders>
            <w:shd w:val="clear" w:color="auto" w:fill="244062"/>
            <w:vAlign w:val="center"/>
            <w:hideMark/>
          </w:tcPr>
          <w:p w14:paraId="1749DB7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26" w:type="dxa"/>
            <w:gridSpan w:val="3"/>
            <w:tcBorders>
              <w:top w:val="single" w:sz="8" w:space="0" w:color="auto"/>
              <w:left w:val="nil"/>
              <w:bottom w:val="single" w:sz="8" w:space="0" w:color="auto"/>
              <w:right w:val="single" w:sz="8" w:space="0" w:color="000000"/>
            </w:tcBorders>
            <w:vAlign w:val="center"/>
            <w:hideMark/>
          </w:tcPr>
          <w:p w14:paraId="0775691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w:t>
            </w:r>
          </w:p>
        </w:tc>
      </w:tr>
      <w:tr w:rsidR="00614438" w:rsidRPr="003E0710" w14:paraId="3AE81F33" w14:textId="77777777" w:rsidTr="00614438">
        <w:trPr>
          <w:gridAfter w:val="1"/>
          <w:wAfter w:w="222" w:type="dxa"/>
          <w:trHeight w:val="315"/>
        </w:trPr>
        <w:tc>
          <w:tcPr>
            <w:tcW w:w="3332" w:type="dxa"/>
            <w:tcBorders>
              <w:top w:val="nil"/>
              <w:left w:val="single" w:sz="8" w:space="0" w:color="auto"/>
              <w:bottom w:val="single" w:sz="8" w:space="0" w:color="auto"/>
              <w:right w:val="single" w:sz="8" w:space="0" w:color="auto"/>
            </w:tcBorders>
            <w:shd w:val="clear" w:color="auto" w:fill="244062"/>
            <w:vAlign w:val="center"/>
            <w:hideMark/>
          </w:tcPr>
          <w:p w14:paraId="2B05004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26" w:type="dxa"/>
            <w:gridSpan w:val="3"/>
            <w:tcBorders>
              <w:top w:val="single" w:sz="8" w:space="0" w:color="auto"/>
              <w:left w:val="nil"/>
              <w:bottom w:val="single" w:sz="8" w:space="0" w:color="auto"/>
              <w:right w:val="single" w:sz="8" w:space="0" w:color="000000"/>
            </w:tcBorders>
            <w:vAlign w:val="center"/>
            <w:hideMark/>
          </w:tcPr>
          <w:p w14:paraId="79E7565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Heating and cooling</w:t>
            </w:r>
          </w:p>
        </w:tc>
      </w:tr>
      <w:tr w:rsidR="00614438" w:rsidRPr="003E0710" w14:paraId="4B21F6A2" w14:textId="77777777" w:rsidTr="00614438">
        <w:trPr>
          <w:gridAfter w:val="1"/>
          <w:wAfter w:w="222" w:type="dxa"/>
          <w:trHeight w:val="315"/>
        </w:trPr>
        <w:tc>
          <w:tcPr>
            <w:tcW w:w="3332" w:type="dxa"/>
            <w:tcBorders>
              <w:top w:val="nil"/>
              <w:left w:val="single" w:sz="8" w:space="0" w:color="auto"/>
              <w:bottom w:val="single" w:sz="8" w:space="0" w:color="auto"/>
              <w:right w:val="single" w:sz="8" w:space="0" w:color="auto"/>
            </w:tcBorders>
            <w:shd w:val="clear" w:color="auto" w:fill="244062"/>
            <w:vAlign w:val="center"/>
            <w:hideMark/>
          </w:tcPr>
          <w:p w14:paraId="7601A80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26" w:type="dxa"/>
            <w:gridSpan w:val="3"/>
            <w:tcBorders>
              <w:top w:val="single" w:sz="8" w:space="0" w:color="auto"/>
              <w:left w:val="nil"/>
              <w:bottom w:val="single" w:sz="8" w:space="0" w:color="auto"/>
              <w:right w:val="single" w:sz="8" w:space="0" w:color="000000"/>
            </w:tcBorders>
            <w:vAlign w:val="center"/>
            <w:hideMark/>
          </w:tcPr>
          <w:p w14:paraId="38987088"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Mining and Energy</w:t>
            </w:r>
          </w:p>
        </w:tc>
      </w:tr>
      <w:tr w:rsidR="00614438" w:rsidRPr="003E0710" w14:paraId="1BDCAABB" w14:textId="77777777" w:rsidTr="00614438">
        <w:trPr>
          <w:gridAfter w:val="1"/>
          <w:wAfter w:w="222" w:type="dxa"/>
          <w:trHeight w:val="315"/>
        </w:trPr>
        <w:tc>
          <w:tcPr>
            <w:tcW w:w="3332" w:type="dxa"/>
            <w:tcBorders>
              <w:top w:val="nil"/>
              <w:left w:val="single" w:sz="8" w:space="0" w:color="auto"/>
              <w:bottom w:val="single" w:sz="8" w:space="0" w:color="auto"/>
              <w:right w:val="nil"/>
            </w:tcBorders>
            <w:shd w:val="clear" w:color="auto" w:fill="244062"/>
            <w:vAlign w:val="center"/>
            <w:hideMark/>
          </w:tcPr>
          <w:p w14:paraId="70FF8DE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26" w:type="dxa"/>
            <w:gridSpan w:val="3"/>
            <w:tcBorders>
              <w:top w:val="single" w:sz="8" w:space="0" w:color="auto"/>
              <w:left w:val="nil"/>
              <w:bottom w:val="single" w:sz="8" w:space="0" w:color="auto"/>
              <w:right w:val="single" w:sz="8" w:space="0" w:color="000000"/>
            </w:tcBorders>
            <w:vAlign w:val="center"/>
            <w:hideMark/>
          </w:tcPr>
          <w:p w14:paraId="16F3A3B9"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 </w:t>
            </w:r>
          </w:p>
        </w:tc>
      </w:tr>
      <w:tr w:rsidR="00614438" w:rsidRPr="003E0710" w14:paraId="149F9928" w14:textId="77777777" w:rsidTr="00614438">
        <w:trPr>
          <w:gridAfter w:val="1"/>
          <w:wAfter w:w="222" w:type="dxa"/>
          <w:trHeight w:val="315"/>
        </w:trPr>
        <w:tc>
          <w:tcPr>
            <w:tcW w:w="3332" w:type="dxa"/>
            <w:tcBorders>
              <w:top w:val="nil"/>
              <w:left w:val="single" w:sz="8" w:space="0" w:color="auto"/>
              <w:bottom w:val="single" w:sz="8" w:space="0" w:color="auto"/>
              <w:right w:val="nil"/>
            </w:tcBorders>
            <w:shd w:val="clear" w:color="auto" w:fill="244062"/>
            <w:vAlign w:val="center"/>
            <w:hideMark/>
          </w:tcPr>
          <w:p w14:paraId="7B8E761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26" w:type="dxa"/>
            <w:gridSpan w:val="3"/>
            <w:tcBorders>
              <w:top w:val="single" w:sz="8" w:space="0" w:color="auto"/>
              <w:left w:val="nil"/>
              <w:bottom w:val="single" w:sz="8" w:space="0" w:color="auto"/>
              <w:right w:val="single" w:sz="8" w:space="0" w:color="000000"/>
            </w:tcBorders>
            <w:vAlign w:val="center"/>
            <w:hideMark/>
          </w:tcPr>
          <w:p w14:paraId="23552600"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Produced RES heating and cooling </w:t>
            </w:r>
          </w:p>
        </w:tc>
      </w:tr>
      <w:tr w:rsidR="00614438" w:rsidRPr="003E0710" w14:paraId="2E6EF1E7" w14:textId="77777777" w:rsidTr="00614438">
        <w:trPr>
          <w:gridAfter w:val="1"/>
          <w:wAfter w:w="222" w:type="dxa"/>
          <w:trHeight w:val="369"/>
        </w:trPr>
        <w:tc>
          <w:tcPr>
            <w:tcW w:w="3332" w:type="dxa"/>
            <w:tcBorders>
              <w:top w:val="nil"/>
              <w:left w:val="single" w:sz="8" w:space="0" w:color="auto"/>
              <w:bottom w:val="single" w:sz="8" w:space="0" w:color="auto"/>
              <w:right w:val="single" w:sz="8" w:space="0" w:color="auto"/>
            </w:tcBorders>
            <w:shd w:val="clear" w:color="auto" w:fill="244062"/>
            <w:vAlign w:val="center"/>
            <w:hideMark/>
          </w:tcPr>
          <w:p w14:paraId="49C34E2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26" w:type="dxa"/>
            <w:gridSpan w:val="3"/>
            <w:tcBorders>
              <w:top w:val="single" w:sz="8" w:space="0" w:color="auto"/>
              <w:left w:val="nil"/>
              <w:bottom w:val="single" w:sz="8" w:space="0" w:color="auto"/>
              <w:right w:val="single" w:sz="8" w:space="0" w:color="000000"/>
            </w:tcBorders>
            <w:vAlign w:val="center"/>
            <w:hideMark/>
          </w:tcPr>
          <w:p w14:paraId="6498FD1C"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efficiency (the promoted RES technologies will deliver also final and primary energy savings contributing to the achievement of the relevant targets)</w:t>
            </w:r>
          </w:p>
          <w:p w14:paraId="5C33130E"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security (the penetration of RES technologies will reduce the energy import dependency from third countries and increase the deployment of domestic energy sources)</w:t>
            </w:r>
          </w:p>
        </w:tc>
      </w:tr>
      <w:tr w:rsidR="00614438" w:rsidRPr="003E0710" w14:paraId="3253E631" w14:textId="77777777" w:rsidTr="00614438">
        <w:trPr>
          <w:gridAfter w:val="1"/>
          <w:wAfter w:w="222" w:type="dxa"/>
          <w:trHeight w:val="458"/>
        </w:trPr>
        <w:tc>
          <w:tcPr>
            <w:tcW w:w="3332" w:type="dxa"/>
            <w:vMerge w:val="restart"/>
            <w:tcBorders>
              <w:top w:val="nil"/>
              <w:left w:val="single" w:sz="8" w:space="0" w:color="auto"/>
              <w:bottom w:val="single" w:sz="8" w:space="0" w:color="000000"/>
              <w:right w:val="single" w:sz="8" w:space="0" w:color="auto"/>
            </w:tcBorders>
            <w:shd w:val="clear" w:color="auto" w:fill="244062"/>
            <w:vAlign w:val="center"/>
            <w:hideMark/>
          </w:tcPr>
          <w:p w14:paraId="7143016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26"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298FDF8"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24012FC3"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57B2AA22"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C35CD5D"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37146205"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316C53AB"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5C920C6D"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9F3A177"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42863356"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127BDE94" w14:textId="77777777" w:rsidTr="00614438">
        <w:trPr>
          <w:trHeight w:val="317"/>
        </w:trPr>
        <w:tc>
          <w:tcPr>
            <w:tcW w:w="3332" w:type="dxa"/>
            <w:tcBorders>
              <w:top w:val="nil"/>
              <w:left w:val="single" w:sz="8" w:space="0" w:color="auto"/>
              <w:bottom w:val="single" w:sz="8" w:space="0" w:color="auto"/>
              <w:right w:val="single" w:sz="8" w:space="0" w:color="auto"/>
            </w:tcBorders>
            <w:shd w:val="clear" w:color="auto" w:fill="244062"/>
            <w:vAlign w:val="center"/>
            <w:hideMark/>
          </w:tcPr>
          <w:p w14:paraId="23D2906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26" w:type="dxa"/>
            <w:gridSpan w:val="3"/>
            <w:tcBorders>
              <w:top w:val="single" w:sz="8" w:space="0" w:color="auto"/>
              <w:left w:val="nil"/>
              <w:bottom w:val="single" w:sz="8" w:space="0" w:color="auto"/>
              <w:right w:val="single" w:sz="8" w:space="0" w:color="000000"/>
            </w:tcBorders>
            <w:vAlign w:val="center"/>
            <w:hideMark/>
          </w:tcPr>
          <w:p w14:paraId="5FFA8B9E"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the use of renewable energy sources</w:t>
            </w:r>
          </w:p>
          <w:p w14:paraId="29CB2230"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Energy Efficiency and Rational Use of Energy</w:t>
            </w:r>
          </w:p>
          <w:p w14:paraId="70EB5397"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Rulebook on Energy Efficiency in Buildings</w:t>
            </w:r>
          </w:p>
        </w:tc>
        <w:tc>
          <w:tcPr>
            <w:tcW w:w="222" w:type="dxa"/>
            <w:vAlign w:val="center"/>
            <w:hideMark/>
          </w:tcPr>
          <w:p w14:paraId="0EF2C4FD"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3D1D2677" w14:textId="77777777" w:rsidTr="00614438">
        <w:trPr>
          <w:trHeight w:val="315"/>
        </w:trPr>
        <w:tc>
          <w:tcPr>
            <w:tcW w:w="3332" w:type="dxa"/>
            <w:tcBorders>
              <w:top w:val="nil"/>
              <w:left w:val="single" w:sz="8" w:space="0" w:color="auto"/>
              <w:bottom w:val="single" w:sz="8" w:space="0" w:color="auto"/>
              <w:right w:val="single" w:sz="8" w:space="0" w:color="auto"/>
            </w:tcBorders>
            <w:shd w:val="clear" w:color="auto" w:fill="244062"/>
            <w:vAlign w:val="center"/>
            <w:hideMark/>
          </w:tcPr>
          <w:p w14:paraId="35167DE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26" w:type="dxa"/>
            <w:gridSpan w:val="3"/>
            <w:tcBorders>
              <w:top w:val="single" w:sz="4" w:space="0" w:color="auto"/>
              <w:left w:val="single" w:sz="4" w:space="0" w:color="auto"/>
              <w:bottom w:val="single" w:sz="4" w:space="0" w:color="000000"/>
              <w:right w:val="single" w:sz="4" w:space="0" w:color="auto"/>
            </w:tcBorders>
            <w:vAlign w:val="center"/>
            <w:hideMark/>
          </w:tcPr>
          <w:p w14:paraId="3AE7D75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Budget incorporated into energy efficiency dimension measures (PM_EE1-PM_EE8)</w:t>
            </w:r>
          </w:p>
        </w:tc>
        <w:tc>
          <w:tcPr>
            <w:tcW w:w="222" w:type="dxa"/>
            <w:vAlign w:val="center"/>
            <w:hideMark/>
          </w:tcPr>
          <w:p w14:paraId="6B3DCE38"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122A484F" w14:textId="77777777" w:rsidTr="00614438">
        <w:trPr>
          <w:trHeight w:val="315"/>
        </w:trPr>
        <w:tc>
          <w:tcPr>
            <w:tcW w:w="3332" w:type="dxa"/>
            <w:tcBorders>
              <w:top w:val="nil"/>
              <w:left w:val="single" w:sz="8" w:space="0" w:color="auto"/>
              <w:bottom w:val="single" w:sz="8" w:space="0" w:color="auto"/>
              <w:right w:val="single" w:sz="8" w:space="0" w:color="auto"/>
            </w:tcBorders>
            <w:shd w:val="clear" w:color="auto" w:fill="244062"/>
            <w:vAlign w:val="center"/>
            <w:hideMark/>
          </w:tcPr>
          <w:p w14:paraId="2259814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26" w:type="dxa"/>
            <w:gridSpan w:val="3"/>
            <w:tcBorders>
              <w:top w:val="single" w:sz="8" w:space="0" w:color="auto"/>
              <w:left w:val="nil"/>
              <w:bottom w:val="single" w:sz="8" w:space="0" w:color="auto"/>
              <w:right w:val="single" w:sz="8" w:space="0" w:color="000000"/>
            </w:tcBorders>
            <w:vAlign w:val="center"/>
            <w:hideMark/>
          </w:tcPr>
          <w:p w14:paraId="5EC0E5F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 and own funds</w:t>
            </w:r>
          </w:p>
        </w:tc>
        <w:tc>
          <w:tcPr>
            <w:tcW w:w="222" w:type="dxa"/>
            <w:vAlign w:val="center"/>
            <w:hideMark/>
          </w:tcPr>
          <w:p w14:paraId="294333E3" w14:textId="77777777" w:rsidR="00614438" w:rsidRPr="003E0710" w:rsidRDefault="00614438" w:rsidP="003E0710">
            <w:pPr>
              <w:spacing w:after="0"/>
              <w:jc w:val="both"/>
              <w:rPr>
                <w:rFonts w:ascii="Times New Roman" w:hAnsi="Times New Roman" w:cs="Times New Roman"/>
                <w:sz w:val="20"/>
                <w:szCs w:val="20"/>
                <w:lang w:val="en-GB"/>
              </w:rPr>
            </w:pPr>
          </w:p>
        </w:tc>
      </w:tr>
    </w:tbl>
    <w:p w14:paraId="7B24C50E" w14:textId="77777777" w:rsidR="00F44FAF" w:rsidRPr="003E0710" w:rsidRDefault="00F44FAF" w:rsidP="003E0710">
      <w:pPr>
        <w:spacing w:after="0"/>
        <w:jc w:val="both"/>
        <w:rPr>
          <w:rFonts w:ascii="Times New Roman" w:hAnsi="Times New Roman" w:cs="Times New Roman"/>
          <w:sz w:val="20"/>
          <w:szCs w:val="20"/>
          <w:lang w:val="en-GB"/>
        </w:rPr>
      </w:pPr>
    </w:p>
    <w:p w14:paraId="4CA8996E" w14:textId="77777777" w:rsidR="00614438" w:rsidRPr="00614438" w:rsidRDefault="00614438" w:rsidP="00F44FAF">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Transport</w:t>
      </w:r>
    </w:p>
    <w:p w14:paraId="7B12E7CD" w14:textId="77777777" w:rsidR="00614438" w:rsidRPr="00614438" w:rsidRDefault="00614438" w:rsidP="00F44FAF">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production of domestic biofuels (mainly advanced) will be promoted through the provision of subsidies and fiscal incentives. Mandatory quota for the suppliers and blending thresholds for the case of biodiesel and biogasoline will be imposed in order to foster the further consumption of biofuels.</w:t>
      </w:r>
    </w:p>
    <w:p w14:paraId="1F539152" w14:textId="77777777" w:rsidR="00614438" w:rsidRPr="00614438" w:rsidRDefault="00614438" w:rsidP="00F44FAF">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Furthermore, special emphasis will be given on the promotion of electromobility. Specifically, the required legislative framework will be adopted, while the design and deployment of the required infrastructure for charging the electric vehicles will be ensured. Finally, a combination of financial and fiscal incentives will be utilised for the further penetration of electric vehicles </w:t>
      </w:r>
      <w:r w:rsidR="00F44FAF">
        <w:rPr>
          <w:rFonts w:ascii="Times New Roman" w:hAnsi="Times New Roman" w:cs="Times New Roman"/>
          <w:sz w:val="24"/>
          <w:szCs w:val="24"/>
          <w:lang w:val="en-GB"/>
        </w:rPr>
        <w:t xml:space="preserve">as a </w:t>
      </w:r>
      <w:r w:rsidRPr="00614438">
        <w:rPr>
          <w:rFonts w:ascii="Times New Roman" w:hAnsi="Times New Roman" w:cs="Times New Roman"/>
          <w:sz w:val="24"/>
          <w:szCs w:val="24"/>
          <w:lang w:val="en-GB"/>
        </w:rPr>
        <w:t xml:space="preserve">supplement to the regulatory and infrastructural </w:t>
      </w:r>
      <w:r w:rsidR="00F44FAF">
        <w:rPr>
          <w:rFonts w:ascii="Times New Roman" w:hAnsi="Times New Roman" w:cs="Times New Roman"/>
          <w:sz w:val="24"/>
          <w:szCs w:val="24"/>
          <w:lang w:val="en-GB"/>
        </w:rPr>
        <w:t>measures</w:t>
      </w:r>
      <w:r w:rsidRPr="00614438">
        <w:rPr>
          <w:rFonts w:ascii="Times New Roman" w:hAnsi="Times New Roman" w:cs="Times New Roman"/>
          <w:sz w:val="24"/>
          <w:szCs w:val="24"/>
          <w:lang w:val="en-GB"/>
        </w:rPr>
        <w:t xml:space="preserve"> focusing on energy-intensive categories, such as tax</w:t>
      </w:r>
      <w:r w:rsidR="00F44FAF">
        <w:rPr>
          <w:rFonts w:ascii="Times New Roman" w:hAnsi="Times New Roman" w:cs="Times New Roman"/>
          <w:sz w:val="24"/>
          <w:szCs w:val="24"/>
          <w:lang w:val="en-GB"/>
        </w:rPr>
        <w:t>i</w:t>
      </w:r>
      <w:r w:rsidRPr="00614438">
        <w:rPr>
          <w:rFonts w:ascii="Times New Roman" w:hAnsi="Times New Roman" w:cs="Times New Roman"/>
          <w:sz w:val="24"/>
          <w:szCs w:val="24"/>
          <w:lang w:val="en-GB"/>
        </w:rPr>
        <w:t>es, light</w:t>
      </w:r>
      <w:r w:rsidR="00F44FAF">
        <w:rPr>
          <w:rFonts w:ascii="Times New Roman" w:hAnsi="Times New Roman" w:cs="Times New Roman"/>
          <w:sz w:val="24"/>
          <w:szCs w:val="24"/>
          <w:lang w:val="en-GB"/>
        </w:rPr>
        <w:t>-</w:t>
      </w:r>
      <w:r w:rsidRPr="00614438">
        <w:rPr>
          <w:rFonts w:ascii="Times New Roman" w:hAnsi="Times New Roman" w:cs="Times New Roman"/>
          <w:sz w:val="24"/>
          <w:szCs w:val="24"/>
          <w:lang w:val="en-GB"/>
        </w:rPr>
        <w:t>duty vehicles etc. Last but not least, biomethane and green hydrogen constitute alternative options for the further deployment of RES in transport sectors mainly through the implementation of demonstration projects.</w:t>
      </w:r>
    </w:p>
    <w:p w14:paraId="63FAB55A"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29"/>
        <w:gridCol w:w="950"/>
        <w:gridCol w:w="946"/>
        <w:gridCol w:w="4233"/>
        <w:gridCol w:w="222"/>
      </w:tblGrid>
      <w:tr w:rsidR="00614438" w:rsidRPr="003E0710" w14:paraId="5ACC4B1A" w14:textId="77777777" w:rsidTr="00614438">
        <w:trPr>
          <w:gridAfter w:val="1"/>
          <w:wAfter w:w="222" w:type="dxa"/>
          <w:trHeight w:val="780"/>
        </w:trPr>
        <w:tc>
          <w:tcPr>
            <w:tcW w:w="3331"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40C313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02C9A81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PM_D32</w:t>
            </w:r>
          </w:p>
        </w:tc>
        <w:tc>
          <w:tcPr>
            <w:tcW w:w="946" w:type="dxa"/>
            <w:tcBorders>
              <w:top w:val="single" w:sz="8" w:space="0" w:color="auto"/>
              <w:left w:val="nil"/>
              <w:bottom w:val="single" w:sz="8" w:space="0" w:color="auto"/>
              <w:right w:val="single" w:sz="8" w:space="0" w:color="auto"/>
            </w:tcBorders>
            <w:shd w:val="clear" w:color="auto" w:fill="244062"/>
            <w:vAlign w:val="center"/>
            <w:hideMark/>
          </w:tcPr>
          <w:p w14:paraId="0D420CF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36" w:type="dxa"/>
            <w:tcBorders>
              <w:top w:val="single" w:sz="8" w:space="0" w:color="auto"/>
              <w:left w:val="nil"/>
              <w:bottom w:val="single" w:sz="8" w:space="0" w:color="auto"/>
              <w:right w:val="single" w:sz="8" w:space="0" w:color="auto"/>
            </w:tcBorders>
            <w:shd w:val="clear" w:color="auto" w:fill="E7E6E6" w:themeFill="background2"/>
            <w:vAlign w:val="center"/>
            <w:hideMark/>
          </w:tcPr>
          <w:p w14:paraId="39F72ED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Fostering the production of advanced biofuels for use in transport sector</w:t>
            </w:r>
          </w:p>
        </w:tc>
      </w:tr>
      <w:tr w:rsidR="00614438" w:rsidRPr="003E0710" w14:paraId="4C724FC8" w14:textId="77777777" w:rsidTr="00614438">
        <w:trPr>
          <w:gridAfter w:val="1"/>
          <w:wAfter w:w="222" w:type="dxa"/>
          <w:trHeight w:val="179"/>
        </w:trPr>
        <w:tc>
          <w:tcPr>
            <w:tcW w:w="3331" w:type="dxa"/>
            <w:tcBorders>
              <w:top w:val="nil"/>
              <w:left w:val="single" w:sz="8" w:space="0" w:color="auto"/>
              <w:bottom w:val="single" w:sz="8" w:space="0" w:color="auto"/>
              <w:right w:val="nil"/>
            </w:tcBorders>
            <w:shd w:val="clear" w:color="auto" w:fill="244062"/>
            <w:vAlign w:val="center"/>
            <w:hideMark/>
          </w:tcPr>
          <w:p w14:paraId="6A6A1C0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 xml:space="preserve">Main objective: </w:t>
            </w:r>
          </w:p>
        </w:tc>
        <w:tc>
          <w:tcPr>
            <w:tcW w:w="6127" w:type="dxa"/>
            <w:gridSpan w:val="3"/>
            <w:tcBorders>
              <w:top w:val="single" w:sz="8" w:space="0" w:color="auto"/>
              <w:left w:val="nil"/>
              <w:bottom w:val="single" w:sz="8" w:space="0" w:color="auto"/>
              <w:right w:val="single" w:sz="8" w:space="0" w:color="000000"/>
            </w:tcBorders>
            <w:vAlign w:val="center"/>
            <w:hideMark/>
          </w:tcPr>
          <w:p w14:paraId="03C234D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Increase share of RES in transport</w:t>
            </w:r>
          </w:p>
        </w:tc>
      </w:tr>
      <w:tr w:rsidR="00614438" w:rsidRPr="003E0710" w14:paraId="5D6DBC71" w14:textId="77777777" w:rsidTr="00614438">
        <w:trPr>
          <w:gridAfter w:val="1"/>
          <w:wAfter w:w="222" w:type="dxa"/>
          <w:trHeight w:val="315"/>
        </w:trPr>
        <w:tc>
          <w:tcPr>
            <w:tcW w:w="3331" w:type="dxa"/>
            <w:tcBorders>
              <w:top w:val="nil"/>
              <w:left w:val="single" w:sz="8" w:space="0" w:color="auto"/>
              <w:bottom w:val="single" w:sz="8" w:space="0" w:color="auto"/>
              <w:right w:val="single" w:sz="8" w:space="0" w:color="auto"/>
            </w:tcBorders>
            <w:shd w:val="clear" w:color="auto" w:fill="244062"/>
            <w:vAlign w:val="center"/>
            <w:hideMark/>
          </w:tcPr>
          <w:p w14:paraId="586B9B8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27" w:type="dxa"/>
            <w:gridSpan w:val="3"/>
            <w:tcBorders>
              <w:top w:val="single" w:sz="8" w:space="0" w:color="auto"/>
              <w:left w:val="nil"/>
              <w:bottom w:val="single" w:sz="8" w:space="0" w:color="auto"/>
              <w:right w:val="single" w:sz="8" w:space="0" w:color="000000"/>
            </w:tcBorders>
            <w:vAlign w:val="center"/>
            <w:hideMark/>
          </w:tcPr>
          <w:p w14:paraId="333A44C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49 ktoe of biofuels without the effect of multipliers (58 million lt of biofuels). The foreseen biofuels consist of both imported biodiesel and bioethanol and domestically produced biodiesel and bioethanol.</w:t>
            </w:r>
          </w:p>
        </w:tc>
      </w:tr>
      <w:tr w:rsidR="00614438" w:rsidRPr="003E0710" w14:paraId="4FB2A612" w14:textId="77777777" w:rsidTr="00614438">
        <w:trPr>
          <w:gridAfter w:val="1"/>
          <w:wAfter w:w="222" w:type="dxa"/>
          <w:trHeight w:val="571"/>
        </w:trPr>
        <w:tc>
          <w:tcPr>
            <w:tcW w:w="3331" w:type="dxa"/>
            <w:tcBorders>
              <w:top w:val="nil"/>
              <w:left w:val="single" w:sz="8" w:space="0" w:color="auto"/>
              <w:bottom w:val="single" w:sz="8" w:space="0" w:color="auto"/>
              <w:right w:val="single" w:sz="8" w:space="0" w:color="auto"/>
            </w:tcBorders>
            <w:shd w:val="clear" w:color="auto" w:fill="244062"/>
            <w:vAlign w:val="center"/>
            <w:hideMark/>
          </w:tcPr>
          <w:p w14:paraId="55E32AB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27" w:type="dxa"/>
            <w:gridSpan w:val="3"/>
            <w:tcBorders>
              <w:top w:val="single" w:sz="8" w:space="0" w:color="auto"/>
              <w:left w:val="nil"/>
              <w:bottom w:val="single" w:sz="8" w:space="0" w:color="auto"/>
              <w:right w:val="single" w:sz="8" w:space="0" w:color="000000"/>
            </w:tcBorders>
            <w:vAlign w:val="center"/>
            <w:hideMark/>
          </w:tcPr>
          <w:p w14:paraId="06E9BAD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PM_D32 will foster the production of domestic biofuels according to the requirements of the Directive 2018/2001/ΕU through the provision of subsidies and fiscal incentives.</w:t>
            </w:r>
          </w:p>
        </w:tc>
      </w:tr>
      <w:tr w:rsidR="00614438" w:rsidRPr="003E0710" w14:paraId="0723C9DC" w14:textId="77777777" w:rsidTr="00614438">
        <w:trPr>
          <w:gridAfter w:val="1"/>
          <w:wAfter w:w="222" w:type="dxa"/>
          <w:trHeight w:val="315"/>
        </w:trPr>
        <w:tc>
          <w:tcPr>
            <w:tcW w:w="3331" w:type="dxa"/>
            <w:tcBorders>
              <w:top w:val="nil"/>
              <w:left w:val="single" w:sz="8" w:space="0" w:color="auto"/>
              <w:bottom w:val="single" w:sz="8" w:space="0" w:color="auto"/>
              <w:right w:val="single" w:sz="8" w:space="0" w:color="auto"/>
            </w:tcBorders>
            <w:shd w:val="clear" w:color="auto" w:fill="244062"/>
            <w:vAlign w:val="center"/>
            <w:hideMark/>
          </w:tcPr>
          <w:p w14:paraId="1399EF1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27" w:type="dxa"/>
            <w:gridSpan w:val="3"/>
            <w:tcBorders>
              <w:top w:val="single" w:sz="8" w:space="0" w:color="auto"/>
              <w:left w:val="nil"/>
              <w:bottom w:val="single" w:sz="8" w:space="0" w:color="auto"/>
              <w:right w:val="single" w:sz="8" w:space="0" w:color="000000"/>
            </w:tcBorders>
            <w:vAlign w:val="center"/>
            <w:hideMark/>
          </w:tcPr>
          <w:p w14:paraId="1374E93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2025-2030</w:t>
            </w:r>
          </w:p>
        </w:tc>
      </w:tr>
      <w:tr w:rsidR="00614438" w:rsidRPr="003E0710" w14:paraId="1C587EFD" w14:textId="77777777" w:rsidTr="00614438">
        <w:trPr>
          <w:gridAfter w:val="1"/>
          <w:wAfter w:w="222" w:type="dxa"/>
          <w:trHeight w:val="315"/>
        </w:trPr>
        <w:tc>
          <w:tcPr>
            <w:tcW w:w="3331" w:type="dxa"/>
            <w:tcBorders>
              <w:top w:val="nil"/>
              <w:left w:val="single" w:sz="8" w:space="0" w:color="auto"/>
              <w:bottom w:val="single" w:sz="8" w:space="0" w:color="auto"/>
              <w:right w:val="single" w:sz="8" w:space="0" w:color="auto"/>
            </w:tcBorders>
            <w:shd w:val="clear" w:color="auto" w:fill="244062"/>
            <w:vAlign w:val="center"/>
            <w:hideMark/>
          </w:tcPr>
          <w:p w14:paraId="0303BF7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27" w:type="dxa"/>
            <w:gridSpan w:val="3"/>
            <w:tcBorders>
              <w:top w:val="single" w:sz="8" w:space="0" w:color="auto"/>
              <w:left w:val="nil"/>
              <w:bottom w:val="single" w:sz="8" w:space="0" w:color="auto"/>
              <w:right w:val="single" w:sz="8" w:space="0" w:color="000000"/>
            </w:tcBorders>
            <w:vAlign w:val="center"/>
            <w:hideMark/>
          </w:tcPr>
          <w:p w14:paraId="41D4D0B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w:t>
            </w:r>
          </w:p>
        </w:tc>
      </w:tr>
      <w:tr w:rsidR="00614438" w:rsidRPr="003E0710" w14:paraId="3F60B010" w14:textId="77777777" w:rsidTr="00614438">
        <w:trPr>
          <w:gridAfter w:val="1"/>
          <w:wAfter w:w="222" w:type="dxa"/>
          <w:trHeight w:val="315"/>
        </w:trPr>
        <w:tc>
          <w:tcPr>
            <w:tcW w:w="3331" w:type="dxa"/>
            <w:tcBorders>
              <w:top w:val="nil"/>
              <w:left w:val="single" w:sz="8" w:space="0" w:color="auto"/>
              <w:bottom w:val="single" w:sz="8" w:space="0" w:color="auto"/>
              <w:right w:val="single" w:sz="8" w:space="0" w:color="auto"/>
            </w:tcBorders>
            <w:shd w:val="clear" w:color="auto" w:fill="244062"/>
            <w:vAlign w:val="center"/>
            <w:hideMark/>
          </w:tcPr>
          <w:p w14:paraId="0A0C6D5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27" w:type="dxa"/>
            <w:gridSpan w:val="3"/>
            <w:tcBorders>
              <w:top w:val="single" w:sz="8" w:space="0" w:color="auto"/>
              <w:left w:val="nil"/>
              <w:bottom w:val="single" w:sz="8" w:space="0" w:color="auto"/>
              <w:right w:val="single" w:sz="8" w:space="0" w:color="000000"/>
            </w:tcBorders>
            <w:vAlign w:val="center"/>
            <w:hideMark/>
          </w:tcPr>
          <w:p w14:paraId="19CBED7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Transport</w:t>
            </w:r>
          </w:p>
        </w:tc>
      </w:tr>
      <w:tr w:rsidR="00614438" w:rsidRPr="003E0710" w14:paraId="113B6E37" w14:textId="77777777" w:rsidTr="00614438">
        <w:trPr>
          <w:gridAfter w:val="1"/>
          <w:wAfter w:w="222" w:type="dxa"/>
          <w:trHeight w:val="315"/>
        </w:trPr>
        <w:tc>
          <w:tcPr>
            <w:tcW w:w="3331" w:type="dxa"/>
            <w:tcBorders>
              <w:top w:val="nil"/>
              <w:left w:val="single" w:sz="8" w:space="0" w:color="auto"/>
              <w:bottom w:val="single" w:sz="8" w:space="0" w:color="auto"/>
              <w:right w:val="single" w:sz="8" w:space="0" w:color="auto"/>
            </w:tcBorders>
            <w:shd w:val="clear" w:color="auto" w:fill="244062"/>
            <w:vAlign w:val="center"/>
            <w:hideMark/>
          </w:tcPr>
          <w:p w14:paraId="7B4F2F8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27" w:type="dxa"/>
            <w:gridSpan w:val="3"/>
            <w:tcBorders>
              <w:top w:val="single" w:sz="8" w:space="0" w:color="auto"/>
              <w:left w:val="nil"/>
              <w:bottom w:val="single" w:sz="8" w:space="0" w:color="auto"/>
              <w:right w:val="single" w:sz="8" w:space="0" w:color="000000"/>
            </w:tcBorders>
            <w:vAlign w:val="center"/>
            <w:hideMark/>
          </w:tcPr>
          <w:p w14:paraId="27DE2B9A"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Mining and Energy</w:t>
            </w:r>
          </w:p>
        </w:tc>
      </w:tr>
      <w:tr w:rsidR="00614438" w:rsidRPr="003E0710" w14:paraId="665F30CC" w14:textId="77777777" w:rsidTr="00614438">
        <w:trPr>
          <w:gridAfter w:val="1"/>
          <w:wAfter w:w="222" w:type="dxa"/>
          <w:trHeight w:val="315"/>
        </w:trPr>
        <w:tc>
          <w:tcPr>
            <w:tcW w:w="3331" w:type="dxa"/>
            <w:tcBorders>
              <w:top w:val="nil"/>
              <w:left w:val="single" w:sz="8" w:space="0" w:color="auto"/>
              <w:bottom w:val="single" w:sz="8" w:space="0" w:color="auto"/>
              <w:right w:val="nil"/>
            </w:tcBorders>
            <w:shd w:val="clear" w:color="auto" w:fill="244062"/>
            <w:vAlign w:val="center"/>
            <w:hideMark/>
          </w:tcPr>
          <w:p w14:paraId="3000017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27" w:type="dxa"/>
            <w:gridSpan w:val="3"/>
            <w:tcBorders>
              <w:top w:val="single" w:sz="8" w:space="0" w:color="auto"/>
              <w:left w:val="nil"/>
              <w:bottom w:val="single" w:sz="8" w:space="0" w:color="auto"/>
              <w:right w:val="single" w:sz="8" w:space="0" w:color="000000"/>
            </w:tcBorders>
            <w:vAlign w:val="center"/>
            <w:hideMark/>
          </w:tcPr>
          <w:p w14:paraId="0B44B84E"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w:t>
            </w:r>
          </w:p>
        </w:tc>
      </w:tr>
      <w:tr w:rsidR="00614438" w:rsidRPr="003E0710" w14:paraId="6461D901" w14:textId="77777777" w:rsidTr="00614438">
        <w:trPr>
          <w:gridAfter w:val="1"/>
          <w:wAfter w:w="222" w:type="dxa"/>
          <w:trHeight w:val="315"/>
        </w:trPr>
        <w:tc>
          <w:tcPr>
            <w:tcW w:w="3331" w:type="dxa"/>
            <w:tcBorders>
              <w:top w:val="nil"/>
              <w:left w:val="single" w:sz="8" w:space="0" w:color="auto"/>
              <w:bottom w:val="single" w:sz="8" w:space="0" w:color="auto"/>
              <w:right w:val="nil"/>
            </w:tcBorders>
            <w:shd w:val="clear" w:color="auto" w:fill="244062"/>
            <w:vAlign w:val="center"/>
            <w:hideMark/>
          </w:tcPr>
          <w:p w14:paraId="6CDFDF3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27" w:type="dxa"/>
            <w:gridSpan w:val="3"/>
            <w:tcBorders>
              <w:top w:val="single" w:sz="8" w:space="0" w:color="auto"/>
              <w:left w:val="nil"/>
              <w:bottom w:val="single" w:sz="8" w:space="0" w:color="auto"/>
              <w:right w:val="single" w:sz="8" w:space="0" w:color="000000"/>
            </w:tcBorders>
            <w:vAlign w:val="center"/>
            <w:hideMark/>
          </w:tcPr>
          <w:p w14:paraId="63844542"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Produced biofuels </w:t>
            </w:r>
          </w:p>
        </w:tc>
      </w:tr>
      <w:tr w:rsidR="00614438" w:rsidRPr="003E0710" w14:paraId="38772942" w14:textId="77777777" w:rsidTr="00614438">
        <w:trPr>
          <w:gridAfter w:val="1"/>
          <w:wAfter w:w="222" w:type="dxa"/>
          <w:trHeight w:val="381"/>
        </w:trPr>
        <w:tc>
          <w:tcPr>
            <w:tcW w:w="3331" w:type="dxa"/>
            <w:tcBorders>
              <w:top w:val="nil"/>
              <w:left w:val="single" w:sz="8" w:space="0" w:color="auto"/>
              <w:bottom w:val="single" w:sz="8" w:space="0" w:color="auto"/>
              <w:right w:val="single" w:sz="8" w:space="0" w:color="auto"/>
            </w:tcBorders>
            <w:shd w:val="clear" w:color="auto" w:fill="244062"/>
            <w:vAlign w:val="center"/>
            <w:hideMark/>
          </w:tcPr>
          <w:p w14:paraId="18CEE80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27" w:type="dxa"/>
            <w:gridSpan w:val="3"/>
            <w:tcBorders>
              <w:top w:val="single" w:sz="8" w:space="0" w:color="auto"/>
              <w:left w:val="nil"/>
              <w:bottom w:val="single" w:sz="8" w:space="0" w:color="auto"/>
              <w:right w:val="single" w:sz="8" w:space="0" w:color="000000"/>
            </w:tcBorders>
            <w:vAlign w:val="center"/>
            <w:hideMark/>
          </w:tcPr>
          <w:p w14:paraId="54A77D1A"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security (the penetration of RES technologies will reduce the energy import dependency from third countries and increase the deployment of domestic energy sources)</w:t>
            </w:r>
          </w:p>
        </w:tc>
      </w:tr>
      <w:tr w:rsidR="00614438" w:rsidRPr="003E0710" w14:paraId="53051FA9" w14:textId="77777777" w:rsidTr="00614438">
        <w:trPr>
          <w:gridAfter w:val="1"/>
          <w:wAfter w:w="222" w:type="dxa"/>
          <w:trHeight w:val="458"/>
        </w:trPr>
        <w:tc>
          <w:tcPr>
            <w:tcW w:w="3331" w:type="dxa"/>
            <w:vMerge w:val="restart"/>
            <w:tcBorders>
              <w:top w:val="nil"/>
              <w:left w:val="single" w:sz="8" w:space="0" w:color="auto"/>
              <w:bottom w:val="single" w:sz="8" w:space="0" w:color="000000"/>
              <w:right w:val="single" w:sz="8" w:space="0" w:color="auto"/>
            </w:tcBorders>
            <w:shd w:val="clear" w:color="auto" w:fill="244062"/>
            <w:vAlign w:val="center"/>
            <w:hideMark/>
          </w:tcPr>
          <w:p w14:paraId="4E76A88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27"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92B73C5"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6670CA64"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069C8119"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D11425F"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5A2C0962"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5E2EE206" w14:textId="77777777" w:rsidTr="00614438">
        <w:trPr>
          <w:trHeight w:val="54"/>
        </w:trPr>
        <w:tc>
          <w:tcPr>
            <w:tcW w:w="0" w:type="auto"/>
            <w:vMerge/>
            <w:tcBorders>
              <w:top w:val="nil"/>
              <w:left w:val="single" w:sz="8" w:space="0" w:color="auto"/>
              <w:bottom w:val="single" w:sz="8" w:space="0" w:color="000000"/>
              <w:right w:val="single" w:sz="8" w:space="0" w:color="auto"/>
            </w:tcBorders>
            <w:vAlign w:val="center"/>
            <w:hideMark/>
          </w:tcPr>
          <w:p w14:paraId="10115DB6"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544BA81"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38B3A0DC"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59DC7868" w14:textId="77777777" w:rsidTr="00614438">
        <w:trPr>
          <w:trHeight w:val="287"/>
        </w:trPr>
        <w:tc>
          <w:tcPr>
            <w:tcW w:w="3331" w:type="dxa"/>
            <w:tcBorders>
              <w:top w:val="nil"/>
              <w:left w:val="single" w:sz="8" w:space="0" w:color="auto"/>
              <w:bottom w:val="single" w:sz="8" w:space="0" w:color="auto"/>
              <w:right w:val="single" w:sz="8" w:space="0" w:color="auto"/>
            </w:tcBorders>
            <w:shd w:val="clear" w:color="auto" w:fill="244062"/>
            <w:vAlign w:val="center"/>
            <w:hideMark/>
          </w:tcPr>
          <w:p w14:paraId="47A1F2A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27" w:type="dxa"/>
            <w:gridSpan w:val="3"/>
            <w:tcBorders>
              <w:top w:val="single" w:sz="8" w:space="0" w:color="auto"/>
              <w:left w:val="nil"/>
              <w:bottom w:val="single" w:sz="8" w:space="0" w:color="auto"/>
              <w:right w:val="single" w:sz="8" w:space="0" w:color="000000"/>
            </w:tcBorders>
            <w:vAlign w:val="center"/>
            <w:hideMark/>
          </w:tcPr>
          <w:p w14:paraId="2AE778F1"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the use of renewable energy sources</w:t>
            </w:r>
          </w:p>
        </w:tc>
        <w:tc>
          <w:tcPr>
            <w:tcW w:w="222" w:type="dxa"/>
            <w:vAlign w:val="center"/>
            <w:hideMark/>
          </w:tcPr>
          <w:p w14:paraId="0D1781D5"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7326B663" w14:textId="77777777" w:rsidTr="00614438">
        <w:trPr>
          <w:trHeight w:val="315"/>
        </w:trPr>
        <w:tc>
          <w:tcPr>
            <w:tcW w:w="3331" w:type="dxa"/>
            <w:tcBorders>
              <w:top w:val="nil"/>
              <w:left w:val="single" w:sz="8" w:space="0" w:color="auto"/>
              <w:bottom w:val="single" w:sz="8" w:space="0" w:color="auto"/>
              <w:right w:val="single" w:sz="8" w:space="0" w:color="auto"/>
            </w:tcBorders>
            <w:shd w:val="clear" w:color="auto" w:fill="244062"/>
            <w:vAlign w:val="center"/>
            <w:hideMark/>
          </w:tcPr>
          <w:p w14:paraId="7A04182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27" w:type="dxa"/>
            <w:gridSpan w:val="3"/>
            <w:tcBorders>
              <w:top w:val="single" w:sz="8" w:space="0" w:color="auto"/>
              <w:left w:val="nil"/>
              <w:bottom w:val="single" w:sz="8" w:space="0" w:color="auto"/>
              <w:right w:val="single" w:sz="8" w:space="0" w:color="000000"/>
            </w:tcBorders>
            <w:vAlign w:val="center"/>
            <w:hideMark/>
          </w:tcPr>
          <w:p w14:paraId="0A2073D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100 M€</w:t>
            </w:r>
          </w:p>
        </w:tc>
        <w:tc>
          <w:tcPr>
            <w:tcW w:w="222" w:type="dxa"/>
            <w:vAlign w:val="center"/>
            <w:hideMark/>
          </w:tcPr>
          <w:p w14:paraId="1A0955A1"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6453D340" w14:textId="77777777" w:rsidTr="00614438">
        <w:trPr>
          <w:trHeight w:val="315"/>
        </w:trPr>
        <w:tc>
          <w:tcPr>
            <w:tcW w:w="3331" w:type="dxa"/>
            <w:tcBorders>
              <w:top w:val="nil"/>
              <w:left w:val="single" w:sz="8" w:space="0" w:color="auto"/>
              <w:bottom w:val="single" w:sz="8" w:space="0" w:color="auto"/>
              <w:right w:val="single" w:sz="8" w:space="0" w:color="auto"/>
            </w:tcBorders>
            <w:shd w:val="clear" w:color="auto" w:fill="244062"/>
            <w:vAlign w:val="center"/>
            <w:hideMark/>
          </w:tcPr>
          <w:p w14:paraId="2F2FD6F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27" w:type="dxa"/>
            <w:gridSpan w:val="3"/>
            <w:tcBorders>
              <w:top w:val="single" w:sz="8" w:space="0" w:color="auto"/>
              <w:left w:val="nil"/>
              <w:bottom w:val="single" w:sz="8" w:space="0" w:color="auto"/>
              <w:right w:val="single" w:sz="8" w:space="0" w:color="000000"/>
            </w:tcBorders>
            <w:vAlign w:val="center"/>
            <w:hideMark/>
          </w:tcPr>
          <w:p w14:paraId="5955D9C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 and own funds</w:t>
            </w:r>
          </w:p>
        </w:tc>
        <w:tc>
          <w:tcPr>
            <w:tcW w:w="222" w:type="dxa"/>
            <w:vAlign w:val="center"/>
            <w:hideMark/>
          </w:tcPr>
          <w:p w14:paraId="4D919026" w14:textId="77777777" w:rsidR="00614438" w:rsidRPr="003E0710" w:rsidRDefault="00614438" w:rsidP="003E0710">
            <w:pPr>
              <w:spacing w:after="0"/>
              <w:jc w:val="both"/>
              <w:rPr>
                <w:rFonts w:ascii="Times New Roman" w:hAnsi="Times New Roman" w:cs="Times New Roman"/>
                <w:sz w:val="20"/>
                <w:szCs w:val="20"/>
                <w:lang w:val="en-GB"/>
              </w:rPr>
            </w:pPr>
          </w:p>
        </w:tc>
      </w:tr>
    </w:tbl>
    <w:p w14:paraId="7EDC2918"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27"/>
        <w:gridCol w:w="950"/>
        <w:gridCol w:w="946"/>
        <w:gridCol w:w="4235"/>
        <w:gridCol w:w="222"/>
      </w:tblGrid>
      <w:tr w:rsidR="00614438" w:rsidRPr="003E0710" w14:paraId="5D6ACA43" w14:textId="77777777" w:rsidTr="00614438">
        <w:trPr>
          <w:gridAfter w:val="1"/>
          <w:wAfter w:w="222" w:type="dxa"/>
          <w:trHeight w:val="708"/>
        </w:trPr>
        <w:tc>
          <w:tcPr>
            <w:tcW w:w="3329"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5F217EA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2305573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PM_D33</w:t>
            </w:r>
          </w:p>
        </w:tc>
        <w:tc>
          <w:tcPr>
            <w:tcW w:w="946" w:type="dxa"/>
            <w:tcBorders>
              <w:top w:val="single" w:sz="8" w:space="0" w:color="auto"/>
              <w:left w:val="nil"/>
              <w:bottom w:val="single" w:sz="8" w:space="0" w:color="auto"/>
              <w:right w:val="single" w:sz="8" w:space="0" w:color="auto"/>
            </w:tcBorders>
            <w:shd w:val="clear" w:color="auto" w:fill="244062"/>
            <w:vAlign w:val="center"/>
            <w:hideMark/>
          </w:tcPr>
          <w:p w14:paraId="1EEEA9F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38" w:type="dxa"/>
            <w:tcBorders>
              <w:top w:val="single" w:sz="8" w:space="0" w:color="auto"/>
              <w:left w:val="nil"/>
              <w:bottom w:val="single" w:sz="8" w:space="0" w:color="auto"/>
              <w:right w:val="single" w:sz="8" w:space="0" w:color="auto"/>
            </w:tcBorders>
            <w:shd w:val="clear" w:color="auto" w:fill="E7E6E6" w:themeFill="background2"/>
            <w:vAlign w:val="center"/>
            <w:hideMark/>
          </w:tcPr>
          <w:p w14:paraId="44FA9D2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Fostering the consumption of biofuels in transport sector</w:t>
            </w:r>
          </w:p>
        </w:tc>
      </w:tr>
      <w:tr w:rsidR="00614438" w:rsidRPr="003E0710" w14:paraId="293CD727" w14:textId="77777777" w:rsidTr="00614438">
        <w:trPr>
          <w:gridAfter w:val="1"/>
          <w:wAfter w:w="222" w:type="dxa"/>
          <w:trHeight w:val="54"/>
        </w:trPr>
        <w:tc>
          <w:tcPr>
            <w:tcW w:w="3329" w:type="dxa"/>
            <w:tcBorders>
              <w:top w:val="nil"/>
              <w:left w:val="single" w:sz="8" w:space="0" w:color="auto"/>
              <w:bottom w:val="single" w:sz="8" w:space="0" w:color="auto"/>
              <w:right w:val="nil"/>
            </w:tcBorders>
            <w:shd w:val="clear" w:color="auto" w:fill="244062"/>
            <w:vAlign w:val="center"/>
            <w:hideMark/>
          </w:tcPr>
          <w:p w14:paraId="64DE4CE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29" w:type="dxa"/>
            <w:gridSpan w:val="3"/>
            <w:tcBorders>
              <w:top w:val="single" w:sz="8" w:space="0" w:color="auto"/>
              <w:left w:val="nil"/>
              <w:bottom w:val="single" w:sz="8" w:space="0" w:color="auto"/>
              <w:right w:val="single" w:sz="8" w:space="0" w:color="000000"/>
            </w:tcBorders>
            <w:vAlign w:val="center"/>
            <w:hideMark/>
          </w:tcPr>
          <w:p w14:paraId="3F39D8B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Increase share of RES in transport</w:t>
            </w:r>
          </w:p>
        </w:tc>
      </w:tr>
      <w:tr w:rsidR="00614438" w:rsidRPr="003E0710" w14:paraId="4FE43B2B"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1E16BCC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29" w:type="dxa"/>
            <w:gridSpan w:val="3"/>
            <w:tcBorders>
              <w:top w:val="single" w:sz="4" w:space="0" w:color="auto"/>
              <w:left w:val="single" w:sz="4" w:space="0" w:color="auto"/>
              <w:bottom w:val="single" w:sz="4" w:space="0" w:color="000000"/>
              <w:right w:val="single" w:sz="4" w:space="0" w:color="auto"/>
            </w:tcBorders>
            <w:vAlign w:val="center"/>
            <w:hideMark/>
          </w:tcPr>
          <w:p w14:paraId="6953D37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Contribution to the quantified objective of PM_D32</w:t>
            </w:r>
          </w:p>
        </w:tc>
      </w:tr>
      <w:tr w:rsidR="00614438" w:rsidRPr="003E0710" w14:paraId="71B28128" w14:textId="77777777" w:rsidTr="00614438">
        <w:trPr>
          <w:gridAfter w:val="1"/>
          <w:wAfter w:w="222" w:type="dxa"/>
          <w:trHeight w:val="1081"/>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01BED0A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29" w:type="dxa"/>
            <w:gridSpan w:val="3"/>
            <w:tcBorders>
              <w:top w:val="single" w:sz="4" w:space="0" w:color="auto"/>
              <w:left w:val="single" w:sz="4" w:space="0" w:color="auto"/>
              <w:bottom w:val="single" w:sz="4" w:space="0" w:color="000000"/>
              <w:right w:val="single" w:sz="4" w:space="0" w:color="auto"/>
            </w:tcBorders>
            <w:vAlign w:val="center"/>
            <w:hideMark/>
          </w:tcPr>
          <w:p w14:paraId="1056EC4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PM_D33 will promote the further consumption of biofuels through the imposition of mandatory quota for the suppliers and blending thresholds for the case of biodiesel and bio gasoline taking into consideration the minimum technical limits, which can be considered as acceptable for the current vehicle stock. The cultivation of fast-growing energy plants for the production of biofuels, which can be used in transport sector, will be explored.</w:t>
            </w:r>
          </w:p>
        </w:tc>
      </w:tr>
      <w:tr w:rsidR="00614438" w:rsidRPr="003E0710" w14:paraId="32C274DC"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6811E2E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29" w:type="dxa"/>
            <w:gridSpan w:val="3"/>
            <w:tcBorders>
              <w:top w:val="single" w:sz="8" w:space="0" w:color="auto"/>
              <w:left w:val="nil"/>
              <w:bottom w:val="single" w:sz="8" w:space="0" w:color="auto"/>
              <w:right w:val="single" w:sz="8" w:space="0" w:color="000000"/>
            </w:tcBorders>
            <w:vAlign w:val="center"/>
            <w:hideMark/>
          </w:tcPr>
          <w:p w14:paraId="113B80A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2025-2030</w:t>
            </w:r>
          </w:p>
        </w:tc>
      </w:tr>
      <w:tr w:rsidR="00614438" w:rsidRPr="003E0710" w14:paraId="16046071"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6909E3A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29" w:type="dxa"/>
            <w:gridSpan w:val="3"/>
            <w:tcBorders>
              <w:top w:val="single" w:sz="8" w:space="0" w:color="auto"/>
              <w:left w:val="nil"/>
              <w:bottom w:val="single" w:sz="8" w:space="0" w:color="auto"/>
              <w:right w:val="single" w:sz="8" w:space="0" w:color="000000"/>
            </w:tcBorders>
            <w:vAlign w:val="center"/>
            <w:hideMark/>
          </w:tcPr>
          <w:p w14:paraId="3B6E6AC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Reform</w:t>
            </w:r>
          </w:p>
        </w:tc>
      </w:tr>
      <w:tr w:rsidR="00614438" w:rsidRPr="003E0710" w14:paraId="08EE6F2D"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40F48F5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29" w:type="dxa"/>
            <w:gridSpan w:val="3"/>
            <w:tcBorders>
              <w:top w:val="single" w:sz="8" w:space="0" w:color="auto"/>
              <w:left w:val="nil"/>
              <w:bottom w:val="single" w:sz="8" w:space="0" w:color="auto"/>
              <w:right w:val="single" w:sz="8" w:space="0" w:color="000000"/>
            </w:tcBorders>
            <w:vAlign w:val="center"/>
            <w:hideMark/>
          </w:tcPr>
          <w:p w14:paraId="012BD09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Transport</w:t>
            </w:r>
          </w:p>
        </w:tc>
      </w:tr>
      <w:tr w:rsidR="00614438" w:rsidRPr="003E0710" w14:paraId="6C5DDD18"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3E2BD2E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29" w:type="dxa"/>
            <w:gridSpan w:val="3"/>
            <w:tcBorders>
              <w:top w:val="single" w:sz="8" w:space="0" w:color="auto"/>
              <w:left w:val="nil"/>
              <w:bottom w:val="single" w:sz="8" w:space="0" w:color="auto"/>
              <w:right w:val="single" w:sz="8" w:space="0" w:color="000000"/>
            </w:tcBorders>
            <w:vAlign w:val="center"/>
            <w:hideMark/>
          </w:tcPr>
          <w:p w14:paraId="32471783"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Mining and Energy</w:t>
            </w:r>
          </w:p>
        </w:tc>
      </w:tr>
      <w:tr w:rsidR="00614438" w:rsidRPr="003E0710" w14:paraId="4DBD1DAA" w14:textId="77777777" w:rsidTr="00614438">
        <w:trPr>
          <w:gridAfter w:val="1"/>
          <w:wAfter w:w="222" w:type="dxa"/>
          <w:trHeight w:val="315"/>
        </w:trPr>
        <w:tc>
          <w:tcPr>
            <w:tcW w:w="3329" w:type="dxa"/>
            <w:tcBorders>
              <w:top w:val="nil"/>
              <w:left w:val="single" w:sz="8" w:space="0" w:color="auto"/>
              <w:bottom w:val="single" w:sz="8" w:space="0" w:color="auto"/>
              <w:right w:val="nil"/>
            </w:tcBorders>
            <w:shd w:val="clear" w:color="auto" w:fill="244062"/>
            <w:vAlign w:val="center"/>
            <w:hideMark/>
          </w:tcPr>
          <w:p w14:paraId="67F7E01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29" w:type="dxa"/>
            <w:gridSpan w:val="3"/>
            <w:tcBorders>
              <w:top w:val="single" w:sz="8" w:space="0" w:color="auto"/>
              <w:left w:val="nil"/>
              <w:bottom w:val="single" w:sz="8" w:space="0" w:color="auto"/>
              <w:right w:val="single" w:sz="8" w:space="0" w:color="000000"/>
            </w:tcBorders>
            <w:vAlign w:val="center"/>
            <w:hideMark/>
          </w:tcPr>
          <w:p w14:paraId="2B5DEF96"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w:t>
            </w:r>
          </w:p>
        </w:tc>
      </w:tr>
      <w:tr w:rsidR="00614438" w:rsidRPr="003E0710" w14:paraId="5F33FE1A" w14:textId="77777777" w:rsidTr="00614438">
        <w:trPr>
          <w:gridAfter w:val="1"/>
          <w:wAfter w:w="222" w:type="dxa"/>
          <w:trHeight w:val="315"/>
        </w:trPr>
        <w:tc>
          <w:tcPr>
            <w:tcW w:w="3329" w:type="dxa"/>
            <w:tcBorders>
              <w:top w:val="nil"/>
              <w:left w:val="single" w:sz="8" w:space="0" w:color="auto"/>
              <w:bottom w:val="single" w:sz="8" w:space="0" w:color="auto"/>
              <w:right w:val="nil"/>
            </w:tcBorders>
            <w:shd w:val="clear" w:color="auto" w:fill="244062"/>
            <w:vAlign w:val="center"/>
            <w:hideMark/>
          </w:tcPr>
          <w:p w14:paraId="6B27EA3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29" w:type="dxa"/>
            <w:gridSpan w:val="3"/>
            <w:tcBorders>
              <w:top w:val="single" w:sz="8" w:space="0" w:color="auto"/>
              <w:left w:val="nil"/>
              <w:bottom w:val="single" w:sz="8" w:space="0" w:color="auto"/>
              <w:right w:val="single" w:sz="8" w:space="0" w:color="000000"/>
            </w:tcBorders>
            <w:vAlign w:val="center"/>
            <w:hideMark/>
          </w:tcPr>
          <w:p w14:paraId="7551D3B7"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Consumed biofuels </w:t>
            </w:r>
          </w:p>
        </w:tc>
      </w:tr>
      <w:tr w:rsidR="00614438" w:rsidRPr="003E0710" w14:paraId="073B8584" w14:textId="77777777" w:rsidTr="00614438">
        <w:trPr>
          <w:gridAfter w:val="1"/>
          <w:wAfter w:w="222" w:type="dxa"/>
          <w:trHeight w:val="543"/>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68A8179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29" w:type="dxa"/>
            <w:gridSpan w:val="3"/>
            <w:tcBorders>
              <w:top w:val="single" w:sz="8" w:space="0" w:color="auto"/>
              <w:left w:val="nil"/>
              <w:bottom w:val="single" w:sz="8" w:space="0" w:color="auto"/>
              <w:right w:val="single" w:sz="8" w:space="0" w:color="000000"/>
            </w:tcBorders>
            <w:vAlign w:val="center"/>
            <w:hideMark/>
          </w:tcPr>
          <w:p w14:paraId="139CF3A4"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security (the penetration of RES technologies will reduce the energy import dependency from third countries and increase the deployment of domestic energy sources)</w:t>
            </w:r>
          </w:p>
        </w:tc>
      </w:tr>
      <w:tr w:rsidR="00614438" w:rsidRPr="003E0710" w14:paraId="46E03AC2" w14:textId="77777777" w:rsidTr="00614438">
        <w:trPr>
          <w:gridAfter w:val="1"/>
          <w:wAfter w:w="222" w:type="dxa"/>
          <w:trHeight w:val="458"/>
        </w:trPr>
        <w:tc>
          <w:tcPr>
            <w:tcW w:w="3329" w:type="dxa"/>
            <w:vMerge w:val="restart"/>
            <w:tcBorders>
              <w:top w:val="nil"/>
              <w:left w:val="single" w:sz="8" w:space="0" w:color="auto"/>
              <w:bottom w:val="single" w:sz="8" w:space="0" w:color="000000"/>
              <w:right w:val="single" w:sz="8" w:space="0" w:color="auto"/>
            </w:tcBorders>
            <w:shd w:val="clear" w:color="auto" w:fill="244062"/>
            <w:vAlign w:val="center"/>
            <w:hideMark/>
          </w:tcPr>
          <w:p w14:paraId="117DCF8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29"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228E4455"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2AAE2552"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233B0210"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9CAF4A2"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6A17B601"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3CD1CF35" w14:textId="77777777" w:rsidTr="00614438">
        <w:trPr>
          <w:trHeight w:val="54"/>
        </w:trPr>
        <w:tc>
          <w:tcPr>
            <w:tcW w:w="0" w:type="auto"/>
            <w:vMerge/>
            <w:tcBorders>
              <w:top w:val="nil"/>
              <w:left w:val="single" w:sz="8" w:space="0" w:color="auto"/>
              <w:bottom w:val="single" w:sz="8" w:space="0" w:color="000000"/>
              <w:right w:val="single" w:sz="8" w:space="0" w:color="auto"/>
            </w:tcBorders>
            <w:vAlign w:val="center"/>
            <w:hideMark/>
          </w:tcPr>
          <w:p w14:paraId="75DA9646"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DC3F350"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415A35E1"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0594E9ED" w14:textId="77777777" w:rsidTr="00614438">
        <w:trPr>
          <w:trHeight w:val="393"/>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5806EF4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29" w:type="dxa"/>
            <w:gridSpan w:val="3"/>
            <w:tcBorders>
              <w:top w:val="single" w:sz="8" w:space="0" w:color="auto"/>
              <w:left w:val="nil"/>
              <w:bottom w:val="single" w:sz="8" w:space="0" w:color="auto"/>
              <w:right w:val="single" w:sz="8" w:space="0" w:color="000000"/>
            </w:tcBorders>
            <w:vAlign w:val="center"/>
            <w:hideMark/>
          </w:tcPr>
          <w:p w14:paraId="1D158A00"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the use of renewable energy sources</w:t>
            </w:r>
          </w:p>
        </w:tc>
        <w:tc>
          <w:tcPr>
            <w:tcW w:w="222" w:type="dxa"/>
            <w:vAlign w:val="center"/>
            <w:hideMark/>
          </w:tcPr>
          <w:p w14:paraId="5E5BDF5D"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10CCAE9A" w14:textId="77777777" w:rsidTr="00614438">
        <w:trPr>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3CDED53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Implementation cost</w:t>
            </w:r>
          </w:p>
        </w:tc>
        <w:tc>
          <w:tcPr>
            <w:tcW w:w="6129" w:type="dxa"/>
            <w:gridSpan w:val="3"/>
            <w:tcBorders>
              <w:top w:val="single" w:sz="8" w:space="0" w:color="auto"/>
              <w:left w:val="nil"/>
              <w:bottom w:val="single" w:sz="8" w:space="0" w:color="auto"/>
              <w:right w:val="single" w:sz="8" w:space="0" w:color="000000"/>
            </w:tcBorders>
            <w:vAlign w:val="center"/>
            <w:hideMark/>
          </w:tcPr>
          <w:p w14:paraId="4BA711B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0.5 M€ for preparing the required legislative framework</w:t>
            </w:r>
          </w:p>
        </w:tc>
        <w:tc>
          <w:tcPr>
            <w:tcW w:w="222" w:type="dxa"/>
            <w:vAlign w:val="center"/>
            <w:hideMark/>
          </w:tcPr>
          <w:p w14:paraId="6360BA01"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36C97000" w14:textId="77777777" w:rsidTr="00614438">
        <w:trPr>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1753158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29" w:type="dxa"/>
            <w:gridSpan w:val="3"/>
            <w:tcBorders>
              <w:top w:val="single" w:sz="8" w:space="0" w:color="auto"/>
              <w:left w:val="nil"/>
              <w:bottom w:val="single" w:sz="8" w:space="0" w:color="auto"/>
              <w:right w:val="single" w:sz="8" w:space="0" w:color="000000"/>
            </w:tcBorders>
            <w:vAlign w:val="center"/>
            <w:hideMark/>
          </w:tcPr>
          <w:p w14:paraId="696E804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4F3B7377" w14:textId="77777777" w:rsidR="00614438" w:rsidRPr="003E0710" w:rsidRDefault="00614438" w:rsidP="003E0710">
            <w:pPr>
              <w:spacing w:after="0"/>
              <w:jc w:val="both"/>
              <w:rPr>
                <w:rFonts w:ascii="Times New Roman" w:hAnsi="Times New Roman" w:cs="Times New Roman"/>
                <w:sz w:val="20"/>
                <w:szCs w:val="20"/>
                <w:lang w:val="en-GB"/>
              </w:rPr>
            </w:pPr>
          </w:p>
        </w:tc>
      </w:tr>
    </w:tbl>
    <w:p w14:paraId="68DA8CAF"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25"/>
        <w:gridCol w:w="950"/>
        <w:gridCol w:w="946"/>
        <w:gridCol w:w="4237"/>
        <w:gridCol w:w="222"/>
      </w:tblGrid>
      <w:tr w:rsidR="00614438" w:rsidRPr="003E0710" w14:paraId="7337637D" w14:textId="77777777" w:rsidTr="00614438">
        <w:trPr>
          <w:gridAfter w:val="1"/>
          <w:wAfter w:w="222" w:type="dxa"/>
          <w:trHeight w:val="780"/>
        </w:trPr>
        <w:tc>
          <w:tcPr>
            <w:tcW w:w="332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35409D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6A0B398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PM_D34</w:t>
            </w:r>
          </w:p>
        </w:tc>
        <w:tc>
          <w:tcPr>
            <w:tcW w:w="946" w:type="dxa"/>
            <w:tcBorders>
              <w:top w:val="single" w:sz="8" w:space="0" w:color="auto"/>
              <w:left w:val="nil"/>
              <w:bottom w:val="single" w:sz="8" w:space="0" w:color="auto"/>
              <w:right w:val="single" w:sz="8" w:space="0" w:color="auto"/>
            </w:tcBorders>
            <w:shd w:val="clear" w:color="auto" w:fill="244062"/>
            <w:vAlign w:val="center"/>
            <w:hideMark/>
          </w:tcPr>
          <w:p w14:paraId="4BAACC8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40" w:type="dxa"/>
            <w:tcBorders>
              <w:top w:val="single" w:sz="8" w:space="0" w:color="auto"/>
              <w:left w:val="nil"/>
              <w:bottom w:val="single" w:sz="8" w:space="0" w:color="auto"/>
              <w:right w:val="single" w:sz="8" w:space="0" w:color="auto"/>
            </w:tcBorders>
            <w:shd w:val="clear" w:color="auto" w:fill="E7E6E6" w:themeFill="background2"/>
            <w:vAlign w:val="center"/>
            <w:hideMark/>
          </w:tcPr>
          <w:p w14:paraId="7274503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Development of the required infrastructure for recharging electric vehicles</w:t>
            </w:r>
          </w:p>
        </w:tc>
      </w:tr>
      <w:tr w:rsidR="00614438" w:rsidRPr="003E0710" w14:paraId="5654D8D4" w14:textId="77777777" w:rsidTr="00614438">
        <w:trPr>
          <w:gridAfter w:val="1"/>
          <w:wAfter w:w="222" w:type="dxa"/>
          <w:trHeight w:val="301"/>
        </w:trPr>
        <w:tc>
          <w:tcPr>
            <w:tcW w:w="3327" w:type="dxa"/>
            <w:tcBorders>
              <w:top w:val="nil"/>
              <w:left w:val="single" w:sz="8" w:space="0" w:color="auto"/>
              <w:bottom w:val="single" w:sz="8" w:space="0" w:color="auto"/>
              <w:right w:val="nil"/>
            </w:tcBorders>
            <w:shd w:val="clear" w:color="auto" w:fill="244062"/>
            <w:vAlign w:val="center"/>
            <w:hideMark/>
          </w:tcPr>
          <w:p w14:paraId="2EF0B41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31" w:type="dxa"/>
            <w:gridSpan w:val="3"/>
            <w:tcBorders>
              <w:top w:val="single" w:sz="8" w:space="0" w:color="auto"/>
              <w:left w:val="nil"/>
              <w:bottom w:val="single" w:sz="8" w:space="0" w:color="auto"/>
              <w:right w:val="single" w:sz="8" w:space="0" w:color="000000"/>
            </w:tcBorders>
            <w:vAlign w:val="center"/>
            <w:hideMark/>
          </w:tcPr>
          <w:p w14:paraId="633A803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Increase share of RES in transport</w:t>
            </w:r>
          </w:p>
        </w:tc>
      </w:tr>
      <w:tr w:rsidR="00614438" w:rsidRPr="003E0710" w14:paraId="07B0ADDB"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100F0E9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31" w:type="dxa"/>
            <w:gridSpan w:val="3"/>
            <w:tcBorders>
              <w:top w:val="single" w:sz="4" w:space="0" w:color="auto"/>
              <w:left w:val="single" w:sz="4" w:space="0" w:color="auto"/>
              <w:bottom w:val="single" w:sz="4" w:space="0" w:color="000000"/>
              <w:right w:val="single" w:sz="4" w:space="0" w:color="auto"/>
            </w:tcBorders>
            <w:vAlign w:val="center"/>
            <w:hideMark/>
          </w:tcPr>
          <w:p w14:paraId="2CB06F7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6.8 thousand installed public chargers</w:t>
            </w:r>
          </w:p>
        </w:tc>
      </w:tr>
      <w:tr w:rsidR="00614438" w:rsidRPr="003E0710" w14:paraId="5806320B" w14:textId="77777777" w:rsidTr="00614438">
        <w:trPr>
          <w:gridAfter w:val="1"/>
          <w:wAfter w:w="222" w:type="dxa"/>
          <w:trHeight w:val="792"/>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200A4F9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31" w:type="dxa"/>
            <w:gridSpan w:val="3"/>
            <w:tcBorders>
              <w:top w:val="single" w:sz="4" w:space="0" w:color="auto"/>
              <w:left w:val="single" w:sz="4" w:space="0" w:color="auto"/>
              <w:bottom w:val="single" w:sz="4" w:space="0" w:color="000000"/>
              <w:right w:val="single" w:sz="4" w:space="0" w:color="auto"/>
            </w:tcBorders>
            <w:vAlign w:val="center"/>
            <w:hideMark/>
          </w:tcPr>
          <w:p w14:paraId="469B89E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PM_D3</w:t>
            </w:r>
            <w:r w:rsidR="00F44FAF" w:rsidRPr="003E0710">
              <w:rPr>
                <w:rFonts w:ascii="Times New Roman" w:hAnsi="Times New Roman" w:cs="Times New Roman"/>
                <w:sz w:val="20"/>
                <w:szCs w:val="20"/>
                <w:lang w:val="en-GB"/>
              </w:rPr>
              <w:t>5</w:t>
            </w:r>
            <w:r w:rsidRPr="003E0710">
              <w:rPr>
                <w:rFonts w:ascii="Times New Roman" w:hAnsi="Times New Roman" w:cs="Times New Roman"/>
                <w:sz w:val="20"/>
                <w:szCs w:val="20"/>
                <w:lang w:val="en-GB"/>
              </w:rPr>
              <w:t xml:space="preserve"> will facilitate the adoption of the legislative framework for the promotion of electromobility. Moreover, the design and deployment of the required infrastructure for charging the electric vehicles will be carried out with the provision of economic support for the installation of public chargers. Potential incentives will be explored to boost the consumption of RES in electromobility during the deployment of the required recharging infrastructure. The cost of this measure refers only to the installation of chargers and not to the possible needs for strengthening the distribution network in order to accommodate these chargers. This requires detailed distribution network level studies in order to calculate the necessary upgrades, if any.</w:t>
            </w:r>
          </w:p>
        </w:tc>
      </w:tr>
      <w:tr w:rsidR="00614438" w:rsidRPr="003E0710" w14:paraId="42092E65"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00BAA2A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31" w:type="dxa"/>
            <w:gridSpan w:val="3"/>
            <w:tcBorders>
              <w:top w:val="single" w:sz="8" w:space="0" w:color="auto"/>
              <w:left w:val="nil"/>
              <w:bottom w:val="single" w:sz="8" w:space="0" w:color="auto"/>
              <w:right w:val="single" w:sz="8" w:space="0" w:color="000000"/>
            </w:tcBorders>
            <w:vAlign w:val="center"/>
            <w:hideMark/>
          </w:tcPr>
          <w:p w14:paraId="12FE54D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2025-2030</w:t>
            </w:r>
          </w:p>
        </w:tc>
      </w:tr>
      <w:tr w:rsidR="00614438" w:rsidRPr="003E0710" w14:paraId="5D364F89"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7545B4D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31" w:type="dxa"/>
            <w:gridSpan w:val="3"/>
            <w:tcBorders>
              <w:top w:val="single" w:sz="8" w:space="0" w:color="auto"/>
              <w:left w:val="nil"/>
              <w:bottom w:val="single" w:sz="8" w:space="0" w:color="auto"/>
              <w:right w:val="single" w:sz="8" w:space="0" w:color="000000"/>
            </w:tcBorders>
            <w:vAlign w:val="center"/>
            <w:hideMark/>
          </w:tcPr>
          <w:p w14:paraId="0E36891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 and Regulatory</w:t>
            </w:r>
          </w:p>
        </w:tc>
      </w:tr>
      <w:tr w:rsidR="00614438" w:rsidRPr="003E0710" w14:paraId="21E54A48"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0796113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31" w:type="dxa"/>
            <w:gridSpan w:val="3"/>
            <w:tcBorders>
              <w:top w:val="single" w:sz="8" w:space="0" w:color="auto"/>
              <w:left w:val="nil"/>
              <w:bottom w:val="single" w:sz="8" w:space="0" w:color="auto"/>
              <w:right w:val="single" w:sz="8" w:space="0" w:color="000000"/>
            </w:tcBorders>
            <w:vAlign w:val="center"/>
            <w:hideMark/>
          </w:tcPr>
          <w:p w14:paraId="23201C2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Transport</w:t>
            </w:r>
          </w:p>
        </w:tc>
      </w:tr>
      <w:tr w:rsidR="00614438" w:rsidRPr="003E0710" w14:paraId="3CA5C445"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745F698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31" w:type="dxa"/>
            <w:gridSpan w:val="3"/>
            <w:tcBorders>
              <w:top w:val="single" w:sz="8" w:space="0" w:color="auto"/>
              <w:left w:val="nil"/>
              <w:bottom w:val="single" w:sz="8" w:space="0" w:color="auto"/>
              <w:right w:val="single" w:sz="8" w:space="0" w:color="000000"/>
            </w:tcBorders>
            <w:vAlign w:val="center"/>
            <w:hideMark/>
          </w:tcPr>
          <w:p w14:paraId="0B600A75" w14:textId="77777777" w:rsidR="00614438" w:rsidRPr="003E0710" w:rsidRDefault="00614438" w:rsidP="003E0710">
            <w:pPr>
              <w:numPr>
                <w:ilvl w:val="0"/>
                <w:numId w:val="45"/>
              </w:numPr>
              <w:spacing w:after="0"/>
              <w:jc w:val="both"/>
              <w:rPr>
                <w:rFonts w:ascii="Times New Roman" w:hAnsi="Times New Roman" w:cs="Times New Roman"/>
                <w:sz w:val="20"/>
                <w:szCs w:val="20"/>
              </w:rPr>
            </w:pPr>
            <w:bookmarkStart w:id="134" w:name="_Hlk135856436"/>
            <w:r w:rsidRPr="003E0710">
              <w:rPr>
                <w:rFonts w:ascii="Times New Roman" w:hAnsi="Times New Roman" w:cs="Times New Roman"/>
                <w:sz w:val="20"/>
                <w:szCs w:val="20"/>
              </w:rPr>
              <w:t>Ministry of Construction, Transport and Infrastructure</w:t>
            </w:r>
            <w:bookmarkEnd w:id="134"/>
          </w:p>
          <w:p w14:paraId="7E7DD6C8" w14:textId="77777777" w:rsidR="00614438" w:rsidRPr="003E0710" w:rsidRDefault="00614438" w:rsidP="003E0710">
            <w:pPr>
              <w:numPr>
                <w:ilvl w:val="0"/>
                <w:numId w:val="45"/>
              </w:numPr>
              <w:spacing w:after="0"/>
              <w:jc w:val="both"/>
              <w:rPr>
                <w:rFonts w:ascii="Times New Roman" w:hAnsi="Times New Roman" w:cs="Times New Roman"/>
                <w:sz w:val="20"/>
                <w:szCs w:val="20"/>
                <w:lang w:val="pt-PT"/>
              </w:rPr>
            </w:pPr>
            <w:r w:rsidRPr="003E0710">
              <w:rPr>
                <w:rFonts w:ascii="Times New Roman" w:hAnsi="Times New Roman" w:cs="Times New Roman"/>
                <w:sz w:val="20"/>
                <w:szCs w:val="20"/>
                <w:lang w:val="pt-PT"/>
              </w:rPr>
              <w:t>Elektrodistribucija Srbije d.o.o. Beograd EPS</w:t>
            </w:r>
          </w:p>
        </w:tc>
      </w:tr>
      <w:tr w:rsidR="00614438" w:rsidRPr="003E0710" w14:paraId="2E8295FA" w14:textId="77777777" w:rsidTr="00614438">
        <w:trPr>
          <w:gridAfter w:val="1"/>
          <w:wAfter w:w="222" w:type="dxa"/>
          <w:trHeight w:val="315"/>
        </w:trPr>
        <w:tc>
          <w:tcPr>
            <w:tcW w:w="3327" w:type="dxa"/>
            <w:tcBorders>
              <w:top w:val="nil"/>
              <w:left w:val="single" w:sz="8" w:space="0" w:color="auto"/>
              <w:bottom w:val="single" w:sz="8" w:space="0" w:color="auto"/>
              <w:right w:val="nil"/>
            </w:tcBorders>
            <w:shd w:val="clear" w:color="auto" w:fill="244062"/>
            <w:vAlign w:val="center"/>
            <w:hideMark/>
          </w:tcPr>
          <w:p w14:paraId="3E67709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31" w:type="dxa"/>
            <w:gridSpan w:val="3"/>
            <w:tcBorders>
              <w:top w:val="single" w:sz="8" w:space="0" w:color="auto"/>
              <w:left w:val="nil"/>
              <w:bottom w:val="single" w:sz="8" w:space="0" w:color="auto"/>
              <w:right w:val="single" w:sz="8" w:space="0" w:color="000000"/>
            </w:tcBorders>
            <w:vAlign w:val="center"/>
            <w:hideMark/>
          </w:tcPr>
          <w:p w14:paraId="215755C8" w14:textId="77777777" w:rsidR="00614438" w:rsidRPr="003E0710" w:rsidRDefault="00614438" w:rsidP="003E0710">
            <w:pPr>
              <w:numPr>
                <w:ilvl w:val="0"/>
                <w:numId w:val="45"/>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w:t>
            </w:r>
          </w:p>
        </w:tc>
      </w:tr>
      <w:tr w:rsidR="00614438" w:rsidRPr="003E0710" w14:paraId="13157B00" w14:textId="77777777" w:rsidTr="00614438">
        <w:trPr>
          <w:gridAfter w:val="1"/>
          <w:wAfter w:w="222" w:type="dxa"/>
          <w:trHeight w:val="315"/>
        </w:trPr>
        <w:tc>
          <w:tcPr>
            <w:tcW w:w="3327" w:type="dxa"/>
            <w:tcBorders>
              <w:top w:val="nil"/>
              <w:left w:val="single" w:sz="8" w:space="0" w:color="auto"/>
              <w:bottom w:val="single" w:sz="8" w:space="0" w:color="auto"/>
              <w:right w:val="nil"/>
            </w:tcBorders>
            <w:shd w:val="clear" w:color="auto" w:fill="244062"/>
            <w:vAlign w:val="center"/>
            <w:hideMark/>
          </w:tcPr>
          <w:p w14:paraId="62C053C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31" w:type="dxa"/>
            <w:gridSpan w:val="3"/>
            <w:tcBorders>
              <w:top w:val="single" w:sz="8" w:space="0" w:color="auto"/>
              <w:left w:val="nil"/>
              <w:bottom w:val="single" w:sz="8" w:space="0" w:color="auto"/>
              <w:right w:val="single" w:sz="8" w:space="0" w:color="000000"/>
            </w:tcBorders>
            <w:vAlign w:val="center"/>
            <w:hideMark/>
          </w:tcPr>
          <w:p w14:paraId="075A45AC" w14:textId="77777777" w:rsidR="00614438" w:rsidRPr="003E0710" w:rsidRDefault="00614438" w:rsidP="003E0710">
            <w:pPr>
              <w:numPr>
                <w:ilvl w:val="0"/>
                <w:numId w:val="45"/>
              </w:numPr>
              <w:spacing w:after="0"/>
              <w:jc w:val="both"/>
              <w:rPr>
                <w:rFonts w:ascii="Times New Roman" w:hAnsi="Times New Roman" w:cs="Times New Roman"/>
                <w:sz w:val="20"/>
                <w:szCs w:val="20"/>
              </w:rPr>
            </w:pPr>
            <w:r w:rsidRPr="003E0710">
              <w:rPr>
                <w:rFonts w:ascii="Times New Roman" w:hAnsi="Times New Roman" w:cs="Times New Roman"/>
                <w:sz w:val="20"/>
                <w:szCs w:val="20"/>
              </w:rPr>
              <w:t>Consumed electricity in transport sector</w:t>
            </w:r>
          </w:p>
          <w:p w14:paraId="2D2F8531" w14:textId="77777777" w:rsidR="00614438" w:rsidRPr="003E0710" w:rsidRDefault="00614438" w:rsidP="003E0710">
            <w:pPr>
              <w:numPr>
                <w:ilvl w:val="0"/>
                <w:numId w:val="45"/>
              </w:numPr>
              <w:spacing w:after="0"/>
              <w:jc w:val="both"/>
              <w:rPr>
                <w:rFonts w:ascii="Times New Roman" w:hAnsi="Times New Roman" w:cs="Times New Roman"/>
                <w:sz w:val="20"/>
                <w:szCs w:val="20"/>
              </w:rPr>
            </w:pPr>
            <w:r w:rsidRPr="003E0710">
              <w:rPr>
                <w:rFonts w:ascii="Times New Roman" w:hAnsi="Times New Roman" w:cs="Times New Roman"/>
                <w:sz w:val="20"/>
                <w:szCs w:val="20"/>
              </w:rPr>
              <w:t>Number of electric vehicles and electric LDV</w:t>
            </w:r>
          </w:p>
        </w:tc>
      </w:tr>
      <w:tr w:rsidR="00614438" w:rsidRPr="003E0710" w14:paraId="3EDE231A" w14:textId="77777777" w:rsidTr="00614438">
        <w:trPr>
          <w:gridAfter w:val="1"/>
          <w:wAfter w:w="222" w:type="dxa"/>
          <w:trHeight w:val="36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3A1C6C7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31" w:type="dxa"/>
            <w:gridSpan w:val="3"/>
            <w:tcBorders>
              <w:top w:val="single" w:sz="8" w:space="0" w:color="auto"/>
              <w:left w:val="nil"/>
              <w:bottom w:val="single" w:sz="8" w:space="0" w:color="auto"/>
              <w:right w:val="single" w:sz="8" w:space="0" w:color="000000"/>
            </w:tcBorders>
            <w:vAlign w:val="center"/>
            <w:hideMark/>
          </w:tcPr>
          <w:p w14:paraId="6F7902CA"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 xml:space="preserve">Energy efficiency (the promoted electric vehicles will </w:t>
            </w:r>
            <w:r w:rsidR="00F44FAF" w:rsidRPr="003E0710">
              <w:rPr>
                <w:rFonts w:ascii="Times New Roman" w:hAnsi="Times New Roman" w:cs="Times New Roman"/>
                <w:sz w:val="20"/>
                <w:szCs w:val="20"/>
              </w:rPr>
              <w:t xml:space="preserve">also </w:t>
            </w:r>
            <w:r w:rsidRPr="003E0710">
              <w:rPr>
                <w:rFonts w:ascii="Times New Roman" w:hAnsi="Times New Roman" w:cs="Times New Roman"/>
                <w:sz w:val="20"/>
                <w:szCs w:val="20"/>
              </w:rPr>
              <w:t>deliver final and primary energy savings contributing to the achievement of the relevant targets)</w:t>
            </w:r>
          </w:p>
          <w:p w14:paraId="106CF420"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security (the penetration of RES technologies will reduce the energy import dependency from third countries and increase the deployment of domestic energy sources)</w:t>
            </w:r>
          </w:p>
        </w:tc>
      </w:tr>
      <w:tr w:rsidR="00614438" w:rsidRPr="003E0710" w14:paraId="425E3B2F" w14:textId="77777777" w:rsidTr="00614438">
        <w:trPr>
          <w:gridAfter w:val="1"/>
          <w:wAfter w:w="222" w:type="dxa"/>
          <w:trHeight w:val="458"/>
        </w:trPr>
        <w:tc>
          <w:tcPr>
            <w:tcW w:w="3327" w:type="dxa"/>
            <w:vMerge w:val="restart"/>
            <w:tcBorders>
              <w:top w:val="nil"/>
              <w:left w:val="single" w:sz="8" w:space="0" w:color="auto"/>
              <w:bottom w:val="single" w:sz="8" w:space="0" w:color="000000"/>
              <w:right w:val="single" w:sz="8" w:space="0" w:color="auto"/>
            </w:tcBorders>
            <w:shd w:val="clear" w:color="auto" w:fill="244062"/>
            <w:vAlign w:val="center"/>
            <w:hideMark/>
          </w:tcPr>
          <w:p w14:paraId="6AF56E1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3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48E4E49"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4C9EEBE8"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34114CCC"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6BBF5F8"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43D7E5FD"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0C7019E9" w14:textId="77777777" w:rsidTr="00614438">
        <w:trPr>
          <w:trHeight w:val="54"/>
        </w:trPr>
        <w:tc>
          <w:tcPr>
            <w:tcW w:w="0" w:type="auto"/>
            <w:vMerge/>
            <w:tcBorders>
              <w:top w:val="nil"/>
              <w:left w:val="single" w:sz="8" w:space="0" w:color="auto"/>
              <w:bottom w:val="single" w:sz="8" w:space="0" w:color="000000"/>
              <w:right w:val="single" w:sz="8" w:space="0" w:color="auto"/>
            </w:tcBorders>
            <w:vAlign w:val="center"/>
            <w:hideMark/>
          </w:tcPr>
          <w:p w14:paraId="07CD0AB0"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01FA886"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39910B6D"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5872C508" w14:textId="77777777" w:rsidTr="00614438">
        <w:trPr>
          <w:trHeight w:val="271"/>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439EB3C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31" w:type="dxa"/>
            <w:gridSpan w:val="3"/>
            <w:tcBorders>
              <w:top w:val="single" w:sz="8" w:space="0" w:color="auto"/>
              <w:left w:val="nil"/>
              <w:bottom w:val="single" w:sz="8" w:space="0" w:color="auto"/>
              <w:right w:val="single" w:sz="8" w:space="0" w:color="000000"/>
            </w:tcBorders>
            <w:vAlign w:val="center"/>
            <w:hideMark/>
          </w:tcPr>
          <w:p w14:paraId="3A645CC5" w14:textId="77777777" w:rsidR="00614438" w:rsidRPr="003E0710" w:rsidRDefault="00614438" w:rsidP="003E0710">
            <w:pPr>
              <w:numPr>
                <w:ilvl w:val="0"/>
                <w:numId w:val="46"/>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the use of renewable energy sources</w:t>
            </w:r>
          </w:p>
        </w:tc>
        <w:tc>
          <w:tcPr>
            <w:tcW w:w="222" w:type="dxa"/>
            <w:vAlign w:val="center"/>
            <w:hideMark/>
          </w:tcPr>
          <w:p w14:paraId="3747CC3B"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09488443" w14:textId="77777777" w:rsidTr="00614438">
        <w:trPr>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45FD965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31" w:type="dxa"/>
            <w:gridSpan w:val="3"/>
            <w:tcBorders>
              <w:top w:val="single" w:sz="4" w:space="0" w:color="auto"/>
              <w:left w:val="single" w:sz="4" w:space="0" w:color="auto"/>
              <w:bottom w:val="single" w:sz="4" w:space="0" w:color="000000"/>
              <w:right w:val="single" w:sz="4" w:space="0" w:color="auto"/>
            </w:tcBorders>
            <w:vAlign w:val="center"/>
            <w:hideMark/>
          </w:tcPr>
          <w:p w14:paraId="2C7CE6D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85 M€</w:t>
            </w:r>
          </w:p>
        </w:tc>
        <w:tc>
          <w:tcPr>
            <w:tcW w:w="222" w:type="dxa"/>
            <w:vAlign w:val="center"/>
            <w:hideMark/>
          </w:tcPr>
          <w:p w14:paraId="4EB177AA"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ADC2FB0" w14:textId="77777777" w:rsidTr="00614438">
        <w:trPr>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3E06A71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31" w:type="dxa"/>
            <w:gridSpan w:val="3"/>
            <w:tcBorders>
              <w:top w:val="single" w:sz="4" w:space="0" w:color="auto"/>
              <w:left w:val="single" w:sz="4" w:space="0" w:color="auto"/>
              <w:bottom w:val="single" w:sz="4" w:space="0" w:color="000000"/>
              <w:right w:val="single" w:sz="4" w:space="0" w:color="auto"/>
            </w:tcBorders>
            <w:vAlign w:val="center"/>
            <w:hideMark/>
          </w:tcPr>
          <w:p w14:paraId="2045631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 and own funds</w:t>
            </w:r>
          </w:p>
        </w:tc>
        <w:tc>
          <w:tcPr>
            <w:tcW w:w="222" w:type="dxa"/>
            <w:vAlign w:val="center"/>
            <w:hideMark/>
          </w:tcPr>
          <w:p w14:paraId="20F7509C" w14:textId="77777777" w:rsidR="00614438" w:rsidRPr="003E0710" w:rsidRDefault="00614438" w:rsidP="003E0710">
            <w:pPr>
              <w:spacing w:after="0"/>
              <w:jc w:val="both"/>
              <w:rPr>
                <w:rFonts w:ascii="Times New Roman" w:hAnsi="Times New Roman" w:cs="Times New Roman"/>
                <w:sz w:val="20"/>
                <w:szCs w:val="20"/>
                <w:lang w:val="en-GB"/>
              </w:rPr>
            </w:pPr>
          </w:p>
        </w:tc>
      </w:tr>
    </w:tbl>
    <w:p w14:paraId="7C1E438F"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28"/>
        <w:gridCol w:w="950"/>
        <w:gridCol w:w="946"/>
        <w:gridCol w:w="4234"/>
        <w:gridCol w:w="222"/>
      </w:tblGrid>
      <w:tr w:rsidR="00614438" w:rsidRPr="003E0710" w14:paraId="76375805" w14:textId="77777777" w:rsidTr="00614438">
        <w:trPr>
          <w:gridAfter w:val="1"/>
          <w:wAfter w:w="222" w:type="dxa"/>
          <w:trHeight w:val="780"/>
        </w:trPr>
        <w:tc>
          <w:tcPr>
            <w:tcW w:w="3330"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012AFE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57F1DFA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PM_D35</w:t>
            </w:r>
          </w:p>
        </w:tc>
        <w:tc>
          <w:tcPr>
            <w:tcW w:w="946" w:type="dxa"/>
            <w:tcBorders>
              <w:top w:val="single" w:sz="8" w:space="0" w:color="auto"/>
              <w:left w:val="nil"/>
              <w:bottom w:val="single" w:sz="8" w:space="0" w:color="auto"/>
              <w:right w:val="single" w:sz="8" w:space="0" w:color="auto"/>
            </w:tcBorders>
            <w:shd w:val="clear" w:color="auto" w:fill="244062"/>
            <w:vAlign w:val="center"/>
            <w:hideMark/>
          </w:tcPr>
          <w:p w14:paraId="751D8A6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37" w:type="dxa"/>
            <w:tcBorders>
              <w:top w:val="single" w:sz="8" w:space="0" w:color="auto"/>
              <w:left w:val="nil"/>
              <w:bottom w:val="single" w:sz="8" w:space="0" w:color="auto"/>
              <w:right w:val="single" w:sz="8" w:space="0" w:color="auto"/>
            </w:tcBorders>
            <w:shd w:val="clear" w:color="auto" w:fill="E7E6E6" w:themeFill="background2"/>
            <w:vAlign w:val="center"/>
            <w:hideMark/>
          </w:tcPr>
          <w:p w14:paraId="0953FDA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Provision of fiscal and economic incentives to foster the further deployment of electric vehicles</w:t>
            </w:r>
          </w:p>
        </w:tc>
      </w:tr>
      <w:tr w:rsidR="00614438" w:rsidRPr="003E0710" w14:paraId="21CE9CCE" w14:textId="77777777" w:rsidTr="00614438">
        <w:trPr>
          <w:gridAfter w:val="1"/>
          <w:wAfter w:w="222" w:type="dxa"/>
          <w:trHeight w:val="287"/>
        </w:trPr>
        <w:tc>
          <w:tcPr>
            <w:tcW w:w="3330" w:type="dxa"/>
            <w:tcBorders>
              <w:top w:val="nil"/>
              <w:left w:val="single" w:sz="8" w:space="0" w:color="auto"/>
              <w:bottom w:val="single" w:sz="8" w:space="0" w:color="auto"/>
              <w:right w:val="nil"/>
            </w:tcBorders>
            <w:shd w:val="clear" w:color="auto" w:fill="244062"/>
            <w:vAlign w:val="center"/>
            <w:hideMark/>
          </w:tcPr>
          <w:p w14:paraId="44389BE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28" w:type="dxa"/>
            <w:gridSpan w:val="3"/>
            <w:tcBorders>
              <w:top w:val="single" w:sz="8" w:space="0" w:color="auto"/>
              <w:left w:val="nil"/>
              <w:bottom w:val="single" w:sz="8" w:space="0" w:color="auto"/>
              <w:right w:val="single" w:sz="8" w:space="0" w:color="000000"/>
            </w:tcBorders>
            <w:vAlign w:val="center"/>
            <w:hideMark/>
          </w:tcPr>
          <w:p w14:paraId="4AC279F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Increase share of RES in transport</w:t>
            </w:r>
          </w:p>
        </w:tc>
      </w:tr>
      <w:tr w:rsidR="00614438" w:rsidRPr="003E0710" w14:paraId="361496D0"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0E623FA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28" w:type="dxa"/>
            <w:gridSpan w:val="3"/>
            <w:tcBorders>
              <w:top w:val="single" w:sz="8" w:space="0" w:color="auto"/>
              <w:left w:val="nil"/>
              <w:bottom w:val="single" w:sz="8" w:space="0" w:color="auto"/>
              <w:right w:val="single" w:sz="8" w:space="0" w:color="000000"/>
            </w:tcBorders>
            <w:vAlign w:val="center"/>
            <w:hideMark/>
          </w:tcPr>
          <w:p w14:paraId="6A31126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20.5 thousand electric vehicles, 21.1 thousand electric LDV and 2.4 thousand electric buses</w:t>
            </w:r>
          </w:p>
          <w:p w14:paraId="779BFBB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88 ktoe of electricity</w:t>
            </w:r>
          </w:p>
        </w:tc>
      </w:tr>
      <w:tr w:rsidR="00614438" w:rsidRPr="003E0710" w14:paraId="099E74A0" w14:textId="77777777" w:rsidTr="00614438">
        <w:trPr>
          <w:gridAfter w:val="1"/>
          <w:wAfter w:w="222" w:type="dxa"/>
          <w:trHeight w:val="229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4EEA82C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Description:</w:t>
            </w:r>
          </w:p>
        </w:tc>
        <w:tc>
          <w:tcPr>
            <w:tcW w:w="6128" w:type="dxa"/>
            <w:gridSpan w:val="3"/>
            <w:tcBorders>
              <w:top w:val="single" w:sz="8" w:space="0" w:color="auto"/>
              <w:left w:val="nil"/>
              <w:bottom w:val="single" w:sz="8" w:space="0" w:color="auto"/>
              <w:right w:val="single" w:sz="8" w:space="0" w:color="000000"/>
            </w:tcBorders>
            <w:vAlign w:val="center"/>
            <w:hideMark/>
          </w:tcPr>
          <w:p w14:paraId="15A8D92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PM_D35 foresees the provision of subsidies and fiscal incentives for the further penetration of electric vehicles focusing on energy-intensive categories, such as tax</w:t>
            </w:r>
            <w:r w:rsidR="00F44FAF" w:rsidRPr="003E0710">
              <w:rPr>
                <w:rFonts w:ascii="Times New Roman" w:hAnsi="Times New Roman" w:cs="Times New Roman"/>
                <w:sz w:val="20"/>
                <w:szCs w:val="20"/>
                <w:lang w:val="en-GB"/>
              </w:rPr>
              <w:t>i</w:t>
            </w:r>
            <w:r w:rsidRPr="003E0710">
              <w:rPr>
                <w:rFonts w:ascii="Times New Roman" w:hAnsi="Times New Roman" w:cs="Times New Roman"/>
                <w:sz w:val="20"/>
                <w:szCs w:val="20"/>
                <w:lang w:val="en-GB"/>
              </w:rPr>
              <w:t>es, light-duty vehicles etc. The existing subsidies will be improved to contribute effectively to the achievement of the target. The planned incentives will be distinguished for the acquisition and the operation of electric vehicles. Indicative measures include the provision of purchase price grants, reduced registration and utilization costs through tax exemptions and reductions, the initiation of special pricing policy in insurance programs, reduced tolls, the free entrance and parking to the urban centres and the allowance to use specific parking areas.</w:t>
            </w:r>
          </w:p>
        </w:tc>
      </w:tr>
      <w:tr w:rsidR="00614438" w:rsidRPr="003E0710" w14:paraId="58C7281B"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1EECC2F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28" w:type="dxa"/>
            <w:gridSpan w:val="3"/>
            <w:tcBorders>
              <w:top w:val="single" w:sz="8" w:space="0" w:color="auto"/>
              <w:left w:val="nil"/>
              <w:bottom w:val="single" w:sz="8" w:space="0" w:color="auto"/>
              <w:right w:val="single" w:sz="8" w:space="0" w:color="000000"/>
            </w:tcBorders>
            <w:vAlign w:val="center"/>
            <w:hideMark/>
          </w:tcPr>
          <w:p w14:paraId="7C014BD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2025-2030</w:t>
            </w:r>
          </w:p>
        </w:tc>
      </w:tr>
      <w:tr w:rsidR="00614438" w:rsidRPr="003E0710" w14:paraId="2FDAF5C0"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6B5A8C3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28" w:type="dxa"/>
            <w:gridSpan w:val="3"/>
            <w:tcBorders>
              <w:top w:val="single" w:sz="8" w:space="0" w:color="auto"/>
              <w:left w:val="nil"/>
              <w:bottom w:val="single" w:sz="8" w:space="0" w:color="auto"/>
              <w:right w:val="single" w:sz="8" w:space="0" w:color="000000"/>
            </w:tcBorders>
            <w:vAlign w:val="center"/>
            <w:hideMark/>
          </w:tcPr>
          <w:p w14:paraId="0BC2163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Reform</w:t>
            </w:r>
          </w:p>
        </w:tc>
      </w:tr>
      <w:tr w:rsidR="00614438" w:rsidRPr="003E0710" w14:paraId="3F00A1FE"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7E12A24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28" w:type="dxa"/>
            <w:gridSpan w:val="3"/>
            <w:tcBorders>
              <w:top w:val="single" w:sz="8" w:space="0" w:color="auto"/>
              <w:left w:val="nil"/>
              <w:bottom w:val="single" w:sz="8" w:space="0" w:color="auto"/>
              <w:right w:val="single" w:sz="8" w:space="0" w:color="000000"/>
            </w:tcBorders>
            <w:vAlign w:val="center"/>
            <w:hideMark/>
          </w:tcPr>
          <w:p w14:paraId="2BE9AF8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Transport</w:t>
            </w:r>
          </w:p>
        </w:tc>
      </w:tr>
      <w:tr w:rsidR="00614438" w:rsidRPr="003E0710" w14:paraId="761081E9"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16536B1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28" w:type="dxa"/>
            <w:gridSpan w:val="3"/>
            <w:tcBorders>
              <w:top w:val="single" w:sz="8" w:space="0" w:color="auto"/>
              <w:left w:val="nil"/>
              <w:bottom w:val="single" w:sz="8" w:space="0" w:color="auto"/>
              <w:right w:val="single" w:sz="8" w:space="0" w:color="000000"/>
            </w:tcBorders>
            <w:vAlign w:val="center"/>
            <w:hideMark/>
          </w:tcPr>
          <w:p w14:paraId="193FEE5B" w14:textId="77777777" w:rsidR="00614438" w:rsidRPr="003E0710" w:rsidRDefault="00614438" w:rsidP="003E0710">
            <w:pPr>
              <w:numPr>
                <w:ilvl w:val="0"/>
                <w:numId w:val="45"/>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Mining and Energy</w:t>
            </w:r>
          </w:p>
          <w:p w14:paraId="44A7D7D9" w14:textId="77777777" w:rsidR="00614438" w:rsidRPr="003E0710" w:rsidRDefault="00614438" w:rsidP="003E0710">
            <w:pPr>
              <w:numPr>
                <w:ilvl w:val="0"/>
                <w:numId w:val="45"/>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Construction, Transport and Infrastructure</w:t>
            </w:r>
          </w:p>
        </w:tc>
      </w:tr>
      <w:tr w:rsidR="00614438" w:rsidRPr="003E0710" w14:paraId="471C7257" w14:textId="77777777" w:rsidTr="00614438">
        <w:trPr>
          <w:gridAfter w:val="1"/>
          <w:wAfter w:w="222" w:type="dxa"/>
          <w:trHeight w:val="315"/>
        </w:trPr>
        <w:tc>
          <w:tcPr>
            <w:tcW w:w="3330" w:type="dxa"/>
            <w:tcBorders>
              <w:top w:val="nil"/>
              <w:left w:val="single" w:sz="8" w:space="0" w:color="auto"/>
              <w:bottom w:val="single" w:sz="8" w:space="0" w:color="auto"/>
              <w:right w:val="nil"/>
            </w:tcBorders>
            <w:shd w:val="clear" w:color="auto" w:fill="244062"/>
            <w:vAlign w:val="center"/>
            <w:hideMark/>
          </w:tcPr>
          <w:p w14:paraId="7254BEE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28" w:type="dxa"/>
            <w:gridSpan w:val="3"/>
            <w:tcBorders>
              <w:top w:val="single" w:sz="8" w:space="0" w:color="auto"/>
              <w:left w:val="nil"/>
              <w:bottom w:val="single" w:sz="8" w:space="0" w:color="auto"/>
              <w:right w:val="single" w:sz="8" w:space="0" w:color="000000"/>
            </w:tcBorders>
            <w:vAlign w:val="center"/>
            <w:hideMark/>
          </w:tcPr>
          <w:p w14:paraId="382D90E5" w14:textId="77777777" w:rsidR="00614438" w:rsidRPr="003E0710" w:rsidRDefault="00614438" w:rsidP="003E0710">
            <w:pPr>
              <w:numPr>
                <w:ilvl w:val="0"/>
                <w:numId w:val="45"/>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w:t>
            </w:r>
          </w:p>
        </w:tc>
      </w:tr>
      <w:tr w:rsidR="00614438" w:rsidRPr="003E0710" w14:paraId="4833616D" w14:textId="77777777" w:rsidTr="00614438">
        <w:trPr>
          <w:gridAfter w:val="1"/>
          <w:wAfter w:w="222" w:type="dxa"/>
          <w:trHeight w:val="315"/>
        </w:trPr>
        <w:tc>
          <w:tcPr>
            <w:tcW w:w="3330" w:type="dxa"/>
            <w:tcBorders>
              <w:top w:val="nil"/>
              <w:left w:val="single" w:sz="8" w:space="0" w:color="auto"/>
              <w:bottom w:val="single" w:sz="8" w:space="0" w:color="auto"/>
              <w:right w:val="nil"/>
            </w:tcBorders>
            <w:shd w:val="clear" w:color="auto" w:fill="244062"/>
            <w:vAlign w:val="center"/>
            <w:hideMark/>
          </w:tcPr>
          <w:p w14:paraId="295B429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28" w:type="dxa"/>
            <w:gridSpan w:val="3"/>
            <w:tcBorders>
              <w:top w:val="single" w:sz="8" w:space="0" w:color="auto"/>
              <w:left w:val="nil"/>
              <w:bottom w:val="single" w:sz="8" w:space="0" w:color="auto"/>
              <w:right w:val="single" w:sz="8" w:space="0" w:color="000000"/>
            </w:tcBorders>
            <w:vAlign w:val="center"/>
            <w:hideMark/>
          </w:tcPr>
          <w:p w14:paraId="2D1612D7" w14:textId="77777777" w:rsidR="00614438" w:rsidRPr="003E0710" w:rsidRDefault="00614438" w:rsidP="003E0710">
            <w:pPr>
              <w:numPr>
                <w:ilvl w:val="0"/>
                <w:numId w:val="45"/>
              </w:numPr>
              <w:spacing w:after="0"/>
              <w:jc w:val="both"/>
              <w:rPr>
                <w:rFonts w:ascii="Times New Roman" w:hAnsi="Times New Roman" w:cs="Times New Roman"/>
                <w:sz w:val="20"/>
                <w:szCs w:val="20"/>
              </w:rPr>
            </w:pPr>
            <w:r w:rsidRPr="003E0710">
              <w:rPr>
                <w:rFonts w:ascii="Times New Roman" w:hAnsi="Times New Roman" w:cs="Times New Roman"/>
                <w:sz w:val="20"/>
                <w:szCs w:val="20"/>
              </w:rPr>
              <w:t>Consumed electricity in transport sector</w:t>
            </w:r>
          </w:p>
          <w:p w14:paraId="42DD8B3C" w14:textId="77777777" w:rsidR="00614438" w:rsidRPr="003E0710" w:rsidRDefault="00614438" w:rsidP="003E0710">
            <w:pPr>
              <w:numPr>
                <w:ilvl w:val="0"/>
                <w:numId w:val="45"/>
              </w:numPr>
              <w:spacing w:after="0"/>
              <w:jc w:val="both"/>
              <w:rPr>
                <w:rFonts w:ascii="Times New Roman" w:hAnsi="Times New Roman" w:cs="Times New Roman"/>
                <w:sz w:val="20"/>
                <w:szCs w:val="20"/>
              </w:rPr>
            </w:pPr>
            <w:r w:rsidRPr="003E0710">
              <w:rPr>
                <w:rFonts w:ascii="Times New Roman" w:hAnsi="Times New Roman" w:cs="Times New Roman"/>
                <w:sz w:val="20"/>
                <w:szCs w:val="20"/>
              </w:rPr>
              <w:t>Promoted electric vehicles </w:t>
            </w:r>
          </w:p>
        </w:tc>
      </w:tr>
      <w:tr w:rsidR="00614438" w:rsidRPr="003E0710" w14:paraId="6275A3C7" w14:textId="77777777" w:rsidTr="00614438">
        <w:trPr>
          <w:gridAfter w:val="1"/>
          <w:wAfter w:w="222" w:type="dxa"/>
          <w:trHeight w:val="311"/>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762D6A4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28" w:type="dxa"/>
            <w:gridSpan w:val="3"/>
            <w:tcBorders>
              <w:top w:val="single" w:sz="8" w:space="0" w:color="auto"/>
              <w:left w:val="nil"/>
              <w:bottom w:val="single" w:sz="8" w:space="0" w:color="auto"/>
              <w:right w:val="single" w:sz="8" w:space="0" w:color="000000"/>
            </w:tcBorders>
            <w:vAlign w:val="center"/>
            <w:hideMark/>
          </w:tcPr>
          <w:p w14:paraId="47527A1C"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efficiency (the promoted electric vehicles will deliver also final and primary energy savings contributing to the achievement of the relevant targets)</w:t>
            </w:r>
          </w:p>
          <w:p w14:paraId="4223620F"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security (the penetration of RES technologies will reduce the energy import dependency from third countries and increase the deployment of domestic energy sources)</w:t>
            </w:r>
          </w:p>
        </w:tc>
      </w:tr>
      <w:tr w:rsidR="00614438" w:rsidRPr="003E0710" w14:paraId="49D4B213" w14:textId="77777777" w:rsidTr="00614438">
        <w:trPr>
          <w:gridAfter w:val="1"/>
          <w:wAfter w:w="222" w:type="dxa"/>
          <w:trHeight w:val="458"/>
        </w:trPr>
        <w:tc>
          <w:tcPr>
            <w:tcW w:w="3330" w:type="dxa"/>
            <w:vMerge w:val="restart"/>
            <w:tcBorders>
              <w:top w:val="nil"/>
              <w:left w:val="single" w:sz="8" w:space="0" w:color="auto"/>
              <w:bottom w:val="single" w:sz="8" w:space="0" w:color="000000"/>
              <w:right w:val="single" w:sz="8" w:space="0" w:color="auto"/>
            </w:tcBorders>
            <w:shd w:val="clear" w:color="auto" w:fill="244062"/>
            <w:vAlign w:val="center"/>
            <w:hideMark/>
          </w:tcPr>
          <w:p w14:paraId="5618EA5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28"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4E2549C"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0D41C545"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7FC04EBA"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F992EE2"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02A84A94"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22F1E880" w14:textId="77777777" w:rsidTr="00614438">
        <w:trPr>
          <w:trHeight w:val="54"/>
        </w:trPr>
        <w:tc>
          <w:tcPr>
            <w:tcW w:w="0" w:type="auto"/>
            <w:vMerge/>
            <w:tcBorders>
              <w:top w:val="nil"/>
              <w:left w:val="single" w:sz="8" w:space="0" w:color="auto"/>
              <w:bottom w:val="single" w:sz="8" w:space="0" w:color="000000"/>
              <w:right w:val="single" w:sz="8" w:space="0" w:color="auto"/>
            </w:tcBorders>
            <w:vAlign w:val="center"/>
            <w:hideMark/>
          </w:tcPr>
          <w:p w14:paraId="2F398FB5"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E4AE098"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29970D9C"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2C5A2668" w14:textId="77777777" w:rsidTr="00614438">
        <w:trPr>
          <w:trHeight w:val="203"/>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35712D4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28" w:type="dxa"/>
            <w:gridSpan w:val="3"/>
            <w:tcBorders>
              <w:top w:val="single" w:sz="8" w:space="0" w:color="auto"/>
              <w:left w:val="nil"/>
              <w:bottom w:val="single" w:sz="8" w:space="0" w:color="auto"/>
              <w:right w:val="single" w:sz="8" w:space="0" w:color="000000"/>
            </w:tcBorders>
            <w:vAlign w:val="center"/>
            <w:hideMark/>
          </w:tcPr>
          <w:p w14:paraId="51E2A7CD" w14:textId="77777777" w:rsidR="00614438" w:rsidRPr="003E0710" w:rsidRDefault="00614438" w:rsidP="003E0710">
            <w:pPr>
              <w:pStyle w:val="FootnoteText"/>
            </w:pPr>
            <w:r w:rsidRPr="003E0710">
              <w:t>Law on Tax on the Use, Possession and Carrying of Goods</w:t>
            </w:r>
            <w:r w:rsidR="00300275" w:rsidRPr="003E0710">
              <w:t xml:space="preserve"> (“Official Gazette of RS”, no. 26/01, 80/02, 43/04, 132/04, 112/05, 114/06, 118/07, 114/08, and 31/09)</w:t>
            </w:r>
          </w:p>
        </w:tc>
        <w:tc>
          <w:tcPr>
            <w:tcW w:w="222" w:type="dxa"/>
            <w:vAlign w:val="center"/>
            <w:hideMark/>
          </w:tcPr>
          <w:p w14:paraId="7F4C4759"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15DE7D88" w14:textId="77777777" w:rsidTr="00614438">
        <w:trPr>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19802E0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28" w:type="dxa"/>
            <w:gridSpan w:val="3"/>
            <w:tcBorders>
              <w:top w:val="single" w:sz="8" w:space="0" w:color="auto"/>
              <w:left w:val="nil"/>
              <w:bottom w:val="single" w:sz="8" w:space="0" w:color="auto"/>
              <w:right w:val="single" w:sz="8" w:space="0" w:color="000000"/>
            </w:tcBorders>
            <w:vAlign w:val="center"/>
            <w:hideMark/>
          </w:tcPr>
          <w:p w14:paraId="6572E95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Budget incorporated into energy efficiency dimension measures (</w:t>
            </w:r>
            <w:bookmarkStart w:id="135" w:name="_Hlk135854044"/>
            <w:r w:rsidRPr="003E0710">
              <w:rPr>
                <w:rFonts w:ascii="Times New Roman" w:hAnsi="Times New Roman" w:cs="Times New Roman"/>
                <w:sz w:val="20"/>
                <w:szCs w:val="20"/>
                <w:lang w:val="en-GB"/>
              </w:rPr>
              <w:t>PM_EE12, PM_EE14, PM_EE18</w:t>
            </w:r>
            <w:bookmarkEnd w:id="135"/>
            <w:r w:rsidRPr="003E0710">
              <w:rPr>
                <w:rFonts w:ascii="Times New Roman" w:hAnsi="Times New Roman" w:cs="Times New Roman"/>
                <w:sz w:val="20"/>
                <w:szCs w:val="20"/>
                <w:lang w:val="en-GB"/>
              </w:rPr>
              <w:t>) - 570 M€ for electric vehicles, 665 M€ for electric LDV and 505 M€ for electric buses</w:t>
            </w:r>
          </w:p>
        </w:tc>
        <w:tc>
          <w:tcPr>
            <w:tcW w:w="222" w:type="dxa"/>
            <w:vAlign w:val="center"/>
            <w:hideMark/>
          </w:tcPr>
          <w:p w14:paraId="046E4876"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E3CCC71" w14:textId="77777777" w:rsidTr="00614438">
        <w:trPr>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138299C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28" w:type="dxa"/>
            <w:gridSpan w:val="3"/>
            <w:tcBorders>
              <w:top w:val="single" w:sz="8" w:space="0" w:color="auto"/>
              <w:left w:val="nil"/>
              <w:bottom w:val="single" w:sz="8" w:space="0" w:color="auto"/>
              <w:right w:val="single" w:sz="8" w:space="0" w:color="000000"/>
            </w:tcBorders>
            <w:vAlign w:val="center"/>
            <w:hideMark/>
          </w:tcPr>
          <w:p w14:paraId="145168A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 and own funds</w:t>
            </w:r>
          </w:p>
        </w:tc>
        <w:tc>
          <w:tcPr>
            <w:tcW w:w="222" w:type="dxa"/>
            <w:vAlign w:val="center"/>
            <w:hideMark/>
          </w:tcPr>
          <w:p w14:paraId="12291CA6" w14:textId="77777777" w:rsidR="00614438" w:rsidRPr="003E0710" w:rsidRDefault="00614438" w:rsidP="003E0710">
            <w:pPr>
              <w:spacing w:after="0"/>
              <w:jc w:val="both"/>
              <w:rPr>
                <w:rFonts w:ascii="Times New Roman" w:hAnsi="Times New Roman" w:cs="Times New Roman"/>
                <w:sz w:val="20"/>
                <w:szCs w:val="20"/>
                <w:lang w:val="en-GB"/>
              </w:rPr>
            </w:pPr>
          </w:p>
        </w:tc>
      </w:tr>
    </w:tbl>
    <w:p w14:paraId="0D7BF77A" w14:textId="77777777" w:rsidR="00300275" w:rsidRPr="003E0710" w:rsidRDefault="00300275" w:rsidP="003E0710">
      <w:pPr>
        <w:spacing w:after="0"/>
        <w:jc w:val="both"/>
        <w:rPr>
          <w:rFonts w:ascii="Times New Roman" w:hAnsi="Times New Roman" w:cs="Times New Roman"/>
          <w:sz w:val="20"/>
          <w:szCs w:val="20"/>
          <w:lang w:val="en-GB"/>
        </w:rPr>
      </w:pPr>
    </w:p>
    <w:p w14:paraId="67D1B06D" w14:textId="77777777" w:rsidR="00614438" w:rsidRPr="00614438" w:rsidRDefault="00614438" w:rsidP="00300275">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Cross-cutting</w:t>
      </w:r>
    </w:p>
    <w:p w14:paraId="726A2CC5" w14:textId="77777777" w:rsidR="00614438" w:rsidRPr="00614438" w:rsidRDefault="00614438" w:rsidP="00300275">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promotion of energy storage technologies will be fostered. Specifically, the legislative framework will be adopted for the installation of energy storage stations, while different support instruments will be assessed for the case of the decentralised energy storage units under the prerequisite that the self-consumption of the produced energy from the renewable energy sources will be maximized and the energy efficiency will be promoted.</w:t>
      </w:r>
    </w:p>
    <w:p w14:paraId="6E448656" w14:textId="77777777" w:rsidR="00614438" w:rsidRDefault="00614438" w:rsidP="004334F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Furthermore, the production and utilization of biomethane and renewable hydrogen will be boosted with the design and implementation of demonstration projects aiming at the </w:t>
      </w:r>
      <w:r w:rsidR="004334F2">
        <w:rPr>
          <w:rFonts w:ascii="Times New Roman" w:hAnsi="Times New Roman" w:cs="Times New Roman"/>
          <w:sz w:val="24"/>
          <w:szCs w:val="24"/>
          <w:lang w:val="en-GB"/>
        </w:rPr>
        <w:t>significant</w:t>
      </w:r>
      <w:r w:rsidRPr="00614438">
        <w:rPr>
          <w:rFonts w:ascii="Times New Roman" w:hAnsi="Times New Roman" w:cs="Times New Roman"/>
          <w:sz w:val="24"/>
          <w:szCs w:val="24"/>
          <w:lang w:val="en-GB"/>
        </w:rPr>
        <w:t xml:space="preserve"> reduction of their production cost and the improvement of their technical feasibility in regards to their transportation with the existing natural gas network. </w:t>
      </w:r>
      <w:r w:rsidR="004334F2">
        <w:rPr>
          <w:rFonts w:ascii="Times New Roman" w:hAnsi="Times New Roman" w:cs="Times New Roman"/>
          <w:sz w:val="24"/>
          <w:szCs w:val="24"/>
          <w:lang w:val="en-GB"/>
        </w:rPr>
        <w:t>At the same time</w:t>
      </w:r>
      <w:r w:rsidRPr="00614438">
        <w:rPr>
          <w:rFonts w:ascii="Times New Roman" w:hAnsi="Times New Roman" w:cs="Times New Roman"/>
          <w:sz w:val="24"/>
          <w:szCs w:val="24"/>
          <w:lang w:val="en-GB"/>
        </w:rPr>
        <w:t xml:space="preserve">, </w:t>
      </w:r>
      <w:r w:rsidR="004334F2">
        <w:rPr>
          <w:rFonts w:ascii="Times New Roman" w:hAnsi="Times New Roman" w:cs="Times New Roman"/>
          <w:sz w:val="24"/>
          <w:szCs w:val="24"/>
          <w:lang w:val="en-GB"/>
        </w:rPr>
        <w:t>an</w:t>
      </w:r>
      <w:r w:rsidRPr="00614438">
        <w:rPr>
          <w:rFonts w:ascii="Times New Roman" w:hAnsi="Times New Roman" w:cs="Times New Roman"/>
          <w:sz w:val="24"/>
          <w:szCs w:val="24"/>
          <w:lang w:val="en-GB"/>
        </w:rPr>
        <w:t xml:space="preserve"> appropriate legislative framework will be adopted for the development of the required infrastructure increasing the further consumption of biomethane and renewable hydrog</w:t>
      </w:r>
      <w:r w:rsidR="004334F2">
        <w:rPr>
          <w:rFonts w:ascii="Times New Roman" w:hAnsi="Times New Roman" w:cs="Times New Roman"/>
          <w:sz w:val="24"/>
          <w:szCs w:val="24"/>
          <w:lang w:val="en-GB"/>
        </w:rPr>
        <w:t>en in all end-use sectors. The possibility of c</w:t>
      </w:r>
      <w:r w:rsidRPr="00614438">
        <w:rPr>
          <w:rFonts w:ascii="Times New Roman" w:hAnsi="Times New Roman" w:cs="Times New Roman"/>
          <w:sz w:val="24"/>
          <w:szCs w:val="24"/>
          <w:lang w:val="en-GB"/>
        </w:rPr>
        <w:t>onstructi</w:t>
      </w:r>
      <w:r w:rsidR="004334F2">
        <w:rPr>
          <w:rFonts w:ascii="Times New Roman" w:hAnsi="Times New Roman" w:cs="Times New Roman"/>
          <w:sz w:val="24"/>
          <w:szCs w:val="24"/>
          <w:lang w:val="en-GB"/>
        </w:rPr>
        <w:t>ng</w:t>
      </w:r>
      <w:r w:rsidRPr="00614438">
        <w:rPr>
          <w:rFonts w:ascii="Times New Roman" w:hAnsi="Times New Roman" w:cs="Times New Roman"/>
          <w:sz w:val="24"/>
          <w:szCs w:val="24"/>
          <w:lang w:val="en-GB"/>
        </w:rPr>
        <w:t xml:space="preserve"> dedicated infrastructures for large-scale storage and transportation of pure hydrogen, going beyond point-to-point pipelines within industrial clusters, will be explored.</w:t>
      </w:r>
    </w:p>
    <w:p w14:paraId="55E28C59" w14:textId="77777777" w:rsidR="00614438" w:rsidRPr="00614438" w:rsidRDefault="00614438" w:rsidP="004334F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Finally, the existing public procurement procedures will be improved so as to facilitate the further deployment of renewable energy sources through the specification of mandatory quotas for specific renewable energy technologies ensuring that a specific number of renewable technologies will be utilised.</w:t>
      </w:r>
    </w:p>
    <w:p w14:paraId="6F2F1CF4" w14:textId="77777777" w:rsidR="00614438" w:rsidRPr="003E0710" w:rsidRDefault="00614438" w:rsidP="003E0710">
      <w:pPr>
        <w:spacing w:after="0"/>
        <w:ind w:firstLine="720"/>
        <w:jc w:val="both"/>
        <w:rPr>
          <w:rFonts w:ascii="Times New Roman" w:hAnsi="Times New Roman" w:cs="Times New Roman"/>
          <w:sz w:val="20"/>
          <w:szCs w:val="20"/>
          <w:lang w:val="en-GB"/>
        </w:rPr>
      </w:pPr>
      <w:r w:rsidRPr="00614438">
        <w:rPr>
          <w:rFonts w:ascii="Times New Roman" w:hAnsi="Times New Roman" w:cs="Times New Roman"/>
          <w:sz w:val="24"/>
          <w:szCs w:val="24"/>
          <w:lang w:val="en-GB"/>
        </w:rPr>
        <w:t>Generally, the previously mentioned policy measures will accelerate the transition towards a more integrated energy system. The use of renewable and low-carbon fuels, including hydrogen, for end-use applications, is imperative in the case that the direct heating or electrification are not feasible.</w:t>
      </w:r>
    </w:p>
    <w:tbl>
      <w:tblPr>
        <w:tblW w:w="9680" w:type="dxa"/>
        <w:tblLook w:val="04A0" w:firstRow="1" w:lastRow="0" w:firstColumn="1" w:lastColumn="0" w:noHBand="0" w:noVBand="1"/>
      </w:tblPr>
      <w:tblGrid>
        <w:gridCol w:w="3326"/>
        <w:gridCol w:w="950"/>
        <w:gridCol w:w="946"/>
        <w:gridCol w:w="4236"/>
        <w:gridCol w:w="222"/>
      </w:tblGrid>
      <w:tr w:rsidR="00614438" w:rsidRPr="003E0710" w14:paraId="191C1F15" w14:textId="77777777" w:rsidTr="00614438">
        <w:trPr>
          <w:gridAfter w:val="1"/>
          <w:wAfter w:w="222" w:type="dxa"/>
          <w:trHeight w:val="780"/>
        </w:trPr>
        <w:tc>
          <w:tcPr>
            <w:tcW w:w="3328"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7D76A8A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4C323F1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PM_D37</w:t>
            </w:r>
          </w:p>
        </w:tc>
        <w:tc>
          <w:tcPr>
            <w:tcW w:w="946" w:type="dxa"/>
            <w:tcBorders>
              <w:top w:val="single" w:sz="8" w:space="0" w:color="auto"/>
              <w:left w:val="nil"/>
              <w:bottom w:val="single" w:sz="8" w:space="0" w:color="auto"/>
              <w:right w:val="single" w:sz="8" w:space="0" w:color="auto"/>
            </w:tcBorders>
            <w:shd w:val="clear" w:color="auto" w:fill="244062"/>
            <w:vAlign w:val="center"/>
            <w:hideMark/>
          </w:tcPr>
          <w:p w14:paraId="3EAAC5B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39" w:type="dxa"/>
            <w:tcBorders>
              <w:top w:val="single" w:sz="8" w:space="0" w:color="auto"/>
              <w:left w:val="nil"/>
              <w:bottom w:val="single" w:sz="8" w:space="0" w:color="auto"/>
              <w:right w:val="single" w:sz="8" w:space="0" w:color="auto"/>
            </w:tcBorders>
            <w:shd w:val="clear" w:color="auto" w:fill="E7E6E6" w:themeFill="background2"/>
            <w:vAlign w:val="center"/>
            <w:hideMark/>
          </w:tcPr>
          <w:p w14:paraId="386F18E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Development of the legislative framework for the promotion of energy storage technologies</w:t>
            </w:r>
          </w:p>
        </w:tc>
      </w:tr>
      <w:tr w:rsidR="00614438" w:rsidRPr="003E0710" w14:paraId="2C0B6207" w14:textId="77777777" w:rsidTr="00614438">
        <w:trPr>
          <w:gridAfter w:val="1"/>
          <w:wAfter w:w="222" w:type="dxa"/>
          <w:trHeight w:val="321"/>
        </w:trPr>
        <w:tc>
          <w:tcPr>
            <w:tcW w:w="3328" w:type="dxa"/>
            <w:tcBorders>
              <w:top w:val="nil"/>
              <w:left w:val="single" w:sz="8" w:space="0" w:color="auto"/>
              <w:bottom w:val="single" w:sz="8" w:space="0" w:color="auto"/>
              <w:right w:val="nil"/>
            </w:tcBorders>
            <w:shd w:val="clear" w:color="auto" w:fill="244062"/>
            <w:vAlign w:val="center"/>
            <w:hideMark/>
          </w:tcPr>
          <w:p w14:paraId="66E11A1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30" w:type="dxa"/>
            <w:gridSpan w:val="3"/>
            <w:tcBorders>
              <w:top w:val="single" w:sz="8" w:space="0" w:color="auto"/>
              <w:left w:val="nil"/>
              <w:bottom w:val="single" w:sz="8" w:space="0" w:color="auto"/>
              <w:right w:val="single" w:sz="8" w:space="0" w:color="000000"/>
            </w:tcBorders>
            <w:vAlign w:val="center"/>
            <w:hideMark/>
          </w:tcPr>
          <w:p w14:paraId="64B26CF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Increase share of RES in electricity increase share of and RES in heating and cooling</w:t>
            </w:r>
          </w:p>
        </w:tc>
      </w:tr>
      <w:tr w:rsidR="00614438" w:rsidRPr="003E0710" w14:paraId="3EF7BF87"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4BBC6AA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30" w:type="dxa"/>
            <w:gridSpan w:val="3"/>
            <w:tcBorders>
              <w:top w:val="single" w:sz="8" w:space="0" w:color="auto"/>
              <w:left w:val="nil"/>
              <w:bottom w:val="single" w:sz="8" w:space="0" w:color="auto"/>
              <w:right w:val="single" w:sz="8" w:space="0" w:color="000000"/>
            </w:tcBorders>
            <w:vAlign w:val="center"/>
            <w:hideMark/>
          </w:tcPr>
          <w:p w14:paraId="165466C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Contribution to the expected RES penetration for electricity production</w:t>
            </w:r>
          </w:p>
        </w:tc>
      </w:tr>
      <w:tr w:rsidR="00614438" w:rsidRPr="003E0710" w14:paraId="09EAFCDE" w14:textId="77777777" w:rsidTr="00614438">
        <w:trPr>
          <w:gridAfter w:val="1"/>
          <w:wAfter w:w="222" w:type="dxa"/>
          <w:trHeight w:val="58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417B72B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30" w:type="dxa"/>
            <w:gridSpan w:val="3"/>
            <w:tcBorders>
              <w:top w:val="single" w:sz="8" w:space="0" w:color="auto"/>
              <w:left w:val="nil"/>
              <w:bottom w:val="single" w:sz="8" w:space="0" w:color="auto"/>
              <w:right w:val="single" w:sz="8" w:space="0" w:color="000000"/>
            </w:tcBorders>
            <w:vAlign w:val="center"/>
            <w:hideMark/>
          </w:tcPr>
          <w:p w14:paraId="37EC93B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PM_D37 will facilitate the development of the legislative framework for the different types of energy storage technologies. Investment aid will be provided for the central energy storage stations focusing not only to the adoption of the required licencing procedures, but to the potential provision of operating aid as economic support. For the case of decentralized energy storage plants</w:t>
            </w:r>
            <w:r w:rsidR="004334F2" w:rsidRPr="003E0710">
              <w:rPr>
                <w:rFonts w:ascii="Times New Roman" w:hAnsi="Times New Roman" w:cs="Times New Roman"/>
                <w:sz w:val="20"/>
                <w:szCs w:val="20"/>
                <w:lang w:val="en-GB"/>
              </w:rPr>
              <w:t>,</w:t>
            </w:r>
            <w:r w:rsidRPr="003E0710">
              <w:rPr>
                <w:rFonts w:ascii="Times New Roman" w:hAnsi="Times New Roman" w:cs="Times New Roman"/>
                <w:sz w:val="20"/>
                <w:szCs w:val="20"/>
                <w:lang w:val="en-GB"/>
              </w:rPr>
              <w:t xml:space="preserve"> specific subsidies and fiscal incentives will be assessed under the preconditions that the self-consumption of the produced energy from the renewable energy sources will be maximized and the energy efficiency will be promoted.</w:t>
            </w:r>
          </w:p>
        </w:tc>
      </w:tr>
      <w:tr w:rsidR="00614438" w:rsidRPr="003E0710" w14:paraId="02BFE0B1"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16F3850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30" w:type="dxa"/>
            <w:gridSpan w:val="3"/>
            <w:tcBorders>
              <w:top w:val="single" w:sz="8" w:space="0" w:color="auto"/>
              <w:left w:val="nil"/>
              <w:bottom w:val="single" w:sz="8" w:space="0" w:color="auto"/>
              <w:right w:val="single" w:sz="8" w:space="0" w:color="000000"/>
            </w:tcBorders>
            <w:vAlign w:val="center"/>
            <w:hideMark/>
          </w:tcPr>
          <w:p w14:paraId="17430FB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2025-2030</w:t>
            </w:r>
          </w:p>
        </w:tc>
      </w:tr>
      <w:tr w:rsidR="00614438" w:rsidRPr="003E0710" w14:paraId="44600083"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161B92A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30" w:type="dxa"/>
            <w:gridSpan w:val="3"/>
            <w:tcBorders>
              <w:top w:val="single" w:sz="8" w:space="0" w:color="auto"/>
              <w:left w:val="nil"/>
              <w:bottom w:val="single" w:sz="8" w:space="0" w:color="auto"/>
              <w:right w:val="single" w:sz="8" w:space="0" w:color="000000"/>
            </w:tcBorders>
            <w:vAlign w:val="center"/>
            <w:hideMark/>
          </w:tcPr>
          <w:p w14:paraId="3AD6254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Reform </w:t>
            </w:r>
          </w:p>
        </w:tc>
      </w:tr>
      <w:tr w:rsidR="00614438" w:rsidRPr="003E0710" w14:paraId="3CAAD060"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3200698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30" w:type="dxa"/>
            <w:gridSpan w:val="3"/>
            <w:tcBorders>
              <w:top w:val="single" w:sz="8" w:space="0" w:color="auto"/>
              <w:left w:val="nil"/>
              <w:bottom w:val="single" w:sz="8" w:space="0" w:color="auto"/>
              <w:right w:val="single" w:sz="8" w:space="0" w:color="000000"/>
            </w:tcBorders>
            <w:vAlign w:val="center"/>
            <w:hideMark/>
          </w:tcPr>
          <w:p w14:paraId="54DCFB8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Electricity, Heating and Cooling</w:t>
            </w:r>
          </w:p>
        </w:tc>
      </w:tr>
      <w:tr w:rsidR="00614438" w:rsidRPr="003E0710" w14:paraId="3DBE8B34"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0008B44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30" w:type="dxa"/>
            <w:gridSpan w:val="3"/>
            <w:tcBorders>
              <w:top w:val="single" w:sz="8" w:space="0" w:color="auto"/>
              <w:left w:val="nil"/>
              <w:bottom w:val="single" w:sz="8" w:space="0" w:color="auto"/>
              <w:right w:val="single" w:sz="8" w:space="0" w:color="000000"/>
            </w:tcBorders>
            <w:vAlign w:val="center"/>
            <w:hideMark/>
          </w:tcPr>
          <w:p w14:paraId="68F9444F"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Mining and Energy</w:t>
            </w:r>
          </w:p>
        </w:tc>
      </w:tr>
      <w:tr w:rsidR="00614438" w:rsidRPr="003E0710" w14:paraId="2B0FF306" w14:textId="77777777" w:rsidTr="00614438">
        <w:trPr>
          <w:gridAfter w:val="1"/>
          <w:wAfter w:w="222" w:type="dxa"/>
          <w:trHeight w:val="315"/>
        </w:trPr>
        <w:tc>
          <w:tcPr>
            <w:tcW w:w="3328" w:type="dxa"/>
            <w:tcBorders>
              <w:top w:val="nil"/>
              <w:left w:val="single" w:sz="8" w:space="0" w:color="auto"/>
              <w:bottom w:val="single" w:sz="8" w:space="0" w:color="auto"/>
              <w:right w:val="nil"/>
            </w:tcBorders>
            <w:shd w:val="clear" w:color="auto" w:fill="244062"/>
            <w:vAlign w:val="center"/>
            <w:hideMark/>
          </w:tcPr>
          <w:p w14:paraId="51EF1EB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30" w:type="dxa"/>
            <w:gridSpan w:val="3"/>
            <w:tcBorders>
              <w:top w:val="single" w:sz="8" w:space="0" w:color="auto"/>
              <w:left w:val="nil"/>
              <w:bottom w:val="single" w:sz="8" w:space="0" w:color="auto"/>
              <w:right w:val="single" w:sz="8" w:space="0" w:color="000000"/>
            </w:tcBorders>
            <w:vAlign w:val="center"/>
            <w:hideMark/>
          </w:tcPr>
          <w:p w14:paraId="5D79F745"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w:t>
            </w:r>
          </w:p>
        </w:tc>
      </w:tr>
      <w:tr w:rsidR="00614438" w:rsidRPr="003E0710" w14:paraId="56EE2B28" w14:textId="77777777" w:rsidTr="00614438">
        <w:trPr>
          <w:gridAfter w:val="1"/>
          <w:wAfter w:w="222" w:type="dxa"/>
          <w:trHeight w:val="315"/>
        </w:trPr>
        <w:tc>
          <w:tcPr>
            <w:tcW w:w="3328" w:type="dxa"/>
            <w:tcBorders>
              <w:top w:val="nil"/>
              <w:left w:val="single" w:sz="8" w:space="0" w:color="auto"/>
              <w:bottom w:val="single" w:sz="8" w:space="0" w:color="auto"/>
              <w:right w:val="nil"/>
            </w:tcBorders>
            <w:shd w:val="clear" w:color="auto" w:fill="244062"/>
            <w:vAlign w:val="center"/>
            <w:hideMark/>
          </w:tcPr>
          <w:p w14:paraId="1DEB08A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30" w:type="dxa"/>
            <w:gridSpan w:val="3"/>
            <w:tcBorders>
              <w:top w:val="single" w:sz="8" w:space="0" w:color="auto"/>
              <w:left w:val="nil"/>
              <w:bottom w:val="single" w:sz="8" w:space="0" w:color="auto"/>
              <w:right w:val="single" w:sz="8" w:space="0" w:color="000000"/>
            </w:tcBorders>
            <w:vAlign w:val="center"/>
            <w:hideMark/>
          </w:tcPr>
          <w:p w14:paraId="5CB859A4"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Installed capacity</w:t>
            </w:r>
          </w:p>
          <w:p w14:paraId="2753DA65"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Developed legislative and regulatory framework</w:t>
            </w:r>
          </w:p>
        </w:tc>
      </w:tr>
      <w:tr w:rsidR="00614438" w:rsidRPr="003E0710" w14:paraId="308205FE" w14:textId="77777777" w:rsidTr="00614438">
        <w:trPr>
          <w:gridAfter w:val="1"/>
          <w:wAfter w:w="222" w:type="dxa"/>
          <w:trHeight w:val="437"/>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09FA8EE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30" w:type="dxa"/>
            <w:gridSpan w:val="3"/>
            <w:tcBorders>
              <w:top w:val="single" w:sz="8" w:space="0" w:color="auto"/>
              <w:left w:val="nil"/>
              <w:bottom w:val="single" w:sz="8" w:space="0" w:color="auto"/>
              <w:right w:val="single" w:sz="8" w:space="0" w:color="000000"/>
            </w:tcBorders>
            <w:vAlign w:val="center"/>
            <w:hideMark/>
          </w:tcPr>
          <w:p w14:paraId="6C48E093"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efficiency (the promoted RES technologies will deliver also primary energy savings contributing to the achievement of the relevant targets)</w:t>
            </w:r>
          </w:p>
          <w:p w14:paraId="42DC4B22"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security (the installation of storage technologies will facilitate the further penetration of RES stations reducing the energy import dependency from third countries and increase the deployment of domestic energy sources)</w:t>
            </w:r>
          </w:p>
          <w:p w14:paraId="183B2834"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Internal energy market (the penetration of storage technologies will ensure electricity system adequacy and flexibility)</w:t>
            </w:r>
          </w:p>
        </w:tc>
      </w:tr>
      <w:tr w:rsidR="00614438" w:rsidRPr="003E0710" w14:paraId="74AD3A6B" w14:textId="77777777" w:rsidTr="00614438">
        <w:trPr>
          <w:gridAfter w:val="1"/>
          <w:wAfter w:w="222" w:type="dxa"/>
          <w:trHeight w:val="458"/>
        </w:trPr>
        <w:tc>
          <w:tcPr>
            <w:tcW w:w="3328" w:type="dxa"/>
            <w:vMerge w:val="restart"/>
            <w:tcBorders>
              <w:top w:val="nil"/>
              <w:left w:val="single" w:sz="8" w:space="0" w:color="auto"/>
              <w:bottom w:val="single" w:sz="8" w:space="0" w:color="000000"/>
              <w:right w:val="single" w:sz="8" w:space="0" w:color="auto"/>
            </w:tcBorders>
            <w:shd w:val="clear" w:color="auto" w:fill="244062"/>
            <w:vAlign w:val="center"/>
            <w:hideMark/>
          </w:tcPr>
          <w:p w14:paraId="072CB67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3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960E139"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16D02849"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34A71E99"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A4D93A6"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5D260665"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0F8A82AA" w14:textId="77777777" w:rsidTr="00614438">
        <w:trPr>
          <w:trHeight w:val="54"/>
        </w:trPr>
        <w:tc>
          <w:tcPr>
            <w:tcW w:w="0" w:type="auto"/>
            <w:vMerge/>
            <w:tcBorders>
              <w:top w:val="nil"/>
              <w:left w:val="single" w:sz="8" w:space="0" w:color="auto"/>
              <w:bottom w:val="single" w:sz="8" w:space="0" w:color="000000"/>
              <w:right w:val="single" w:sz="8" w:space="0" w:color="auto"/>
            </w:tcBorders>
            <w:vAlign w:val="center"/>
            <w:hideMark/>
          </w:tcPr>
          <w:p w14:paraId="4AA638F5"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5E3F0EF"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749EEA2C"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3FBABA30" w14:textId="77777777" w:rsidTr="00614438">
        <w:trPr>
          <w:trHeight w:val="187"/>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4FC35DC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30" w:type="dxa"/>
            <w:gridSpan w:val="3"/>
            <w:tcBorders>
              <w:top w:val="single" w:sz="8" w:space="0" w:color="auto"/>
              <w:left w:val="nil"/>
              <w:bottom w:val="single" w:sz="8" w:space="0" w:color="auto"/>
              <w:right w:val="single" w:sz="8" w:space="0" w:color="000000"/>
            </w:tcBorders>
            <w:vAlign w:val="center"/>
            <w:hideMark/>
          </w:tcPr>
          <w:p w14:paraId="14F20AC4"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Energy</w:t>
            </w:r>
          </w:p>
          <w:p w14:paraId="2493C8C3" w14:textId="77777777" w:rsidR="00614438" w:rsidRPr="003E0710" w:rsidRDefault="004334F2" w:rsidP="003E0710">
            <w:pPr>
              <w:numPr>
                <w:ilvl w:val="0"/>
                <w:numId w:val="43"/>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rPr>
              <w:t xml:space="preserve"> </w:t>
            </w:r>
            <w:r w:rsidR="00614438" w:rsidRPr="003E0710">
              <w:rPr>
                <w:rFonts w:ascii="Times New Roman" w:hAnsi="Times New Roman" w:cs="Times New Roman"/>
                <w:sz w:val="20"/>
                <w:szCs w:val="20"/>
                <w:lang w:val="en-GB"/>
              </w:rPr>
              <w:t>Law on the use of renewable energy sources</w:t>
            </w:r>
          </w:p>
        </w:tc>
        <w:tc>
          <w:tcPr>
            <w:tcW w:w="222" w:type="dxa"/>
            <w:vAlign w:val="center"/>
            <w:hideMark/>
          </w:tcPr>
          <w:p w14:paraId="5489A639"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212F1681" w14:textId="77777777" w:rsidTr="00614438">
        <w:trPr>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7985A95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30" w:type="dxa"/>
            <w:gridSpan w:val="3"/>
            <w:tcBorders>
              <w:top w:val="single" w:sz="8" w:space="0" w:color="auto"/>
              <w:left w:val="nil"/>
              <w:bottom w:val="single" w:sz="8" w:space="0" w:color="auto"/>
              <w:right w:val="single" w:sz="8" w:space="0" w:color="000000"/>
            </w:tcBorders>
            <w:vAlign w:val="center"/>
            <w:hideMark/>
          </w:tcPr>
          <w:p w14:paraId="17BE49A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 1 M€</w:t>
            </w:r>
          </w:p>
        </w:tc>
        <w:tc>
          <w:tcPr>
            <w:tcW w:w="222" w:type="dxa"/>
            <w:vAlign w:val="center"/>
            <w:hideMark/>
          </w:tcPr>
          <w:p w14:paraId="7A1C0D17"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13C9A13D" w14:textId="77777777" w:rsidTr="00614438">
        <w:trPr>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267F231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30" w:type="dxa"/>
            <w:gridSpan w:val="3"/>
            <w:tcBorders>
              <w:top w:val="single" w:sz="8" w:space="0" w:color="auto"/>
              <w:left w:val="nil"/>
              <w:bottom w:val="single" w:sz="8" w:space="0" w:color="auto"/>
              <w:right w:val="single" w:sz="8" w:space="0" w:color="000000"/>
            </w:tcBorders>
            <w:vAlign w:val="center"/>
            <w:hideMark/>
          </w:tcPr>
          <w:p w14:paraId="7672D79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own funds</w:t>
            </w:r>
          </w:p>
        </w:tc>
        <w:tc>
          <w:tcPr>
            <w:tcW w:w="222" w:type="dxa"/>
            <w:vAlign w:val="center"/>
            <w:hideMark/>
          </w:tcPr>
          <w:p w14:paraId="2EC69833" w14:textId="77777777" w:rsidR="00614438" w:rsidRPr="003E0710" w:rsidRDefault="00614438" w:rsidP="003E0710">
            <w:pPr>
              <w:spacing w:after="0"/>
              <w:jc w:val="both"/>
              <w:rPr>
                <w:rFonts w:ascii="Times New Roman" w:hAnsi="Times New Roman" w:cs="Times New Roman"/>
                <w:sz w:val="20"/>
                <w:szCs w:val="20"/>
                <w:lang w:val="en-GB"/>
              </w:rPr>
            </w:pPr>
          </w:p>
        </w:tc>
      </w:tr>
    </w:tbl>
    <w:p w14:paraId="393B6A4A"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25"/>
        <w:gridCol w:w="950"/>
        <w:gridCol w:w="945"/>
        <w:gridCol w:w="4238"/>
        <w:gridCol w:w="222"/>
      </w:tblGrid>
      <w:tr w:rsidR="00614438" w:rsidRPr="003E0710" w14:paraId="10AC8BDF" w14:textId="77777777" w:rsidTr="00614438">
        <w:trPr>
          <w:gridAfter w:val="1"/>
          <w:wAfter w:w="222" w:type="dxa"/>
          <w:trHeight w:val="780"/>
        </w:trPr>
        <w:tc>
          <w:tcPr>
            <w:tcW w:w="3328"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7697D8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44" w:type="dxa"/>
            <w:tcBorders>
              <w:top w:val="single" w:sz="8" w:space="0" w:color="auto"/>
              <w:left w:val="nil"/>
              <w:bottom w:val="single" w:sz="8" w:space="0" w:color="auto"/>
              <w:right w:val="single" w:sz="8" w:space="0" w:color="auto"/>
            </w:tcBorders>
            <w:shd w:val="clear" w:color="auto" w:fill="E7E6E6" w:themeFill="background2"/>
            <w:vAlign w:val="center"/>
            <w:hideMark/>
          </w:tcPr>
          <w:p w14:paraId="6500E24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PM_D38</w:t>
            </w:r>
          </w:p>
        </w:tc>
        <w:tc>
          <w:tcPr>
            <w:tcW w:w="945" w:type="dxa"/>
            <w:tcBorders>
              <w:top w:val="single" w:sz="8" w:space="0" w:color="auto"/>
              <w:left w:val="nil"/>
              <w:bottom w:val="single" w:sz="8" w:space="0" w:color="auto"/>
              <w:right w:val="single" w:sz="8" w:space="0" w:color="auto"/>
            </w:tcBorders>
            <w:shd w:val="clear" w:color="auto" w:fill="244062"/>
            <w:vAlign w:val="center"/>
            <w:hideMark/>
          </w:tcPr>
          <w:p w14:paraId="6DF4C56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41" w:type="dxa"/>
            <w:tcBorders>
              <w:top w:val="single" w:sz="8" w:space="0" w:color="auto"/>
              <w:left w:val="nil"/>
              <w:bottom w:val="single" w:sz="8" w:space="0" w:color="auto"/>
              <w:right w:val="single" w:sz="8" w:space="0" w:color="auto"/>
            </w:tcBorders>
            <w:shd w:val="clear" w:color="auto" w:fill="E7E6E6" w:themeFill="background2"/>
            <w:vAlign w:val="center"/>
            <w:hideMark/>
          </w:tcPr>
          <w:p w14:paraId="62451E6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Supporting demonstration projects for the promotion of biomethane and renewable hydrogen</w:t>
            </w:r>
          </w:p>
        </w:tc>
      </w:tr>
      <w:tr w:rsidR="00614438" w:rsidRPr="003E0710" w14:paraId="264EF283" w14:textId="77777777" w:rsidTr="00614438">
        <w:trPr>
          <w:gridAfter w:val="1"/>
          <w:wAfter w:w="222" w:type="dxa"/>
          <w:trHeight w:val="287"/>
        </w:trPr>
        <w:tc>
          <w:tcPr>
            <w:tcW w:w="3328" w:type="dxa"/>
            <w:tcBorders>
              <w:top w:val="nil"/>
              <w:left w:val="single" w:sz="8" w:space="0" w:color="auto"/>
              <w:bottom w:val="single" w:sz="8" w:space="0" w:color="auto"/>
              <w:right w:val="nil"/>
            </w:tcBorders>
            <w:shd w:val="clear" w:color="auto" w:fill="244062"/>
            <w:vAlign w:val="center"/>
            <w:hideMark/>
          </w:tcPr>
          <w:p w14:paraId="467EA8C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30" w:type="dxa"/>
            <w:gridSpan w:val="3"/>
            <w:tcBorders>
              <w:top w:val="single" w:sz="8" w:space="0" w:color="auto"/>
              <w:left w:val="nil"/>
              <w:bottom w:val="single" w:sz="8" w:space="0" w:color="auto"/>
              <w:right w:val="single" w:sz="8" w:space="0" w:color="000000"/>
            </w:tcBorders>
            <w:vAlign w:val="center"/>
            <w:hideMark/>
          </w:tcPr>
          <w:p w14:paraId="041EA28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Increase share of RES in electricity, increase share of RES in heating and cooling and increase share of RES in transport</w:t>
            </w:r>
          </w:p>
        </w:tc>
      </w:tr>
      <w:tr w:rsidR="00614438" w:rsidRPr="003E0710" w14:paraId="1883049A"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3DBA45A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 xml:space="preserve">Quantified objective: </w:t>
            </w:r>
          </w:p>
        </w:tc>
        <w:tc>
          <w:tcPr>
            <w:tcW w:w="6130" w:type="dxa"/>
            <w:gridSpan w:val="3"/>
            <w:tcBorders>
              <w:top w:val="single" w:sz="4" w:space="0" w:color="auto"/>
              <w:left w:val="single" w:sz="4" w:space="0" w:color="auto"/>
              <w:bottom w:val="single" w:sz="4" w:space="0" w:color="000000"/>
              <w:right w:val="single" w:sz="4" w:space="0" w:color="auto"/>
            </w:tcBorders>
            <w:vAlign w:val="center"/>
            <w:hideMark/>
          </w:tcPr>
          <w:p w14:paraId="2E0F357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87 ktoe of biomethane</w:t>
            </w:r>
          </w:p>
        </w:tc>
      </w:tr>
      <w:tr w:rsidR="00614438" w:rsidRPr="003E0710" w14:paraId="5ACDD395" w14:textId="77777777" w:rsidTr="00614438">
        <w:trPr>
          <w:gridAfter w:val="1"/>
          <w:wAfter w:w="222" w:type="dxa"/>
          <w:trHeight w:val="1203"/>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755450C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30" w:type="dxa"/>
            <w:gridSpan w:val="3"/>
            <w:tcBorders>
              <w:top w:val="single" w:sz="4" w:space="0" w:color="auto"/>
              <w:left w:val="single" w:sz="4" w:space="0" w:color="auto"/>
              <w:bottom w:val="single" w:sz="4" w:space="0" w:color="000000"/>
              <w:right w:val="single" w:sz="4" w:space="0" w:color="auto"/>
            </w:tcBorders>
            <w:vAlign w:val="center"/>
            <w:hideMark/>
          </w:tcPr>
          <w:p w14:paraId="3EABAB0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PM_D38 will finance the design and implementation of demonstration projects for the production and utilization of biomethane and renewable hydrogen so as to be consumed in all end-use sectors contributing to the meaningful reduction of their production cost and improving their technical feasibility in regard to Hydrogen and biomethane transportation with the existing natural gas network. </w:t>
            </w:r>
          </w:p>
        </w:tc>
      </w:tr>
      <w:tr w:rsidR="00614438" w:rsidRPr="003E0710" w14:paraId="44871487"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253AEE5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30" w:type="dxa"/>
            <w:gridSpan w:val="3"/>
            <w:tcBorders>
              <w:top w:val="single" w:sz="8" w:space="0" w:color="auto"/>
              <w:left w:val="nil"/>
              <w:bottom w:val="single" w:sz="8" w:space="0" w:color="auto"/>
              <w:right w:val="single" w:sz="8" w:space="0" w:color="000000"/>
            </w:tcBorders>
            <w:vAlign w:val="center"/>
            <w:hideMark/>
          </w:tcPr>
          <w:p w14:paraId="60D773E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2025-2030</w:t>
            </w:r>
          </w:p>
        </w:tc>
      </w:tr>
      <w:tr w:rsidR="00614438" w:rsidRPr="003E0710" w14:paraId="2133D7E2"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0D2B592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30" w:type="dxa"/>
            <w:gridSpan w:val="3"/>
            <w:tcBorders>
              <w:top w:val="single" w:sz="8" w:space="0" w:color="auto"/>
              <w:left w:val="nil"/>
              <w:bottom w:val="single" w:sz="8" w:space="0" w:color="auto"/>
              <w:right w:val="single" w:sz="8" w:space="0" w:color="000000"/>
            </w:tcBorders>
            <w:vAlign w:val="center"/>
            <w:hideMark/>
          </w:tcPr>
          <w:p w14:paraId="5309274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w:t>
            </w:r>
          </w:p>
        </w:tc>
      </w:tr>
      <w:tr w:rsidR="00614438" w:rsidRPr="003E0710" w14:paraId="50F841DB"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5CEDC8D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30" w:type="dxa"/>
            <w:gridSpan w:val="3"/>
            <w:tcBorders>
              <w:top w:val="single" w:sz="8" w:space="0" w:color="auto"/>
              <w:left w:val="nil"/>
              <w:bottom w:val="single" w:sz="8" w:space="0" w:color="auto"/>
              <w:right w:val="single" w:sz="8" w:space="0" w:color="000000"/>
            </w:tcBorders>
            <w:vAlign w:val="center"/>
            <w:hideMark/>
          </w:tcPr>
          <w:p w14:paraId="293E2AA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Electricity, Heating and cooling, Transport</w:t>
            </w:r>
          </w:p>
        </w:tc>
      </w:tr>
      <w:tr w:rsidR="00614438" w:rsidRPr="003E0710" w14:paraId="6F51F1BF"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5F0356E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30" w:type="dxa"/>
            <w:gridSpan w:val="3"/>
            <w:tcBorders>
              <w:top w:val="single" w:sz="8" w:space="0" w:color="auto"/>
              <w:left w:val="nil"/>
              <w:bottom w:val="single" w:sz="8" w:space="0" w:color="auto"/>
              <w:right w:val="single" w:sz="8" w:space="0" w:color="000000"/>
            </w:tcBorders>
            <w:vAlign w:val="center"/>
            <w:hideMark/>
          </w:tcPr>
          <w:p w14:paraId="1E2AE9A4"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Mining and Energy</w:t>
            </w:r>
          </w:p>
        </w:tc>
      </w:tr>
      <w:tr w:rsidR="00614438" w:rsidRPr="003E0710" w14:paraId="35695707" w14:textId="77777777" w:rsidTr="00614438">
        <w:trPr>
          <w:gridAfter w:val="1"/>
          <w:wAfter w:w="222" w:type="dxa"/>
          <w:trHeight w:val="315"/>
        </w:trPr>
        <w:tc>
          <w:tcPr>
            <w:tcW w:w="3328" w:type="dxa"/>
            <w:tcBorders>
              <w:top w:val="nil"/>
              <w:left w:val="single" w:sz="8" w:space="0" w:color="auto"/>
              <w:bottom w:val="single" w:sz="8" w:space="0" w:color="auto"/>
              <w:right w:val="nil"/>
            </w:tcBorders>
            <w:shd w:val="clear" w:color="auto" w:fill="244062"/>
            <w:vAlign w:val="center"/>
            <w:hideMark/>
          </w:tcPr>
          <w:p w14:paraId="35B41CE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30" w:type="dxa"/>
            <w:gridSpan w:val="3"/>
            <w:tcBorders>
              <w:top w:val="single" w:sz="8" w:space="0" w:color="auto"/>
              <w:left w:val="nil"/>
              <w:bottom w:val="single" w:sz="8" w:space="0" w:color="auto"/>
              <w:right w:val="single" w:sz="8" w:space="0" w:color="000000"/>
            </w:tcBorders>
            <w:vAlign w:val="center"/>
            <w:hideMark/>
          </w:tcPr>
          <w:p w14:paraId="59C6A9B4"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 </w:t>
            </w:r>
          </w:p>
        </w:tc>
      </w:tr>
      <w:tr w:rsidR="00614438" w:rsidRPr="003E0710" w14:paraId="7D4F3016" w14:textId="77777777" w:rsidTr="00614438">
        <w:trPr>
          <w:gridAfter w:val="1"/>
          <w:wAfter w:w="222" w:type="dxa"/>
          <w:trHeight w:val="315"/>
        </w:trPr>
        <w:tc>
          <w:tcPr>
            <w:tcW w:w="3328" w:type="dxa"/>
            <w:tcBorders>
              <w:top w:val="nil"/>
              <w:left w:val="single" w:sz="8" w:space="0" w:color="auto"/>
              <w:bottom w:val="single" w:sz="8" w:space="0" w:color="auto"/>
              <w:right w:val="nil"/>
            </w:tcBorders>
            <w:shd w:val="clear" w:color="auto" w:fill="244062"/>
            <w:vAlign w:val="center"/>
            <w:hideMark/>
          </w:tcPr>
          <w:p w14:paraId="253C6BF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30" w:type="dxa"/>
            <w:gridSpan w:val="3"/>
            <w:tcBorders>
              <w:top w:val="single" w:sz="8" w:space="0" w:color="auto"/>
              <w:left w:val="nil"/>
              <w:bottom w:val="single" w:sz="8" w:space="0" w:color="auto"/>
              <w:right w:val="single" w:sz="8" w:space="0" w:color="000000"/>
            </w:tcBorders>
            <w:vAlign w:val="center"/>
            <w:hideMark/>
          </w:tcPr>
          <w:p w14:paraId="1A064343"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Consumed biomethane and renewable hydrogen </w:t>
            </w:r>
          </w:p>
        </w:tc>
      </w:tr>
      <w:tr w:rsidR="00614438" w:rsidRPr="003E0710" w14:paraId="35C6B53B" w14:textId="77777777" w:rsidTr="00614438">
        <w:trPr>
          <w:gridAfter w:val="1"/>
          <w:wAfter w:w="222" w:type="dxa"/>
          <w:trHeight w:val="261"/>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61F4B88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30" w:type="dxa"/>
            <w:gridSpan w:val="3"/>
            <w:tcBorders>
              <w:top w:val="single" w:sz="8" w:space="0" w:color="auto"/>
              <w:left w:val="nil"/>
              <w:bottom w:val="single" w:sz="8" w:space="0" w:color="auto"/>
              <w:right w:val="single" w:sz="8" w:space="0" w:color="000000"/>
            </w:tcBorders>
            <w:vAlign w:val="center"/>
            <w:hideMark/>
          </w:tcPr>
          <w:p w14:paraId="0457C254"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security (the penetration of RES fuels will reduce the energy import dependency from third countries and increase the deployment of domestic energy sources)</w:t>
            </w:r>
          </w:p>
        </w:tc>
      </w:tr>
      <w:tr w:rsidR="00614438" w:rsidRPr="003E0710" w14:paraId="14CDC79E" w14:textId="77777777" w:rsidTr="00614438">
        <w:trPr>
          <w:gridAfter w:val="1"/>
          <w:wAfter w:w="222" w:type="dxa"/>
          <w:trHeight w:val="458"/>
        </w:trPr>
        <w:tc>
          <w:tcPr>
            <w:tcW w:w="3328" w:type="dxa"/>
            <w:vMerge w:val="restart"/>
            <w:tcBorders>
              <w:top w:val="nil"/>
              <w:left w:val="single" w:sz="8" w:space="0" w:color="auto"/>
              <w:bottom w:val="single" w:sz="8" w:space="0" w:color="000000"/>
              <w:right w:val="single" w:sz="8" w:space="0" w:color="auto"/>
            </w:tcBorders>
            <w:shd w:val="clear" w:color="auto" w:fill="244062"/>
            <w:vAlign w:val="center"/>
            <w:hideMark/>
          </w:tcPr>
          <w:p w14:paraId="2323726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3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21E978D8"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03A99165"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356FC760"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C407296"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6F78AD9F"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20E89DC4" w14:textId="77777777" w:rsidTr="00614438">
        <w:trPr>
          <w:trHeight w:val="54"/>
        </w:trPr>
        <w:tc>
          <w:tcPr>
            <w:tcW w:w="0" w:type="auto"/>
            <w:vMerge/>
            <w:tcBorders>
              <w:top w:val="nil"/>
              <w:left w:val="single" w:sz="8" w:space="0" w:color="auto"/>
              <w:bottom w:val="single" w:sz="8" w:space="0" w:color="000000"/>
              <w:right w:val="single" w:sz="8" w:space="0" w:color="auto"/>
            </w:tcBorders>
            <w:vAlign w:val="center"/>
            <w:hideMark/>
          </w:tcPr>
          <w:p w14:paraId="1B3B8112"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4D35DEA"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4BC6B3B2"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36154B2A" w14:textId="77777777" w:rsidTr="00614438">
        <w:trPr>
          <w:trHeight w:val="54"/>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16F9237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30" w:type="dxa"/>
            <w:gridSpan w:val="3"/>
            <w:tcBorders>
              <w:top w:val="single" w:sz="8" w:space="0" w:color="auto"/>
              <w:left w:val="nil"/>
              <w:bottom w:val="single" w:sz="8" w:space="0" w:color="auto"/>
              <w:right w:val="single" w:sz="8" w:space="0" w:color="000000"/>
            </w:tcBorders>
            <w:vAlign w:val="center"/>
            <w:hideMark/>
          </w:tcPr>
          <w:p w14:paraId="6ED2A66E"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vAlign w:val="center"/>
            <w:hideMark/>
          </w:tcPr>
          <w:p w14:paraId="2247C31F"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55E93C0D" w14:textId="77777777" w:rsidTr="00614438">
        <w:trPr>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69F147F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30" w:type="dxa"/>
            <w:gridSpan w:val="3"/>
            <w:tcBorders>
              <w:top w:val="single" w:sz="8" w:space="0" w:color="auto"/>
              <w:left w:val="nil"/>
              <w:bottom w:val="single" w:sz="8" w:space="0" w:color="auto"/>
              <w:right w:val="single" w:sz="8" w:space="0" w:color="000000"/>
            </w:tcBorders>
            <w:vAlign w:val="center"/>
            <w:hideMark/>
          </w:tcPr>
          <w:p w14:paraId="6863F54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35 M€</w:t>
            </w:r>
          </w:p>
        </w:tc>
        <w:tc>
          <w:tcPr>
            <w:tcW w:w="222" w:type="dxa"/>
            <w:vAlign w:val="center"/>
            <w:hideMark/>
          </w:tcPr>
          <w:p w14:paraId="5DC47C81"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222DAC2A" w14:textId="77777777" w:rsidTr="00614438">
        <w:trPr>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6FB19AB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30" w:type="dxa"/>
            <w:gridSpan w:val="3"/>
            <w:tcBorders>
              <w:top w:val="single" w:sz="8" w:space="0" w:color="auto"/>
              <w:left w:val="nil"/>
              <w:bottom w:val="single" w:sz="8" w:space="0" w:color="auto"/>
              <w:right w:val="single" w:sz="8" w:space="0" w:color="000000"/>
            </w:tcBorders>
            <w:vAlign w:val="center"/>
            <w:hideMark/>
          </w:tcPr>
          <w:p w14:paraId="0B89FA3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 and own funds</w:t>
            </w:r>
          </w:p>
        </w:tc>
        <w:tc>
          <w:tcPr>
            <w:tcW w:w="222" w:type="dxa"/>
            <w:vAlign w:val="center"/>
            <w:hideMark/>
          </w:tcPr>
          <w:p w14:paraId="4751A4D7" w14:textId="77777777" w:rsidR="00614438" w:rsidRPr="003E0710" w:rsidRDefault="00614438" w:rsidP="003E0710">
            <w:pPr>
              <w:spacing w:after="0"/>
              <w:jc w:val="both"/>
              <w:rPr>
                <w:rFonts w:ascii="Times New Roman" w:hAnsi="Times New Roman" w:cs="Times New Roman"/>
                <w:sz w:val="20"/>
                <w:szCs w:val="20"/>
                <w:lang w:val="en-GB"/>
              </w:rPr>
            </w:pPr>
          </w:p>
        </w:tc>
      </w:tr>
    </w:tbl>
    <w:p w14:paraId="4D329BDA"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25"/>
        <w:gridCol w:w="950"/>
        <w:gridCol w:w="946"/>
        <w:gridCol w:w="4237"/>
        <w:gridCol w:w="222"/>
      </w:tblGrid>
      <w:tr w:rsidR="00614438" w:rsidRPr="003E0710" w14:paraId="0F9129C7" w14:textId="77777777" w:rsidTr="00614438">
        <w:trPr>
          <w:gridAfter w:val="1"/>
          <w:wAfter w:w="222" w:type="dxa"/>
          <w:trHeight w:val="780"/>
        </w:trPr>
        <w:tc>
          <w:tcPr>
            <w:tcW w:w="332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991D6C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5AEA8A2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PM_D39</w:t>
            </w:r>
          </w:p>
        </w:tc>
        <w:tc>
          <w:tcPr>
            <w:tcW w:w="946" w:type="dxa"/>
            <w:tcBorders>
              <w:top w:val="single" w:sz="8" w:space="0" w:color="auto"/>
              <w:left w:val="nil"/>
              <w:bottom w:val="single" w:sz="8" w:space="0" w:color="auto"/>
              <w:right w:val="single" w:sz="8" w:space="0" w:color="auto"/>
            </w:tcBorders>
            <w:shd w:val="clear" w:color="auto" w:fill="244062"/>
            <w:vAlign w:val="center"/>
            <w:hideMark/>
          </w:tcPr>
          <w:p w14:paraId="72C2FAE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40" w:type="dxa"/>
            <w:tcBorders>
              <w:top w:val="single" w:sz="8" w:space="0" w:color="auto"/>
              <w:left w:val="nil"/>
              <w:bottom w:val="single" w:sz="8" w:space="0" w:color="auto"/>
              <w:right w:val="single" w:sz="8" w:space="0" w:color="auto"/>
            </w:tcBorders>
            <w:shd w:val="clear" w:color="auto" w:fill="E7E6E6" w:themeFill="background2"/>
            <w:vAlign w:val="center"/>
            <w:hideMark/>
          </w:tcPr>
          <w:p w14:paraId="3D1FFF4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Development of the required legislative framework and the required infrastructure for the deployment of biomethane and renewable hydrogen</w:t>
            </w:r>
          </w:p>
        </w:tc>
      </w:tr>
      <w:tr w:rsidR="00614438" w:rsidRPr="003E0710" w14:paraId="1565A781" w14:textId="77777777" w:rsidTr="00614438">
        <w:trPr>
          <w:gridAfter w:val="1"/>
          <w:wAfter w:w="222" w:type="dxa"/>
          <w:trHeight w:val="305"/>
        </w:trPr>
        <w:tc>
          <w:tcPr>
            <w:tcW w:w="3327" w:type="dxa"/>
            <w:tcBorders>
              <w:top w:val="nil"/>
              <w:left w:val="single" w:sz="8" w:space="0" w:color="auto"/>
              <w:bottom w:val="single" w:sz="8" w:space="0" w:color="auto"/>
              <w:right w:val="nil"/>
            </w:tcBorders>
            <w:shd w:val="clear" w:color="auto" w:fill="244062"/>
            <w:vAlign w:val="center"/>
            <w:hideMark/>
          </w:tcPr>
          <w:p w14:paraId="4EFC68B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31" w:type="dxa"/>
            <w:gridSpan w:val="3"/>
            <w:tcBorders>
              <w:top w:val="single" w:sz="8" w:space="0" w:color="auto"/>
              <w:left w:val="nil"/>
              <w:bottom w:val="single" w:sz="8" w:space="0" w:color="auto"/>
              <w:right w:val="single" w:sz="8" w:space="0" w:color="000000"/>
            </w:tcBorders>
            <w:vAlign w:val="center"/>
            <w:hideMark/>
          </w:tcPr>
          <w:p w14:paraId="444B3CB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Increase share of RES in electricity, increase share of RES in heating and cooling and increase share of RES in transport</w:t>
            </w:r>
          </w:p>
        </w:tc>
      </w:tr>
      <w:tr w:rsidR="00614438" w:rsidRPr="003E0710" w14:paraId="4F906AE9"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77D7C3F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31" w:type="dxa"/>
            <w:gridSpan w:val="3"/>
            <w:tcBorders>
              <w:top w:val="single" w:sz="4" w:space="0" w:color="auto"/>
              <w:left w:val="single" w:sz="4" w:space="0" w:color="auto"/>
              <w:bottom w:val="single" w:sz="4" w:space="0" w:color="000000"/>
              <w:right w:val="single" w:sz="4" w:space="0" w:color="auto"/>
            </w:tcBorders>
            <w:vAlign w:val="center"/>
            <w:hideMark/>
          </w:tcPr>
          <w:p w14:paraId="2B86059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Contribution to the quantified objective of PM_D38</w:t>
            </w:r>
          </w:p>
        </w:tc>
      </w:tr>
      <w:tr w:rsidR="00614438" w:rsidRPr="003E0710" w14:paraId="14FFD013" w14:textId="77777777" w:rsidTr="00614438">
        <w:trPr>
          <w:gridAfter w:val="1"/>
          <w:wAfter w:w="222" w:type="dxa"/>
          <w:trHeight w:val="910"/>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7262415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31" w:type="dxa"/>
            <w:gridSpan w:val="3"/>
            <w:tcBorders>
              <w:top w:val="single" w:sz="8" w:space="0" w:color="auto"/>
              <w:left w:val="nil"/>
              <w:bottom w:val="single" w:sz="8" w:space="0" w:color="auto"/>
              <w:right w:val="single" w:sz="8" w:space="0" w:color="000000"/>
            </w:tcBorders>
            <w:vAlign w:val="center"/>
            <w:hideMark/>
          </w:tcPr>
          <w:p w14:paraId="3E707DA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PM_D39 will adopt the legislative framework (e.g., licensing, technical guidelines) and facilitate the deployment of the required infrastructure for allowing the use and consumption of biomethane and renewable hydrogen in the end-use sectors. Indicatively, the following aspects will be examined:</w:t>
            </w:r>
          </w:p>
          <w:p w14:paraId="7C90E5D9" w14:textId="77777777" w:rsidR="00614438" w:rsidRPr="003E0710" w:rsidRDefault="00614438" w:rsidP="003E0710">
            <w:pPr>
              <w:numPr>
                <w:ilvl w:val="0"/>
                <w:numId w:val="47"/>
              </w:numPr>
              <w:spacing w:after="0"/>
              <w:jc w:val="both"/>
              <w:rPr>
                <w:rFonts w:ascii="Times New Roman" w:hAnsi="Times New Roman" w:cs="Times New Roman"/>
                <w:sz w:val="20"/>
                <w:szCs w:val="20"/>
              </w:rPr>
            </w:pPr>
            <w:r w:rsidRPr="003E0710">
              <w:rPr>
                <w:rFonts w:ascii="Times New Roman" w:hAnsi="Times New Roman" w:cs="Times New Roman"/>
                <w:sz w:val="20"/>
                <w:szCs w:val="20"/>
              </w:rPr>
              <w:t>Identification of the most suitable business model for the further exploitation of hydrogen and biomethane.</w:t>
            </w:r>
          </w:p>
          <w:p w14:paraId="5DCEBDE6" w14:textId="77777777" w:rsidR="00614438" w:rsidRPr="003E0710" w:rsidRDefault="00614438" w:rsidP="003E0710">
            <w:pPr>
              <w:numPr>
                <w:ilvl w:val="0"/>
                <w:numId w:val="47"/>
              </w:numPr>
              <w:spacing w:after="0"/>
              <w:jc w:val="both"/>
              <w:rPr>
                <w:rFonts w:ascii="Times New Roman" w:hAnsi="Times New Roman" w:cs="Times New Roman"/>
                <w:sz w:val="20"/>
                <w:szCs w:val="20"/>
              </w:rPr>
            </w:pPr>
            <w:r w:rsidRPr="003E0710">
              <w:rPr>
                <w:rFonts w:ascii="Times New Roman" w:hAnsi="Times New Roman" w:cs="Times New Roman"/>
                <w:sz w:val="20"/>
                <w:szCs w:val="20"/>
              </w:rPr>
              <w:t>Specification of the licencing and permitting procedures of the plants for the production of renewable hydrogen and biomethane</w:t>
            </w:r>
            <w:r w:rsidR="00631DEF" w:rsidRPr="003E0710">
              <w:rPr>
                <w:rFonts w:ascii="Times New Roman" w:hAnsi="Times New Roman" w:cs="Times New Roman"/>
                <w:sz w:val="20"/>
                <w:szCs w:val="20"/>
              </w:rPr>
              <w:t>,</w:t>
            </w:r>
            <w:r w:rsidRPr="003E0710">
              <w:rPr>
                <w:rFonts w:ascii="Times New Roman" w:hAnsi="Times New Roman" w:cs="Times New Roman"/>
                <w:sz w:val="20"/>
                <w:szCs w:val="20"/>
              </w:rPr>
              <w:t xml:space="preserve"> including the provisions of the planning and construction legislative framework.</w:t>
            </w:r>
          </w:p>
          <w:p w14:paraId="5F581B5C" w14:textId="77777777" w:rsidR="00614438" w:rsidRPr="003E0710" w:rsidRDefault="00614438" w:rsidP="003E0710">
            <w:pPr>
              <w:numPr>
                <w:ilvl w:val="0"/>
                <w:numId w:val="47"/>
              </w:numPr>
              <w:spacing w:after="0"/>
              <w:jc w:val="both"/>
              <w:rPr>
                <w:rFonts w:ascii="Times New Roman" w:hAnsi="Times New Roman" w:cs="Times New Roman"/>
                <w:sz w:val="20"/>
                <w:szCs w:val="20"/>
              </w:rPr>
            </w:pPr>
            <w:r w:rsidRPr="003E0710">
              <w:rPr>
                <w:rFonts w:ascii="Times New Roman" w:hAnsi="Times New Roman" w:cs="Times New Roman"/>
                <w:sz w:val="20"/>
                <w:szCs w:val="20"/>
              </w:rPr>
              <w:t>Promotion of the sustainability and certification of the produced renewable hydrogen and biomethane.</w:t>
            </w:r>
          </w:p>
          <w:p w14:paraId="521E8D76" w14:textId="77777777" w:rsidR="00614438" w:rsidRPr="003E0710" w:rsidRDefault="00614438" w:rsidP="003E0710">
            <w:pPr>
              <w:numPr>
                <w:ilvl w:val="0"/>
                <w:numId w:val="47"/>
              </w:numPr>
              <w:spacing w:after="0"/>
              <w:jc w:val="both"/>
              <w:rPr>
                <w:rFonts w:ascii="Times New Roman" w:hAnsi="Times New Roman" w:cs="Times New Roman"/>
                <w:sz w:val="20"/>
                <w:szCs w:val="20"/>
              </w:rPr>
            </w:pPr>
            <w:r w:rsidRPr="003E0710">
              <w:rPr>
                <w:rFonts w:ascii="Times New Roman" w:hAnsi="Times New Roman" w:cs="Times New Roman"/>
                <w:sz w:val="20"/>
                <w:szCs w:val="20"/>
              </w:rPr>
              <w:t>Definition of the technical specifications for the transmission, storage and ejection of the produced renewable hydrogen and biomethane into the natural gas infrastructure.</w:t>
            </w:r>
          </w:p>
          <w:p w14:paraId="7925B710" w14:textId="77777777" w:rsidR="00614438" w:rsidRPr="003E0710" w:rsidRDefault="00614438" w:rsidP="003E0710">
            <w:pPr>
              <w:numPr>
                <w:ilvl w:val="0"/>
                <w:numId w:val="47"/>
              </w:numPr>
              <w:spacing w:after="0"/>
              <w:jc w:val="both"/>
              <w:rPr>
                <w:rFonts w:ascii="Times New Roman" w:hAnsi="Times New Roman" w:cs="Times New Roman"/>
                <w:sz w:val="20"/>
                <w:szCs w:val="20"/>
              </w:rPr>
            </w:pPr>
            <w:r w:rsidRPr="003E0710">
              <w:rPr>
                <w:rFonts w:ascii="Times New Roman" w:hAnsi="Times New Roman" w:cs="Times New Roman"/>
                <w:sz w:val="20"/>
                <w:szCs w:val="20"/>
              </w:rPr>
              <w:t>Determination of the conditions for the third-party access to natural gas infrastructure.</w:t>
            </w:r>
          </w:p>
          <w:p w14:paraId="36ECE0CA" w14:textId="77777777" w:rsidR="00614438" w:rsidRPr="003E0710" w:rsidRDefault="00614438" w:rsidP="003E0710">
            <w:pPr>
              <w:numPr>
                <w:ilvl w:val="0"/>
                <w:numId w:val="47"/>
              </w:numPr>
              <w:spacing w:after="0"/>
              <w:jc w:val="both"/>
              <w:rPr>
                <w:rFonts w:ascii="Times New Roman" w:hAnsi="Times New Roman" w:cs="Times New Roman"/>
                <w:sz w:val="20"/>
                <w:szCs w:val="20"/>
              </w:rPr>
            </w:pPr>
            <w:r w:rsidRPr="003E0710">
              <w:rPr>
                <w:rFonts w:ascii="Times New Roman" w:hAnsi="Times New Roman" w:cs="Times New Roman"/>
                <w:sz w:val="20"/>
                <w:szCs w:val="20"/>
              </w:rPr>
              <w:t>Adoption of the duties and responsibilities of the administrators of the natural gas distribution networks.</w:t>
            </w:r>
          </w:p>
          <w:p w14:paraId="38788884" w14:textId="77777777" w:rsidR="00614438" w:rsidRPr="003E0710" w:rsidRDefault="00614438" w:rsidP="003E0710">
            <w:pPr>
              <w:numPr>
                <w:ilvl w:val="0"/>
                <w:numId w:val="47"/>
              </w:numPr>
              <w:spacing w:after="0"/>
              <w:jc w:val="both"/>
              <w:rPr>
                <w:rFonts w:ascii="Times New Roman" w:hAnsi="Times New Roman" w:cs="Times New Roman"/>
                <w:sz w:val="20"/>
                <w:szCs w:val="20"/>
              </w:rPr>
            </w:pPr>
            <w:r w:rsidRPr="003E0710">
              <w:rPr>
                <w:rFonts w:ascii="Times New Roman" w:hAnsi="Times New Roman" w:cs="Times New Roman"/>
                <w:sz w:val="20"/>
                <w:szCs w:val="20"/>
              </w:rPr>
              <w:t>Exploitation of the available potential in the biological treatment plants and the organic residue of municipal waste.</w:t>
            </w:r>
          </w:p>
          <w:p w14:paraId="0319EF5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The construction of dedicated infrastructures for large-scale storage and transportation of pure hydrogen, going beyond point-to-point pipelines within industrial clusters, will be explored.</w:t>
            </w:r>
          </w:p>
        </w:tc>
      </w:tr>
      <w:tr w:rsidR="00614438" w:rsidRPr="003E0710" w14:paraId="29107979"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34DE18D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Implementation Timeframe</w:t>
            </w:r>
          </w:p>
        </w:tc>
        <w:tc>
          <w:tcPr>
            <w:tcW w:w="6131" w:type="dxa"/>
            <w:gridSpan w:val="3"/>
            <w:tcBorders>
              <w:top w:val="single" w:sz="8" w:space="0" w:color="auto"/>
              <w:left w:val="nil"/>
              <w:bottom w:val="single" w:sz="8" w:space="0" w:color="auto"/>
              <w:right w:val="single" w:sz="8" w:space="0" w:color="000000"/>
            </w:tcBorders>
            <w:vAlign w:val="center"/>
            <w:hideMark/>
          </w:tcPr>
          <w:p w14:paraId="476C83F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2025-2030</w:t>
            </w:r>
          </w:p>
        </w:tc>
      </w:tr>
      <w:tr w:rsidR="00614438" w:rsidRPr="003E0710" w14:paraId="7EDD748E"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7810D46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31" w:type="dxa"/>
            <w:gridSpan w:val="3"/>
            <w:tcBorders>
              <w:top w:val="single" w:sz="8" w:space="0" w:color="auto"/>
              <w:left w:val="nil"/>
              <w:bottom w:val="single" w:sz="8" w:space="0" w:color="auto"/>
              <w:right w:val="single" w:sz="8" w:space="0" w:color="000000"/>
            </w:tcBorders>
            <w:vAlign w:val="center"/>
            <w:hideMark/>
          </w:tcPr>
          <w:p w14:paraId="38B124C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Reform</w:t>
            </w:r>
          </w:p>
        </w:tc>
      </w:tr>
      <w:tr w:rsidR="00614438" w:rsidRPr="003E0710" w14:paraId="4075B444"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10CD729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31" w:type="dxa"/>
            <w:gridSpan w:val="3"/>
            <w:tcBorders>
              <w:top w:val="single" w:sz="8" w:space="0" w:color="auto"/>
              <w:left w:val="nil"/>
              <w:bottom w:val="single" w:sz="8" w:space="0" w:color="auto"/>
              <w:right w:val="single" w:sz="8" w:space="0" w:color="000000"/>
            </w:tcBorders>
            <w:vAlign w:val="center"/>
            <w:hideMark/>
          </w:tcPr>
          <w:p w14:paraId="34B28A7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Electricity, Heating and cooling, Transport</w:t>
            </w:r>
          </w:p>
        </w:tc>
      </w:tr>
      <w:tr w:rsidR="00614438" w:rsidRPr="003E0710" w14:paraId="1D988E3D"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7E917CC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31" w:type="dxa"/>
            <w:gridSpan w:val="3"/>
            <w:tcBorders>
              <w:top w:val="single" w:sz="8" w:space="0" w:color="auto"/>
              <w:left w:val="nil"/>
              <w:bottom w:val="single" w:sz="8" w:space="0" w:color="auto"/>
              <w:right w:val="single" w:sz="8" w:space="0" w:color="000000"/>
            </w:tcBorders>
            <w:vAlign w:val="center"/>
            <w:hideMark/>
          </w:tcPr>
          <w:p w14:paraId="2E6CC399"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Mining and Energy</w:t>
            </w:r>
          </w:p>
        </w:tc>
      </w:tr>
      <w:tr w:rsidR="00614438" w:rsidRPr="003E0710" w14:paraId="008D07EB" w14:textId="77777777" w:rsidTr="00614438">
        <w:trPr>
          <w:gridAfter w:val="1"/>
          <w:wAfter w:w="222" w:type="dxa"/>
          <w:trHeight w:val="315"/>
        </w:trPr>
        <w:tc>
          <w:tcPr>
            <w:tcW w:w="3327" w:type="dxa"/>
            <w:tcBorders>
              <w:top w:val="nil"/>
              <w:left w:val="single" w:sz="8" w:space="0" w:color="auto"/>
              <w:bottom w:val="single" w:sz="8" w:space="0" w:color="auto"/>
              <w:right w:val="nil"/>
            </w:tcBorders>
            <w:shd w:val="clear" w:color="auto" w:fill="244062"/>
            <w:vAlign w:val="center"/>
            <w:hideMark/>
          </w:tcPr>
          <w:p w14:paraId="009582D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31" w:type="dxa"/>
            <w:gridSpan w:val="3"/>
            <w:tcBorders>
              <w:top w:val="single" w:sz="8" w:space="0" w:color="auto"/>
              <w:left w:val="nil"/>
              <w:bottom w:val="single" w:sz="8" w:space="0" w:color="auto"/>
              <w:right w:val="single" w:sz="8" w:space="0" w:color="000000"/>
            </w:tcBorders>
            <w:vAlign w:val="center"/>
            <w:hideMark/>
          </w:tcPr>
          <w:p w14:paraId="02C9534B"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w:t>
            </w:r>
          </w:p>
        </w:tc>
      </w:tr>
      <w:tr w:rsidR="00614438" w:rsidRPr="003E0710" w14:paraId="30D275DC" w14:textId="77777777" w:rsidTr="00614438">
        <w:trPr>
          <w:gridAfter w:val="1"/>
          <w:wAfter w:w="222" w:type="dxa"/>
          <w:trHeight w:val="315"/>
        </w:trPr>
        <w:tc>
          <w:tcPr>
            <w:tcW w:w="3327" w:type="dxa"/>
            <w:tcBorders>
              <w:top w:val="nil"/>
              <w:left w:val="single" w:sz="8" w:space="0" w:color="auto"/>
              <w:bottom w:val="single" w:sz="8" w:space="0" w:color="auto"/>
              <w:right w:val="nil"/>
            </w:tcBorders>
            <w:shd w:val="clear" w:color="auto" w:fill="244062"/>
            <w:vAlign w:val="center"/>
            <w:hideMark/>
          </w:tcPr>
          <w:p w14:paraId="3D756CA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31" w:type="dxa"/>
            <w:gridSpan w:val="3"/>
            <w:tcBorders>
              <w:top w:val="single" w:sz="8" w:space="0" w:color="auto"/>
              <w:left w:val="nil"/>
              <w:bottom w:val="single" w:sz="8" w:space="0" w:color="auto"/>
              <w:right w:val="single" w:sz="8" w:space="0" w:color="000000"/>
            </w:tcBorders>
            <w:vAlign w:val="center"/>
            <w:hideMark/>
          </w:tcPr>
          <w:p w14:paraId="5CD6A05A"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Developed legislative and regulatory framework</w:t>
            </w:r>
          </w:p>
        </w:tc>
      </w:tr>
      <w:tr w:rsidR="00614438" w:rsidRPr="003E0710" w14:paraId="3820C274" w14:textId="77777777" w:rsidTr="00614438">
        <w:trPr>
          <w:gridAfter w:val="1"/>
          <w:wAfter w:w="222" w:type="dxa"/>
          <w:trHeight w:val="173"/>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1500589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31" w:type="dxa"/>
            <w:gridSpan w:val="3"/>
            <w:tcBorders>
              <w:top w:val="single" w:sz="8" w:space="0" w:color="auto"/>
              <w:left w:val="nil"/>
              <w:bottom w:val="single" w:sz="8" w:space="0" w:color="auto"/>
              <w:right w:val="single" w:sz="8" w:space="0" w:color="000000"/>
            </w:tcBorders>
            <w:vAlign w:val="center"/>
            <w:hideMark/>
          </w:tcPr>
          <w:p w14:paraId="49540A6D"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security (the penetration of RES technologies will reduce the energy import dependency from third countries and increase the deployment of domestic energy sources)</w:t>
            </w:r>
          </w:p>
        </w:tc>
      </w:tr>
      <w:tr w:rsidR="00614438" w:rsidRPr="003E0710" w14:paraId="5E222A3C" w14:textId="77777777" w:rsidTr="00614438">
        <w:trPr>
          <w:gridAfter w:val="1"/>
          <w:wAfter w:w="222" w:type="dxa"/>
          <w:trHeight w:val="458"/>
        </w:trPr>
        <w:tc>
          <w:tcPr>
            <w:tcW w:w="3327" w:type="dxa"/>
            <w:vMerge w:val="restart"/>
            <w:tcBorders>
              <w:top w:val="nil"/>
              <w:left w:val="single" w:sz="8" w:space="0" w:color="auto"/>
              <w:bottom w:val="single" w:sz="8" w:space="0" w:color="000000"/>
              <w:right w:val="single" w:sz="8" w:space="0" w:color="auto"/>
            </w:tcBorders>
            <w:shd w:val="clear" w:color="auto" w:fill="244062"/>
            <w:vAlign w:val="center"/>
            <w:hideMark/>
          </w:tcPr>
          <w:p w14:paraId="5BD0A13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3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DC5F3AD"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1903D2FA"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5FBB1956"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7C7D468"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382C5D4B"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3173E116" w14:textId="77777777" w:rsidTr="00614438">
        <w:trPr>
          <w:trHeight w:val="315"/>
        </w:trPr>
        <w:tc>
          <w:tcPr>
            <w:tcW w:w="0" w:type="auto"/>
            <w:vMerge/>
            <w:tcBorders>
              <w:top w:val="nil"/>
              <w:left w:val="single" w:sz="8" w:space="0" w:color="auto"/>
              <w:bottom w:val="single" w:sz="8" w:space="0" w:color="000000"/>
              <w:right w:val="single" w:sz="8" w:space="0" w:color="auto"/>
            </w:tcBorders>
            <w:vAlign w:val="center"/>
            <w:hideMark/>
          </w:tcPr>
          <w:p w14:paraId="42C1744C"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2975949"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5348F88B"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58B22BA4" w14:textId="77777777" w:rsidTr="00614438">
        <w:trPr>
          <w:trHeight w:val="14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458ED4B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31" w:type="dxa"/>
            <w:gridSpan w:val="3"/>
            <w:tcBorders>
              <w:top w:val="single" w:sz="8" w:space="0" w:color="auto"/>
              <w:left w:val="nil"/>
              <w:bottom w:val="single" w:sz="8" w:space="0" w:color="auto"/>
              <w:right w:val="single" w:sz="8" w:space="0" w:color="000000"/>
            </w:tcBorders>
            <w:vAlign w:val="center"/>
            <w:hideMark/>
          </w:tcPr>
          <w:p w14:paraId="13846F5E" w14:textId="77777777" w:rsidR="00614438" w:rsidRPr="003E0710" w:rsidRDefault="00614438" w:rsidP="003E0710">
            <w:pPr>
              <w:numPr>
                <w:ilvl w:val="0"/>
                <w:numId w:val="46"/>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Planning and Construction</w:t>
            </w:r>
          </w:p>
        </w:tc>
        <w:tc>
          <w:tcPr>
            <w:tcW w:w="222" w:type="dxa"/>
            <w:vAlign w:val="center"/>
            <w:hideMark/>
          </w:tcPr>
          <w:p w14:paraId="5AB123AB"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0EA58657" w14:textId="77777777" w:rsidTr="00614438">
        <w:trPr>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4641083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31" w:type="dxa"/>
            <w:gridSpan w:val="3"/>
            <w:tcBorders>
              <w:top w:val="single" w:sz="8" w:space="0" w:color="auto"/>
              <w:left w:val="nil"/>
              <w:bottom w:val="single" w:sz="8" w:space="0" w:color="auto"/>
              <w:right w:val="single" w:sz="8" w:space="0" w:color="000000"/>
            </w:tcBorders>
            <w:vAlign w:val="center"/>
            <w:hideMark/>
          </w:tcPr>
          <w:p w14:paraId="47E53DC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0.8 M€</w:t>
            </w:r>
          </w:p>
        </w:tc>
        <w:tc>
          <w:tcPr>
            <w:tcW w:w="222" w:type="dxa"/>
            <w:vAlign w:val="center"/>
            <w:hideMark/>
          </w:tcPr>
          <w:p w14:paraId="40802202"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1D33234F" w14:textId="77777777" w:rsidTr="00614438">
        <w:trPr>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7F1F626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31" w:type="dxa"/>
            <w:gridSpan w:val="3"/>
            <w:tcBorders>
              <w:top w:val="single" w:sz="8" w:space="0" w:color="auto"/>
              <w:left w:val="nil"/>
              <w:bottom w:val="single" w:sz="8" w:space="0" w:color="auto"/>
              <w:right w:val="single" w:sz="8" w:space="0" w:color="000000"/>
            </w:tcBorders>
            <w:vAlign w:val="center"/>
            <w:hideMark/>
          </w:tcPr>
          <w:p w14:paraId="720E654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2D512632" w14:textId="77777777" w:rsidR="00614438" w:rsidRPr="003E0710" w:rsidRDefault="00614438" w:rsidP="003E0710">
            <w:pPr>
              <w:spacing w:after="0"/>
              <w:jc w:val="both"/>
              <w:rPr>
                <w:rFonts w:ascii="Times New Roman" w:hAnsi="Times New Roman" w:cs="Times New Roman"/>
                <w:sz w:val="20"/>
                <w:szCs w:val="20"/>
                <w:lang w:val="en-GB"/>
              </w:rPr>
            </w:pPr>
          </w:p>
        </w:tc>
      </w:tr>
    </w:tbl>
    <w:p w14:paraId="4DDE4AB1"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25"/>
        <w:gridCol w:w="950"/>
        <w:gridCol w:w="946"/>
        <w:gridCol w:w="4237"/>
        <w:gridCol w:w="222"/>
      </w:tblGrid>
      <w:tr w:rsidR="00614438" w:rsidRPr="003E0710" w14:paraId="504C88EF" w14:textId="77777777" w:rsidTr="00614438">
        <w:trPr>
          <w:gridAfter w:val="1"/>
          <w:wAfter w:w="222" w:type="dxa"/>
          <w:trHeight w:val="780"/>
        </w:trPr>
        <w:tc>
          <w:tcPr>
            <w:tcW w:w="332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63E43C9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44" w:type="dxa"/>
            <w:tcBorders>
              <w:top w:val="single" w:sz="8" w:space="0" w:color="auto"/>
              <w:left w:val="nil"/>
              <w:bottom w:val="single" w:sz="8" w:space="0" w:color="auto"/>
              <w:right w:val="single" w:sz="8" w:space="0" w:color="auto"/>
            </w:tcBorders>
            <w:shd w:val="clear" w:color="auto" w:fill="E7E6E6" w:themeFill="background2"/>
            <w:vAlign w:val="center"/>
            <w:hideMark/>
          </w:tcPr>
          <w:p w14:paraId="45F57A5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PM_D43</w:t>
            </w:r>
          </w:p>
        </w:tc>
        <w:tc>
          <w:tcPr>
            <w:tcW w:w="946" w:type="dxa"/>
            <w:tcBorders>
              <w:top w:val="single" w:sz="8" w:space="0" w:color="auto"/>
              <w:left w:val="nil"/>
              <w:bottom w:val="single" w:sz="8" w:space="0" w:color="auto"/>
              <w:right w:val="single" w:sz="8" w:space="0" w:color="auto"/>
            </w:tcBorders>
            <w:shd w:val="clear" w:color="auto" w:fill="244062"/>
            <w:vAlign w:val="center"/>
            <w:hideMark/>
          </w:tcPr>
          <w:p w14:paraId="7562733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41" w:type="dxa"/>
            <w:tcBorders>
              <w:top w:val="single" w:sz="8" w:space="0" w:color="auto"/>
              <w:left w:val="nil"/>
              <w:bottom w:val="single" w:sz="8" w:space="0" w:color="auto"/>
              <w:right w:val="single" w:sz="8" w:space="0" w:color="auto"/>
            </w:tcBorders>
            <w:shd w:val="clear" w:color="auto" w:fill="E7E6E6" w:themeFill="background2"/>
            <w:vAlign w:val="center"/>
            <w:hideMark/>
          </w:tcPr>
          <w:p w14:paraId="5CEB774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Promotion of RES through public procurement procedures</w:t>
            </w:r>
          </w:p>
        </w:tc>
      </w:tr>
      <w:tr w:rsidR="00614438" w:rsidRPr="003E0710" w14:paraId="26235A75" w14:textId="77777777" w:rsidTr="00614438">
        <w:trPr>
          <w:gridAfter w:val="1"/>
          <w:wAfter w:w="222" w:type="dxa"/>
          <w:trHeight w:val="327"/>
        </w:trPr>
        <w:tc>
          <w:tcPr>
            <w:tcW w:w="3327" w:type="dxa"/>
            <w:tcBorders>
              <w:top w:val="nil"/>
              <w:left w:val="single" w:sz="8" w:space="0" w:color="auto"/>
              <w:bottom w:val="single" w:sz="8" w:space="0" w:color="auto"/>
              <w:right w:val="nil"/>
            </w:tcBorders>
            <w:shd w:val="clear" w:color="auto" w:fill="244062"/>
            <w:vAlign w:val="center"/>
            <w:hideMark/>
          </w:tcPr>
          <w:p w14:paraId="232E090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31" w:type="dxa"/>
            <w:gridSpan w:val="3"/>
            <w:tcBorders>
              <w:top w:val="single" w:sz="8" w:space="0" w:color="auto"/>
              <w:left w:val="nil"/>
              <w:bottom w:val="single" w:sz="8" w:space="0" w:color="auto"/>
              <w:right w:val="single" w:sz="8" w:space="0" w:color="000000"/>
            </w:tcBorders>
            <w:vAlign w:val="center"/>
            <w:hideMark/>
          </w:tcPr>
          <w:p w14:paraId="381C061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Increase share of RES in electricity, increase share of RES in heating and cooling and increase share of RES in transport</w:t>
            </w:r>
          </w:p>
        </w:tc>
      </w:tr>
      <w:tr w:rsidR="00614438" w:rsidRPr="003E0710" w14:paraId="22BC5D75"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3551FEC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31" w:type="dxa"/>
            <w:gridSpan w:val="3"/>
            <w:tcBorders>
              <w:top w:val="single" w:sz="8" w:space="0" w:color="auto"/>
              <w:left w:val="nil"/>
              <w:bottom w:val="single" w:sz="8" w:space="0" w:color="auto"/>
              <w:right w:val="single" w:sz="8" w:space="0" w:color="000000"/>
            </w:tcBorders>
            <w:vAlign w:val="center"/>
            <w:hideMark/>
          </w:tcPr>
          <w:p w14:paraId="25A76AE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Contribution to the expected RES penetration for electricity production, heating and cooling and transport</w:t>
            </w:r>
          </w:p>
        </w:tc>
      </w:tr>
      <w:tr w:rsidR="00614438" w:rsidRPr="003E0710" w14:paraId="3A0E256B" w14:textId="77777777" w:rsidTr="00614438">
        <w:trPr>
          <w:gridAfter w:val="1"/>
          <w:wAfter w:w="222" w:type="dxa"/>
          <w:trHeight w:val="1267"/>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2F5A26E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31" w:type="dxa"/>
            <w:gridSpan w:val="3"/>
            <w:tcBorders>
              <w:top w:val="single" w:sz="8" w:space="0" w:color="auto"/>
              <w:left w:val="nil"/>
              <w:bottom w:val="single" w:sz="8" w:space="0" w:color="auto"/>
              <w:right w:val="single" w:sz="8" w:space="0" w:color="000000"/>
            </w:tcBorders>
            <w:vAlign w:val="center"/>
            <w:hideMark/>
          </w:tcPr>
          <w:p w14:paraId="3094084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PM_D43 will facilitate the further deployment of renewable energy sources through the existing public procurement procedures demonstrating simultaneously the </w:t>
            </w:r>
            <w:r w:rsidR="00631DEF" w:rsidRPr="003E0710">
              <w:rPr>
                <w:rFonts w:ascii="Times New Roman" w:hAnsi="Times New Roman" w:cs="Times New Roman"/>
                <w:sz w:val="20"/>
                <w:szCs w:val="20"/>
                <w:lang w:val="en-GB"/>
              </w:rPr>
              <w:t>leader</w:t>
            </w:r>
            <w:r w:rsidRPr="003E0710">
              <w:rPr>
                <w:rFonts w:ascii="Times New Roman" w:hAnsi="Times New Roman" w:cs="Times New Roman"/>
                <w:sz w:val="20"/>
                <w:szCs w:val="20"/>
                <w:lang w:val="en-GB"/>
              </w:rPr>
              <w:t xml:space="preserve"> role of the public sector. The appropriate legislative framework will be improved ensuring the promotion of renewable technologies through public procurement procedures. Furthermore, specific obligations will be imposed to public authorities in the form of mandatory quotas for the promotion of specific renewable energy technologies for all sectors of the final energy consumption.</w:t>
            </w:r>
          </w:p>
        </w:tc>
      </w:tr>
      <w:tr w:rsidR="00614438" w:rsidRPr="003E0710" w14:paraId="09E949FF"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4BBE585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31" w:type="dxa"/>
            <w:gridSpan w:val="3"/>
            <w:tcBorders>
              <w:top w:val="single" w:sz="8" w:space="0" w:color="auto"/>
              <w:left w:val="nil"/>
              <w:bottom w:val="single" w:sz="8" w:space="0" w:color="auto"/>
              <w:right w:val="single" w:sz="8" w:space="0" w:color="000000"/>
            </w:tcBorders>
            <w:vAlign w:val="center"/>
            <w:hideMark/>
          </w:tcPr>
          <w:p w14:paraId="605076C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2025-2030</w:t>
            </w:r>
          </w:p>
        </w:tc>
      </w:tr>
      <w:tr w:rsidR="00614438" w:rsidRPr="003E0710" w14:paraId="668150B2"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55C87AB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31" w:type="dxa"/>
            <w:gridSpan w:val="3"/>
            <w:tcBorders>
              <w:top w:val="single" w:sz="8" w:space="0" w:color="auto"/>
              <w:left w:val="nil"/>
              <w:bottom w:val="single" w:sz="8" w:space="0" w:color="auto"/>
              <w:right w:val="single" w:sz="8" w:space="0" w:color="000000"/>
            </w:tcBorders>
            <w:vAlign w:val="center"/>
            <w:hideMark/>
          </w:tcPr>
          <w:p w14:paraId="0719092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 and Reform</w:t>
            </w:r>
          </w:p>
        </w:tc>
      </w:tr>
      <w:tr w:rsidR="00614438" w:rsidRPr="003E0710" w14:paraId="3224A15A"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0A019E9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31" w:type="dxa"/>
            <w:gridSpan w:val="3"/>
            <w:tcBorders>
              <w:top w:val="single" w:sz="8" w:space="0" w:color="auto"/>
              <w:left w:val="nil"/>
              <w:bottom w:val="single" w:sz="8" w:space="0" w:color="auto"/>
              <w:right w:val="single" w:sz="8" w:space="0" w:color="000000"/>
            </w:tcBorders>
            <w:vAlign w:val="center"/>
            <w:hideMark/>
          </w:tcPr>
          <w:p w14:paraId="7B2E169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Electricity, Heating and cooling, Transport</w:t>
            </w:r>
          </w:p>
        </w:tc>
      </w:tr>
      <w:tr w:rsidR="00614438" w:rsidRPr="003E0710" w14:paraId="5D55EBBA"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424ECA1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31" w:type="dxa"/>
            <w:gridSpan w:val="3"/>
            <w:tcBorders>
              <w:top w:val="single" w:sz="8" w:space="0" w:color="auto"/>
              <w:left w:val="nil"/>
              <w:bottom w:val="single" w:sz="8" w:space="0" w:color="auto"/>
              <w:right w:val="single" w:sz="8" w:space="0" w:color="000000"/>
            </w:tcBorders>
            <w:vAlign w:val="center"/>
            <w:hideMark/>
          </w:tcPr>
          <w:p w14:paraId="63ABD0BC"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Finance</w:t>
            </w:r>
          </w:p>
          <w:p w14:paraId="5173AA37"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Mining and Energy</w:t>
            </w:r>
          </w:p>
        </w:tc>
      </w:tr>
      <w:tr w:rsidR="00614438" w:rsidRPr="003E0710" w14:paraId="2F5B6D2A" w14:textId="77777777" w:rsidTr="00614438">
        <w:trPr>
          <w:gridAfter w:val="1"/>
          <w:wAfter w:w="222" w:type="dxa"/>
          <w:trHeight w:val="315"/>
        </w:trPr>
        <w:tc>
          <w:tcPr>
            <w:tcW w:w="3327" w:type="dxa"/>
            <w:tcBorders>
              <w:top w:val="nil"/>
              <w:left w:val="single" w:sz="8" w:space="0" w:color="auto"/>
              <w:bottom w:val="single" w:sz="8" w:space="0" w:color="auto"/>
              <w:right w:val="nil"/>
            </w:tcBorders>
            <w:shd w:val="clear" w:color="auto" w:fill="244062"/>
            <w:vAlign w:val="center"/>
            <w:hideMark/>
          </w:tcPr>
          <w:p w14:paraId="4441200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31" w:type="dxa"/>
            <w:gridSpan w:val="3"/>
            <w:tcBorders>
              <w:top w:val="single" w:sz="8" w:space="0" w:color="auto"/>
              <w:left w:val="nil"/>
              <w:bottom w:val="single" w:sz="8" w:space="0" w:color="auto"/>
              <w:right w:val="single" w:sz="8" w:space="0" w:color="000000"/>
            </w:tcBorders>
            <w:vAlign w:val="center"/>
            <w:hideMark/>
          </w:tcPr>
          <w:p w14:paraId="117778A1"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w:t>
            </w:r>
          </w:p>
        </w:tc>
      </w:tr>
      <w:tr w:rsidR="00614438" w:rsidRPr="003E0710" w14:paraId="74A952AA" w14:textId="77777777" w:rsidTr="00614438">
        <w:trPr>
          <w:gridAfter w:val="1"/>
          <w:wAfter w:w="222" w:type="dxa"/>
          <w:trHeight w:val="315"/>
        </w:trPr>
        <w:tc>
          <w:tcPr>
            <w:tcW w:w="3327" w:type="dxa"/>
            <w:tcBorders>
              <w:top w:val="nil"/>
              <w:left w:val="single" w:sz="8" w:space="0" w:color="auto"/>
              <w:bottom w:val="single" w:sz="8" w:space="0" w:color="auto"/>
              <w:right w:val="nil"/>
            </w:tcBorders>
            <w:shd w:val="clear" w:color="auto" w:fill="244062"/>
            <w:vAlign w:val="center"/>
            <w:hideMark/>
          </w:tcPr>
          <w:p w14:paraId="6177B25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31" w:type="dxa"/>
            <w:gridSpan w:val="3"/>
            <w:tcBorders>
              <w:top w:val="single" w:sz="8" w:space="0" w:color="auto"/>
              <w:left w:val="nil"/>
              <w:bottom w:val="single" w:sz="8" w:space="0" w:color="auto"/>
              <w:right w:val="single" w:sz="8" w:space="0" w:color="000000"/>
            </w:tcBorders>
            <w:vAlign w:val="center"/>
            <w:hideMark/>
          </w:tcPr>
          <w:p w14:paraId="48014B0F"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Share of RES energy in the total amount of energy procured through the public procurement procedure</w:t>
            </w:r>
          </w:p>
        </w:tc>
      </w:tr>
      <w:tr w:rsidR="00614438" w:rsidRPr="003E0710" w14:paraId="1C827A7B" w14:textId="77777777" w:rsidTr="00614438">
        <w:trPr>
          <w:gridAfter w:val="1"/>
          <w:wAfter w:w="222" w:type="dxa"/>
          <w:trHeight w:val="259"/>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1ED54A4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31" w:type="dxa"/>
            <w:gridSpan w:val="3"/>
            <w:tcBorders>
              <w:top w:val="single" w:sz="8" w:space="0" w:color="auto"/>
              <w:left w:val="nil"/>
              <w:bottom w:val="single" w:sz="8" w:space="0" w:color="auto"/>
              <w:right w:val="single" w:sz="8" w:space="0" w:color="000000"/>
            </w:tcBorders>
            <w:vAlign w:val="center"/>
            <w:hideMark/>
          </w:tcPr>
          <w:p w14:paraId="778E7B3F"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efficiency (the promoted RES technologies will deliver also final and primary energy savings contributing to the achievement of the relevant targets)</w:t>
            </w:r>
          </w:p>
          <w:p w14:paraId="301B25B6"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security (the penetration of RES technologies will reduce the energy import dependency from third countries and increase the deployment of domestic energy sources)</w:t>
            </w:r>
          </w:p>
        </w:tc>
      </w:tr>
      <w:tr w:rsidR="00614438" w:rsidRPr="003E0710" w14:paraId="7E7A7B8D" w14:textId="77777777" w:rsidTr="00614438">
        <w:trPr>
          <w:gridAfter w:val="1"/>
          <w:wAfter w:w="222" w:type="dxa"/>
          <w:trHeight w:val="458"/>
        </w:trPr>
        <w:tc>
          <w:tcPr>
            <w:tcW w:w="3327" w:type="dxa"/>
            <w:vMerge w:val="restart"/>
            <w:tcBorders>
              <w:top w:val="nil"/>
              <w:left w:val="single" w:sz="8" w:space="0" w:color="auto"/>
              <w:bottom w:val="single" w:sz="8" w:space="0" w:color="000000"/>
              <w:right w:val="single" w:sz="8" w:space="0" w:color="auto"/>
            </w:tcBorders>
            <w:shd w:val="clear" w:color="auto" w:fill="244062"/>
            <w:vAlign w:val="center"/>
            <w:hideMark/>
          </w:tcPr>
          <w:p w14:paraId="54A17F7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Union policy which resulted in the implementation of the PaM</w:t>
            </w:r>
          </w:p>
        </w:tc>
        <w:tc>
          <w:tcPr>
            <w:tcW w:w="613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2A4270A"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2AC97177"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3BE2D705"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85FABF8"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5954F1B4"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35D51ABC" w14:textId="77777777" w:rsidTr="00614438">
        <w:trPr>
          <w:trHeight w:val="54"/>
        </w:trPr>
        <w:tc>
          <w:tcPr>
            <w:tcW w:w="0" w:type="auto"/>
            <w:vMerge/>
            <w:tcBorders>
              <w:top w:val="nil"/>
              <w:left w:val="single" w:sz="8" w:space="0" w:color="auto"/>
              <w:bottom w:val="single" w:sz="8" w:space="0" w:color="000000"/>
              <w:right w:val="single" w:sz="8" w:space="0" w:color="auto"/>
            </w:tcBorders>
            <w:vAlign w:val="center"/>
            <w:hideMark/>
          </w:tcPr>
          <w:p w14:paraId="0D12AB5D"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044CD0E"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0A7B4364"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3CDB8708" w14:textId="77777777" w:rsidTr="00614438">
        <w:trPr>
          <w:trHeight w:val="307"/>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4B6F7C1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31" w:type="dxa"/>
            <w:gridSpan w:val="3"/>
            <w:tcBorders>
              <w:top w:val="single" w:sz="8" w:space="0" w:color="auto"/>
              <w:left w:val="nil"/>
              <w:bottom w:val="single" w:sz="8" w:space="0" w:color="auto"/>
              <w:right w:val="single" w:sz="8" w:space="0" w:color="000000"/>
            </w:tcBorders>
            <w:vAlign w:val="center"/>
            <w:hideMark/>
          </w:tcPr>
          <w:p w14:paraId="0EF90189"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vAlign w:val="center"/>
            <w:hideMark/>
          </w:tcPr>
          <w:p w14:paraId="01BCA390"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65579EA2" w14:textId="77777777" w:rsidTr="00614438">
        <w:trPr>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4CD80ED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31" w:type="dxa"/>
            <w:gridSpan w:val="3"/>
            <w:tcBorders>
              <w:top w:val="single" w:sz="8" w:space="0" w:color="auto"/>
              <w:left w:val="nil"/>
              <w:bottom w:val="single" w:sz="8" w:space="0" w:color="auto"/>
              <w:right w:val="single" w:sz="8" w:space="0" w:color="000000"/>
            </w:tcBorders>
            <w:vAlign w:val="center"/>
            <w:hideMark/>
          </w:tcPr>
          <w:p w14:paraId="17BDD27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Budget incorporated into energy efficiency dimension measures (PM_EE33)</w:t>
            </w:r>
          </w:p>
        </w:tc>
        <w:tc>
          <w:tcPr>
            <w:tcW w:w="222" w:type="dxa"/>
            <w:vAlign w:val="center"/>
            <w:hideMark/>
          </w:tcPr>
          <w:p w14:paraId="683F7425"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031CDE63" w14:textId="77777777" w:rsidTr="00614438">
        <w:trPr>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6D6D9BF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31" w:type="dxa"/>
            <w:gridSpan w:val="3"/>
            <w:tcBorders>
              <w:top w:val="single" w:sz="8" w:space="0" w:color="auto"/>
              <w:left w:val="nil"/>
              <w:bottom w:val="single" w:sz="8" w:space="0" w:color="auto"/>
              <w:right w:val="single" w:sz="8" w:space="0" w:color="000000"/>
            </w:tcBorders>
            <w:vAlign w:val="center"/>
            <w:hideMark/>
          </w:tcPr>
          <w:p w14:paraId="2105613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 and own funds</w:t>
            </w:r>
          </w:p>
        </w:tc>
        <w:tc>
          <w:tcPr>
            <w:tcW w:w="222" w:type="dxa"/>
            <w:vAlign w:val="center"/>
            <w:hideMark/>
          </w:tcPr>
          <w:p w14:paraId="667073F1" w14:textId="77777777" w:rsidR="00614438" w:rsidRPr="003E0710" w:rsidRDefault="00614438" w:rsidP="003E0710">
            <w:pPr>
              <w:spacing w:after="0"/>
              <w:jc w:val="both"/>
              <w:rPr>
                <w:rFonts w:ascii="Times New Roman" w:hAnsi="Times New Roman" w:cs="Times New Roman"/>
                <w:sz w:val="20"/>
                <w:szCs w:val="20"/>
                <w:lang w:val="en-GB"/>
              </w:rPr>
            </w:pPr>
          </w:p>
        </w:tc>
      </w:tr>
    </w:tbl>
    <w:p w14:paraId="058C3CC8" w14:textId="77777777" w:rsidR="00614438" w:rsidRPr="003E0710" w:rsidRDefault="00614438" w:rsidP="003E0710">
      <w:pPr>
        <w:spacing w:after="0"/>
        <w:jc w:val="both"/>
        <w:rPr>
          <w:rFonts w:ascii="Times New Roman" w:hAnsi="Times New Roman" w:cs="Times New Roman"/>
          <w:sz w:val="20"/>
          <w:szCs w:val="20"/>
          <w:lang w:val="en-GB"/>
        </w:rPr>
      </w:pPr>
    </w:p>
    <w:p w14:paraId="70047CB4" w14:textId="77777777" w:rsidR="00614438" w:rsidRPr="00614438" w:rsidRDefault="00631DEF" w:rsidP="00631DEF">
      <w:pPr>
        <w:ind w:left="480"/>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3.1.2.2 </w:t>
      </w:r>
      <w:r w:rsidR="00614438" w:rsidRPr="00614438">
        <w:rPr>
          <w:rFonts w:ascii="Times New Roman" w:hAnsi="Times New Roman" w:cs="Times New Roman"/>
          <w:sz w:val="24"/>
          <w:szCs w:val="24"/>
          <w:lang w:val="en-GB"/>
        </w:rPr>
        <w:t>Specific measures on financial support, including EU support and the use of EU funds, for the promotion of the production and use of energy from renewable sources in electricity, heating and cooling, and transport</w:t>
      </w:r>
    </w:p>
    <w:p w14:paraId="7730F120" w14:textId="77777777" w:rsidR="00614438" w:rsidRPr="00614438" w:rsidRDefault="00614438" w:rsidP="00631DEF">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Targeted financial measures and support scheme will be launched for supporting the renewable energy for electricity, heating and cooling and transport. The key financial instruments, which will be utilised for financing the foreseen renewable energy investments, include:</w:t>
      </w:r>
    </w:p>
    <w:p w14:paraId="2B9F5156" w14:textId="77777777" w:rsidR="00614438" w:rsidRPr="00631DEF" w:rsidRDefault="00614438" w:rsidP="00485CA7">
      <w:pPr>
        <w:pStyle w:val="ListParagraph"/>
        <w:numPr>
          <w:ilvl w:val="0"/>
          <w:numId w:val="261"/>
        </w:numPr>
        <w:jc w:val="both"/>
        <w:rPr>
          <w:rFonts w:ascii="Times New Roman" w:hAnsi="Times New Roman" w:cs="Times New Roman"/>
          <w:sz w:val="24"/>
          <w:szCs w:val="24"/>
        </w:rPr>
      </w:pPr>
      <w:r w:rsidRPr="00631DEF">
        <w:rPr>
          <w:rFonts w:ascii="Times New Roman" w:hAnsi="Times New Roman" w:cs="Times New Roman"/>
          <w:sz w:val="24"/>
          <w:szCs w:val="24"/>
        </w:rPr>
        <w:t>Domestic and international financial resources</w:t>
      </w:r>
    </w:p>
    <w:p w14:paraId="1A001BB3" w14:textId="77777777" w:rsidR="00614438" w:rsidRPr="00631DEF" w:rsidRDefault="00614438" w:rsidP="00485CA7">
      <w:pPr>
        <w:pStyle w:val="ListParagraph"/>
        <w:numPr>
          <w:ilvl w:val="0"/>
          <w:numId w:val="261"/>
        </w:numPr>
        <w:jc w:val="both"/>
        <w:rPr>
          <w:rFonts w:ascii="Times New Roman" w:hAnsi="Times New Roman" w:cs="Times New Roman"/>
          <w:sz w:val="24"/>
          <w:szCs w:val="24"/>
        </w:rPr>
      </w:pPr>
      <w:r w:rsidRPr="00631DEF">
        <w:rPr>
          <w:rFonts w:ascii="Times New Roman" w:hAnsi="Times New Roman" w:cs="Times New Roman"/>
          <w:sz w:val="24"/>
          <w:szCs w:val="24"/>
        </w:rPr>
        <w:t>The Special RES Account with specific sources of financial revenues for remunerating the produced renewable energy within the framework of the designed support schemes.</w:t>
      </w:r>
    </w:p>
    <w:p w14:paraId="11335222" w14:textId="77777777" w:rsidR="00614438" w:rsidRPr="00631DEF" w:rsidRDefault="00614438" w:rsidP="00485CA7">
      <w:pPr>
        <w:pStyle w:val="ListParagraph"/>
        <w:numPr>
          <w:ilvl w:val="0"/>
          <w:numId w:val="261"/>
        </w:numPr>
        <w:jc w:val="both"/>
        <w:rPr>
          <w:rFonts w:ascii="Times New Roman" w:hAnsi="Times New Roman" w:cs="Times New Roman"/>
          <w:sz w:val="24"/>
          <w:szCs w:val="24"/>
        </w:rPr>
      </w:pPr>
      <w:r w:rsidRPr="00631DEF">
        <w:rPr>
          <w:rFonts w:ascii="Times New Roman" w:hAnsi="Times New Roman" w:cs="Times New Roman"/>
          <w:sz w:val="24"/>
          <w:szCs w:val="24"/>
        </w:rPr>
        <w:t>National operational programmes in the period 2021-2027.</w:t>
      </w:r>
    </w:p>
    <w:p w14:paraId="78E2AD5A" w14:textId="77777777" w:rsidR="00614438" w:rsidRPr="00631DEF" w:rsidRDefault="00614438" w:rsidP="00485CA7">
      <w:pPr>
        <w:pStyle w:val="ListParagraph"/>
        <w:numPr>
          <w:ilvl w:val="0"/>
          <w:numId w:val="261"/>
        </w:numPr>
        <w:jc w:val="both"/>
        <w:rPr>
          <w:rFonts w:ascii="Times New Roman" w:hAnsi="Times New Roman" w:cs="Times New Roman"/>
          <w:sz w:val="24"/>
          <w:szCs w:val="24"/>
        </w:rPr>
      </w:pPr>
      <w:r w:rsidRPr="00631DEF">
        <w:rPr>
          <w:rFonts w:ascii="Times New Roman" w:hAnsi="Times New Roman" w:cs="Times New Roman"/>
          <w:sz w:val="24"/>
          <w:szCs w:val="24"/>
        </w:rPr>
        <w:t>Resources from national and EU research programmes, as well as resources for the implementation of innovative and pilot applications in the context of international collaborations.</w:t>
      </w:r>
    </w:p>
    <w:p w14:paraId="2B214F15" w14:textId="77777777" w:rsidR="00614438" w:rsidRPr="00614438" w:rsidRDefault="00631DEF" w:rsidP="00631DEF">
      <w:pPr>
        <w:ind w:firstLine="360"/>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3.1.2.3 </w:t>
      </w:r>
      <w:r w:rsidR="00614438" w:rsidRPr="00614438">
        <w:rPr>
          <w:rFonts w:ascii="Times New Roman" w:hAnsi="Times New Roman" w:cs="Times New Roman"/>
          <w:sz w:val="24"/>
          <w:szCs w:val="24"/>
          <w:lang w:val="en-GB"/>
        </w:rPr>
        <w:t xml:space="preserve">Specific measures to introduce a one-stop-shop, streamline administrative procedures, provide information and training, and empower renewable self-consumers and </w:t>
      </w:r>
      <w:r>
        <w:rPr>
          <w:rFonts w:ascii="Times New Roman" w:hAnsi="Times New Roman" w:cs="Times New Roman"/>
          <w:sz w:val="24"/>
          <w:szCs w:val="24"/>
          <w:lang w:val="en-GB"/>
        </w:rPr>
        <w:t xml:space="preserve">renewable </w:t>
      </w:r>
      <w:r w:rsidR="00614438" w:rsidRPr="00614438">
        <w:rPr>
          <w:rFonts w:ascii="Times New Roman" w:hAnsi="Times New Roman" w:cs="Times New Roman"/>
          <w:sz w:val="24"/>
          <w:szCs w:val="24"/>
          <w:lang w:val="en-GB"/>
        </w:rPr>
        <w:t>energy communities</w:t>
      </w:r>
    </w:p>
    <w:p w14:paraId="37E395FF" w14:textId="77777777" w:rsidR="00614438" w:rsidRPr="00614438" w:rsidRDefault="00614438" w:rsidP="00631DEF">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existing authorization, certification, permit-granting and licensing procedures will be examined in order to update, simplify and optimize them so as to become more operational and transparent</w:t>
      </w:r>
      <w:r w:rsidR="005064DF">
        <w:rPr>
          <w:rFonts w:ascii="Times New Roman" w:hAnsi="Times New Roman" w:cs="Times New Roman"/>
          <w:sz w:val="24"/>
          <w:szCs w:val="24"/>
          <w:lang w:val="en-GB"/>
        </w:rPr>
        <w:t>, thus</w:t>
      </w:r>
      <w:r w:rsidRPr="00614438">
        <w:rPr>
          <w:rFonts w:ascii="Times New Roman" w:hAnsi="Times New Roman" w:cs="Times New Roman"/>
          <w:sz w:val="24"/>
          <w:szCs w:val="24"/>
          <w:lang w:val="en-GB"/>
        </w:rPr>
        <w:t xml:space="preserve"> facilitating the further deployment of renewable energy sources.</w:t>
      </w:r>
    </w:p>
    <w:p w14:paraId="30FE2869" w14:textId="77777777" w:rsidR="00614438" w:rsidRPr="00614438" w:rsidRDefault="00614438" w:rsidP="005064DF">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Moreover, the grid connection procedures will be improved and simplified for specific categories of renewable energy projects. The existing methodology and specific allocation rules for the foreseen grid connection costs will continue to be applied providing transparency to the potential investors.</w:t>
      </w:r>
    </w:p>
    <w:p w14:paraId="216116A5" w14:textId="77777777" w:rsidR="00614438" w:rsidRPr="00614438" w:rsidRDefault="00614438" w:rsidP="005064DF">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establishment of a one-stop shop will be examined so as to provide the required information and technical guidance to the interested investors facilitating the realization of the planned investments.</w:t>
      </w:r>
    </w:p>
    <w:p w14:paraId="24AE6AE5" w14:textId="77777777" w:rsidR="00614438" w:rsidRPr="00614438" w:rsidRDefault="00614438" w:rsidP="005064DF">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renewable self-consumers (producer-customer) will be supported through a specialised support scheme with the inclusion of targeted financial and fiscal incentives. The foreseen charges and fees will become non-discriminatory and proportionate, while the potential other barriers will be addressed effectively. Furthermore, the role and operation of both the renewable energy communities and the citizen energy communities will be strengthened with the initiation of targeted fiscal and economic incentives.</w:t>
      </w:r>
    </w:p>
    <w:p w14:paraId="52479A73" w14:textId="77777777" w:rsidR="00614438" w:rsidRPr="00614438" w:rsidRDefault="00614438" w:rsidP="00021B6B">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 registry will be developed in order to provide information to all citizens about the net benefits, cost and energy efficiency of the installed renewable energy stations for electricity production. Moreover, the registry of guarantees of origin will act as an additional information point for all citizens.</w:t>
      </w:r>
    </w:p>
    <w:p w14:paraId="1FFCFDA7" w14:textId="77777777" w:rsidR="00614438" w:rsidRPr="003E0710" w:rsidRDefault="00614438" w:rsidP="003E0710">
      <w:pPr>
        <w:spacing w:after="0"/>
        <w:ind w:firstLine="360"/>
        <w:jc w:val="both"/>
        <w:rPr>
          <w:rFonts w:ascii="Times New Roman" w:hAnsi="Times New Roman" w:cs="Times New Roman"/>
          <w:sz w:val="20"/>
          <w:szCs w:val="20"/>
          <w:lang w:val="en-GB"/>
        </w:rPr>
      </w:pPr>
      <w:r w:rsidRPr="00614438">
        <w:rPr>
          <w:rFonts w:ascii="Times New Roman" w:hAnsi="Times New Roman" w:cs="Times New Roman"/>
          <w:sz w:val="24"/>
          <w:szCs w:val="24"/>
          <w:lang w:val="en-GB"/>
        </w:rPr>
        <w:lastRenderedPageBreak/>
        <w:t>Finally, information, awareness-raising, guidance or training programmes will be carried out in order to inform citizens of how to exercise their rights as active customers, and of the benefits and practicalities, including technical and financial aspects. The provision of clear and easily accessible information is essential to enable citizens to change energy consumption patterns and switch to solutions that support an integrated energy system.</w:t>
      </w:r>
    </w:p>
    <w:tbl>
      <w:tblPr>
        <w:tblW w:w="9680" w:type="dxa"/>
        <w:tblLook w:val="04A0" w:firstRow="1" w:lastRow="0" w:firstColumn="1" w:lastColumn="0" w:noHBand="0" w:noVBand="1"/>
      </w:tblPr>
      <w:tblGrid>
        <w:gridCol w:w="3327"/>
        <w:gridCol w:w="950"/>
        <w:gridCol w:w="945"/>
        <w:gridCol w:w="4236"/>
        <w:gridCol w:w="222"/>
      </w:tblGrid>
      <w:tr w:rsidR="00614438" w:rsidRPr="003E0710" w14:paraId="7A7747B8" w14:textId="77777777" w:rsidTr="00614438">
        <w:trPr>
          <w:gridAfter w:val="1"/>
          <w:wAfter w:w="222" w:type="dxa"/>
          <w:trHeight w:val="780"/>
        </w:trPr>
        <w:tc>
          <w:tcPr>
            <w:tcW w:w="3330"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479BBB4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40" w:type="dxa"/>
            <w:tcBorders>
              <w:top w:val="single" w:sz="8" w:space="0" w:color="auto"/>
              <w:left w:val="nil"/>
              <w:bottom w:val="single" w:sz="8" w:space="0" w:color="auto"/>
              <w:right w:val="single" w:sz="8" w:space="0" w:color="auto"/>
            </w:tcBorders>
            <w:shd w:val="clear" w:color="auto" w:fill="E7E6E6" w:themeFill="background2"/>
            <w:vAlign w:val="center"/>
            <w:hideMark/>
          </w:tcPr>
          <w:p w14:paraId="3C6C2A7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PM_D24</w:t>
            </w:r>
          </w:p>
        </w:tc>
        <w:tc>
          <w:tcPr>
            <w:tcW w:w="946" w:type="dxa"/>
            <w:tcBorders>
              <w:top w:val="single" w:sz="8" w:space="0" w:color="auto"/>
              <w:left w:val="nil"/>
              <w:bottom w:val="single" w:sz="8" w:space="0" w:color="auto"/>
              <w:right w:val="single" w:sz="8" w:space="0" w:color="auto"/>
            </w:tcBorders>
            <w:shd w:val="clear" w:color="auto" w:fill="244062"/>
            <w:vAlign w:val="center"/>
            <w:hideMark/>
          </w:tcPr>
          <w:p w14:paraId="1CA626B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42" w:type="dxa"/>
            <w:tcBorders>
              <w:top w:val="single" w:sz="8" w:space="0" w:color="auto"/>
              <w:left w:val="nil"/>
              <w:bottom w:val="single" w:sz="8" w:space="0" w:color="auto"/>
              <w:right w:val="single" w:sz="8" w:space="0" w:color="auto"/>
            </w:tcBorders>
            <w:shd w:val="clear" w:color="auto" w:fill="E7E6E6" w:themeFill="background2"/>
            <w:vAlign w:val="center"/>
            <w:hideMark/>
          </w:tcPr>
          <w:p w14:paraId="2D28349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Updating, simplifying and optimizing the authorization, certification, permit-granting and licensing procedures - Establishment of One</w:t>
            </w:r>
            <w:r w:rsidR="00021B6B" w:rsidRPr="003E0710">
              <w:rPr>
                <w:rFonts w:ascii="Times New Roman" w:hAnsi="Times New Roman" w:cs="Times New Roman"/>
                <w:sz w:val="20"/>
                <w:szCs w:val="20"/>
                <w:lang w:val="en-GB"/>
              </w:rPr>
              <w:t>-</w:t>
            </w:r>
            <w:r w:rsidRPr="003E0710">
              <w:rPr>
                <w:rFonts w:ascii="Times New Roman" w:hAnsi="Times New Roman" w:cs="Times New Roman"/>
                <w:sz w:val="20"/>
                <w:szCs w:val="20"/>
                <w:lang w:val="en-GB"/>
              </w:rPr>
              <w:t>stop</w:t>
            </w:r>
            <w:r w:rsidR="00021B6B" w:rsidRPr="003E0710">
              <w:rPr>
                <w:rFonts w:ascii="Times New Roman" w:hAnsi="Times New Roman" w:cs="Times New Roman"/>
                <w:sz w:val="20"/>
                <w:szCs w:val="20"/>
                <w:lang w:val="en-GB"/>
              </w:rPr>
              <w:t>-</w:t>
            </w:r>
            <w:r w:rsidRPr="003E0710">
              <w:rPr>
                <w:rFonts w:ascii="Times New Roman" w:hAnsi="Times New Roman" w:cs="Times New Roman"/>
                <w:sz w:val="20"/>
                <w:szCs w:val="20"/>
                <w:lang w:val="en-GB"/>
              </w:rPr>
              <w:t>shop</w:t>
            </w:r>
          </w:p>
        </w:tc>
      </w:tr>
      <w:tr w:rsidR="00614438" w:rsidRPr="003E0710" w14:paraId="2A447BAF" w14:textId="77777777" w:rsidTr="00614438">
        <w:trPr>
          <w:gridAfter w:val="1"/>
          <w:wAfter w:w="222" w:type="dxa"/>
          <w:trHeight w:val="247"/>
        </w:trPr>
        <w:tc>
          <w:tcPr>
            <w:tcW w:w="3330" w:type="dxa"/>
            <w:tcBorders>
              <w:top w:val="nil"/>
              <w:left w:val="single" w:sz="8" w:space="0" w:color="auto"/>
              <w:bottom w:val="single" w:sz="8" w:space="0" w:color="auto"/>
              <w:right w:val="nil"/>
            </w:tcBorders>
            <w:shd w:val="clear" w:color="auto" w:fill="244062"/>
            <w:vAlign w:val="center"/>
            <w:hideMark/>
          </w:tcPr>
          <w:p w14:paraId="4D07522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28" w:type="dxa"/>
            <w:gridSpan w:val="3"/>
            <w:tcBorders>
              <w:top w:val="single" w:sz="8" w:space="0" w:color="auto"/>
              <w:left w:val="nil"/>
              <w:bottom w:val="single" w:sz="8" w:space="0" w:color="auto"/>
              <w:right w:val="single" w:sz="8" w:space="0" w:color="000000"/>
            </w:tcBorders>
            <w:vAlign w:val="center"/>
            <w:hideMark/>
          </w:tcPr>
          <w:p w14:paraId="2CE6B89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Increase share of RES in electricity </w:t>
            </w:r>
          </w:p>
        </w:tc>
      </w:tr>
      <w:tr w:rsidR="00614438" w:rsidRPr="003E0710" w14:paraId="16E347FE"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2049A19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28" w:type="dxa"/>
            <w:gridSpan w:val="3"/>
            <w:tcBorders>
              <w:top w:val="single" w:sz="8" w:space="0" w:color="auto"/>
              <w:left w:val="nil"/>
              <w:bottom w:val="single" w:sz="8" w:space="0" w:color="auto"/>
              <w:right w:val="single" w:sz="8" w:space="0" w:color="000000"/>
            </w:tcBorders>
            <w:vAlign w:val="center"/>
            <w:hideMark/>
          </w:tcPr>
          <w:p w14:paraId="43C926D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Contribution to the expected RES penetration for electricity production</w:t>
            </w:r>
          </w:p>
        </w:tc>
      </w:tr>
      <w:tr w:rsidR="00614438" w:rsidRPr="003E0710" w14:paraId="1B80501E" w14:textId="77777777" w:rsidTr="00614438">
        <w:trPr>
          <w:gridAfter w:val="1"/>
          <w:wAfter w:w="222" w:type="dxa"/>
          <w:trHeight w:val="846"/>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284D9ED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28" w:type="dxa"/>
            <w:gridSpan w:val="3"/>
            <w:tcBorders>
              <w:top w:val="single" w:sz="8" w:space="0" w:color="auto"/>
              <w:left w:val="nil"/>
              <w:bottom w:val="single" w:sz="8" w:space="0" w:color="auto"/>
              <w:right w:val="single" w:sz="8" w:space="0" w:color="000000"/>
            </w:tcBorders>
            <w:vAlign w:val="center"/>
            <w:hideMark/>
          </w:tcPr>
          <w:p w14:paraId="44D4319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PM_D24 will examine the update, simplification and optimization of the existing authorization, certification, permit-granting and licensing procedures so as to become more operational and to lead to the implementation of the required renewable energy stations for achieving the national targets, the active public participation, the effective protection of public interest, the smooth integration into the networks and the increased social acceptability. Moreover, the different entrepreneurial, environmental and social parameters will be combined and integrated in a fair and transparent framework. The main objective of the measure is to accelerate the completion and commercialization of the planned investments and to create reliable conditions for the potential investors in order to mobilize new investments. Finally, the potential establishment of a one-stop shop will be examined so as to provide the required information and technical guidance to the interested investors facilitating the realization of the planned investments (</w:t>
            </w:r>
            <w:r w:rsidR="00021B6B" w:rsidRPr="003E0710">
              <w:rPr>
                <w:rFonts w:ascii="Times New Roman" w:hAnsi="Times New Roman" w:cs="Times New Roman"/>
                <w:sz w:val="20"/>
                <w:szCs w:val="20"/>
                <w:lang w:val="en-GB"/>
              </w:rPr>
              <w:t>in accordance with</w:t>
            </w:r>
            <w:r w:rsidRPr="003E0710">
              <w:rPr>
                <w:rFonts w:ascii="Times New Roman" w:hAnsi="Times New Roman" w:cs="Times New Roman"/>
                <w:sz w:val="20"/>
                <w:szCs w:val="20"/>
                <w:lang w:val="en-GB"/>
              </w:rPr>
              <w:t xml:space="preserve"> Article 16 or RED II).</w:t>
            </w:r>
          </w:p>
        </w:tc>
      </w:tr>
      <w:tr w:rsidR="00614438" w:rsidRPr="003E0710" w14:paraId="36604DA4"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248E60F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28" w:type="dxa"/>
            <w:gridSpan w:val="3"/>
            <w:tcBorders>
              <w:top w:val="single" w:sz="8" w:space="0" w:color="auto"/>
              <w:left w:val="nil"/>
              <w:bottom w:val="single" w:sz="8" w:space="0" w:color="auto"/>
              <w:right w:val="single" w:sz="8" w:space="0" w:color="000000"/>
            </w:tcBorders>
            <w:vAlign w:val="center"/>
            <w:hideMark/>
          </w:tcPr>
          <w:p w14:paraId="0529F9C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2025-2026</w:t>
            </w:r>
          </w:p>
        </w:tc>
      </w:tr>
      <w:tr w:rsidR="00614438" w:rsidRPr="003E0710" w14:paraId="0E0889B6"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278F5A3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28" w:type="dxa"/>
            <w:gridSpan w:val="3"/>
            <w:tcBorders>
              <w:top w:val="single" w:sz="8" w:space="0" w:color="auto"/>
              <w:left w:val="nil"/>
              <w:bottom w:val="single" w:sz="8" w:space="0" w:color="auto"/>
              <w:right w:val="single" w:sz="8" w:space="0" w:color="000000"/>
            </w:tcBorders>
            <w:vAlign w:val="center"/>
            <w:hideMark/>
          </w:tcPr>
          <w:p w14:paraId="41845DA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Reform</w:t>
            </w:r>
          </w:p>
        </w:tc>
      </w:tr>
      <w:tr w:rsidR="00614438" w:rsidRPr="003E0710" w14:paraId="7AF1C04F"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7897C2A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28" w:type="dxa"/>
            <w:gridSpan w:val="3"/>
            <w:tcBorders>
              <w:top w:val="single" w:sz="8" w:space="0" w:color="auto"/>
              <w:left w:val="nil"/>
              <w:bottom w:val="single" w:sz="8" w:space="0" w:color="auto"/>
              <w:right w:val="single" w:sz="8" w:space="0" w:color="000000"/>
            </w:tcBorders>
            <w:vAlign w:val="center"/>
            <w:hideMark/>
          </w:tcPr>
          <w:p w14:paraId="7112D7E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Electricity </w:t>
            </w:r>
          </w:p>
        </w:tc>
      </w:tr>
      <w:tr w:rsidR="00614438" w:rsidRPr="003E0710" w14:paraId="4A6B6786"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276B9F9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28" w:type="dxa"/>
            <w:gridSpan w:val="3"/>
            <w:tcBorders>
              <w:top w:val="single" w:sz="8" w:space="0" w:color="auto"/>
              <w:left w:val="nil"/>
              <w:bottom w:val="single" w:sz="8" w:space="0" w:color="auto"/>
              <w:right w:val="single" w:sz="8" w:space="0" w:color="000000"/>
            </w:tcBorders>
            <w:vAlign w:val="center"/>
            <w:hideMark/>
          </w:tcPr>
          <w:p w14:paraId="66D65EA9"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Mining and Energy</w:t>
            </w:r>
          </w:p>
          <w:p w14:paraId="48FA6E6F"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Construction, Transport and Infrastructure</w:t>
            </w:r>
          </w:p>
        </w:tc>
      </w:tr>
      <w:tr w:rsidR="00614438" w:rsidRPr="003E0710" w14:paraId="77C0C9A0" w14:textId="77777777" w:rsidTr="00614438">
        <w:trPr>
          <w:gridAfter w:val="1"/>
          <w:wAfter w:w="222" w:type="dxa"/>
          <w:trHeight w:val="315"/>
        </w:trPr>
        <w:tc>
          <w:tcPr>
            <w:tcW w:w="3330" w:type="dxa"/>
            <w:tcBorders>
              <w:top w:val="nil"/>
              <w:left w:val="single" w:sz="8" w:space="0" w:color="auto"/>
              <w:bottom w:val="single" w:sz="8" w:space="0" w:color="auto"/>
              <w:right w:val="nil"/>
            </w:tcBorders>
            <w:shd w:val="clear" w:color="auto" w:fill="244062"/>
            <w:vAlign w:val="center"/>
            <w:hideMark/>
          </w:tcPr>
          <w:p w14:paraId="156F594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28" w:type="dxa"/>
            <w:gridSpan w:val="3"/>
            <w:tcBorders>
              <w:top w:val="single" w:sz="8" w:space="0" w:color="auto"/>
              <w:left w:val="nil"/>
              <w:bottom w:val="single" w:sz="8" w:space="0" w:color="auto"/>
              <w:right w:val="single" w:sz="8" w:space="0" w:color="000000"/>
            </w:tcBorders>
            <w:vAlign w:val="center"/>
            <w:hideMark/>
          </w:tcPr>
          <w:p w14:paraId="6BC17560"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w:t>
            </w:r>
          </w:p>
        </w:tc>
      </w:tr>
      <w:tr w:rsidR="00614438" w:rsidRPr="003E0710" w14:paraId="1BF26C12" w14:textId="77777777" w:rsidTr="00614438">
        <w:trPr>
          <w:gridAfter w:val="1"/>
          <w:wAfter w:w="222" w:type="dxa"/>
          <w:trHeight w:val="315"/>
        </w:trPr>
        <w:tc>
          <w:tcPr>
            <w:tcW w:w="3330" w:type="dxa"/>
            <w:tcBorders>
              <w:top w:val="nil"/>
              <w:left w:val="single" w:sz="8" w:space="0" w:color="auto"/>
              <w:bottom w:val="single" w:sz="8" w:space="0" w:color="auto"/>
              <w:right w:val="nil"/>
            </w:tcBorders>
            <w:shd w:val="clear" w:color="auto" w:fill="244062"/>
            <w:vAlign w:val="center"/>
            <w:hideMark/>
          </w:tcPr>
          <w:p w14:paraId="3A03F2B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28" w:type="dxa"/>
            <w:gridSpan w:val="3"/>
            <w:tcBorders>
              <w:top w:val="single" w:sz="8" w:space="0" w:color="auto"/>
              <w:left w:val="nil"/>
              <w:bottom w:val="single" w:sz="8" w:space="0" w:color="auto"/>
              <w:right w:val="single" w:sz="8" w:space="0" w:color="000000"/>
            </w:tcBorders>
            <w:vAlign w:val="center"/>
            <w:hideMark/>
          </w:tcPr>
          <w:p w14:paraId="448420FD"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Developed legislative and regulatory framework</w:t>
            </w:r>
          </w:p>
        </w:tc>
      </w:tr>
      <w:tr w:rsidR="00614438" w:rsidRPr="003E0710" w14:paraId="2F176068" w14:textId="77777777" w:rsidTr="00614438">
        <w:trPr>
          <w:gridAfter w:val="1"/>
          <w:wAfter w:w="222" w:type="dxa"/>
          <w:trHeight w:val="433"/>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3E28A01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28" w:type="dxa"/>
            <w:gridSpan w:val="3"/>
            <w:tcBorders>
              <w:top w:val="single" w:sz="8" w:space="0" w:color="auto"/>
              <w:left w:val="nil"/>
              <w:bottom w:val="single" w:sz="8" w:space="0" w:color="auto"/>
              <w:right w:val="single" w:sz="8" w:space="0" w:color="000000"/>
            </w:tcBorders>
            <w:vAlign w:val="center"/>
            <w:hideMark/>
          </w:tcPr>
          <w:p w14:paraId="3791887D"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efficiency (the promoted RES technologies will deliver also primary energy savings contributing to the achievement of the relevant targets)</w:t>
            </w:r>
          </w:p>
          <w:p w14:paraId="652DF4DB"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security (the penetration of RES technologies will reduce the energy import dependency from third countries and increase the deployment of domestic energy sources)</w:t>
            </w:r>
          </w:p>
        </w:tc>
      </w:tr>
      <w:tr w:rsidR="00614438" w:rsidRPr="003E0710" w14:paraId="1D66969F" w14:textId="77777777" w:rsidTr="00614438">
        <w:trPr>
          <w:gridAfter w:val="1"/>
          <w:wAfter w:w="222" w:type="dxa"/>
          <w:trHeight w:val="458"/>
        </w:trPr>
        <w:tc>
          <w:tcPr>
            <w:tcW w:w="3330" w:type="dxa"/>
            <w:vMerge w:val="restart"/>
            <w:tcBorders>
              <w:top w:val="nil"/>
              <w:left w:val="single" w:sz="8" w:space="0" w:color="auto"/>
              <w:bottom w:val="single" w:sz="8" w:space="0" w:color="000000"/>
              <w:right w:val="single" w:sz="8" w:space="0" w:color="auto"/>
            </w:tcBorders>
            <w:shd w:val="clear" w:color="auto" w:fill="244062"/>
            <w:vAlign w:val="center"/>
            <w:hideMark/>
          </w:tcPr>
          <w:p w14:paraId="2EDA505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28"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084A1725"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00408052"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03AD23BD"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440B233"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61010C44"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7534148"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458787AE"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B6CF966"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1EA8A875"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4C96CFBE" w14:textId="77777777" w:rsidTr="00614438">
        <w:trPr>
          <w:trHeight w:val="32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5FFC4A8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28" w:type="dxa"/>
            <w:gridSpan w:val="3"/>
            <w:tcBorders>
              <w:top w:val="single" w:sz="8" w:space="0" w:color="auto"/>
              <w:left w:val="nil"/>
              <w:bottom w:val="single" w:sz="8" w:space="0" w:color="auto"/>
              <w:right w:val="single" w:sz="8" w:space="0" w:color="000000"/>
            </w:tcBorders>
            <w:vAlign w:val="center"/>
            <w:hideMark/>
          </w:tcPr>
          <w:p w14:paraId="6CC357E2" w14:textId="77777777" w:rsidR="00614438" w:rsidRPr="003E0710" w:rsidRDefault="00614438" w:rsidP="003E0710">
            <w:pPr>
              <w:numPr>
                <w:ilvl w:val="0"/>
                <w:numId w:val="46"/>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Energy</w:t>
            </w:r>
          </w:p>
          <w:p w14:paraId="1D0F6035" w14:textId="77777777" w:rsidR="00614438" w:rsidRPr="003E0710" w:rsidRDefault="00614438" w:rsidP="003E0710">
            <w:pPr>
              <w:numPr>
                <w:ilvl w:val="0"/>
                <w:numId w:val="46"/>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Planning and Construction</w:t>
            </w:r>
          </w:p>
        </w:tc>
        <w:tc>
          <w:tcPr>
            <w:tcW w:w="222" w:type="dxa"/>
            <w:vAlign w:val="center"/>
            <w:hideMark/>
          </w:tcPr>
          <w:p w14:paraId="71EA8254"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38DC6D87" w14:textId="77777777" w:rsidTr="00614438">
        <w:trPr>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50AC965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28" w:type="dxa"/>
            <w:gridSpan w:val="3"/>
            <w:tcBorders>
              <w:top w:val="single" w:sz="8" w:space="0" w:color="auto"/>
              <w:left w:val="nil"/>
              <w:bottom w:val="single" w:sz="8" w:space="0" w:color="auto"/>
              <w:right w:val="single" w:sz="8" w:space="0" w:color="000000"/>
            </w:tcBorders>
            <w:vAlign w:val="center"/>
            <w:hideMark/>
          </w:tcPr>
          <w:p w14:paraId="0810A48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0.2 M€</w:t>
            </w:r>
          </w:p>
        </w:tc>
        <w:tc>
          <w:tcPr>
            <w:tcW w:w="222" w:type="dxa"/>
            <w:vAlign w:val="center"/>
            <w:hideMark/>
          </w:tcPr>
          <w:p w14:paraId="0183D058"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72771FC2" w14:textId="77777777" w:rsidTr="00614438">
        <w:trPr>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7B62984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28" w:type="dxa"/>
            <w:gridSpan w:val="3"/>
            <w:tcBorders>
              <w:top w:val="single" w:sz="8" w:space="0" w:color="auto"/>
              <w:left w:val="nil"/>
              <w:bottom w:val="single" w:sz="8" w:space="0" w:color="auto"/>
              <w:right w:val="single" w:sz="8" w:space="0" w:color="000000"/>
            </w:tcBorders>
            <w:vAlign w:val="center"/>
            <w:hideMark/>
          </w:tcPr>
          <w:p w14:paraId="1079B97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28CD9919" w14:textId="77777777" w:rsidR="00614438" w:rsidRPr="003E0710" w:rsidRDefault="00614438" w:rsidP="003E0710">
            <w:pPr>
              <w:spacing w:after="0"/>
              <w:jc w:val="both"/>
              <w:rPr>
                <w:rFonts w:ascii="Times New Roman" w:hAnsi="Times New Roman" w:cs="Times New Roman"/>
                <w:sz w:val="20"/>
                <w:szCs w:val="20"/>
                <w:lang w:val="en-GB"/>
              </w:rPr>
            </w:pPr>
          </w:p>
        </w:tc>
      </w:tr>
    </w:tbl>
    <w:p w14:paraId="5F0A40D9"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70"/>
        <w:gridCol w:w="1114"/>
        <w:gridCol w:w="935"/>
        <w:gridCol w:w="4139"/>
        <w:gridCol w:w="222"/>
      </w:tblGrid>
      <w:tr w:rsidR="00614438" w:rsidRPr="003E0710" w14:paraId="42B13E78" w14:textId="77777777" w:rsidTr="00614438">
        <w:trPr>
          <w:gridAfter w:val="1"/>
          <w:wAfter w:w="222" w:type="dxa"/>
          <w:trHeight w:val="780"/>
        </w:trPr>
        <w:tc>
          <w:tcPr>
            <w:tcW w:w="3270"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766A9E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1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28912AC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PM_D25</w:t>
            </w:r>
          </w:p>
        </w:tc>
        <w:tc>
          <w:tcPr>
            <w:tcW w:w="935" w:type="dxa"/>
            <w:tcBorders>
              <w:top w:val="single" w:sz="8" w:space="0" w:color="auto"/>
              <w:left w:val="nil"/>
              <w:bottom w:val="single" w:sz="8" w:space="0" w:color="auto"/>
              <w:right w:val="single" w:sz="8" w:space="0" w:color="auto"/>
            </w:tcBorders>
            <w:shd w:val="clear" w:color="auto" w:fill="244062"/>
            <w:vAlign w:val="center"/>
            <w:hideMark/>
          </w:tcPr>
          <w:p w14:paraId="6422298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139" w:type="dxa"/>
            <w:tcBorders>
              <w:top w:val="single" w:sz="8" w:space="0" w:color="auto"/>
              <w:left w:val="nil"/>
              <w:bottom w:val="single" w:sz="8" w:space="0" w:color="auto"/>
              <w:right w:val="single" w:sz="8" w:space="0" w:color="auto"/>
            </w:tcBorders>
            <w:shd w:val="clear" w:color="auto" w:fill="E7E6E6" w:themeFill="background2"/>
            <w:vAlign w:val="center"/>
            <w:hideMark/>
          </w:tcPr>
          <w:p w14:paraId="0D9FB36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Updating, simplifying and optimizing the grid connection procedures and setting detailed methodology and allocation rules for RES grid connection costs</w:t>
            </w:r>
          </w:p>
        </w:tc>
      </w:tr>
      <w:tr w:rsidR="00614438" w:rsidRPr="003E0710" w14:paraId="1D8197FC" w14:textId="77777777" w:rsidTr="00614438">
        <w:trPr>
          <w:gridAfter w:val="1"/>
          <w:wAfter w:w="222" w:type="dxa"/>
          <w:trHeight w:val="367"/>
        </w:trPr>
        <w:tc>
          <w:tcPr>
            <w:tcW w:w="3270" w:type="dxa"/>
            <w:tcBorders>
              <w:top w:val="nil"/>
              <w:left w:val="single" w:sz="8" w:space="0" w:color="auto"/>
              <w:bottom w:val="single" w:sz="8" w:space="0" w:color="auto"/>
              <w:right w:val="nil"/>
            </w:tcBorders>
            <w:shd w:val="clear" w:color="auto" w:fill="244062"/>
            <w:vAlign w:val="center"/>
            <w:hideMark/>
          </w:tcPr>
          <w:p w14:paraId="24B65E3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 xml:space="preserve">Main objective: </w:t>
            </w:r>
          </w:p>
        </w:tc>
        <w:tc>
          <w:tcPr>
            <w:tcW w:w="6188" w:type="dxa"/>
            <w:gridSpan w:val="3"/>
            <w:tcBorders>
              <w:top w:val="single" w:sz="8" w:space="0" w:color="auto"/>
              <w:left w:val="nil"/>
              <w:bottom w:val="single" w:sz="8" w:space="0" w:color="auto"/>
              <w:right w:val="single" w:sz="8" w:space="0" w:color="000000"/>
            </w:tcBorders>
            <w:vAlign w:val="center"/>
            <w:hideMark/>
          </w:tcPr>
          <w:p w14:paraId="0348DE3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Increase share of RES in electricity </w:t>
            </w:r>
            <w:r w:rsidR="00021B6B" w:rsidRPr="003E0710">
              <w:rPr>
                <w:rFonts w:ascii="Times New Roman" w:hAnsi="Times New Roman" w:cs="Times New Roman"/>
                <w:sz w:val="20"/>
                <w:szCs w:val="20"/>
                <w:lang w:val="en-GB"/>
              </w:rPr>
              <w:t>production</w:t>
            </w:r>
          </w:p>
        </w:tc>
      </w:tr>
      <w:tr w:rsidR="00614438" w:rsidRPr="003E0710" w14:paraId="1400429B" w14:textId="77777777" w:rsidTr="00614438">
        <w:trPr>
          <w:gridAfter w:val="1"/>
          <w:wAfter w:w="222" w:type="dxa"/>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0FB0544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88" w:type="dxa"/>
            <w:gridSpan w:val="3"/>
            <w:tcBorders>
              <w:top w:val="single" w:sz="8" w:space="0" w:color="auto"/>
              <w:left w:val="nil"/>
              <w:bottom w:val="single" w:sz="8" w:space="0" w:color="auto"/>
              <w:right w:val="single" w:sz="8" w:space="0" w:color="000000"/>
            </w:tcBorders>
            <w:vAlign w:val="center"/>
            <w:hideMark/>
          </w:tcPr>
          <w:p w14:paraId="7A9DD4F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Contribution to the expected RES </w:t>
            </w:r>
            <w:r w:rsidR="00021B6B" w:rsidRPr="003E0710">
              <w:rPr>
                <w:rFonts w:ascii="Times New Roman" w:hAnsi="Times New Roman" w:cs="Times New Roman"/>
                <w:sz w:val="20"/>
                <w:szCs w:val="20"/>
                <w:lang w:val="en-GB"/>
              </w:rPr>
              <w:t>share in the</w:t>
            </w:r>
            <w:r w:rsidRPr="003E0710">
              <w:rPr>
                <w:rFonts w:ascii="Times New Roman" w:hAnsi="Times New Roman" w:cs="Times New Roman"/>
                <w:sz w:val="20"/>
                <w:szCs w:val="20"/>
                <w:lang w:val="en-GB"/>
              </w:rPr>
              <w:t xml:space="preserve"> electricity production</w:t>
            </w:r>
          </w:p>
        </w:tc>
      </w:tr>
      <w:tr w:rsidR="00614438" w:rsidRPr="003E0710" w14:paraId="71533DD0" w14:textId="77777777" w:rsidTr="00614438">
        <w:trPr>
          <w:gridAfter w:val="1"/>
          <w:wAfter w:w="222" w:type="dxa"/>
          <w:trHeight w:val="443"/>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6907E86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88" w:type="dxa"/>
            <w:gridSpan w:val="3"/>
            <w:tcBorders>
              <w:top w:val="single" w:sz="8" w:space="0" w:color="auto"/>
              <w:left w:val="nil"/>
              <w:bottom w:val="single" w:sz="8" w:space="0" w:color="auto"/>
              <w:right w:val="single" w:sz="8" w:space="0" w:color="000000"/>
            </w:tcBorders>
            <w:vAlign w:val="center"/>
            <w:hideMark/>
          </w:tcPr>
          <w:p w14:paraId="6F6ADAA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PM_D25 will further update, simplify and optimize the grid connection procedures for the renewable energy stations. A simple-notification procedure will be examined for installations or aggregated production units provided that grid stability, grid reliability and grid safety are maintained. Finally, the existing methodology and allocation rules for the foreseen grid connection costs will continue to be utilised</w:t>
            </w:r>
            <w:r w:rsidR="00021B6B" w:rsidRPr="003E0710">
              <w:rPr>
                <w:rFonts w:ascii="Times New Roman" w:hAnsi="Times New Roman" w:cs="Times New Roman"/>
                <w:sz w:val="20"/>
                <w:szCs w:val="20"/>
                <w:lang w:val="en-GB"/>
              </w:rPr>
              <w:t>,</w:t>
            </w:r>
            <w:r w:rsidRPr="003E0710">
              <w:rPr>
                <w:rFonts w:ascii="Times New Roman" w:hAnsi="Times New Roman" w:cs="Times New Roman"/>
                <w:sz w:val="20"/>
                <w:szCs w:val="20"/>
                <w:lang w:val="en-GB"/>
              </w:rPr>
              <w:t xml:space="preserve"> providing transparency to the potential investors</w:t>
            </w:r>
            <w:r w:rsidR="00021B6B" w:rsidRPr="003E0710">
              <w:rPr>
                <w:rFonts w:ascii="Times New Roman" w:hAnsi="Times New Roman" w:cs="Times New Roman"/>
                <w:sz w:val="20"/>
                <w:szCs w:val="20"/>
                <w:lang w:val="en-GB"/>
              </w:rPr>
              <w:t>,</w:t>
            </w:r>
            <w:r w:rsidRPr="003E0710">
              <w:rPr>
                <w:rFonts w:ascii="Times New Roman" w:hAnsi="Times New Roman" w:cs="Times New Roman"/>
                <w:sz w:val="20"/>
                <w:szCs w:val="20"/>
                <w:lang w:val="en-GB"/>
              </w:rPr>
              <w:t xml:space="preserve"> taking into consideration the various characteristics during the connection of the renewable systems with the transmission and distribution grids.</w:t>
            </w:r>
          </w:p>
        </w:tc>
      </w:tr>
      <w:tr w:rsidR="00614438" w:rsidRPr="003E0710" w14:paraId="2CFE871A" w14:textId="77777777" w:rsidTr="00614438">
        <w:trPr>
          <w:gridAfter w:val="1"/>
          <w:wAfter w:w="222" w:type="dxa"/>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21774C3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88" w:type="dxa"/>
            <w:gridSpan w:val="3"/>
            <w:tcBorders>
              <w:top w:val="single" w:sz="8" w:space="0" w:color="auto"/>
              <w:left w:val="nil"/>
              <w:bottom w:val="single" w:sz="8" w:space="0" w:color="auto"/>
              <w:right w:val="single" w:sz="8" w:space="0" w:color="000000"/>
            </w:tcBorders>
            <w:vAlign w:val="center"/>
            <w:hideMark/>
          </w:tcPr>
          <w:p w14:paraId="78B403B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2025-2027</w:t>
            </w:r>
          </w:p>
        </w:tc>
      </w:tr>
      <w:tr w:rsidR="00614438" w:rsidRPr="003E0710" w14:paraId="25646A7F" w14:textId="77777777" w:rsidTr="00614438">
        <w:trPr>
          <w:gridAfter w:val="1"/>
          <w:wAfter w:w="222" w:type="dxa"/>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3B91B63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88" w:type="dxa"/>
            <w:gridSpan w:val="3"/>
            <w:tcBorders>
              <w:top w:val="single" w:sz="8" w:space="0" w:color="auto"/>
              <w:left w:val="nil"/>
              <w:bottom w:val="single" w:sz="8" w:space="0" w:color="auto"/>
              <w:right w:val="single" w:sz="8" w:space="0" w:color="000000"/>
            </w:tcBorders>
            <w:vAlign w:val="center"/>
            <w:hideMark/>
          </w:tcPr>
          <w:p w14:paraId="6007C6D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Reform</w:t>
            </w:r>
          </w:p>
        </w:tc>
      </w:tr>
      <w:tr w:rsidR="00614438" w:rsidRPr="003E0710" w14:paraId="4F71CBA9" w14:textId="77777777" w:rsidTr="00614438">
        <w:trPr>
          <w:gridAfter w:val="1"/>
          <w:wAfter w:w="222" w:type="dxa"/>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185640B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88" w:type="dxa"/>
            <w:gridSpan w:val="3"/>
            <w:tcBorders>
              <w:top w:val="single" w:sz="8" w:space="0" w:color="auto"/>
              <w:left w:val="nil"/>
              <w:bottom w:val="single" w:sz="8" w:space="0" w:color="auto"/>
              <w:right w:val="single" w:sz="8" w:space="0" w:color="000000"/>
            </w:tcBorders>
            <w:vAlign w:val="center"/>
            <w:hideMark/>
          </w:tcPr>
          <w:p w14:paraId="3FFC5C6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Electricity </w:t>
            </w:r>
          </w:p>
        </w:tc>
      </w:tr>
      <w:tr w:rsidR="00614438" w:rsidRPr="003E0710" w14:paraId="733262FC" w14:textId="77777777" w:rsidTr="00614438">
        <w:trPr>
          <w:gridAfter w:val="1"/>
          <w:wAfter w:w="222" w:type="dxa"/>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5B9EEFF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88" w:type="dxa"/>
            <w:gridSpan w:val="3"/>
            <w:tcBorders>
              <w:top w:val="single" w:sz="8" w:space="0" w:color="auto"/>
              <w:left w:val="nil"/>
              <w:bottom w:val="single" w:sz="8" w:space="0" w:color="auto"/>
              <w:right w:val="single" w:sz="8" w:space="0" w:color="000000"/>
            </w:tcBorders>
            <w:vAlign w:val="center"/>
            <w:hideMark/>
          </w:tcPr>
          <w:p w14:paraId="7B694500"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Agency of the Republic of Serbia</w:t>
            </w:r>
          </w:p>
          <w:p w14:paraId="10890285" w14:textId="77777777" w:rsidR="00614438" w:rsidRPr="003E0710" w:rsidRDefault="00614438" w:rsidP="003E0710">
            <w:pPr>
              <w:numPr>
                <w:ilvl w:val="0"/>
                <w:numId w:val="43"/>
              </w:numPr>
              <w:spacing w:after="0"/>
              <w:jc w:val="both"/>
              <w:rPr>
                <w:rFonts w:ascii="Times New Roman" w:hAnsi="Times New Roman" w:cs="Times New Roman"/>
                <w:sz w:val="20"/>
                <w:szCs w:val="20"/>
                <w:lang w:val="pt-PT"/>
              </w:rPr>
            </w:pPr>
            <w:r w:rsidRPr="003E0710">
              <w:rPr>
                <w:rFonts w:ascii="Times New Roman" w:hAnsi="Times New Roman" w:cs="Times New Roman"/>
                <w:sz w:val="20"/>
                <w:szCs w:val="20"/>
                <w:lang w:val="pl-PL"/>
              </w:rPr>
              <w:t>Elektrodistribucija Srbije d.o.o. Beograd</w:t>
            </w:r>
          </w:p>
        </w:tc>
      </w:tr>
      <w:tr w:rsidR="00614438" w:rsidRPr="003E0710" w14:paraId="56D471D9" w14:textId="77777777" w:rsidTr="00614438">
        <w:trPr>
          <w:gridAfter w:val="1"/>
          <w:wAfter w:w="222" w:type="dxa"/>
          <w:trHeight w:val="315"/>
        </w:trPr>
        <w:tc>
          <w:tcPr>
            <w:tcW w:w="3270" w:type="dxa"/>
            <w:tcBorders>
              <w:top w:val="nil"/>
              <w:left w:val="single" w:sz="8" w:space="0" w:color="auto"/>
              <w:bottom w:val="single" w:sz="8" w:space="0" w:color="auto"/>
              <w:right w:val="nil"/>
            </w:tcBorders>
            <w:shd w:val="clear" w:color="auto" w:fill="244062"/>
            <w:vAlign w:val="center"/>
            <w:hideMark/>
          </w:tcPr>
          <w:p w14:paraId="6F0C400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88" w:type="dxa"/>
            <w:gridSpan w:val="3"/>
            <w:tcBorders>
              <w:top w:val="single" w:sz="8" w:space="0" w:color="auto"/>
              <w:left w:val="nil"/>
              <w:bottom w:val="single" w:sz="8" w:space="0" w:color="auto"/>
              <w:right w:val="single" w:sz="8" w:space="0" w:color="000000"/>
            </w:tcBorders>
            <w:vAlign w:val="center"/>
            <w:hideMark/>
          </w:tcPr>
          <w:p w14:paraId="440033EA"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w:t>
            </w:r>
          </w:p>
        </w:tc>
      </w:tr>
      <w:tr w:rsidR="00614438" w:rsidRPr="003E0710" w14:paraId="031FFCD8" w14:textId="77777777" w:rsidTr="00614438">
        <w:trPr>
          <w:gridAfter w:val="1"/>
          <w:wAfter w:w="222" w:type="dxa"/>
          <w:trHeight w:val="315"/>
        </w:trPr>
        <w:tc>
          <w:tcPr>
            <w:tcW w:w="3270" w:type="dxa"/>
            <w:tcBorders>
              <w:top w:val="nil"/>
              <w:left w:val="single" w:sz="8" w:space="0" w:color="auto"/>
              <w:bottom w:val="single" w:sz="8" w:space="0" w:color="auto"/>
              <w:right w:val="nil"/>
            </w:tcBorders>
            <w:shd w:val="clear" w:color="auto" w:fill="244062"/>
            <w:vAlign w:val="center"/>
            <w:hideMark/>
          </w:tcPr>
          <w:p w14:paraId="2F20638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88" w:type="dxa"/>
            <w:gridSpan w:val="3"/>
            <w:tcBorders>
              <w:top w:val="single" w:sz="8" w:space="0" w:color="auto"/>
              <w:left w:val="nil"/>
              <w:bottom w:val="single" w:sz="8" w:space="0" w:color="auto"/>
              <w:right w:val="single" w:sz="8" w:space="0" w:color="000000"/>
            </w:tcBorders>
            <w:vAlign w:val="center"/>
            <w:hideMark/>
          </w:tcPr>
          <w:p w14:paraId="08962542"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Developed legislative and regulatory framework</w:t>
            </w:r>
          </w:p>
        </w:tc>
      </w:tr>
      <w:tr w:rsidR="00614438" w:rsidRPr="003E0710" w14:paraId="3974D360" w14:textId="77777777" w:rsidTr="00614438">
        <w:trPr>
          <w:gridAfter w:val="1"/>
          <w:wAfter w:w="222" w:type="dxa"/>
          <w:trHeight w:val="323"/>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7D338FD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88" w:type="dxa"/>
            <w:gridSpan w:val="3"/>
            <w:tcBorders>
              <w:top w:val="single" w:sz="8" w:space="0" w:color="auto"/>
              <w:left w:val="nil"/>
              <w:bottom w:val="single" w:sz="8" w:space="0" w:color="auto"/>
              <w:right w:val="single" w:sz="8" w:space="0" w:color="000000"/>
            </w:tcBorders>
            <w:vAlign w:val="center"/>
            <w:hideMark/>
          </w:tcPr>
          <w:p w14:paraId="3E22B6E7" w14:textId="77777777" w:rsidR="00614438" w:rsidRPr="003E0710" w:rsidRDefault="00614438" w:rsidP="003E0710">
            <w:pPr>
              <w:numPr>
                <w:ilvl w:val="0"/>
                <w:numId w:val="48"/>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Energy efficiency (the promoted RES technologies will </w:t>
            </w:r>
            <w:r w:rsidR="00021B6B" w:rsidRPr="003E0710">
              <w:rPr>
                <w:rFonts w:ascii="Times New Roman" w:hAnsi="Times New Roman" w:cs="Times New Roman"/>
                <w:sz w:val="20"/>
                <w:szCs w:val="20"/>
                <w:lang w:val="en-GB"/>
              </w:rPr>
              <w:t xml:space="preserve">also </w:t>
            </w:r>
            <w:r w:rsidRPr="003E0710">
              <w:rPr>
                <w:rFonts w:ascii="Times New Roman" w:hAnsi="Times New Roman" w:cs="Times New Roman"/>
                <w:sz w:val="20"/>
                <w:szCs w:val="20"/>
                <w:lang w:val="en-GB"/>
              </w:rPr>
              <w:t>deliver primary energy savings contributing to the achievement of the relevant targets)</w:t>
            </w:r>
          </w:p>
          <w:p w14:paraId="54CF8D84" w14:textId="77777777" w:rsidR="00614438" w:rsidRPr="003E0710" w:rsidRDefault="00614438" w:rsidP="003E0710">
            <w:pPr>
              <w:numPr>
                <w:ilvl w:val="0"/>
                <w:numId w:val="48"/>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Energy security (the penetration of RES technologies will reduce the energy import dependency from third countries and increase the deployment of domestic energy sources)</w:t>
            </w:r>
          </w:p>
        </w:tc>
      </w:tr>
      <w:tr w:rsidR="00614438" w:rsidRPr="003E0710" w14:paraId="5332157E" w14:textId="77777777" w:rsidTr="00614438">
        <w:trPr>
          <w:gridAfter w:val="1"/>
          <w:wAfter w:w="222" w:type="dxa"/>
          <w:trHeight w:val="458"/>
        </w:trPr>
        <w:tc>
          <w:tcPr>
            <w:tcW w:w="3270" w:type="dxa"/>
            <w:vMerge w:val="restart"/>
            <w:tcBorders>
              <w:top w:val="nil"/>
              <w:left w:val="single" w:sz="8" w:space="0" w:color="auto"/>
              <w:bottom w:val="single" w:sz="8" w:space="0" w:color="000000"/>
              <w:right w:val="single" w:sz="8" w:space="0" w:color="auto"/>
            </w:tcBorders>
            <w:shd w:val="clear" w:color="auto" w:fill="244062"/>
            <w:vAlign w:val="center"/>
            <w:hideMark/>
          </w:tcPr>
          <w:p w14:paraId="51DDDC3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88"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47564216"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017AE5AD"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436F51E6"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0A5B734"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107206C8"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71D6D92"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62C9C81B"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20E9EBB"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35EC58F5"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6BCDB4BA" w14:textId="77777777" w:rsidTr="00614438">
        <w:trPr>
          <w:trHeight w:val="229"/>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4F01473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88" w:type="dxa"/>
            <w:gridSpan w:val="3"/>
            <w:tcBorders>
              <w:top w:val="single" w:sz="8" w:space="0" w:color="auto"/>
              <w:left w:val="nil"/>
              <w:bottom w:val="single" w:sz="8" w:space="0" w:color="auto"/>
              <w:right w:val="single" w:sz="8" w:space="0" w:color="000000"/>
            </w:tcBorders>
            <w:vAlign w:val="center"/>
            <w:hideMark/>
          </w:tcPr>
          <w:p w14:paraId="7F15E643"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the use of renewable energy sources</w:t>
            </w:r>
          </w:p>
        </w:tc>
        <w:tc>
          <w:tcPr>
            <w:tcW w:w="222" w:type="dxa"/>
            <w:vAlign w:val="center"/>
            <w:hideMark/>
          </w:tcPr>
          <w:p w14:paraId="062F9E04"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06A229A5" w14:textId="77777777" w:rsidTr="00614438">
        <w:trPr>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4D9B230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88" w:type="dxa"/>
            <w:gridSpan w:val="3"/>
            <w:tcBorders>
              <w:top w:val="single" w:sz="8" w:space="0" w:color="auto"/>
              <w:left w:val="nil"/>
              <w:bottom w:val="single" w:sz="8" w:space="0" w:color="auto"/>
              <w:right w:val="single" w:sz="8" w:space="0" w:color="000000"/>
            </w:tcBorders>
            <w:vAlign w:val="center"/>
            <w:hideMark/>
          </w:tcPr>
          <w:p w14:paraId="539BAD4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0.1 M€</w:t>
            </w:r>
          </w:p>
        </w:tc>
        <w:tc>
          <w:tcPr>
            <w:tcW w:w="222" w:type="dxa"/>
            <w:vAlign w:val="center"/>
            <w:hideMark/>
          </w:tcPr>
          <w:p w14:paraId="1652EEDC"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0EFE2790" w14:textId="77777777" w:rsidTr="00614438">
        <w:trPr>
          <w:trHeight w:val="315"/>
        </w:trPr>
        <w:tc>
          <w:tcPr>
            <w:tcW w:w="3270" w:type="dxa"/>
            <w:tcBorders>
              <w:top w:val="nil"/>
              <w:left w:val="single" w:sz="8" w:space="0" w:color="auto"/>
              <w:bottom w:val="single" w:sz="8" w:space="0" w:color="auto"/>
              <w:right w:val="single" w:sz="8" w:space="0" w:color="auto"/>
            </w:tcBorders>
            <w:shd w:val="clear" w:color="auto" w:fill="244062"/>
            <w:vAlign w:val="center"/>
            <w:hideMark/>
          </w:tcPr>
          <w:p w14:paraId="1624498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88" w:type="dxa"/>
            <w:gridSpan w:val="3"/>
            <w:tcBorders>
              <w:top w:val="single" w:sz="8" w:space="0" w:color="auto"/>
              <w:left w:val="nil"/>
              <w:bottom w:val="single" w:sz="8" w:space="0" w:color="auto"/>
              <w:right w:val="single" w:sz="8" w:space="0" w:color="000000"/>
            </w:tcBorders>
            <w:vAlign w:val="center"/>
            <w:hideMark/>
          </w:tcPr>
          <w:p w14:paraId="092493F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5B4C08E5" w14:textId="77777777" w:rsidR="00614438" w:rsidRPr="003E0710" w:rsidRDefault="00614438" w:rsidP="003E0710">
            <w:pPr>
              <w:spacing w:after="0"/>
              <w:jc w:val="both"/>
              <w:rPr>
                <w:rFonts w:ascii="Times New Roman" w:hAnsi="Times New Roman" w:cs="Times New Roman"/>
                <w:sz w:val="20"/>
                <w:szCs w:val="20"/>
                <w:lang w:val="en-GB"/>
              </w:rPr>
            </w:pPr>
          </w:p>
        </w:tc>
      </w:tr>
    </w:tbl>
    <w:p w14:paraId="47408825"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27"/>
        <w:gridCol w:w="950"/>
        <w:gridCol w:w="945"/>
        <w:gridCol w:w="4236"/>
        <w:gridCol w:w="222"/>
      </w:tblGrid>
      <w:tr w:rsidR="00614438" w:rsidRPr="003E0710" w14:paraId="11770E5A" w14:textId="77777777" w:rsidTr="00614438">
        <w:trPr>
          <w:gridAfter w:val="1"/>
          <w:wAfter w:w="222" w:type="dxa"/>
          <w:trHeight w:val="780"/>
        </w:trPr>
        <w:tc>
          <w:tcPr>
            <w:tcW w:w="3330"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11B3BC3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41" w:type="dxa"/>
            <w:tcBorders>
              <w:top w:val="single" w:sz="8" w:space="0" w:color="auto"/>
              <w:left w:val="nil"/>
              <w:bottom w:val="single" w:sz="8" w:space="0" w:color="auto"/>
              <w:right w:val="single" w:sz="8" w:space="0" w:color="auto"/>
            </w:tcBorders>
            <w:shd w:val="clear" w:color="auto" w:fill="E7E6E6" w:themeFill="background2"/>
            <w:vAlign w:val="center"/>
            <w:hideMark/>
          </w:tcPr>
          <w:p w14:paraId="3747B25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PM_D26</w:t>
            </w:r>
          </w:p>
        </w:tc>
        <w:tc>
          <w:tcPr>
            <w:tcW w:w="946" w:type="dxa"/>
            <w:tcBorders>
              <w:top w:val="single" w:sz="8" w:space="0" w:color="auto"/>
              <w:left w:val="nil"/>
              <w:bottom w:val="single" w:sz="8" w:space="0" w:color="auto"/>
              <w:right w:val="single" w:sz="8" w:space="0" w:color="auto"/>
            </w:tcBorders>
            <w:shd w:val="clear" w:color="auto" w:fill="244062"/>
            <w:vAlign w:val="center"/>
            <w:hideMark/>
          </w:tcPr>
          <w:p w14:paraId="5490935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41" w:type="dxa"/>
            <w:tcBorders>
              <w:top w:val="single" w:sz="8" w:space="0" w:color="auto"/>
              <w:left w:val="nil"/>
              <w:bottom w:val="single" w:sz="8" w:space="0" w:color="auto"/>
              <w:right w:val="single" w:sz="8" w:space="0" w:color="auto"/>
            </w:tcBorders>
            <w:shd w:val="clear" w:color="auto" w:fill="E7E6E6" w:themeFill="background2"/>
            <w:vAlign w:val="center"/>
            <w:hideMark/>
          </w:tcPr>
          <w:p w14:paraId="49710FC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Fostering the self-consumption of the produced electricity</w:t>
            </w:r>
          </w:p>
        </w:tc>
      </w:tr>
      <w:tr w:rsidR="00614438" w:rsidRPr="003E0710" w14:paraId="1C1339D9" w14:textId="77777777" w:rsidTr="00614438">
        <w:trPr>
          <w:gridAfter w:val="1"/>
          <w:wAfter w:w="222" w:type="dxa"/>
          <w:trHeight w:val="329"/>
        </w:trPr>
        <w:tc>
          <w:tcPr>
            <w:tcW w:w="3330" w:type="dxa"/>
            <w:tcBorders>
              <w:top w:val="nil"/>
              <w:left w:val="single" w:sz="8" w:space="0" w:color="auto"/>
              <w:bottom w:val="single" w:sz="8" w:space="0" w:color="auto"/>
              <w:right w:val="nil"/>
            </w:tcBorders>
            <w:shd w:val="clear" w:color="auto" w:fill="244062"/>
            <w:vAlign w:val="center"/>
            <w:hideMark/>
          </w:tcPr>
          <w:p w14:paraId="1F6E49F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28" w:type="dxa"/>
            <w:gridSpan w:val="3"/>
            <w:tcBorders>
              <w:top w:val="single" w:sz="8" w:space="0" w:color="auto"/>
              <w:left w:val="nil"/>
              <w:bottom w:val="single" w:sz="8" w:space="0" w:color="auto"/>
              <w:right w:val="single" w:sz="8" w:space="0" w:color="000000"/>
            </w:tcBorders>
            <w:vAlign w:val="center"/>
            <w:hideMark/>
          </w:tcPr>
          <w:p w14:paraId="6519710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Increase share of RES in electricity</w:t>
            </w:r>
          </w:p>
        </w:tc>
      </w:tr>
      <w:tr w:rsidR="00614438" w:rsidRPr="003E0710" w14:paraId="3C428FF8"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289EF4C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28" w:type="dxa"/>
            <w:gridSpan w:val="3"/>
            <w:tcBorders>
              <w:top w:val="single" w:sz="8" w:space="0" w:color="auto"/>
              <w:left w:val="nil"/>
              <w:bottom w:val="single" w:sz="8" w:space="0" w:color="auto"/>
              <w:right w:val="single" w:sz="8" w:space="0" w:color="000000"/>
            </w:tcBorders>
            <w:vAlign w:val="center"/>
            <w:hideMark/>
          </w:tcPr>
          <w:p w14:paraId="7522347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Contribution to measure PM_D21</w:t>
            </w:r>
          </w:p>
        </w:tc>
      </w:tr>
      <w:tr w:rsidR="00614438" w:rsidRPr="003E0710" w14:paraId="3FAE37AD" w14:textId="77777777" w:rsidTr="00614438">
        <w:trPr>
          <w:gridAfter w:val="1"/>
          <w:wAfter w:w="222" w:type="dxa"/>
          <w:trHeight w:val="567"/>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6099EA7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28" w:type="dxa"/>
            <w:gridSpan w:val="3"/>
            <w:tcBorders>
              <w:top w:val="single" w:sz="8" w:space="0" w:color="auto"/>
              <w:left w:val="nil"/>
              <w:bottom w:val="single" w:sz="8" w:space="0" w:color="auto"/>
              <w:right w:val="single" w:sz="8" w:space="0" w:color="000000"/>
            </w:tcBorders>
            <w:vAlign w:val="center"/>
            <w:hideMark/>
          </w:tcPr>
          <w:p w14:paraId="0BC5D5F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PM_D26 will support renewables self-consumers (producer-customer) for the installation of decentralized renewable energy systems with the initiation of a dedicated support scheme</w:t>
            </w:r>
            <w:r w:rsidR="00021B6B" w:rsidRPr="003E0710">
              <w:rPr>
                <w:rFonts w:ascii="Times New Roman" w:hAnsi="Times New Roman" w:cs="Times New Roman"/>
                <w:sz w:val="20"/>
                <w:szCs w:val="20"/>
                <w:lang w:val="en-GB"/>
              </w:rPr>
              <w:t>,</w:t>
            </w:r>
            <w:r w:rsidRPr="003E0710">
              <w:rPr>
                <w:rFonts w:ascii="Times New Roman" w:hAnsi="Times New Roman" w:cs="Times New Roman"/>
                <w:sz w:val="20"/>
                <w:szCs w:val="20"/>
                <w:lang w:val="en-GB"/>
              </w:rPr>
              <w:t xml:space="preserve"> including the provision of financial and fiscal incentives. The implementation of the measure will take into considerations the provisions of the relevant legislation. The design of the support scheme will be carried out taking into account the triggered benefits due to the deployment of decentralized renewable energy systems and the increase of prosumerism. Moreover, non-discriminatory and proportionate charges and fees will be applied to renewables self-consumers, while transparent and fair allocation rules will be specified in the case that the renewables self-consumers are located in the same building. Finally, an analysis will be occurred in order to identify potential barriers, while specific policies and measures will be initiated for addressing them in the case that their existence will be justified ensuring </w:t>
            </w:r>
            <w:r w:rsidRPr="003E0710">
              <w:rPr>
                <w:rFonts w:ascii="Times New Roman" w:hAnsi="Times New Roman" w:cs="Times New Roman"/>
                <w:sz w:val="20"/>
                <w:szCs w:val="20"/>
                <w:lang w:val="en-GB"/>
              </w:rPr>
              <w:lastRenderedPageBreak/>
              <w:t>simultaneously that renewables self-consumers contribute in an adequate and balanced way to the overall cost sharing of the system when electricity is fed into the grid.</w:t>
            </w:r>
          </w:p>
        </w:tc>
      </w:tr>
      <w:tr w:rsidR="00614438" w:rsidRPr="003E0710" w14:paraId="705FB1CB"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199AC49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Implementation Timeframe</w:t>
            </w:r>
          </w:p>
        </w:tc>
        <w:tc>
          <w:tcPr>
            <w:tcW w:w="6128" w:type="dxa"/>
            <w:gridSpan w:val="3"/>
            <w:tcBorders>
              <w:top w:val="single" w:sz="8" w:space="0" w:color="auto"/>
              <w:left w:val="nil"/>
              <w:bottom w:val="single" w:sz="8" w:space="0" w:color="auto"/>
              <w:right w:val="single" w:sz="8" w:space="0" w:color="000000"/>
            </w:tcBorders>
            <w:vAlign w:val="center"/>
            <w:hideMark/>
          </w:tcPr>
          <w:p w14:paraId="6175699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2025-2030</w:t>
            </w:r>
          </w:p>
        </w:tc>
      </w:tr>
      <w:tr w:rsidR="00614438" w:rsidRPr="003E0710" w14:paraId="1515962B"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2234BBF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28" w:type="dxa"/>
            <w:gridSpan w:val="3"/>
            <w:tcBorders>
              <w:top w:val="single" w:sz="8" w:space="0" w:color="auto"/>
              <w:left w:val="nil"/>
              <w:bottom w:val="single" w:sz="8" w:space="0" w:color="auto"/>
              <w:right w:val="single" w:sz="8" w:space="0" w:color="000000"/>
            </w:tcBorders>
            <w:vAlign w:val="center"/>
            <w:hideMark/>
          </w:tcPr>
          <w:p w14:paraId="5C1B0ED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w:t>
            </w:r>
          </w:p>
        </w:tc>
      </w:tr>
      <w:tr w:rsidR="00614438" w:rsidRPr="003E0710" w14:paraId="7EC2ED98"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782EA25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28" w:type="dxa"/>
            <w:gridSpan w:val="3"/>
            <w:tcBorders>
              <w:top w:val="single" w:sz="8" w:space="0" w:color="auto"/>
              <w:left w:val="nil"/>
              <w:bottom w:val="single" w:sz="8" w:space="0" w:color="auto"/>
              <w:right w:val="single" w:sz="8" w:space="0" w:color="000000"/>
            </w:tcBorders>
            <w:vAlign w:val="center"/>
            <w:hideMark/>
          </w:tcPr>
          <w:p w14:paraId="3017090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Electricity </w:t>
            </w:r>
          </w:p>
        </w:tc>
      </w:tr>
      <w:tr w:rsidR="00614438" w:rsidRPr="003E0710" w14:paraId="405471D4"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1721D11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28" w:type="dxa"/>
            <w:gridSpan w:val="3"/>
            <w:tcBorders>
              <w:top w:val="single" w:sz="8" w:space="0" w:color="auto"/>
              <w:left w:val="nil"/>
              <w:bottom w:val="single" w:sz="8" w:space="0" w:color="auto"/>
              <w:right w:val="single" w:sz="8" w:space="0" w:color="000000"/>
            </w:tcBorders>
            <w:vAlign w:val="center"/>
            <w:hideMark/>
          </w:tcPr>
          <w:p w14:paraId="075E1B92"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Mining and Energy</w:t>
            </w:r>
          </w:p>
        </w:tc>
      </w:tr>
      <w:tr w:rsidR="00614438" w:rsidRPr="003E0710" w14:paraId="314E23E9" w14:textId="77777777" w:rsidTr="00614438">
        <w:trPr>
          <w:gridAfter w:val="1"/>
          <w:wAfter w:w="222" w:type="dxa"/>
          <w:trHeight w:val="315"/>
        </w:trPr>
        <w:tc>
          <w:tcPr>
            <w:tcW w:w="3330" w:type="dxa"/>
            <w:tcBorders>
              <w:top w:val="nil"/>
              <w:left w:val="single" w:sz="8" w:space="0" w:color="auto"/>
              <w:bottom w:val="single" w:sz="8" w:space="0" w:color="auto"/>
              <w:right w:val="nil"/>
            </w:tcBorders>
            <w:shd w:val="clear" w:color="auto" w:fill="244062"/>
            <w:vAlign w:val="center"/>
            <w:hideMark/>
          </w:tcPr>
          <w:p w14:paraId="029F97E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28" w:type="dxa"/>
            <w:gridSpan w:val="3"/>
            <w:tcBorders>
              <w:top w:val="single" w:sz="8" w:space="0" w:color="auto"/>
              <w:left w:val="nil"/>
              <w:bottom w:val="single" w:sz="8" w:space="0" w:color="auto"/>
              <w:right w:val="single" w:sz="8" w:space="0" w:color="000000"/>
            </w:tcBorders>
            <w:vAlign w:val="center"/>
            <w:hideMark/>
          </w:tcPr>
          <w:p w14:paraId="3F9424A2"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 </w:t>
            </w:r>
          </w:p>
        </w:tc>
      </w:tr>
      <w:tr w:rsidR="00614438" w:rsidRPr="003E0710" w14:paraId="7B6C5A11" w14:textId="77777777" w:rsidTr="00614438">
        <w:trPr>
          <w:gridAfter w:val="1"/>
          <w:wAfter w:w="222" w:type="dxa"/>
          <w:trHeight w:val="315"/>
        </w:trPr>
        <w:tc>
          <w:tcPr>
            <w:tcW w:w="3330" w:type="dxa"/>
            <w:tcBorders>
              <w:top w:val="nil"/>
              <w:left w:val="single" w:sz="8" w:space="0" w:color="auto"/>
              <w:bottom w:val="single" w:sz="8" w:space="0" w:color="auto"/>
              <w:right w:val="nil"/>
            </w:tcBorders>
            <w:shd w:val="clear" w:color="auto" w:fill="244062"/>
            <w:vAlign w:val="center"/>
            <w:hideMark/>
          </w:tcPr>
          <w:p w14:paraId="1DC46FF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28" w:type="dxa"/>
            <w:gridSpan w:val="3"/>
            <w:tcBorders>
              <w:top w:val="single" w:sz="8" w:space="0" w:color="auto"/>
              <w:left w:val="nil"/>
              <w:bottom w:val="single" w:sz="8" w:space="0" w:color="auto"/>
              <w:right w:val="single" w:sz="8" w:space="0" w:color="000000"/>
            </w:tcBorders>
            <w:vAlign w:val="center"/>
            <w:hideMark/>
          </w:tcPr>
          <w:p w14:paraId="140769A3"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Installed capacity and produced RES electricity </w:t>
            </w:r>
          </w:p>
        </w:tc>
      </w:tr>
      <w:tr w:rsidR="00614438" w:rsidRPr="003E0710" w14:paraId="01D5135B" w14:textId="77777777" w:rsidTr="00614438">
        <w:trPr>
          <w:gridAfter w:val="1"/>
          <w:wAfter w:w="222" w:type="dxa"/>
          <w:trHeight w:val="449"/>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06C845C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28" w:type="dxa"/>
            <w:gridSpan w:val="3"/>
            <w:tcBorders>
              <w:top w:val="single" w:sz="8" w:space="0" w:color="auto"/>
              <w:left w:val="nil"/>
              <w:bottom w:val="single" w:sz="8" w:space="0" w:color="auto"/>
              <w:right w:val="single" w:sz="8" w:space="0" w:color="000000"/>
            </w:tcBorders>
            <w:vAlign w:val="center"/>
            <w:hideMark/>
          </w:tcPr>
          <w:p w14:paraId="4C2A7442"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 xml:space="preserve">Energy efficiency (the promoted RES technologies will </w:t>
            </w:r>
            <w:r w:rsidR="00021B6B" w:rsidRPr="003E0710">
              <w:rPr>
                <w:rFonts w:ascii="Times New Roman" w:hAnsi="Times New Roman" w:cs="Times New Roman"/>
                <w:sz w:val="20"/>
                <w:szCs w:val="20"/>
              </w:rPr>
              <w:t xml:space="preserve">also </w:t>
            </w:r>
            <w:r w:rsidRPr="003E0710">
              <w:rPr>
                <w:rFonts w:ascii="Times New Roman" w:hAnsi="Times New Roman" w:cs="Times New Roman"/>
                <w:sz w:val="20"/>
                <w:szCs w:val="20"/>
              </w:rPr>
              <w:t>deliver primary energy savings contributing to the achievement of the relevant targets)</w:t>
            </w:r>
          </w:p>
          <w:p w14:paraId="13BAD6F4"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security (the penetration of RES technologies will reduce the energy import dependency from third countries and increase the deployment of domestic energy sources)</w:t>
            </w:r>
          </w:p>
        </w:tc>
      </w:tr>
      <w:tr w:rsidR="00614438" w:rsidRPr="003E0710" w14:paraId="6647DBD3" w14:textId="77777777" w:rsidTr="00614438">
        <w:trPr>
          <w:gridAfter w:val="1"/>
          <w:wAfter w:w="222" w:type="dxa"/>
          <w:trHeight w:val="458"/>
        </w:trPr>
        <w:tc>
          <w:tcPr>
            <w:tcW w:w="3330" w:type="dxa"/>
            <w:vMerge w:val="restart"/>
            <w:tcBorders>
              <w:top w:val="nil"/>
              <w:left w:val="single" w:sz="8" w:space="0" w:color="auto"/>
              <w:bottom w:val="single" w:sz="8" w:space="0" w:color="000000"/>
              <w:right w:val="single" w:sz="8" w:space="0" w:color="auto"/>
            </w:tcBorders>
            <w:shd w:val="clear" w:color="auto" w:fill="244062"/>
            <w:vAlign w:val="center"/>
            <w:hideMark/>
          </w:tcPr>
          <w:p w14:paraId="66542CD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28"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46487F49"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7C0B1E54"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6DC9125A"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5D20BB1"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76176F06"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12E3EBCC"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5197851C"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CDA621B"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20F284F8"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2737AA6D" w14:textId="77777777" w:rsidTr="00614438">
        <w:trPr>
          <w:trHeight w:val="443"/>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4CD9B27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28" w:type="dxa"/>
            <w:gridSpan w:val="3"/>
            <w:tcBorders>
              <w:top w:val="single" w:sz="8" w:space="0" w:color="auto"/>
              <w:left w:val="nil"/>
              <w:bottom w:val="single" w:sz="8" w:space="0" w:color="auto"/>
              <w:right w:val="single" w:sz="8" w:space="0" w:color="000000"/>
            </w:tcBorders>
            <w:vAlign w:val="center"/>
            <w:hideMark/>
          </w:tcPr>
          <w:p w14:paraId="569FA83D"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the use of renewable energy sources</w:t>
            </w:r>
          </w:p>
          <w:p w14:paraId="46060A6B"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Energy Efficiency and Rational Use of Energy</w:t>
            </w:r>
          </w:p>
        </w:tc>
        <w:tc>
          <w:tcPr>
            <w:tcW w:w="222" w:type="dxa"/>
            <w:vAlign w:val="center"/>
            <w:hideMark/>
          </w:tcPr>
          <w:p w14:paraId="70CA980A"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6311E76F" w14:textId="77777777" w:rsidTr="00614438">
        <w:trPr>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1D91D59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28" w:type="dxa"/>
            <w:gridSpan w:val="3"/>
            <w:tcBorders>
              <w:top w:val="single" w:sz="8" w:space="0" w:color="auto"/>
              <w:left w:val="nil"/>
              <w:bottom w:val="single" w:sz="8" w:space="0" w:color="auto"/>
              <w:right w:val="single" w:sz="8" w:space="0" w:color="000000"/>
            </w:tcBorders>
            <w:vAlign w:val="center"/>
            <w:hideMark/>
          </w:tcPr>
          <w:p w14:paraId="7EBAD777" w14:textId="77777777" w:rsidR="00614438" w:rsidRPr="003E0710" w:rsidRDefault="00021B6B"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Will b</w:t>
            </w:r>
            <w:r w:rsidR="00614438" w:rsidRPr="003E0710">
              <w:rPr>
                <w:rFonts w:ascii="Times New Roman" w:hAnsi="Times New Roman" w:cs="Times New Roman"/>
                <w:sz w:val="20"/>
                <w:szCs w:val="20"/>
                <w:lang w:val="en-GB"/>
              </w:rPr>
              <w:t>e integrated into PM_D21</w:t>
            </w:r>
          </w:p>
        </w:tc>
        <w:tc>
          <w:tcPr>
            <w:tcW w:w="222" w:type="dxa"/>
            <w:vAlign w:val="center"/>
            <w:hideMark/>
          </w:tcPr>
          <w:p w14:paraId="60E8EE7C"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6C441B91" w14:textId="77777777" w:rsidTr="00614438">
        <w:trPr>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40E865B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28" w:type="dxa"/>
            <w:gridSpan w:val="3"/>
            <w:tcBorders>
              <w:top w:val="single" w:sz="8" w:space="0" w:color="auto"/>
              <w:left w:val="nil"/>
              <w:bottom w:val="single" w:sz="8" w:space="0" w:color="auto"/>
              <w:right w:val="single" w:sz="8" w:space="0" w:color="000000"/>
            </w:tcBorders>
            <w:vAlign w:val="center"/>
            <w:hideMark/>
          </w:tcPr>
          <w:p w14:paraId="2E93EA6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7B93B2ED" w14:textId="77777777" w:rsidR="00614438" w:rsidRPr="003E0710" w:rsidRDefault="00614438" w:rsidP="003E0710">
            <w:pPr>
              <w:spacing w:after="0"/>
              <w:jc w:val="both"/>
              <w:rPr>
                <w:rFonts w:ascii="Times New Roman" w:hAnsi="Times New Roman" w:cs="Times New Roman"/>
                <w:sz w:val="20"/>
                <w:szCs w:val="20"/>
                <w:lang w:val="en-GB"/>
              </w:rPr>
            </w:pPr>
          </w:p>
        </w:tc>
      </w:tr>
    </w:tbl>
    <w:p w14:paraId="0BE2720E"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28"/>
        <w:gridCol w:w="950"/>
        <w:gridCol w:w="946"/>
        <w:gridCol w:w="4234"/>
        <w:gridCol w:w="222"/>
      </w:tblGrid>
      <w:tr w:rsidR="00614438" w:rsidRPr="003E0710" w14:paraId="2ADE916E" w14:textId="77777777" w:rsidTr="00614438">
        <w:trPr>
          <w:gridAfter w:val="1"/>
          <w:wAfter w:w="222" w:type="dxa"/>
          <w:trHeight w:val="780"/>
        </w:trPr>
        <w:tc>
          <w:tcPr>
            <w:tcW w:w="3330"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093E379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32E8422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PM_D27</w:t>
            </w:r>
          </w:p>
        </w:tc>
        <w:tc>
          <w:tcPr>
            <w:tcW w:w="946" w:type="dxa"/>
            <w:tcBorders>
              <w:top w:val="single" w:sz="8" w:space="0" w:color="auto"/>
              <w:left w:val="nil"/>
              <w:bottom w:val="single" w:sz="8" w:space="0" w:color="auto"/>
              <w:right w:val="single" w:sz="8" w:space="0" w:color="auto"/>
            </w:tcBorders>
            <w:shd w:val="clear" w:color="auto" w:fill="244062"/>
            <w:vAlign w:val="center"/>
            <w:hideMark/>
          </w:tcPr>
          <w:p w14:paraId="133F7E6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37" w:type="dxa"/>
            <w:tcBorders>
              <w:top w:val="single" w:sz="8" w:space="0" w:color="auto"/>
              <w:left w:val="nil"/>
              <w:bottom w:val="single" w:sz="8" w:space="0" w:color="auto"/>
              <w:right w:val="single" w:sz="8" w:space="0" w:color="auto"/>
            </w:tcBorders>
            <w:shd w:val="clear" w:color="auto" w:fill="E7E6E6" w:themeFill="background2"/>
            <w:vAlign w:val="center"/>
            <w:hideMark/>
          </w:tcPr>
          <w:p w14:paraId="05E12F4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Operating publicly accessible registries for RES electricity producers </w:t>
            </w:r>
          </w:p>
        </w:tc>
      </w:tr>
      <w:tr w:rsidR="00614438" w:rsidRPr="003E0710" w14:paraId="41BC8C24" w14:textId="77777777" w:rsidTr="00614438">
        <w:trPr>
          <w:gridAfter w:val="1"/>
          <w:wAfter w:w="222" w:type="dxa"/>
          <w:trHeight w:val="341"/>
        </w:trPr>
        <w:tc>
          <w:tcPr>
            <w:tcW w:w="3330" w:type="dxa"/>
            <w:tcBorders>
              <w:top w:val="nil"/>
              <w:left w:val="single" w:sz="8" w:space="0" w:color="auto"/>
              <w:bottom w:val="single" w:sz="8" w:space="0" w:color="auto"/>
              <w:right w:val="nil"/>
            </w:tcBorders>
            <w:shd w:val="clear" w:color="auto" w:fill="244062"/>
            <w:vAlign w:val="center"/>
            <w:hideMark/>
          </w:tcPr>
          <w:p w14:paraId="377DE10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28" w:type="dxa"/>
            <w:gridSpan w:val="3"/>
            <w:tcBorders>
              <w:top w:val="single" w:sz="8" w:space="0" w:color="auto"/>
              <w:left w:val="nil"/>
              <w:bottom w:val="single" w:sz="8" w:space="0" w:color="auto"/>
              <w:right w:val="single" w:sz="8" w:space="0" w:color="000000"/>
            </w:tcBorders>
            <w:vAlign w:val="center"/>
            <w:hideMark/>
          </w:tcPr>
          <w:p w14:paraId="732DDE7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Increase share of RES in electricity</w:t>
            </w:r>
            <w:r w:rsidR="00E23338" w:rsidRPr="003E0710">
              <w:rPr>
                <w:rFonts w:ascii="Times New Roman" w:hAnsi="Times New Roman" w:cs="Times New Roman"/>
                <w:sz w:val="20"/>
                <w:szCs w:val="20"/>
                <w:lang w:val="en-GB"/>
              </w:rPr>
              <w:t xml:space="preserve"> production</w:t>
            </w:r>
            <w:r w:rsidRPr="003E0710">
              <w:rPr>
                <w:rFonts w:ascii="Times New Roman" w:hAnsi="Times New Roman" w:cs="Times New Roman"/>
                <w:sz w:val="20"/>
                <w:szCs w:val="20"/>
                <w:lang w:val="en-GB"/>
              </w:rPr>
              <w:t xml:space="preserve"> </w:t>
            </w:r>
          </w:p>
        </w:tc>
      </w:tr>
      <w:tr w:rsidR="00614438" w:rsidRPr="003E0710" w14:paraId="0BCE0DEB"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7959264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28" w:type="dxa"/>
            <w:gridSpan w:val="3"/>
            <w:tcBorders>
              <w:top w:val="single" w:sz="8" w:space="0" w:color="auto"/>
              <w:left w:val="nil"/>
              <w:bottom w:val="single" w:sz="8" w:space="0" w:color="auto"/>
              <w:right w:val="single" w:sz="8" w:space="0" w:color="000000"/>
            </w:tcBorders>
            <w:vAlign w:val="center"/>
            <w:hideMark/>
          </w:tcPr>
          <w:p w14:paraId="6C1F676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Contribution to the expected RES penetration for electricity production</w:t>
            </w:r>
          </w:p>
        </w:tc>
      </w:tr>
      <w:tr w:rsidR="00614438" w:rsidRPr="003E0710" w14:paraId="0CEF38CB" w14:textId="77777777" w:rsidTr="00614438">
        <w:trPr>
          <w:gridAfter w:val="1"/>
          <w:wAfter w:w="222" w:type="dxa"/>
          <w:trHeight w:val="918"/>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7AF8B8D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28" w:type="dxa"/>
            <w:gridSpan w:val="3"/>
            <w:tcBorders>
              <w:top w:val="single" w:sz="8" w:space="0" w:color="auto"/>
              <w:left w:val="nil"/>
              <w:bottom w:val="single" w:sz="8" w:space="0" w:color="auto"/>
              <w:right w:val="single" w:sz="8" w:space="0" w:color="000000"/>
            </w:tcBorders>
            <w:vAlign w:val="center"/>
            <w:hideMark/>
          </w:tcPr>
          <w:p w14:paraId="32D7694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PM_D27 foresee the improvement of the existing registries by the competent authorities as foreseen by the respective legislation for providing information to all citizens about the net benefits, cost and energy efficiency of the installed renewable energy stations for electricity production.</w:t>
            </w:r>
          </w:p>
        </w:tc>
      </w:tr>
      <w:tr w:rsidR="00614438" w:rsidRPr="003E0710" w14:paraId="7ACECF1B"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50626F5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28" w:type="dxa"/>
            <w:gridSpan w:val="3"/>
            <w:tcBorders>
              <w:top w:val="single" w:sz="8" w:space="0" w:color="auto"/>
              <w:left w:val="nil"/>
              <w:bottom w:val="single" w:sz="8" w:space="0" w:color="auto"/>
              <w:right w:val="single" w:sz="8" w:space="0" w:color="000000"/>
            </w:tcBorders>
            <w:vAlign w:val="center"/>
            <w:hideMark/>
          </w:tcPr>
          <w:p w14:paraId="6B56C4F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2025-2026</w:t>
            </w:r>
          </w:p>
        </w:tc>
      </w:tr>
      <w:tr w:rsidR="00614438" w:rsidRPr="003E0710" w14:paraId="67E19F8B"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6AEC326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28" w:type="dxa"/>
            <w:gridSpan w:val="3"/>
            <w:tcBorders>
              <w:top w:val="single" w:sz="8" w:space="0" w:color="auto"/>
              <w:left w:val="nil"/>
              <w:bottom w:val="single" w:sz="8" w:space="0" w:color="auto"/>
              <w:right w:val="single" w:sz="8" w:space="0" w:color="000000"/>
            </w:tcBorders>
            <w:vAlign w:val="center"/>
            <w:hideMark/>
          </w:tcPr>
          <w:p w14:paraId="02573D9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Reform</w:t>
            </w:r>
          </w:p>
        </w:tc>
      </w:tr>
      <w:tr w:rsidR="00614438" w:rsidRPr="003E0710" w14:paraId="79A6365E"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55B2765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28" w:type="dxa"/>
            <w:gridSpan w:val="3"/>
            <w:tcBorders>
              <w:top w:val="single" w:sz="8" w:space="0" w:color="auto"/>
              <w:left w:val="nil"/>
              <w:bottom w:val="single" w:sz="8" w:space="0" w:color="auto"/>
              <w:right w:val="single" w:sz="8" w:space="0" w:color="000000"/>
            </w:tcBorders>
            <w:vAlign w:val="center"/>
            <w:hideMark/>
          </w:tcPr>
          <w:p w14:paraId="3A73704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Electricity </w:t>
            </w:r>
          </w:p>
        </w:tc>
      </w:tr>
      <w:tr w:rsidR="00614438" w:rsidRPr="003E0710" w14:paraId="02E99275" w14:textId="77777777" w:rsidTr="00614438">
        <w:trPr>
          <w:gridAfter w:val="1"/>
          <w:wAfter w:w="222" w:type="dxa"/>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78809C4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28" w:type="dxa"/>
            <w:gridSpan w:val="3"/>
            <w:tcBorders>
              <w:top w:val="single" w:sz="8" w:space="0" w:color="auto"/>
              <w:left w:val="nil"/>
              <w:bottom w:val="single" w:sz="8" w:space="0" w:color="auto"/>
              <w:right w:val="single" w:sz="8" w:space="0" w:color="000000"/>
            </w:tcBorders>
            <w:vAlign w:val="center"/>
            <w:hideMark/>
          </w:tcPr>
          <w:p w14:paraId="78F8FC07"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Mining and Energy</w:t>
            </w:r>
          </w:p>
        </w:tc>
      </w:tr>
      <w:tr w:rsidR="00614438" w:rsidRPr="003E0710" w14:paraId="16BB9F32" w14:textId="77777777" w:rsidTr="00614438">
        <w:trPr>
          <w:gridAfter w:val="1"/>
          <w:wAfter w:w="222" w:type="dxa"/>
          <w:trHeight w:val="315"/>
        </w:trPr>
        <w:tc>
          <w:tcPr>
            <w:tcW w:w="3330" w:type="dxa"/>
            <w:tcBorders>
              <w:top w:val="nil"/>
              <w:left w:val="single" w:sz="8" w:space="0" w:color="auto"/>
              <w:bottom w:val="single" w:sz="8" w:space="0" w:color="auto"/>
              <w:right w:val="nil"/>
            </w:tcBorders>
            <w:shd w:val="clear" w:color="auto" w:fill="244062"/>
            <w:vAlign w:val="center"/>
            <w:hideMark/>
          </w:tcPr>
          <w:p w14:paraId="55A433F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28" w:type="dxa"/>
            <w:gridSpan w:val="3"/>
            <w:tcBorders>
              <w:top w:val="single" w:sz="8" w:space="0" w:color="auto"/>
              <w:left w:val="nil"/>
              <w:bottom w:val="single" w:sz="8" w:space="0" w:color="auto"/>
              <w:right w:val="single" w:sz="8" w:space="0" w:color="000000"/>
            </w:tcBorders>
            <w:vAlign w:val="center"/>
            <w:hideMark/>
          </w:tcPr>
          <w:p w14:paraId="176B9EE6"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 </w:t>
            </w:r>
          </w:p>
        </w:tc>
      </w:tr>
      <w:tr w:rsidR="00614438" w:rsidRPr="003E0710" w14:paraId="2A148715" w14:textId="77777777" w:rsidTr="00614438">
        <w:trPr>
          <w:gridAfter w:val="1"/>
          <w:wAfter w:w="222" w:type="dxa"/>
          <w:trHeight w:val="315"/>
        </w:trPr>
        <w:tc>
          <w:tcPr>
            <w:tcW w:w="3330" w:type="dxa"/>
            <w:tcBorders>
              <w:top w:val="nil"/>
              <w:left w:val="single" w:sz="8" w:space="0" w:color="auto"/>
              <w:bottom w:val="single" w:sz="8" w:space="0" w:color="auto"/>
              <w:right w:val="nil"/>
            </w:tcBorders>
            <w:shd w:val="clear" w:color="auto" w:fill="244062"/>
            <w:vAlign w:val="center"/>
            <w:hideMark/>
          </w:tcPr>
          <w:p w14:paraId="36D6F92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28" w:type="dxa"/>
            <w:gridSpan w:val="3"/>
            <w:tcBorders>
              <w:top w:val="single" w:sz="8" w:space="0" w:color="auto"/>
              <w:left w:val="nil"/>
              <w:bottom w:val="single" w:sz="8" w:space="0" w:color="auto"/>
              <w:right w:val="single" w:sz="8" w:space="0" w:color="000000"/>
            </w:tcBorders>
            <w:vAlign w:val="center"/>
            <w:hideMark/>
          </w:tcPr>
          <w:p w14:paraId="7020817D"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Developed registry</w:t>
            </w:r>
          </w:p>
        </w:tc>
      </w:tr>
      <w:tr w:rsidR="00614438" w:rsidRPr="003E0710" w14:paraId="52F385BB" w14:textId="77777777" w:rsidTr="00614438">
        <w:trPr>
          <w:gridAfter w:val="1"/>
          <w:wAfter w:w="222" w:type="dxa"/>
          <w:trHeight w:val="323"/>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708EEF0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28" w:type="dxa"/>
            <w:gridSpan w:val="3"/>
            <w:tcBorders>
              <w:top w:val="single" w:sz="8" w:space="0" w:color="auto"/>
              <w:left w:val="nil"/>
              <w:bottom w:val="single" w:sz="8" w:space="0" w:color="auto"/>
              <w:right w:val="single" w:sz="8" w:space="0" w:color="000000"/>
            </w:tcBorders>
            <w:vAlign w:val="center"/>
            <w:hideMark/>
          </w:tcPr>
          <w:p w14:paraId="36755E9A"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 xml:space="preserve">Energy efficiency (the promoted RES technologies will </w:t>
            </w:r>
            <w:r w:rsidR="00E23338" w:rsidRPr="003E0710">
              <w:rPr>
                <w:rFonts w:ascii="Times New Roman" w:hAnsi="Times New Roman" w:cs="Times New Roman"/>
                <w:sz w:val="20"/>
                <w:szCs w:val="20"/>
              </w:rPr>
              <w:t xml:space="preserve">also </w:t>
            </w:r>
            <w:r w:rsidRPr="003E0710">
              <w:rPr>
                <w:rFonts w:ascii="Times New Roman" w:hAnsi="Times New Roman" w:cs="Times New Roman"/>
                <w:sz w:val="20"/>
                <w:szCs w:val="20"/>
              </w:rPr>
              <w:t>deliver primary energy savings contributing to the achievement of the relevant targets)</w:t>
            </w:r>
          </w:p>
          <w:p w14:paraId="4FBAF91C"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security (the penetration of RES technologies will reduce the energy import dependency from third countries and increase the deployment of domestic energy sources)</w:t>
            </w:r>
          </w:p>
        </w:tc>
      </w:tr>
      <w:tr w:rsidR="00614438" w:rsidRPr="003E0710" w14:paraId="7AF9D56E" w14:textId="77777777" w:rsidTr="00614438">
        <w:trPr>
          <w:gridAfter w:val="1"/>
          <w:wAfter w:w="222" w:type="dxa"/>
          <w:trHeight w:val="458"/>
        </w:trPr>
        <w:tc>
          <w:tcPr>
            <w:tcW w:w="3330" w:type="dxa"/>
            <w:vMerge w:val="restart"/>
            <w:tcBorders>
              <w:top w:val="nil"/>
              <w:left w:val="single" w:sz="8" w:space="0" w:color="auto"/>
              <w:bottom w:val="single" w:sz="8" w:space="0" w:color="000000"/>
              <w:right w:val="single" w:sz="8" w:space="0" w:color="auto"/>
            </w:tcBorders>
            <w:shd w:val="clear" w:color="auto" w:fill="244062"/>
            <w:vAlign w:val="center"/>
            <w:hideMark/>
          </w:tcPr>
          <w:p w14:paraId="635E399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28"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0D51E58"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1EA21197"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5D7DD764"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FBD100A"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531D1B03"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0DF5C516" w14:textId="77777777" w:rsidTr="00614438">
        <w:trPr>
          <w:trHeight w:val="54"/>
        </w:trPr>
        <w:tc>
          <w:tcPr>
            <w:tcW w:w="0" w:type="auto"/>
            <w:vMerge/>
            <w:tcBorders>
              <w:top w:val="nil"/>
              <w:left w:val="single" w:sz="8" w:space="0" w:color="auto"/>
              <w:bottom w:val="single" w:sz="8" w:space="0" w:color="000000"/>
              <w:right w:val="single" w:sz="8" w:space="0" w:color="auto"/>
            </w:tcBorders>
            <w:vAlign w:val="center"/>
            <w:hideMark/>
          </w:tcPr>
          <w:p w14:paraId="4A899CFB"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C581BD5"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7B307B43"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62859534" w14:textId="77777777" w:rsidTr="00614438">
        <w:trPr>
          <w:trHeight w:val="512"/>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2896875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28" w:type="dxa"/>
            <w:gridSpan w:val="3"/>
            <w:tcBorders>
              <w:top w:val="single" w:sz="8" w:space="0" w:color="auto"/>
              <w:left w:val="nil"/>
              <w:bottom w:val="single" w:sz="8" w:space="0" w:color="auto"/>
              <w:right w:val="single" w:sz="8" w:space="0" w:color="000000"/>
            </w:tcBorders>
            <w:vAlign w:val="center"/>
            <w:hideMark/>
          </w:tcPr>
          <w:p w14:paraId="31D26D0B"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the use of renewable energy sources</w:t>
            </w:r>
          </w:p>
        </w:tc>
        <w:tc>
          <w:tcPr>
            <w:tcW w:w="222" w:type="dxa"/>
            <w:vAlign w:val="center"/>
            <w:hideMark/>
          </w:tcPr>
          <w:p w14:paraId="70AE1C6E"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59FF4709" w14:textId="77777777" w:rsidTr="00614438">
        <w:trPr>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39B9E5C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Implementation cost</w:t>
            </w:r>
          </w:p>
        </w:tc>
        <w:tc>
          <w:tcPr>
            <w:tcW w:w="6128" w:type="dxa"/>
            <w:gridSpan w:val="3"/>
            <w:tcBorders>
              <w:top w:val="single" w:sz="8" w:space="0" w:color="auto"/>
              <w:left w:val="nil"/>
              <w:bottom w:val="single" w:sz="8" w:space="0" w:color="auto"/>
              <w:right w:val="single" w:sz="8" w:space="0" w:color="000000"/>
            </w:tcBorders>
            <w:vAlign w:val="center"/>
            <w:hideMark/>
          </w:tcPr>
          <w:p w14:paraId="2BB1B14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0.5 M€</w:t>
            </w:r>
          </w:p>
        </w:tc>
        <w:tc>
          <w:tcPr>
            <w:tcW w:w="222" w:type="dxa"/>
            <w:vAlign w:val="center"/>
            <w:hideMark/>
          </w:tcPr>
          <w:p w14:paraId="5AE9E4E7"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38E735D6" w14:textId="77777777" w:rsidTr="00614438">
        <w:trPr>
          <w:trHeight w:val="315"/>
        </w:trPr>
        <w:tc>
          <w:tcPr>
            <w:tcW w:w="3330" w:type="dxa"/>
            <w:tcBorders>
              <w:top w:val="nil"/>
              <w:left w:val="single" w:sz="8" w:space="0" w:color="auto"/>
              <w:bottom w:val="single" w:sz="8" w:space="0" w:color="auto"/>
              <w:right w:val="single" w:sz="8" w:space="0" w:color="auto"/>
            </w:tcBorders>
            <w:shd w:val="clear" w:color="auto" w:fill="244062"/>
            <w:vAlign w:val="center"/>
            <w:hideMark/>
          </w:tcPr>
          <w:p w14:paraId="31550B4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28" w:type="dxa"/>
            <w:gridSpan w:val="3"/>
            <w:tcBorders>
              <w:top w:val="single" w:sz="8" w:space="0" w:color="auto"/>
              <w:left w:val="nil"/>
              <w:bottom w:val="single" w:sz="8" w:space="0" w:color="auto"/>
              <w:right w:val="single" w:sz="8" w:space="0" w:color="000000"/>
            </w:tcBorders>
            <w:vAlign w:val="center"/>
            <w:hideMark/>
          </w:tcPr>
          <w:p w14:paraId="269F331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4477899D" w14:textId="77777777" w:rsidR="00614438" w:rsidRPr="003E0710" w:rsidRDefault="00614438" w:rsidP="003E0710">
            <w:pPr>
              <w:spacing w:after="0"/>
              <w:jc w:val="both"/>
              <w:rPr>
                <w:rFonts w:ascii="Times New Roman" w:hAnsi="Times New Roman" w:cs="Times New Roman"/>
                <w:sz w:val="20"/>
                <w:szCs w:val="20"/>
                <w:lang w:val="en-GB"/>
              </w:rPr>
            </w:pPr>
          </w:p>
        </w:tc>
      </w:tr>
    </w:tbl>
    <w:p w14:paraId="19091881"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77"/>
        <w:gridCol w:w="1097"/>
        <w:gridCol w:w="936"/>
        <w:gridCol w:w="4148"/>
        <w:gridCol w:w="222"/>
      </w:tblGrid>
      <w:tr w:rsidR="00614438" w:rsidRPr="003E0710" w14:paraId="1ECF9C06" w14:textId="77777777" w:rsidTr="00614438">
        <w:trPr>
          <w:gridAfter w:val="1"/>
          <w:wAfter w:w="222" w:type="dxa"/>
          <w:trHeight w:val="780"/>
        </w:trPr>
        <w:tc>
          <w:tcPr>
            <w:tcW w:w="327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0CFDC47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1097" w:type="dxa"/>
            <w:tcBorders>
              <w:top w:val="single" w:sz="8" w:space="0" w:color="auto"/>
              <w:left w:val="nil"/>
              <w:bottom w:val="single" w:sz="8" w:space="0" w:color="auto"/>
              <w:right w:val="single" w:sz="8" w:space="0" w:color="auto"/>
            </w:tcBorders>
            <w:shd w:val="clear" w:color="auto" w:fill="E7E6E6" w:themeFill="background2"/>
            <w:vAlign w:val="center"/>
            <w:hideMark/>
          </w:tcPr>
          <w:p w14:paraId="7E66B42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PM_D36</w:t>
            </w:r>
          </w:p>
        </w:tc>
        <w:tc>
          <w:tcPr>
            <w:tcW w:w="936" w:type="dxa"/>
            <w:tcBorders>
              <w:top w:val="single" w:sz="8" w:space="0" w:color="auto"/>
              <w:left w:val="nil"/>
              <w:bottom w:val="single" w:sz="8" w:space="0" w:color="auto"/>
              <w:right w:val="single" w:sz="8" w:space="0" w:color="auto"/>
            </w:tcBorders>
            <w:shd w:val="clear" w:color="auto" w:fill="244062"/>
            <w:vAlign w:val="center"/>
            <w:hideMark/>
          </w:tcPr>
          <w:p w14:paraId="451A8C2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148" w:type="dxa"/>
            <w:tcBorders>
              <w:top w:val="single" w:sz="8" w:space="0" w:color="auto"/>
              <w:left w:val="nil"/>
              <w:bottom w:val="single" w:sz="8" w:space="0" w:color="auto"/>
              <w:right w:val="single" w:sz="8" w:space="0" w:color="auto"/>
            </w:tcBorders>
            <w:shd w:val="clear" w:color="auto" w:fill="E7E6E6" w:themeFill="background2"/>
            <w:vAlign w:val="center"/>
            <w:hideMark/>
          </w:tcPr>
          <w:p w14:paraId="2680307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Promotion of </w:t>
            </w:r>
            <w:r w:rsidR="00DE4125" w:rsidRPr="003E0710">
              <w:rPr>
                <w:rFonts w:ascii="Times New Roman" w:hAnsi="Times New Roman" w:cs="Times New Roman"/>
                <w:sz w:val="20"/>
                <w:szCs w:val="20"/>
                <w:lang w:val="en-GB"/>
              </w:rPr>
              <w:t>RES</w:t>
            </w:r>
            <w:r w:rsidRPr="003E0710">
              <w:rPr>
                <w:rFonts w:ascii="Times New Roman" w:hAnsi="Times New Roman" w:cs="Times New Roman"/>
                <w:sz w:val="20"/>
                <w:szCs w:val="20"/>
                <w:lang w:val="en-GB"/>
              </w:rPr>
              <w:t xml:space="preserve"> communities</w:t>
            </w:r>
          </w:p>
        </w:tc>
      </w:tr>
      <w:tr w:rsidR="00614438" w:rsidRPr="003E0710" w14:paraId="73F9F44F" w14:textId="77777777" w:rsidTr="00614438">
        <w:trPr>
          <w:gridAfter w:val="1"/>
          <w:wAfter w:w="222" w:type="dxa"/>
          <w:trHeight w:val="409"/>
        </w:trPr>
        <w:tc>
          <w:tcPr>
            <w:tcW w:w="3277" w:type="dxa"/>
            <w:tcBorders>
              <w:top w:val="nil"/>
              <w:left w:val="single" w:sz="8" w:space="0" w:color="auto"/>
              <w:bottom w:val="single" w:sz="8" w:space="0" w:color="auto"/>
              <w:right w:val="nil"/>
            </w:tcBorders>
            <w:shd w:val="clear" w:color="auto" w:fill="244062"/>
            <w:vAlign w:val="center"/>
            <w:hideMark/>
          </w:tcPr>
          <w:p w14:paraId="1DA1496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81" w:type="dxa"/>
            <w:gridSpan w:val="3"/>
            <w:tcBorders>
              <w:top w:val="single" w:sz="8" w:space="0" w:color="auto"/>
              <w:left w:val="nil"/>
              <w:bottom w:val="single" w:sz="8" w:space="0" w:color="auto"/>
              <w:right w:val="single" w:sz="8" w:space="0" w:color="000000"/>
            </w:tcBorders>
            <w:vAlign w:val="center"/>
            <w:hideMark/>
          </w:tcPr>
          <w:p w14:paraId="4F89C93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Increase share of RES in electricity and increase share of RES in heating and cooling</w:t>
            </w:r>
          </w:p>
        </w:tc>
      </w:tr>
      <w:tr w:rsidR="00614438" w:rsidRPr="003E0710" w14:paraId="5EFFA299" w14:textId="77777777" w:rsidTr="00614438">
        <w:trPr>
          <w:gridAfter w:val="1"/>
          <w:wAfter w:w="222" w:type="dxa"/>
          <w:trHeight w:val="315"/>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571E820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81" w:type="dxa"/>
            <w:gridSpan w:val="3"/>
            <w:tcBorders>
              <w:top w:val="single" w:sz="8" w:space="0" w:color="auto"/>
              <w:left w:val="nil"/>
              <w:bottom w:val="single" w:sz="8" w:space="0" w:color="auto"/>
              <w:right w:val="single" w:sz="8" w:space="0" w:color="000000"/>
            </w:tcBorders>
            <w:vAlign w:val="center"/>
            <w:hideMark/>
          </w:tcPr>
          <w:p w14:paraId="486ED57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Contribution to measure PM_D21</w:t>
            </w:r>
          </w:p>
        </w:tc>
      </w:tr>
      <w:tr w:rsidR="00614438" w:rsidRPr="003E0710" w14:paraId="020BE3B7" w14:textId="77777777" w:rsidTr="00614438">
        <w:trPr>
          <w:gridAfter w:val="1"/>
          <w:wAfter w:w="222" w:type="dxa"/>
          <w:trHeight w:val="1624"/>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100DB12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81" w:type="dxa"/>
            <w:gridSpan w:val="3"/>
            <w:tcBorders>
              <w:top w:val="single" w:sz="8" w:space="0" w:color="auto"/>
              <w:left w:val="nil"/>
              <w:bottom w:val="single" w:sz="8" w:space="0" w:color="auto"/>
              <w:right w:val="single" w:sz="8" w:space="0" w:color="000000"/>
            </w:tcBorders>
            <w:vAlign w:val="center"/>
            <w:hideMark/>
          </w:tcPr>
          <w:p w14:paraId="785222B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PM_D36 will strengthen the role and operation of both the renewable energy communities and the citizen energy communities through the design and implementation of specialized financial instruments. Specifically, dedicated fiscal and economic incentives will be provided so as to foster the further deployment of renewable energy sources, such as wind parks and photovoltaic stations. Moreover, PM_D36 can contribute also to the promotion of decentralized renewable energy systems</w:t>
            </w:r>
            <w:r w:rsidR="00DE4125" w:rsidRPr="003E0710">
              <w:rPr>
                <w:rFonts w:ascii="Times New Roman" w:hAnsi="Times New Roman" w:cs="Times New Roman"/>
                <w:sz w:val="20"/>
                <w:szCs w:val="20"/>
                <w:lang w:val="en-GB"/>
              </w:rPr>
              <w:t>, in</w:t>
            </w:r>
            <w:r w:rsidRPr="003E0710">
              <w:rPr>
                <w:rFonts w:ascii="Times New Roman" w:hAnsi="Times New Roman" w:cs="Times New Roman"/>
                <w:sz w:val="20"/>
                <w:szCs w:val="20"/>
                <w:lang w:val="en-GB"/>
              </w:rPr>
              <w:t xml:space="preserve"> addition to PM_D21.</w:t>
            </w:r>
          </w:p>
        </w:tc>
      </w:tr>
      <w:tr w:rsidR="00614438" w:rsidRPr="003E0710" w14:paraId="3217193D" w14:textId="77777777" w:rsidTr="00614438">
        <w:trPr>
          <w:gridAfter w:val="1"/>
          <w:wAfter w:w="222" w:type="dxa"/>
          <w:trHeight w:val="315"/>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1D2B8D5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81" w:type="dxa"/>
            <w:gridSpan w:val="3"/>
            <w:tcBorders>
              <w:top w:val="single" w:sz="8" w:space="0" w:color="auto"/>
              <w:left w:val="nil"/>
              <w:bottom w:val="single" w:sz="8" w:space="0" w:color="auto"/>
              <w:right w:val="single" w:sz="8" w:space="0" w:color="000000"/>
            </w:tcBorders>
            <w:vAlign w:val="center"/>
            <w:hideMark/>
          </w:tcPr>
          <w:p w14:paraId="2ADB173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2025-2030</w:t>
            </w:r>
          </w:p>
        </w:tc>
      </w:tr>
      <w:tr w:rsidR="00614438" w:rsidRPr="003E0710" w14:paraId="727B5C0B" w14:textId="77777777" w:rsidTr="00614438">
        <w:trPr>
          <w:gridAfter w:val="1"/>
          <w:wAfter w:w="222" w:type="dxa"/>
          <w:trHeight w:val="315"/>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3B2FF4B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81" w:type="dxa"/>
            <w:gridSpan w:val="3"/>
            <w:tcBorders>
              <w:top w:val="single" w:sz="8" w:space="0" w:color="auto"/>
              <w:left w:val="nil"/>
              <w:bottom w:val="single" w:sz="8" w:space="0" w:color="auto"/>
              <w:right w:val="single" w:sz="8" w:space="0" w:color="000000"/>
            </w:tcBorders>
            <w:vAlign w:val="center"/>
            <w:hideMark/>
          </w:tcPr>
          <w:p w14:paraId="39CC6CE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w:t>
            </w:r>
          </w:p>
        </w:tc>
      </w:tr>
      <w:tr w:rsidR="00614438" w:rsidRPr="003E0710" w14:paraId="1F6FF5CE" w14:textId="77777777" w:rsidTr="00614438">
        <w:trPr>
          <w:gridAfter w:val="1"/>
          <w:wAfter w:w="222" w:type="dxa"/>
          <w:trHeight w:val="315"/>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018708B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81" w:type="dxa"/>
            <w:gridSpan w:val="3"/>
            <w:tcBorders>
              <w:top w:val="single" w:sz="8" w:space="0" w:color="auto"/>
              <w:left w:val="nil"/>
              <w:bottom w:val="single" w:sz="8" w:space="0" w:color="auto"/>
              <w:right w:val="single" w:sz="8" w:space="0" w:color="000000"/>
            </w:tcBorders>
            <w:vAlign w:val="center"/>
            <w:hideMark/>
          </w:tcPr>
          <w:p w14:paraId="3464F0A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Electricity, Heating and Cooling</w:t>
            </w:r>
          </w:p>
        </w:tc>
      </w:tr>
      <w:tr w:rsidR="00614438" w:rsidRPr="003E0710" w14:paraId="7EEC8F51" w14:textId="77777777" w:rsidTr="00614438">
        <w:trPr>
          <w:gridAfter w:val="1"/>
          <w:wAfter w:w="222" w:type="dxa"/>
          <w:trHeight w:val="315"/>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2535B05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81" w:type="dxa"/>
            <w:gridSpan w:val="3"/>
            <w:tcBorders>
              <w:top w:val="single" w:sz="8" w:space="0" w:color="auto"/>
              <w:left w:val="nil"/>
              <w:bottom w:val="single" w:sz="8" w:space="0" w:color="auto"/>
              <w:right w:val="single" w:sz="8" w:space="0" w:color="000000"/>
            </w:tcBorders>
            <w:vAlign w:val="center"/>
            <w:hideMark/>
          </w:tcPr>
          <w:p w14:paraId="17BB13A0"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Mining and Energy</w:t>
            </w:r>
          </w:p>
        </w:tc>
      </w:tr>
      <w:tr w:rsidR="00614438" w:rsidRPr="003E0710" w14:paraId="2F4FCC40" w14:textId="77777777" w:rsidTr="00614438">
        <w:trPr>
          <w:gridAfter w:val="1"/>
          <w:wAfter w:w="222" w:type="dxa"/>
          <w:trHeight w:val="315"/>
        </w:trPr>
        <w:tc>
          <w:tcPr>
            <w:tcW w:w="3277" w:type="dxa"/>
            <w:tcBorders>
              <w:top w:val="nil"/>
              <w:left w:val="single" w:sz="8" w:space="0" w:color="auto"/>
              <w:bottom w:val="single" w:sz="8" w:space="0" w:color="auto"/>
              <w:right w:val="nil"/>
            </w:tcBorders>
            <w:shd w:val="clear" w:color="auto" w:fill="244062"/>
            <w:vAlign w:val="center"/>
            <w:hideMark/>
          </w:tcPr>
          <w:p w14:paraId="544302B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81" w:type="dxa"/>
            <w:gridSpan w:val="3"/>
            <w:tcBorders>
              <w:top w:val="single" w:sz="8" w:space="0" w:color="auto"/>
              <w:left w:val="nil"/>
              <w:bottom w:val="single" w:sz="8" w:space="0" w:color="auto"/>
              <w:right w:val="single" w:sz="8" w:space="0" w:color="000000"/>
            </w:tcBorders>
            <w:vAlign w:val="center"/>
            <w:hideMark/>
          </w:tcPr>
          <w:p w14:paraId="29CCC289"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 </w:t>
            </w:r>
          </w:p>
        </w:tc>
      </w:tr>
      <w:tr w:rsidR="00614438" w:rsidRPr="003E0710" w14:paraId="53C62C14" w14:textId="77777777" w:rsidTr="00614438">
        <w:trPr>
          <w:gridAfter w:val="1"/>
          <w:wAfter w:w="222" w:type="dxa"/>
          <w:trHeight w:val="315"/>
        </w:trPr>
        <w:tc>
          <w:tcPr>
            <w:tcW w:w="3277" w:type="dxa"/>
            <w:tcBorders>
              <w:top w:val="nil"/>
              <w:left w:val="single" w:sz="8" w:space="0" w:color="auto"/>
              <w:bottom w:val="single" w:sz="8" w:space="0" w:color="auto"/>
              <w:right w:val="nil"/>
            </w:tcBorders>
            <w:shd w:val="clear" w:color="auto" w:fill="244062"/>
            <w:vAlign w:val="center"/>
            <w:hideMark/>
          </w:tcPr>
          <w:p w14:paraId="235B7BD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81" w:type="dxa"/>
            <w:gridSpan w:val="3"/>
            <w:tcBorders>
              <w:top w:val="single" w:sz="8" w:space="0" w:color="auto"/>
              <w:left w:val="nil"/>
              <w:bottom w:val="single" w:sz="8" w:space="0" w:color="auto"/>
              <w:right w:val="single" w:sz="8" w:space="0" w:color="000000"/>
            </w:tcBorders>
            <w:vAlign w:val="center"/>
            <w:hideMark/>
          </w:tcPr>
          <w:p w14:paraId="07AB5AC7"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Installed capacity and produced RES electricity, heating and cooling </w:t>
            </w:r>
            <w:r w:rsidR="00DE4125" w:rsidRPr="003E0710">
              <w:rPr>
                <w:rFonts w:ascii="Times New Roman" w:hAnsi="Times New Roman" w:cs="Times New Roman"/>
                <w:sz w:val="20"/>
                <w:szCs w:val="20"/>
              </w:rPr>
              <w:t>using RES</w:t>
            </w:r>
          </w:p>
        </w:tc>
      </w:tr>
      <w:tr w:rsidR="00614438" w:rsidRPr="003E0710" w14:paraId="39ADE6DF" w14:textId="77777777" w:rsidTr="00614438">
        <w:trPr>
          <w:gridAfter w:val="1"/>
          <w:wAfter w:w="222" w:type="dxa"/>
          <w:trHeight w:val="571"/>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7495E66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81" w:type="dxa"/>
            <w:gridSpan w:val="3"/>
            <w:tcBorders>
              <w:top w:val="single" w:sz="8" w:space="0" w:color="auto"/>
              <w:left w:val="nil"/>
              <w:bottom w:val="single" w:sz="8" w:space="0" w:color="auto"/>
              <w:right w:val="single" w:sz="8" w:space="0" w:color="000000"/>
            </w:tcBorders>
            <w:vAlign w:val="center"/>
            <w:hideMark/>
          </w:tcPr>
          <w:p w14:paraId="35B5409B"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 xml:space="preserve">Energy efficiency (the promoted RES technologies will </w:t>
            </w:r>
            <w:r w:rsidR="00DE4125" w:rsidRPr="003E0710">
              <w:rPr>
                <w:rFonts w:ascii="Times New Roman" w:hAnsi="Times New Roman" w:cs="Times New Roman"/>
                <w:sz w:val="20"/>
                <w:szCs w:val="20"/>
              </w:rPr>
              <w:t xml:space="preserve">also </w:t>
            </w:r>
            <w:r w:rsidRPr="003E0710">
              <w:rPr>
                <w:rFonts w:ascii="Times New Roman" w:hAnsi="Times New Roman" w:cs="Times New Roman"/>
                <w:sz w:val="20"/>
                <w:szCs w:val="20"/>
              </w:rPr>
              <w:t>deliver final and primary energy savings contributing to the achievement of the relevant targets)</w:t>
            </w:r>
          </w:p>
          <w:p w14:paraId="057C5AE5"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security (the penetration of RES technologies will reduce the energy import dependency from third countries and increase the deployment of domestic energy sources)</w:t>
            </w:r>
          </w:p>
          <w:p w14:paraId="0EB7BBD7"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Internal energy market (the promoted RES technologies will contribute to the alleviation of energy poverty)</w:t>
            </w:r>
          </w:p>
        </w:tc>
      </w:tr>
      <w:tr w:rsidR="00614438" w:rsidRPr="003E0710" w14:paraId="0B0949C4" w14:textId="77777777" w:rsidTr="00614438">
        <w:trPr>
          <w:gridAfter w:val="1"/>
          <w:wAfter w:w="222" w:type="dxa"/>
          <w:trHeight w:val="458"/>
        </w:trPr>
        <w:tc>
          <w:tcPr>
            <w:tcW w:w="3277" w:type="dxa"/>
            <w:vMerge w:val="restart"/>
            <w:tcBorders>
              <w:top w:val="nil"/>
              <w:left w:val="single" w:sz="8" w:space="0" w:color="auto"/>
              <w:bottom w:val="single" w:sz="8" w:space="0" w:color="000000"/>
              <w:right w:val="single" w:sz="8" w:space="0" w:color="auto"/>
            </w:tcBorders>
            <w:shd w:val="clear" w:color="auto" w:fill="244062"/>
            <w:vAlign w:val="center"/>
            <w:hideMark/>
          </w:tcPr>
          <w:p w14:paraId="5F7EC29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8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CFC02EF"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79379DC1"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7E5FADDB"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79D999A"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341A8A47"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35C9319F" w14:textId="77777777" w:rsidTr="00614438">
        <w:trPr>
          <w:trHeight w:val="54"/>
        </w:trPr>
        <w:tc>
          <w:tcPr>
            <w:tcW w:w="0" w:type="auto"/>
            <w:vMerge/>
            <w:tcBorders>
              <w:top w:val="nil"/>
              <w:left w:val="single" w:sz="8" w:space="0" w:color="auto"/>
              <w:bottom w:val="single" w:sz="8" w:space="0" w:color="000000"/>
              <w:right w:val="single" w:sz="8" w:space="0" w:color="auto"/>
            </w:tcBorders>
            <w:vAlign w:val="center"/>
            <w:hideMark/>
          </w:tcPr>
          <w:p w14:paraId="65ABFEC1"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25925E1"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010EF492"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382088CB" w14:textId="77777777" w:rsidTr="00614438">
        <w:trPr>
          <w:trHeight w:val="271"/>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02817D8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81" w:type="dxa"/>
            <w:gridSpan w:val="3"/>
            <w:tcBorders>
              <w:top w:val="single" w:sz="8" w:space="0" w:color="auto"/>
              <w:left w:val="nil"/>
              <w:bottom w:val="single" w:sz="8" w:space="0" w:color="auto"/>
              <w:right w:val="single" w:sz="8" w:space="0" w:color="000000"/>
            </w:tcBorders>
            <w:vAlign w:val="center"/>
            <w:hideMark/>
          </w:tcPr>
          <w:p w14:paraId="3CB95E0A"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the use of renewable energy sources</w:t>
            </w:r>
          </w:p>
        </w:tc>
        <w:tc>
          <w:tcPr>
            <w:tcW w:w="222" w:type="dxa"/>
            <w:vAlign w:val="center"/>
            <w:hideMark/>
          </w:tcPr>
          <w:p w14:paraId="2E596FBE"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6C1137F3" w14:textId="77777777" w:rsidTr="00614438">
        <w:trPr>
          <w:trHeight w:val="315"/>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532C932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81" w:type="dxa"/>
            <w:gridSpan w:val="3"/>
            <w:tcBorders>
              <w:top w:val="single" w:sz="8" w:space="0" w:color="auto"/>
              <w:left w:val="nil"/>
              <w:bottom w:val="single" w:sz="8" w:space="0" w:color="auto"/>
              <w:right w:val="single" w:sz="8" w:space="0" w:color="000000"/>
            </w:tcBorders>
            <w:vAlign w:val="center"/>
            <w:hideMark/>
          </w:tcPr>
          <w:p w14:paraId="701572D0" w14:textId="77777777" w:rsidR="00614438" w:rsidRPr="003E0710" w:rsidRDefault="00DE4125"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Will b</w:t>
            </w:r>
            <w:r w:rsidR="00614438" w:rsidRPr="003E0710">
              <w:rPr>
                <w:rFonts w:ascii="Times New Roman" w:hAnsi="Times New Roman" w:cs="Times New Roman"/>
                <w:sz w:val="20"/>
                <w:szCs w:val="20"/>
                <w:lang w:val="en-GB"/>
              </w:rPr>
              <w:t>e integrated into PM_D21</w:t>
            </w:r>
          </w:p>
        </w:tc>
        <w:tc>
          <w:tcPr>
            <w:tcW w:w="222" w:type="dxa"/>
            <w:vAlign w:val="center"/>
            <w:hideMark/>
          </w:tcPr>
          <w:p w14:paraId="01E2923F"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7348890C" w14:textId="77777777" w:rsidTr="00614438">
        <w:trPr>
          <w:trHeight w:val="315"/>
        </w:trPr>
        <w:tc>
          <w:tcPr>
            <w:tcW w:w="3277" w:type="dxa"/>
            <w:tcBorders>
              <w:top w:val="nil"/>
              <w:left w:val="single" w:sz="8" w:space="0" w:color="auto"/>
              <w:bottom w:val="single" w:sz="8" w:space="0" w:color="auto"/>
              <w:right w:val="single" w:sz="8" w:space="0" w:color="auto"/>
            </w:tcBorders>
            <w:shd w:val="clear" w:color="auto" w:fill="244062"/>
            <w:vAlign w:val="center"/>
            <w:hideMark/>
          </w:tcPr>
          <w:p w14:paraId="6B9C66E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81" w:type="dxa"/>
            <w:gridSpan w:val="3"/>
            <w:tcBorders>
              <w:top w:val="single" w:sz="8" w:space="0" w:color="auto"/>
              <w:left w:val="nil"/>
              <w:bottom w:val="single" w:sz="8" w:space="0" w:color="auto"/>
              <w:right w:val="single" w:sz="8" w:space="0" w:color="000000"/>
            </w:tcBorders>
            <w:vAlign w:val="center"/>
            <w:hideMark/>
          </w:tcPr>
          <w:p w14:paraId="6A24A5F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1B003D9E" w14:textId="77777777" w:rsidR="00614438" w:rsidRPr="003E0710" w:rsidRDefault="00614438" w:rsidP="003E0710">
            <w:pPr>
              <w:spacing w:after="0"/>
              <w:jc w:val="both"/>
              <w:rPr>
                <w:rFonts w:ascii="Times New Roman" w:hAnsi="Times New Roman" w:cs="Times New Roman"/>
                <w:sz w:val="20"/>
                <w:szCs w:val="20"/>
                <w:lang w:val="en-GB"/>
              </w:rPr>
            </w:pPr>
          </w:p>
        </w:tc>
      </w:tr>
    </w:tbl>
    <w:p w14:paraId="40BE8978"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26"/>
        <w:gridCol w:w="950"/>
        <w:gridCol w:w="946"/>
        <w:gridCol w:w="4236"/>
        <w:gridCol w:w="222"/>
      </w:tblGrid>
      <w:tr w:rsidR="00614438" w:rsidRPr="003E0710" w14:paraId="3C0B14CB" w14:textId="77777777" w:rsidTr="00614438">
        <w:trPr>
          <w:gridAfter w:val="1"/>
          <w:wAfter w:w="222" w:type="dxa"/>
          <w:trHeight w:val="780"/>
        </w:trPr>
        <w:tc>
          <w:tcPr>
            <w:tcW w:w="3328"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68ACA10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41AA5A9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PM_D42</w:t>
            </w:r>
          </w:p>
        </w:tc>
        <w:tc>
          <w:tcPr>
            <w:tcW w:w="946" w:type="dxa"/>
            <w:tcBorders>
              <w:top w:val="single" w:sz="8" w:space="0" w:color="auto"/>
              <w:left w:val="nil"/>
              <w:bottom w:val="single" w:sz="8" w:space="0" w:color="auto"/>
              <w:right w:val="single" w:sz="8" w:space="0" w:color="auto"/>
            </w:tcBorders>
            <w:shd w:val="clear" w:color="auto" w:fill="244062"/>
            <w:vAlign w:val="center"/>
            <w:hideMark/>
          </w:tcPr>
          <w:p w14:paraId="3F63276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39" w:type="dxa"/>
            <w:tcBorders>
              <w:top w:val="single" w:sz="8" w:space="0" w:color="auto"/>
              <w:left w:val="nil"/>
              <w:bottom w:val="single" w:sz="8" w:space="0" w:color="auto"/>
              <w:right w:val="single" w:sz="8" w:space="0" w:color="auto"/>
            </w:tcBorders>
            <w:shd w:val="clear" w:color="auto" w:fill="E7E6E6" w:themeFill="background2"/>
            <w:vAlign w:val="center"/>
            <w:hideMark/>
          </w:tcPr>
          <w:p w14:paraId="59EB899C" w14:textId="259847BC"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w:t>
            </w:r>
            <w:r w:rsidR="00554D76" w:rsidRPr="003E0710">
              <w:rPr>
                <w:rFonts w:ascii="Times New Roman" w:hAnsi="Times New Roman" w:cs="Times New Roman"/>
                <w:sz w:val="20"/>
                <w:szCs w:val="20"/>
                <w:lang w:val="en-GB"/>
              </w:rPr>
              <w:t>arrying out</w:t>
            </w:r>
            <w:r w:rsidRPr="003E0710">
              <w:rPr>
                <w:rFonts w:ascii="Times New Roman" w:hAnsi="Times New Roman" w:cs="Times New Roman"/>
                <w:sz w:val="20"/>
                <w:szCs w:val="20"/>
                <w:lang w:val="en-GB"/>
              </w:rPr>
              <w:t xml:space="preserve"> information and training activities to all to all relevant actors for the use of RES</w:t>
            </w:r>
          </w:p>
        </w:tc>
      </w:tr>
      <w:tr w:rsidR="00614438" w:rsidRPr="003E0710" w14:paraId="7FA48ABE" w14:textId="77777777" w:rsidTr="00614438">
        <w:trPr>
          <w:gridAfter w:val="1"/>
          <w:wAfter w:w="222" w:type="dxa"/>
          <w:trHeight w:val="265"/>
        </w:trPr>
        <w:tc>
          <w:tcPr>
            <w:tcW w:w="3328" w:type="dxa"/>
            <w:tcBorders>
              <w:top w:val="nil"/>
              <w:left w:val="single" w:sz="8" w:space="0" w:color="auto"/>
              <w:bottom w:val="single" w:sz="8" w:space="0" w:color="auto"/>
              <w:right w:val="nil"/>
            </w:tcBorders>
            <w:shd w:val="clear" w:color="auto" w:fill="244062"/>
            <w:vAlign w:val="center"/>
            <w:hideMark/>
          </w:tcPr>
          <w:p w14:paraId="1029718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30" w:type="dxa"/>
            <w:gridSpan w:val="3"/>
            <w:tcBorders>
              <w:top w:val="single" w:sz="8" w:space="0" w:color="auto"/>
              <w:left w:val="nil"/>
              <w:bottom w:val="single" w:sz="8" w:space="0" w:color="auto"/>
              <w:right w:val="single" w:sz="8" w:space="0" w:color="000000"/>
            </w:tcBorders>
            <w:vAlign w:val="center"/>
            <w:hideMark/>
          </w:tcPr>
          <w:p w14:paraId="20F55AA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Increase share of RES in electricity, increase share of RES in heating and cooling and increase share of RES in transport</w:t>
            </w:r>
          </w:p>
        </w:tc>
      </w:tr>
      <w:tr w:rsidR="00614438" w:rsidRPr="003E0710" w14:paraId="269777C7"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666B8A7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30" w:type="dxa"/>
            <w:gridSpan w:val="3"/>
            <w:tcBorders>
              <w:top w:val="single" w:sz="8" w:space="0" w:color="auto"/>
              <w:left w:val="nil"/>
              <w:bottom w:val="single" w:sz="8" w:space="0" w:color="auto"/>
              <w:right w:val="single" w:sz="8" w:space="0" w:color="000000"/>
            </w:tcBorders>
            <w:vAlign w:val="center"/>
            <w:hideMark/>
          </w:tcPr>
          <w:p w14:paraId="46AAEEC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Contribution to the expected RES penetration for electricity production</w:t>
            </w:r>
          </w:p>
        </w:tc>
      </w:tr>
      <w:tr w:rsidR="00614438" w:rsidRPr="003E0710" w14:paraId="1D8B8E07" w14:textId="77777777" w:rsidTr="00614438">
        <w:trPr>
          <w:gridAfter w:val="1"/>
          <w:wAfter w:w="222" w:type="dxa"/>
          <w:trHeight w:val="996"/>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1BDAD03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30" w:type="dxa"/>
            <w:gridSpan w:val="3"/>
            <w:tcBorders>
              <w:top w:val="single" w:sz="8" w:space="0" w:color="auto"/>
              <w:left w:val="nil"/>
              <w:bottom w:val="single" w:sz="8" w:space="0" w:color="auto"/>
              <w:right w:val="single" w:sz="8" w:space="0" w:color="000000"/>
            </w:tcBorders>
            <w:vAlign w:val="center"/>
            <w:hideMark/>
          </w:tcPr>
          <w:p w14:paraId="34723C99" w14:textId="19766BF4"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PM_D42 will promote the </w:t>
            </w:r>
            <w:r w:rsidR="00554D76" w:rsidRPr="003E0710">
              <w:rPr>
                <w:rFonts w:ascii="Times New Roman" w:hAnsi="Times New Roman" w:cs="Times New Roman"/>
                <w:sz w:val="20"/>
                <w:szCs w:val="20"/>
                <w:lang w:val="en-GB"/>
              </w:rPr>
              <w:t>implementation</w:t>
            </w:r>
            <w:r w:rsidRPr="003E0710">
              <w:rPr>
                <w:rFonts w:ascii="Times New Roman" w:hAnsi="Times New Roman" w:cs="Times New Roman"/>
                <w:sz w:val="20"/>
                <w:szCs w:val="20"/>
                <w:lang w:val="en-GB"/>
              </w:rPr>
              <w:t xml:space="preserve"> of information, awareness-raising, guidance or training programmes in order to inform citizens of how to exercise their rights as active customers, and of the benefits and practicalities, </w:t>
            </w:r>
            <w:r w:rsidR="00DE4125" w:rsidRPr="003E0710">
              <w:rPr>
                <w:rFonts w:ascii="Times New Roman" w:hAnsi="Times New Roman" w:cs="Times New Roman"/>
                <w:sz w:val="20"/>
                <w:szCs w:val="20"/>
                <w:lang w:val="en-GB"/>
              </w:rPr>
              <w:t>as well as</w:t>
            </w:r>
            <w:r w:rsidRPr="003E0710">
              <w:rPr>
                <w:rFonts w:ascii="Times New Roman" w:hAnsi="Times New Roman" w:cs="Times New Roman"/>
                <w:sz w:val="20"/>
                <w:szCs w:val="20"/>
                <w:lang w:val="en-GB"/>
              </w:rPr>
              <w:t xml:space="preserve"> technical and financial aspects of developing and using energy from renewable sources, including </w:t>
            </w:r>
            <w:r w:rsidR="00DE4125" w:rsidRPr="003E0710">
              <w:rPr>
                <w:rFonts w:ascii="Times New Roman" w:hAnsi="Times New Roman" w:cs="Times New Roman"/>
                <w:sz w:val="20"/>
                <w:szCs w:val="20"/>
                <w:lang w:val="en-GB"/>
              </w:rPr>
              <w:t>producing energy from</w:t>
            </w:r>
            <w:r w:rsidRPr="003E0710">
              <w:rPr>
                <w:rFonts w:ascii="Times New Roman" w:hAnsi="Times New Roman" w:cs="Times New Roman"/>
                <w:sz w:val="20"/>
                <w:szCs w:val="20"/>
                <w:lang w:val="en-GB"/>
              </w:rPr>
              <w:t xml:space="preserve"> renewable</w:t>
            </w:r>
            <w:r w:rsidR="00DE4125" w:rsidRPr="003E0710">
              <w:rPr>
                <w:rFonts w:ascii="Times New Roman" w:hAnsi="Times New Roman" w:cs="Times New Roman"/>
                <w:sz w:val="20"/>
                <w:szCs w:val="20"/>
                <w:lang w:val="en-GB"/>
              </w:rPr>
              <w:t xml:space="preserve"> </w:t>
            </w:r>
            <w:r w:rsidRPr="003E0710">
              <w:rPr>
                <w:rFonts w:ascii="Times New Roman" w:hAnsi="Times New Roman" w:cs="Times New Roman"/>
                <w:sz w:val="20"/>
                <w:szCs w:val="20"/>
                <w:lang w:val="en-GB"/>
              </w:rPr>
              <w:t>s</w:t>
            </w:r>
            <w:r w:rsidR="00DE4125" w:rsidRPr="003E0710">
              <w:rPr>
                <w:rFonts w:ascii="Times New Roman" w:hAnsi="Times New Roman" w:cs="Times New Roman"/>
                <w:sz w:val="20"/>
                <w:szCs w:val="20"/>
                <w:lang w:val="en-GB"/>
              </w:rPr>
              <w:t>ources of energy for</w:t>
            </w:r>
            <w:r w:rsidRPr="003E0710">
              <w:rPr>
                <w:rFonts w:ascii="Times New Roman" w:hAnsi="Times New Roman" w:cs="Times New Roman"/>
                <w:sz w:val="20"/>
                <w:szCs w:val="20"/>
                <w:lang w:val="en-GB"/>
              </w:rPr>
              <w:t xml:space="preserve"> self-consumption or </w:t>
            </w:r>
            <w:r w:rsidR="00DE4125" w:rsidRPr="003E0710">
              <w:rPr>
                <w:rFonts w:ascii="Times New Roman" w:hAnsi="Times New Roman" w:cs="Times New Roman"/>
                <w:sz w:val="20"/>
                <w:szCs w:val="20"/>
                <w:lang w:val="en-GB"/>
              </w:rPr>
              <w:t>with</w:t>
            </w:r>
            <w:r w:rsidRPr="003E0710">
              <w:rPr>
                <w:rFonts w:ascii="Times New Roman" w:hAnsi="Times New Roman" w:cs="Times New Roman"/>
                <w:sz w:val="20"/>
                <w:szCs w:val="20"/>
                <w:lang w:val="en-GB"/>
              </w:rPr>
              <w:t xml:space="preserve">in the </w:t>
            </w:r>
            <w:r w:rsidR="00DE4125" w:rsidRPr="003E0710">
              <w:rPr>
                <w:rFonts w:ascii="Times New Roman" w:hAnsi="Times New Roman" w:cs="Times New Roman"/>
                <w:sz w:val="20"/>
                <w:szCs w:val="20"/>
                <w:lang w:val="en-GB"/>
              </w:rPr>
              <w:t>r</w:t>
            </w:r>
            <w:r w:rsidRPr="003E0710">
              <w:rPr>
                <w:rFonts w:ascii="Times New Roman" w:hAnsi="Times New Roman" w:cs="Times New Roman"/>
                <w:sz w:val="20"/>
                <w:szCs w:val="20"/>
                <w:lang w:val="en-GB"/>
              </w:rPr>
              <w:t xml:space="preserve">enewable </w:t>
            </w:r>
            <w:r w:rsidRPr="003E0710">
              <w:rPr>
                <w:rFonts w:ascii="Times New Roman" w:hAnsi="Times New Roman" w:cs="Times New Roman"/>
                <w:sz w:val="20"/>
                <w:szCs w:val="20"/>
                <w:lang w:val="en-GB"/>
              </w:rPr>
              <w:lastRenderedPageBreak/>
              <w:t>energy communities. Guid</w:t>
            </w:r>
            <w:r w:rsidR="00DE4125" w:rsidRPr="003E0710">
              <w:rPr>
                <w:rFonts w:ascii="Times New Roman" w:hAnsi="Times New Roman" w:cs="Times New Roman"/>
                <w:sz w:val="20"/>
                <w:szCs w:val="20"/>
                <w:lang w:val="en-GB"/>
              </w:rPr>
              <w:t>eline</w:t>
            </w:r>
            <w:r w:rsidRPr="003E0710">
              <w:rPr>
                <w:rFonts w:ascii="Times New Roman" w:hAnsi="Times New Roman" w:cs="Times New Roman"/>
                <w:sz w:val="20"/>
                <w:szCs w:val="20"/>
                <w:lang w:val="en-GB"/>
              </w:rPr>
              <w:t xml:space="preserve"> will be available to all relevant actors focusing explicitly on planners and architects</w:t>
            </w:r>
            <w:r w:rsidR="00DE4125" w:rsidRPr="003E0710">
              <w:rPr>
                <w:rFonts w:ascii="Times New Roman" w:hAnsi="Times New Roman" w:cs="Times New Roman"/>
                <w:sz w:val="20"/>
                <w:szCs w:val="20"/>
                <w:lang w:val="en-GB"/>
              </w:rPr>
              <w:t>,</w:t>
            </w:r>
            <w:r w:rsidRPr="003E0710">
              <w:rPr>
                <w:rFonts w:ascii="Times New Roman" w:hAnsi="Times New Roman" w:cs="Times New Roman"/>
                <w:sz w:val="20"/>
                <w:szCs w:val="20"/>
                <w:lang w:val="en-GB"/>
              </w:rPr>
              <w:t xml:space="preserve"> so as to consider the optimal combination of energy from renewable sources when planning, designing, building and renovating industrial, commercial or residential areas. Emphasis will be </w:t>
            </w:r>
            <w:r w:rsidR="00DE4125" w:rsidRPr="003E0710">
              <w:rPr>
                <w:rFonts w:ascii="Times New Roman" w:hAnsi="Times New Roman" w:cs="Times New Roman"/>
                <w:sz w:val="20"/>
                <w:szCs w:val="20"/>
                <w:lang w:val="en-GB"/>
              </w:rPr>
              <w:t>places</w:t>
            </w:r>
            <w:r w:rsidRPr="003E0710">
              <w:rPr>
                <w:rFonts w:ascii="Times New Roman" w:hAnsi="Times New Roman" w:cs="Times New Roman"/>
                <w:sz w:val="20"/>
                <w:szCs w:val="20"/>
                <w:lang w:val="en-GB"/>
              </w:rPr>
              <w:t xml:space="preserve"> on improving the social acceptance of the renewable energy sources for electricity production.</w:t>
            </w:r>
          </w:p>
        </w:tc>
      </w:tr>
      <w:tr w:rsidR="00614438" w:rsidRPr="003E0710" w14:paraId="19A0EE1D"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0DD4713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Implementation Timeframe</w:t>
            </w:r>
          </w:p>
        </w:tc>
        <w:tc>
          <w:tcPr>
            <w:tcW w:w="6130" w:type="dxa"/>
            <w:gridSpan w:val="3"/>
            <w:tcBorders>
              <w:top w:val="single" w:sz="8" w:space="0" w:color="auto"/>
              <w:left w:val="nil"/>
              <w:bottom w:val="single" w:sz="8" w:space="0" w:color="auto"/>
              <w:right w:val="single" w:sz="8" w:space="0" w:color="000000"/>
            </w:tcBorders>
            <w:vAlign w:val="center"/>
            <w:hideMark/>
          </w:tcPr>
          <w:p w14:paraId="2A08408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2025-2030</w:t>
            </w:r>
          </w:p>
        </w:tc>
      </w:tr>
      <w:tr w:rsidR="00614438" w:rsidRPr="003E0710" w14:paraId="7F8222AB"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4DDB8B4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30" w:type="dxa"/>
            <w:gridSpan w:val="3"/>
            <w:tcBorders>
              <w:top w:val="single" w:sz="8" w:space="0" w:color="auto"/>
              <w:left w:val="nil"/>
              <w:bottom w:val="single" w:sz="8" w:space="0" w:color="auto"/>
              <w:right w:val="single" w:sz="8" w:space="0" w:color="000000"/>
            </w:tcBorders>
            <w:vAlign w:val="center"/>
            <w:hideMark/>
          </w:tcPr>
          <w:p w14:paraId="7A7BEEB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Reform</w:t>
            </w:r>
          </w:p>
        </w:tc>
      </w:tr>
      <w:tr w:rsidR="00614438" w:rsidRPr="003E0710" w14:paraId="45E937F1"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3E78F6E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30" w:type="dxa"/>
            <w:gridSpan w:val="3"/>
            <w:tcBorders>
              <w:top w:val="single" w:sz="8" w:space="0" w:color="auto"/>
              <w:left w:val="nil"/>
              <w:bottom w:val="single" w:sz="8" w:space="0" w:color="auto"/>
              <w:right w:val="single" w:sz="8" w:space="0" w:color="000000"/>
            </w:tcBorders>
            <w:vAlign w:val="center"/>
            <w:hideMark/>
          </w:tcPr>
          <w:p w14:paraId="41A3D9D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Electricity, Heating and cooling, Transport</w:t>
            </w:r>
          </w:p>
        </w:tc>
      </w:tr>
      <w:tr w:rsidR="00614438" w:rsidRPr="003E0710" w14:paraId="46DB7984"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1F13F7C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30" w:type="dxa"/>
            <w:gridSpan w:val="3"/>
            <w:tcBorders>
              <w:top w:val="single" w:sz="8" w:space="0" w:color="auto"/>
              <w:left w:val="nil"/>
              <w:bottom w:val="single" w:sz="8" w:space="0" w:color="auto"/>
              <w:right w:val="single" w:sz="8" w:space="0" w:color="000000"/>
            </w:tcBorders>
            <w:vAlign w:val="center"/>
            <w:hideMark/>
          </w:tcPr>
          <w:p w14:paraId="5C15AEB0"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Mining and Energy</w:t>
            </w:r>
          </w:p>
        </w:tc>
      </w:tr>
      <w:tr w:rsidR="00614438" w:rsidRPr="003E0710" w14:paraId="498F9CEC" w14:textId="77777777" w:rsidTr="00614438">
        <w:trPr>
          <w:gridAfter w:val="1"/>
          <w:wAfter w:w="222" w:type="dxa"/>
          <w:trHeight w:val="315"/>
        </w:trPr>
        <w:tc>
          <w:tcPr>
            <w:tcW w:w="3328" w:type="dxa"/>
            <w:tcBorders>
              <w:top w:val="nil"/>
              <w:left w:val="single" w:sz="8" w:space="0" w:color="auto"/>
              <w:bottom w:val="single" w:sz="8" w:space="0" w:color="auto"/>
              <w:right w:val="nil"/>
            </w:tcBorders>
            <w:shd w:val="clear" w:color="auto" w:fill="244062"/>
            <w:vAlign w:val="center"/>
            <w:hideMark/>
          </w:tcPr>
          <w:p w14:paraId="6CD1A62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30" w:type="dxa"/>
            <w:gridSpan w:val="3"/>
            <w:tcBorders>
              <w:top w:val="single" w:sz="8" w:space="0" w:color="auto"/>
              <w:left w:val="nil"/>
              <w:bottom w:val="single" w:sz="8" w:space="0" w:color="auto"/>
              <w:right w:val="single" w:sz="8" w:space="0" w:color="000000"/>
            </w:tcBorders>
            <w:vAlign w:val="center"/>
            <w:hideMark/>
          </w:tcPr>
          <w:p w14:paraId="41E000E8"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 </w:t>
            </w:r>
          </w:p>
        </w:tc>
      </w:tr>
      <w:tr w:rsidR="00614438" w:rsidRPr="003E0710" w14:paraId="0C4B86F7" w14:textId="77777777" w:rsidTr="00614438">
        <w:trPr>
          <w:gridAfter w:val="1"/>
          <w:wAfter w:w="222" w:type="dxa"/>
          <w:trHeight w:val="315"/>
        </w:trPr>
        <w:tc>
          <w:tcPr>
            <w:tcW w:w="3328" w:type="dxa"/>
            <w:tcBorders>
              <w:top w:val="nil"/>
              <w:left w:val="single" w:sz="8" w:space="0" w:color="auto"/>
              <w:bottom w:val="single" w:sz="8" w:space="0" w:color="auto"/>
              <w:right w:val="nil"/>
            </w:tcBorders>
            <w:shd w:val="clear" w:color="auto" w:fill="244062"/>
            <w:vAlign w:val="center"/>
            <w:hideMark/>
          </w:tcPr>
          <w:p w14:paraId="2583DF0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30" w:type="dxa"/>
            <w:gridSpan w:val="3"/>
            <w:tcBorders>
              <w:top w:val="single" w:sz="8" w:space="0" w:color="auto"/>
              <w:left w:val="nil"/>
              <w:bottom w:val="single" w:sz="8" w:space="0" w:color="auto"/>
              <w:right w:val="single" w:sz="8" w:space="0" w:color="000000"/>
            </w:tcBorders>
            <w:vAlign w:val="center"/>
            <w:hideMark/>
          </w:tcPr>
          <w:p w14:paraId="4F0EF7F6"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Affected stakeholders</w:t>
            </w:r>
          </w:p>
        </w:tc>
      </w:tr>
      <w:tr w:rsidR="00614438" w:rsidRPr="003E0710" w14:paraId="0A08E82F" w14:textId="77777777" w:rsidTr="00614438">
        <w:trPr>
          <w:gridAfter w:val="1"/>
          <w:wAfter w:w="222" w:type="dxa"/>
          <w:trHeight w:val="153"/>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4885691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30" w:type="dxa"/>
            <w:gridSpan w:val="3"/>
            <w:tcBorders>
              <w:top w:val="single" w:sz="8" w:space="0" w:color="auto"/>
              <w:left w:val="nil"/>
              <w:bottom w:val="single" w:sz="8" w:space="0" w:color="auto"/>
              <w:right w:val="single" w:sz="8" w:space="0" w:color="000000"/>
            </w:tcBorders>
            <w:vAlign w:val="center"/>
            <w:hideMark/>
          </w:tcPr>
          <w:p w14:paraId="411DED33"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 xml:space="preserve">Energy efficiency (the promoted RES technologies will </w:t>
            </w:r>
            <w:r w:rsidR="007E5499" w:rsidRPr="003E0710">
              <w:rPr>
                <w:rFonts w:ascii="Times New Roman" w:hAnsi="Times New Roman" w:cs="Times New Roman"/>
                <w:sz w:val="20"/>
                <w:szCs w:val="20"/>
              </w:rPr>
              <w:t xml:space="preserve">also </w:t>
            </w:r>
            <w:r w:rsidRPr="003E0710">
              <w:rPr>
                <w:rFonts w:ascii="Times New Roman" w:hAnsi="Times New Roman" w:cs="Times New Roman"/>
                <w:sz w:val="20"/>
                <w:szCs w:val="20"/>
              </w:rPr>
              <w:t>deliver final and primary energy savings contributing to the achievement of the relevant targets)</w:t>
            </w:r>
          </w:p>
          <w:p w14:paraId="3421A6CD"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security (the penetration of RES technologies will reduce the energy import dependency from third countries and increase the deployment of domestic energy sources)</w:t>
            </w:r>
          </w:p>
        </w:tc>
      </w:tr>
      <w:tr w:rsidR="00614438" w:rsidRPr="003E0710" w14:paraId="73D50273" w14:textId="77777777" w:rsidTr="00614438">
        <w:trPr>
          <w:gridAfter w:val="1"/>
          <w:wAfter w:w="222" w:type="dxa"/>
          <w:trHeight w:val="458"/>
        </w:trPr>
        <w:tc>
          <w:tcPr>
            <w:tcW w:w="3328" w:type="dxa"/>
            <w:vMerge w:val="restart"/>
            <w:tcBorders>
              <w:top w:val="nil"/>
              <w:left w:val="single" w:sz="8" w:space="0" w:color="auto"/>
              <w:bottom w:val="single" w:sz="8" w:space="0" w:color="000000"/>
              <w:right w:val="single" w:sz="8" w:space="0" w:color="auto"/>
            </w:tcBorders>
            <w:shd w:val="clear" w:color="auto" w:fill="244062"/>
            <w:vAlign w:val="center"/>
            <w:hideMark/>
          </w:tcPr>
          <w:p w14:paraId="12C0012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3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AF92A34"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1CE3EAFD"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4DCBF5D4"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4A2B031"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104E0A0A"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20C162D"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6EBABF14"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D4153EF"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1E3DC06F"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623BCAE8" w14:textId="77777777" w:rsidTr="00614438">
        <w:trPr>
          <w:trHeight w:val="307"/>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64BB8A7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30" w:type="dxa"/>
            <w:gridSpan w:val="3"/>
            <w:tcBorders>
              <w:top w:val="single" w:sz="8" w:space="0" w:color="auto"/>
              <w:left w:val="nil"/>
              <w:bottom w:val="single" w:sz="8" w:space="0" w:color="auto"/>
              <w:right w:val="single" w:sz="8" w:space="0" w:color="000000"/>
            </w:tcBorders>
            <w:vAlign w:val="center"/>
            <w:hideMark/>
          </w:tcPr>
          <w:p w14:paraId="09BD154A"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vAlign w:val="center"/>
            <w:hideMark/>
          </w:tcPr>
          <w:p w14:paraId="35E6619E"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0B1EEF58" w14:textId="77777777" w:rsidTr="00614438">
        <w:trPr>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2AE3FE5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30" w:type="dxa"/>
            <w:gridSpan w:val="3"/>
            <w:tcBorders>
              <w:top w:val="single" w:sz="8" w:space="0" w:color="auto"/>
              <w:left w:val="nil"/>
              <w:bottom w:val="single" w:sz="8" w:space="0" w:color="auto"/>
              <w:right w:val="single" w:sz="8" w:space="0" w:color="000000"/>
            </w:tcBorders>
            <w:vAlign w:val="center"/>
            <w:hideMark/>
          </w:tcPr>
          <w:p w14:paraId="07A07A0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0.2 M€</w:t>
            </w:r>
          </w:p>
        </w:tc>
        <w:tc>
          <w:tcPr>
            <w:tcW w:w="222" w:type="dxa"/>
            <w:vAlign w:val="center"/>
            <w:hideMark/>
          </w:tcPr>
          <w:p w14:paraId="32769AD7"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37B58ACC" w14:textId="77777777" w:rsidTr="00614438">
        <w:trPr>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3CD0B02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30" w:type="dxa"/>
            <w:gridSpan w:val="3"/>
            <w:tcBorders>
              <w:top w:val="single" w:sz="8" w:space="0" w:color="auto"/>
              <w:left w:val="nil"/>
              <w:bottom w:val="single" w:sz="8" w:space="0" w:color="auto"/>
              <w:right w:val="single" w:sz="8" w:space="0" w:color="000000"/>
            </w:tcBorders>
            <w:vAlign w:val="center"/>
            <w:hideMark/>
          </w:tcPr>
          <w:p w14:paraId="2D028FF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56593791" w14:textId="77777777" w:rsidR="00614438" w:rsidRPr="003E0710" w:rsidRDefault="00614438" w:rsidP="003E0710">
            <w:pPr>
              <w:spacing w:after="0"/>
              <w:jc w:val="both"/>
              <w:rPr>
                <w:rFonts w:ascii="Times New Roman" w:hAnsi="Times New Roman" w:cs="Times New Roman"/>
                <w:sz w:val="20"/>
                <w:szCs w:val="20"/>
                <w:lang w:val="en-GB"/>
              </w:rPr>
            </w:pPr>
          </w:p>
        </w:tc>
      </w:tr>
    </w:tbl>
    <w:p w14:paraId="4A9A74C6"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26"/>
        <w:gridCol w:w="950"/>
        <w:gridCol w:w="946"/>
        <w:gridCol w:w="4236"/>
        <w:gridCol w:w="222"/>
      </w:tblGrid>
      <w:tr w:rsidR="00614438" w:rsidRPr="003E0710" w14:paraId="16A20269" w14:textId="77777777" w:rsidTr="00614438">
        <w:trPr>
          <w:trHeight w:val="780"/>
        </w:trPr>
        <w:tc>
          <w:tcPr>
            <w:tcW w:w="3328"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27EA06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6EDC6C6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PM_D44</w:t>
            </w:r>
          </w:p>
        </w:tc>
        <w:tc>
          <w:tcPr>
            <w:tcW w:w="946" w:type="dxa"/>
            <w:tcBorders>
              <w:top w:val="single" w:sz="8" w:space="0" w:color="auto"/>
              <w:left w:val="nil"/>
              <w:bottom w:val="single" w:sz="8" w:space="0" w:color="auto"/>
              <w:right w:val="single" w:sz="8" w:space="0" w:color="auto"/>
            </w:tcBorders>
            <w:shd w:val="clear" w:color="auto" w:fill="244062"/>
            <w:vAlign w:val="center"/>
            <w:hideMark/>
          </w:tcPr>
          <w:p w14:paraId="1937953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39" w:type="dxa"/>
            <w:gridSpan w:val="2"/>
            <w:tcBorders>
              <w:top w:val="single" w:sz="8" w:space="0" w:color="auto"/>
              <w:left w:val="nil"/>
              <w:bottom w:val="single" w:sz="8" w:space="0" w:color="auto"/>
              <w:right w:val="single" w:sz="8" w:space="0" w:color="auto"/>
            </w:tcBorders>
            <w:shd w:val="clear" w:color="auto" w:fill="E7E6E6" w:themeFill="background2"/>
            <w:vAlign w:val="center"/>
            <w:hideMark/>
          </w:tcPr>
          <w:p w14:paraId="04644B1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Development of a scheme for the qualification, accreditation and certification of RES professionals</w:t>
            </w:r>
          </w:p>
        </w:tc>
      </w:tr>
      <w:tr w:rsidR="00614438" w:rsidRPr="003E0710" w14:paraId="0D90762E" w14:textId="77777777" w:rsidTr="00614438">
        <w:trPr>
          <w:trHeight w:val="265"/>
        </w:trPr>
        <w:tc>
          <w:tcPr>
            <w:tcW w:w="3328" w:type="dxa"/>
            <w:tcBorders>
              <w:top w:val="nil"/>
              <w:left w:val="single" w:sz="8" w:space="0" w:color="auto"/>
              <w:bottom w:val="single" w:sz="8" w:space="0" w:color="auto"/>
              <w:right w:val="nil"/>
            </w:tcBorders>
            <w:shd w:val="clear" w:color="auto" w:fill="244062"/>
            <w:vAlign w:val="center"/>
            <w:hideMark/>
          </w:tcPr>
          <w:p w14:paraId="6043211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30" w:type="dxa"/>
            <w:gridSpan w:val="4"/>
            <w:tcBorders>
              <w:top w:val="single" w:sz="8" w:space="0" w:color="auto"/>
              <w:left w:val="nil"/>
              <w:bottom w:val="single" w:sz="8" w:space="0" w:color="auto"/>
              <w:right w:val="single" w:sz="8" w:space="0" w:color="000000"/>
            </w:tcBorders>
            <w:vAlign w:val="center"/>
            <w:hideMark/>
          </w:tcPr>
          <w:p w14:paraId="0A58D92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Increase share of RES in electricity, increase share of RES in heating and cooling and increase share of RES in transport</w:t>
            </w:r>
          </w:p>
        </w:tc>
      </w:tr>
      <w:tr w:rsidR="00614438" w:rsidRPr="003E0710" w14:paraId="39A275F2" w14:textId="77777777" w:rsidTr="00614438">
        <w:trPr>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7A128C9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30" w:type="dxa"/>
            <w:gridSpan w:val="4"/>
            <w:tcBorders>
              <w:top w:val="single" w:sz="8" w:space="0" w:color="auto"/>
              <w:left w:val="nil"/>
              <w:bottom w:val="single" w:sz="8" w:space="0" w:color="auto"/>
              <w:right w:val="single" w:sz="8" w:space="0" w:color="000000"/>
            </w:tcBorders>
            <w:vAlign w:val="center"/>
            <w:hideMark/>
          </w:tcPr>
          <w:p w14:paraId="34A85A7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Contribution to the expected RES penetration for electricity production, heating and cooling and transport</w:t>
            </w:r>
          </w:p>
        </w:tc>
      </w:tr>
      <w:tr w:rsidR="00614438" w:rsidRPr="003E0710" w14:paraId="0674D87D" w14:textId="77777777" w:rsidTr="00614438">
        <w:trPr>
          <w:trHeight w:val="726"/>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2893970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30" w:type="dxa"/>
            <w:gridSpan w:val="4"/>
            <w:tcBorders>
              <w:top w:val="single" w:sz="8" w:space="0" w:color="auto"/>
              <w:left w:val="nil"/>
              <w:bottom w:val="single" w:sz="8" w:space="0" w:color="auto"/>
              <w:right w:val="single" w:sz="8" w:space="0" w:color="000000"/>
            </w:tcBorders>
            <w:vAlign w:val="center"/>
            <w:hideMark/>
          </w:tcPr>
          <w:p w14:paraId="4116111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PM_D44 will facilitate the establishment of a new qualification, accreditation, or certification scheme for all RES professionals. Specialized training programs will be organized, tools will be developed, and technical support will be provided within the framework of the current measure.</w:t>
            </w:r>
          </w:p>
          <w:p w14:paraId="069B14A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The provision of clear and easily accessible information about the certified RES installers is essential to enable citizens for the further penetration of RES systems and to improve social acceptance of RES technologies.</w:t>
            </w:r>
          </w:p>
        </w:tc>
      </w:tr>
      <w:tr w:rsidR="00614438" w:rsidRPr="003E0710" w14:paraId="5426092F" w14:textId="77777777" w:rsidTr="00614438">
        <w:trPr>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4BA1EA4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30" w:type="dxa"/>
            <w:gridSpan w:val="4"/>
            <w:tcBorders>
              <w:top w:val="single" w:sz="8" w:space="0" w:color="auto"/>
              <w:left w:val="nil"/>
              <w:bottom w:val="single" w:sz="8" w:space="0" w:color="auto"/>
              <w:right w:val="single" w:sz="8" w:space="0" w:color="000000"/>
            </w:tcBorders>
            <w:vAlign w:val="center"/>
            <w:hideMark/>
          </w:tcPr>
          <w:p w14:paraId="1DA4BE5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2025-2028</w:t>
            </w:r>
          </w:p>
        </w:tc>
      </w:tr>
      <w:tr w:rsidR="00614438" w:rsidRPr="003E0710" w14:paraId="13112BF3" w14:textId="77777777" w:rsidTr="00614438">
        <w:trPr>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523B2F2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30" w:type="dxa"/>
            <w:gridSpan w:val="4"/>
            <w:tcBorders>
              <w:top w:val="single" w:sz="8" w:space="0" w:color="auto"/>
              <w:left w:val="nil"/>
              <w:bottom w:val="single" w:sz="8" w:space="0" w:color="auto"/>
              <w:right w:val="single" w:sz="8" w:space="0" w:color="000000"/>
            </w:tcBorders>
            <w:vAlign w:val="center"/>
            <w:hideMark/>
          </w:tcPr>
          <w:p w14:paraId="438CFEA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Reform</w:t>
            </w:r>
          </w:p>
        </w:tc>
      </w:tr>
      <w:tr w:rsidR="00614438" w:rsidRPr="003E0710" w14:paraId="23EBE617" w14:textId="77777777" w:rsidTr="00614438">
        <w:trPr>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14CFCB5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30" w:type="dxa"/>
            <w:gridSpan w:val="4"/>
            <w:tcBorders>
              <w:top w:val="single" w:sz="8" w:space="0" w:color="auto"/>
              <w:left w:val="nil"/>
              <w:bottom w:val="single" w:sz="8" w:space="0" w:color="auto"/>
              <w:right w:val="single" w:sz="8" w:space="0" w:color="000000"/>
            </w:tcBorders>
            <w:vAlign w:val="center"/>
            <w:hideMark/>
          </w:tcPr>
          <w:p w14:paraId="02B9909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Electricity, Heating and cooling, Transport</w:t>
            </w:r>
          </w:p>
        </w:tc>
      </w:tr>
      <w:tr w:rsidR="00614438" w:rsidRPr="003E0710" w14:paraId="25D0DEBC" w14:textId="77777777" w:rsidTr="00614438">
        <w:trPr>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2BE6CAE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30" w:type="dxa"/>
            <w:gridSpan w:val="4"/>
            <w:tcBorders>
              <w:top w:val="single" w:sz="8" w:space="0" w:color="auto"/>
              <w:left w:val="nil"/>
              <w:bottom w:val="single" w:sz="8" w:space="0" w:color="auto"/>
              <w:right w:val="single" w:sz="8" w:space="0" w:color="000000"/>
            </w:tcBorders>
            <w:vAlign w:val="center"/>
            <w:hideMark/>
          </w:tcPr>
          <w:p w14:paraId="50033339"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Mining and Energy</w:t>
            </w:r>
          </w:p>
        </w:tc>
      </w:tr>
      <w:tr w:rsidR="00614438" w:rsidRPr="003E0710" w14:paraId="4BB1A2A9" w14:textId="77777777" w:rsidTr="00614438">
        <w:trPr>
          <w:trHeight w:val="315"/>
        </w:trPr>
        <w:tc>
          <w:tcPr>
            <w:tcW w:w="3328" w:type="dxa"/>
            <w:tcBorders>
              <w:top w:val="nil"/>
              <w:left w:val="single" w:sz="8" w:space="0" w:color="auto"/>
              <w:bottom w:val="single" w:sz="8" w:space="0" w:color="auto"/>
              <w:right w:val="nil"/>
            </w:tcBorders>
            <w:shd w:val="clear" w:color="auto" w:fill="244062"/>
            <w:vAlign w:val="center"/>
            <w:hideMark/>
          </w:tcPr>
          <w:p w14:paraId="58FDA1A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30" w:type="dxa"/>
            <w:gridSpan w:val="4"/>
            <w:tcBorders>
              <w:top w:val="single" w:sz="8" w:space="0" w:color="auto"/>
              <w:left w:val="nil"/>
              <w:bottom w:val="single" w:sz="8" w:space="0" w:color="auto"/>
              <w:right w:val="single" w:sz="8" w:space="0" w:color="000000"/>
            </w:tcBorders>
            <w:vAlign w:val="center"/>
            <w:hideMark/>
          </w:tcPr>
          <w:p w14:paraId="152F1E7F"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 </w:t>
            </w:r>
          </w:p>
        </w:tc>
      </w:tr>
      <w:tr w:rsidR="00614438" w:rsidRPr="003E0710" w14:paraId="557B6E94" w14:textId="77777777" w:rsidTr="00614438">
        <w:trPr>
          <w:trHeight w:val="315"/>
        </w:trPr>
        <w:tc>
          <w:tcPr>
            <w:tcW w:w="3328" w:type="dxa"/>
            <w:tcBorders>
              <w:top w:val="nil"/>
              <w:left w:val="single" w:sz="8" w:space="0" w:color="auto"/>
              <w:bottom w:val="single" w:sz="8" w:space="0" w:color="auto"/>
              <w:right w:val="nil"/>
            </w:tcBorders>
            <w:shd w:val="clear" w:color="auto" w:fill="244062"/>
            <w:vAlign w:val="center"/>
            <w:hideMark/>
          </w:tcPr>
          <w:p w14:paraId="78BA13E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30" w:type="dxa"/>
            <w:gridSpan w:val="4"/>
            <w:tcBorders>
              <w:top w:val="single" w:sz="8" w:space="0" w:color="auto"/>
              <w:left w:val="nil"/>
              <w:bottom w:val="single" w:sz="8" w:space="0" w:color="auto"/>
              <w:right w:val="single" w:sz="8" w:space="0" w:color="000000"/>
            </w:tcBorders>
            <w:vAlign w:val="center"/>
            <w:hideMark/>
          </w:tcPr>
          <w:p w14:paraId="159A249E"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Affected stakeholders</w:t>
            </w:r>
          </w:p>
        </w:tc>
      </w:tr>
      <w:tr w:rsidR="00614438" w:rsidRPr="003E0710" w14:paraId="75610E85" w14:textId="77777777" w:rsidTr="00614438">
        <w:trPr>
          <w:trHeight w:val="153"/>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7B4E11E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30" w:type="dxa"/>
            <w:gridSpan w:val="4"/>
            <w:tcBorders>
              <w:top w:val="single" w:sz="8" w:space="0" w:color="auto"/>
              <w:left w:val="nil"/>
              <w:bottom w:val="single" w:sz="8" w:space="0" w:color="auto"/>
              <w:right w:val="single" w:sz="8" w:space="0" w:color="000000"/>
            </w:tcBorders>
            <w:vAlign w:val="center"/>
            <w:hideMark/>
          </w:tcPr>
          <w:p w14:paraId="7D11F1EE"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 xml:space="preserve">Energy efficiency (the promoted RES technologies will </w:t>
            </w:r>
            <w:r w:rsidR="007E5499" w:rsidRPr="003E0710">
              <w:rPr>
                <w:rFonts w:ascii="Times New Roman" w:hAnsi="Times New Roman" w:cs="Times New Roman"/>
                <w:sz w:val="20"/>
                <w:szCs w:val="20"/>
              </w:rPr>
              <w:t xml:space="preserve">also </w:t>
            </w:r>
            <w:r w:rsidRPr="003E0710">
              <w:rPr>
                <w:rFonts w:ascii="Times New Roman" w:hAnsi="Times New Roman" w:cs="Times New Roman"/>
                <w:sz w:val="20"/>
                <w:szCs w:val="20"/>
              </w:rPr>
              <w:t>deliver final and primary energy savings contributing to the achievement of the relevant targets)</w:t>
            </w:r>
          </w:p>
          <w:p w14:paraId="347B3305"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lastRenderedPageBreak/>
              <w:t>Energy security (the penetration of RES technologies will reduce the energy import dependency from third countries and increase the deployment of domestic energy sources)</w:t>
            </w:r>
          </w:p>
        </w:tc>
      </w:tr>
      <w:tr w:rsidR="00614438" w:rsidRPr="003E0710" w14:paraId="2EEA4DD0" w14:textId="77777777" w:rsidTr="00614438">
        <w:trPr>
          <w:gridAfter w:val="1"/>
          <w:wAfter w:w="222" w:type="dxa"/>
          <w:trHeight w:val="458"/>
        </w:trPr>
        <w:tc>
          <w:tcPr>
            <w:tcW w:w="3328" w:type="dxa"/>
            <w:vMerge w:val="restart"/>
            <w:tcBorders>
              <w:top w:val="nil"/>
              <w:left w:val="single" w:sz="8" w:space="0" w:color="auto"/>
              <w:bottom w:val="single" w:sz="8" w:space="0" w:color="000000"/>
              <w:right w:val="single" w:sz="8" w:space="0" w:color="auto"/>
            </w:tcBorders>
            <w:shd w:val="clear" w:color="auto" w:fill="244062"/>
            <w:vAlign w:val="center"/>
            <w:hideMark/>
          </w:tcPr>
          <w:p w14:paraId="2776FE0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Union policy which resulted in the implementation of the PaM</w:t>
            </w:r>
          </w:p>
        </w:tc>
        <w:tc>
          <w:tcPr>
            <w:tcW w:w="613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AFB1F3E"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3B2A3BCC"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6DB7F88E"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5C7512D"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0A821347"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754324DA"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5E44D301"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15FBBA9"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20AF0442"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136FF062" w14:textId="77777777" w:rsidTr="00614438">
        <w:trPr>
          <w:trHeight w:val="307"/>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2BE9A6F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30" w:type="dxa"/>
            <w:gridSpan w:val="3"/>
            <w:tcBorders>
              <w:top w:val="single" w:sz="8" w:space="0" w:color="auto"/>
              <w:left w:val="nil"/>
              <w:bottom w:val="single" w:sz="8" w:space="0" w:color="auto"/>
              <w:right w:val="single" w:sz="8" w:space="0" w:color="000000"/>
            </w:tcBorders>
            <w:vAlign w:val="center"/>
            <w:hideMark/>
          </w:tcPr>
          <w:p w14:paraId="3DB767F6"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vAlign w:val="center"/>
            <w:hideMark/>
          </w:tcPr>
          <w:p w14:paraId="401C2979"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044BE600" w14:textId="77777777" w:rsidTr="00614438">
        <w:trPr>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4865A8E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30" w:type="dxa"/>
            <w:gridSpan w:val="3"/>
            <w:tcBorders>
              <w:top w:val="single" w:sz="8" w:space="0" w:color="auto"/>
              <w:left w:val="nil"/>
              <w:bottom w:val="single" w:sz="8" w:space="0" w:color="auto"/>
              <w:right w:val="single" w:sz="8" w:space="0" w:color="000000"/>
            </w:tcBorders>
            <w:vAlign w:val="center"/>
            <w:hideMark/>
          </w:tcPr>
          <w:p w14:paraId="7F0CB24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0.2 M€</w:t>
            </w:r>
          </w:p>
        </w:tc>
        <w:tc>
          <w:tcPr>
            <w:tcW w:w="222" w:type="dxa"/>
            <w:vAlign w:val="center"/>
            <w:hideMark/>
          </w:tcPr>
          <w:p w14:paraId="252129C3"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337CDA8B" w14:textId="77777777" w:rsidTr="00614438">
        <w:trPr>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6EC33E6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30" w:type="dxa"/>
            <w:gridSpan w:val="3"/>
            <w:tcBorders>
              <w:top w:val="single" w:sz="8" w:space="0" w:color="auto"/>
              <w:left w:val="nil"/>
              <w:bottom w:val="single" w:sz="8" w:space="0" w:color="auto"/>
              <w:right w:val="single" w:sz="8" w:space="0" w:color="000000"/>
            </w:tcBorders>
            <w:vAlign w:val="center"/>
            <w:hideMark/>
          </w:tcPr>
          <w:p w14:paraId="533DDC4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07391239" w14:textId="77777777" w:rsidR="00614438" w:rsidRPr="003E0710" w:rsidRDefault="00614438" w:rsidP="003E0710">
            <w:pPr>
              <w:spacing w:after="0"/>
              <w:jc w:val="both"/>
              <w:rPr>
                <w:rFonts w:ascii="Times New Roman" w:hAnsi="Times New Roman" w:cs="Times New Roman"/>
                <w:sz w:val="20"/>
                <w:szCs w:val="20"/>
                <w:lang w:val="en-GB"/>
              </w:rPr>
            </w:pPr>
          </w:p>
        </w:tc>
      </w:tr>
    </w:tbl>
    <w:p w14:paraId="57D8C50F" w14:textId="77777777" w:rsidR="00614438" w:rsidRPr="003E0710" w:rsidRDefault="00614438" w:rsidP="003E0710">
      <w:pPr>
        <w:spacing w:after="0"/>
        <w:jc w:val="both"/>
        <w:rPr>
          <w:rFonts w:ascii="Times New Roman" w:hAnsi="Times New Roman" w:cs="Times New Roman"/>
          <w:sz w:val="20"/>
          <w:szCs w:val="20"/>
          <w:lang w:val="en-GB"/>
        </w:rPr>
      </w:pPr>
    </w:p>
    <w:p w14:paraId="320CC3FD" w14:textId="77777777" w:rsidR="00614438" w:rsidRPr="00614438" w:rsidRDefault="007E5499" w:rsidP="007E5499">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3.1.2.4 </w:t>
      </w:r>
      <w:r w:rsidR="00614438" w:rsidRPr="00614438">
        <w:rPr>
          <w:rFonts w:ascii="Times New Roman" w:hAnsi="Times New Roman" w:cs="Times New Roman"/>
          <w:sz w:val="24"/>
          <w:szCs w:val="24"/>
          <w:lang w:val="en-GB"/>
        </w:rPr>
        <w:t>Assessment of the necessity to build new infrastructure for district heating and cooling produced from renewable energy sources</w:t>
      </w:r>
    </w:p>
    <w:p w14:paraId="2EC79E32" w14:textId="77777777" w:rsidR="00614438" w:rsidRPr="003E0710" w:rsidRDefault="00614438" w:rsidP="003E0710">
      <w:pPr>
        <w:spacing w:after="0"/>
        <w:ind w:firstLine="720"/>
        <w:jc w:val="both"/>
        <w:rPr>
          <w:rFonts w:ascii="Times New Roman" w:hAnsi="Times New Roman" w:cs="Times New Roman"/>
          <w:sz w:val="20"/>
          <w:szCs w:val="20"/>
          <w:lang w:val="en-GB"/>
        </w:rPr>
      </w:pPr>
      <w:r w:rsidRPr="00614438">
        <w:rPr>
          <w:rFonts w:ascii="Times New Roman" w:hAnsi="Times New Roman" w:cs="Times New Roman"/>
          <w:sz w:val="24"/>
          <w:szCs w:val="24"/>
          <w:lang w:val="en-GB"/>
        </w:rPr>
        <w:t xml:space="preserve">The further penetration of renewable energy technologies into the existing and planned district heating networks will be supported through the provision of specific financial aid for the required investment cost. Furthermore, the potential imposition of a mandatory quota in the utilization of renewable energy sources as fuel in the district heating networks will be scrutinized. Finally, the initiation of modern low-temperature district heating systems will be </w:t>
      </w:r>
      <w:r w:rsidR="007E5499">
        <w:rPr>
          <w:rFonts w:ascii="Times New Roman" w:hAnsi="Times New Roman" w:cs="Times New Roman"/>
          <w:sz w:val="24"/>
          <w:szCs w:val="24"/>
          <w:lang w:val="en-GB"/>
        </w:rPr>
        <w:t>considered, which will c</w:t>
      </w:r>
      <w:r w:rsidRPr="00614438">
        <w:rPr>
          <w:rFonts w:ascii="Times New Roman" w:hAnsi="Times New Roman" w:cs="Times New Roman"/>
          <w:sz w:val="24"/>
          <w:szCs w:val="24"/>
          <w:lang w:val="en-GB"/>
        </w:rPr>
        <w:t>onnect local demand</w:t>
      </w:r>
      <w:r w:rsidR="007E5499">
        <w:rPr>
          <w:rFonts w:ascii="Times New Roman" w:hAnsi="Times New Roman" w:cs="Times New Roman"/>
          <w:sz w:val="24"/>
          <w:szCs w:val="24"/>
          <w:lang w:val="en-GB"/>
        </w:rPr>
        <w:t>s</w:t>
      </w:r>
      <w:r w:rsidRPr="00614438">
        <w:rPr>
          <w:rFonts w:ascii="Times New Roman" w:hAnsi="Times New Roman" w:cs="Times New Roman"/>
          <w:sz w:val="24"/>
          <w:szCs w:val="24"/>
          <w:lang w:val="en-GB"/>
        </w:rPr>
        <w:t xml:space="preserve"> with renewable and waste energy sources, as well as the wider electric and gas grid</w:t>
      </w:r>
      <w:r w:rsidR="007E5499">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contributing to the optimisation of supply and demand across energy carriers.</w:t>
      </w:r>
    </w:p>
    <w:tbl>
      <w:tblPr>
        <w:tblW w:w="9680" w:type="dxa"/>
        <w:tblLook w:val="04A0" w:firstRow="1" w:lastRow="0" w:firstColumn="1" w:lastColumn="0" w:noHBand="0" w:noVBand="1"/>
      </w:tblPr>
      <w:tblGrid>
        <w:gridCol w:w="3279"/>
        <w:gridCol w:w="1097"/>
        <w:gridCol w:w="936"/>
        <w:gridCol w:w="4146"/>
        <w:gridCol w:w="222"/>
      </w:tblGrid>
      <w:tr w:rsidR="00614438" w:rsidRPr="003E0710" w14:paraId="32B0FE32" w14:textId="77777777" w:rsidTr="00614438">
        <w:trPr>
          <w:gridAfter w:val="1"/>
          <w:wAfter w:w="222" w:type="dxa"/>
          <w:trHeight w:val="780"/>
        </w:trPr>
        <w:tc>
          <w:tcPr>
            <w:tcW w:w="3279"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B0CC37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1097" w:type="dxa"/>
            <w:tcBorders>
              <w:top w:val="single" w:sz="8" w:space="0" w:color="auto"/>
              <w:left w:val="nil"/>
              <w:bottom w:val="single" w:sz="8" w:space="0" w:color="auto"/>
              <w:right w:val="single" w:sz="8" w:space="0" w:color="auto"/>
            </w:tcBorders>
            <w:shd w:val="clear" w:color="auto" w:fill="E7E6E6" w:themeFill="background2"/>
            <w:vAlign w:val="center"/>
            <w:hideMark/>
          </w:tcPr>
          <w:p w14:paraId="73B3D49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PM_D31</w:t>
            </w:r>
          </w:p>
        </w:tc>
        <w:tc>
          <w:tcPr>
            <w:tcW w:w="936" w:type="dxa"/>
            <w:tcBorders>
              <w:top w:val="single" w:sz="8" w:space="0" w:color="auto"/>
              <w:left w:val="nil"/>
              <w:bottom w:val="single" w:sz="8" w:space="0" w:color="auto"/>
              <w:right w:val="single" w:sz="8" w:space="0" w:color="auto"/>
            </w:tcBorders>
            <w:shd w:val="clear" w:color="auto" w:fill="244062"/>
            <w:vAlign w:val="center"/>
            <w:hideMark/>
          </w:tcPr>
          <w:p w14:paraId="54EFAAA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146" w:type="dxa"/>
            <w:tcBorders>
              <w:top w:val="single" w:sz="8" w:space="0" w:color="auto"/>
              <w:left w:val="nil"/>
              <w:bottom w:val="single" w:sz="8" w:space="0" w:color="auto"/>
              <w:right w:val="single" w:sz="8" w:space="0" w:color="auto"/>
            </w:tcBorders>
            <w:shd w:val="clear" w:color="auto" w:fill="E7E6E6" w:themeFill="background2"/>
            <w:vAlign w:val="center"/>
            <w:hideMark/>
          </w:tcPr>
          <w:p w14:paraId="0973989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Facilitating the penetration of RES into district heating networks</w:t>
            </w:r>
          </w:p>
        </w:tc>
      </w:tr>
      <w:tr w:rsidR="00614438" w:rsidRPr="003E0710" w14:paraId="3ED8109D" w14:textId="77777777" w:rsidTr="00614438">
        <w:trPr>
          <w:gridAfter w:val="1"/>
          <w:wAfter w:w="222" w:type="dxa"/>
          <w:trHeight w:val="311"/>
        </w:trPr>
        <w:tc>
          <w:tcPr>
            <w:tcW w:w="3279" w:type="dxa"/>
            <w:tcBorders>
              <w:top w:val="nil"/>
              <w:left w:val="single" w:sz="8" w:space="0" w:color="auto"/>
              <w:bottom w:val="single" w:sz="8" w:space="0" w:color="auto"/>
              <w:right w:val="nil"/>
            </w:tcBorders>
            <w:shd w:val="clear" w:color="auto" w:fill="244062"/>
            <w:vAlign w:val="center"/>
            <w:hideMark/>
          </w:tcPr>
          <w:p w14:paraId="4B147FE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79" w:type="dxa"/>
            <w:gridSpan w:val="3"/>
            <w:tcBorders>
              <w:top w:val="single" w:sz="8" w:space="0" w:color="auto"/>
              <w:left w:val="nil"/>
              <w:bottom w:val="single" w:sz="8" w:space="0" w:color="auto"/>
              <w:right w:val="single" w:sz="8" w:space="0" w:color="000000"/>
            </w:tcBorders>
            <w:vAlign w:val="center"/>
            <w:hideMark/>
          </w:tcPr>
          <w:p w14:paraId="6C7AD20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Increase share of RES in heating and cooling</w:t>
            </w:r>
          </w:p>
        </w:tc>
      </w:tr>
      <w:tr w:rsidR="00614438" w:rsidRPr="003E0710" w14:paraId="6072EF75" w14:textId="77777777" w:rsidTr="00614438">
        <w:trPr>
          <w:gridAfter w:val="1"/>
          <w:wAfter w:w="222" w:type="dxa"/>
          <w:trHeight w:val="315"/>
        </w:trPr>
        <w:tc>
          <w:tcPr>
            <w:tcW w:w="3279" w:type="dxa"/>
            <w:tcBorders>
              <w:top w:val="nil"/>
              <w:left w:val="single" w:sz="8" w:space="0" w:color="auto"/>
              <w:bottom w:val="single" w:sz="8" w:space="0" w:color="auto"/>
              <w:right w:val="single" w:sz="8" w:space="0" w:color="auto"/>
            </w:tcBorders>
            <w:shd w:val="clear" w:color="auto" w:fill="244062"/>
            <w:vAlign w:val="center"/>
            <w:hideMark/>
          </w:tcPr>
          <w:p w14:paraId="0202283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79" w:type="dxa"/>
            <w:gridSpan w:val="3"/>
            <w:tcBorders>
              <w:top w:val="single" w:sz="4" w:space="0" w:color="auto"/>
              <w:left w:val="single" w:sz="4" w:space="0" w:color="auto"/>
              <w:bottom w:val="single" w:sz="4" w:space="0" w:color="000000"/>
              <w:right w:val="single" w:sz="4" w:space="0" w:color="auto"/>
            </w:tcBorders>
            <w:vAlign w:val="center"/>
            <w:hideMark/>
          </w:tcPr>
          <w:p w14:paraId="27CC620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2.65 ktoe of biomass</w:t>
            </w:r>
          </w:p>
          <w:p w14:paraId="66DA516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19.06 ktoe of solar energy</w:t>
            </w:r>
          </w:p>
        </w:tc>
      </w:tr>
      <w:tr w:rsidR="00614438" w:rsidRPr="003E0710" w14:paraId="393CEA74" w14:textId="77777777" w:rsidTr="00614438">
        <w:trPr>
          <w:gridAfter w:val="1"/>
          <w:wAfter w:w="222" w:type="dxa"/>
          <w:trHeight w:val="689"/>
        </w:trPr>
        <w:tc>
          <w:tcPr>
            <w:tcW w:w="3279" w:type="dxa"/>
            <w:tcBorders>
              <w:top w:val="nil"/>
              <w:left w:val="single" w:sz="8" w:space="0" w:color="auto"/>
              <w:bottom w:val="single" w:sz="8" w:space="0" w:color="auto"/>
              <w:right w:val="single" w:sz="8" w:space="0" w:color="auto"/>
            </w:tcBorders>
            <w:shd w:val="clear" w:color="auto" w:fill="244062"/>
            <w:vAlign w:val="center"/>
            <w:hideMark/>
          </w:tcPr>
          <w:p w14:paraId="3459371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79" w:type="dxa"/>
            <w:gridSpan w:val="3"/>
            <w:tcBorders>
              <w:top w:val="single" w:sz="4" w:space="0" w:color="auto"/>
              <w:left w:val="single" w:sz="4" w:space="0" w:color="auto"/>
              <w:bottom w:val="single" w:sz="4" w:space="0" w:color="000000"/>
              <w:right w:val="single" w:sz="4" w:space="0" w:color="auto"/>
            </w:tcBorders>
            <w:vAlign w:val="center"/>
            <w:hideMark/>
          </w:tcPr>
          <w:p w14:paraId="5DA25FA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PM_D31 will support the further penetration of renewable energy technologies into the existing and planned district heating networks </w:t>
            </w:r>
            <w:r w:rsidR="007E5499" w:rsidRPr="003E0710">
              <w:rPr>
                <w:rFonts w:ascii="Times New Roman" w:hAnsi="Times New Roman" w:cs="Times New Roman"/>
                <w:sz w:val="20"/>
                <w:szCs w:val="20"/>
                <w:lang w:val="en-GB"/>
              </w:rPr>
              <w:t>by</w:t>
            </w:r>
            <w:r w:rsidRPr="003E0710">
              <w:rPr>
                <w:rFonts w:ascii="Times New Roman" w:hAnsi="Times New Roman" w:cs="Times New Roman"/>
                <w:sz w:val="20"/>
                <w:szCs w:val="20"/>
                <w:lang w:val="en-GB"/>
              </w:rPr>
              <w:t xml:space="preserve"> provi</w:t>
            </w:r>
            <w:r w:rsidR="007E5499" w:rsidRPr="003E0710">
              <w:rPr>
                <w:rFonts w:ascii="Times New Roman" w:hAnsi="Times New Roman" w:cs="Times New Roman"/>
                <w:sz w:val="20"/>
                <w:szCs w:val="20"/>
                <w:lang w:val="en-GB"/>
              </w:rPr>
              <w:t xml:space="preserve">ding </w:t>
            </w:r>
            <w:r w:rsidRPr="003E0710">
              <w:rPr>
                <w:rFonts w:ascii="Times New Roman" w:hAnsi="Times New Roman" w:cs="Times New Roman"/>
                <w:sz w:val="20"/>
                <w:szCs w:val="20"/>
                <w:lang w:val="en-GB"/>
              </w:rPr>
              <w:t>specific economic incentives. Moreover, the potential imposition of a mandatory quota in the utilization of renewable energy sources as fuel in the district heating networks will be scrutinized. Finally, the initiation of modern low-temperature district h</w:t>
            </w:r>
            <w:r w:rsidR="007E5499" w:rsidRPr="003E0710">
              <w:rPr>
                <w:rFonts w:ascii="Times New Roman" w:hAnsi="Times New Roman" w:cs="Times New Roman"/>
                <w:sz w:val="20"/>
                <w:szCs w:val="20"/>
                <w:lang w:val="en-GB"/>
              </w:rPr>
              <w:t xml:space="preserve">eating systems will be examined, </w:t>
            </w:r>
            <w:r w:rsidRPr="003E0710">
              <w:rPr>
                <w:rFonts w:ascii="Times New Roman" w:hAnsi="Times New Roman" w:cs="Times New Roman"/>
                <w:sz w:val="20"/>
                <w:szCs w:val="20"/>
                <w:lang w:val="en-GB"/>
              </w:rPr>
              <w:t>connecting local demand with all renewable and waste energy sources, as well as the wider electric and gas grid contributing to the optimisation of supply and demand across energy carriers. The utilization of centralised heat pumps as pilot projects will be explored</w:t>
            </w:r>
            <w:r w:rsidR="007E5499" w:rsidRPr="003E0710">
              <w:rPr>
                <w:rFonts w:ascii="Times New Roman" w:hAnsi="Times New Roman" w:cs="Times New Roman"/>
                <w:sz w:val="20"/>
                <w:szCs w:val="20"/>
                <w:lang w:val="en-GB"/>
              </w:rPr>
              <w:t>,</w:t>
            </w:r>
            <w:r w:rsidRPr="003E0710">
              <w:rPr>
                <w:rFonts w:ascii="Times New Roman" w:hAnsi="Times New Roman" w:cs="Times New Roman"/>
                <w:sz w:val="20"/>
                <w:szCs w:val="20"/>
                <w:lang w:val="en-GB"/>
              </w:rPr>
              <w:t xml:space="preserve"> also under the prerequisite that their investment cost will be decreased.</w:t>
            </w:r>
          </w:p>
        </w:tc>
      </w:tr>
      <w:tr w:rsidR="00614438" w:rsidRPr="003E0710" w14:paraId="721EFA78" w14:textId="77777777" w:rsidTr="00614438">
        <w:trPr>
          <w:gridAfter w:val="1"/>
          <w:wAfter w:w="222" w:type="dxa"/>
          <w:trHeight w:val="315"/>
        </w:trPr>
        <w:tc>
          <w:tcPr>
            <w:tcW w:w="3279" w:type="dxa"/>
            <w:tcBorders>
              <w:top w:val="nil"/>
              <w:left w:val="single" w:sz="8" w:space="0" w:color="auto"/>
              <w:bottom w:val="single" w:sz="8" w:space="0" w:color="auto"/>
              <w:right w:val="single" w:sz="8" w:space="0" w:color="auto"/>
            </w:tcBorders>
            <w:shd w:val="clear" w:color="auto" w:fill="244062"/>
            <w:vAlign w:val="center"/>
            <w:hideMark/>
          </w:tcPr>
          <w:p w14:paraId="70FB3AF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79" w:type="dxa"/>
            <w:gridSpan w:val="3"/>
            <w:tcBorders>
              <w:top w:val="single" w:sz="4" w:space="0" w:color="auto"/>
              <w:left w:val="single" w:sz="4" w:space="0" w:color="auto"/>
              <w:bottom w:val="single" w:sz="4" w:space="0" w:color="000000"/>
              <w:right w:val="single" w:sz="4" w:space="0" w:color="auto"/>
            </w:tcBorders>
            <w:vAlign w:val="center"/>
            <w:hideMark/>
          </w:tcPr>
          <w:p w14:paraId="71129D0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2025-2030</w:t>
            </w:r>
          </w:p>
        </w:tc>
      </w:tr>
      <w:tr w:rsidR="00614438" w:rsidRPr="003E0710" w14:paraId="77FA2048" w14:textId="77777777" w:rsidTr="00614438">
        <w:trPr>
          <w:gridAfter w:val="1"/>
          <w:wAfter w:w="222" w:type="dxa"/>
          <w:trHeight w:val="315"/>
        </w:trPr>
        <w:tc>
          <w:tcPr>
            <w:tcW w:w="3279" w:type="dxa"/>
            <w:tcBorders>
              <w:top w:val="nil"/>
              <w:left w:val="single" w:sz="8" w:space="0" w:color="auto"/>
              <w:bottom w:val="single" w:sz="8" w:space="0" w:color="auto"/>
              <w:right w:val="single" w:sz="8" w:space="0" w:color="auto"/>
            </w:tcBorders>
            <w:shd w:val="clear" w:color="auto" w:fill="244062"/>
            <w:vAlign w:val="center"/>
            <w:hideMark/>
          </w:tcPr>
          <w:p w14:paraId="297BC13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79" w:type="dxa"/>
            <w:gridSpan w:val="3"/>
            <w:tcBorders>
              <w:top w:val="single" w:sz="8" w:space="0" w:color="auto"/>
              <w:left w:val="nil"/>
              <w:bottom w:val="single" w:sz="8" w:space="0" w:color="auto"/>
              <w:right w:val="single" w:sz="8" w:space="0" w:color="000000"/>
            </w:tcBorders>
            <w:vAlign w:val="center"/>
            <w:hideMark/>
          </w:tcPr>
          <w:p w14:paraId="0BAFF296"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w:t>
            </w:r>
          </w:p>
        </w:tc>
      </w:tr>
      <w:tr w:rsidR="00614438" w:rsidRPr="003E0710" w14:paraId="604B19D2" w14:textId="77777777" w:rsidTr="00614438">
        <w:trPr>
          <w:gridAfter w:val="1"/>
          <w:wAfter w:w="222" w:type="dxa"/>
          <w:trHeight w:val="315"/>
        </w:trPr>
        <w:tc>
          <w:tcPr>
            <w:tcW w:w="3279" w:type="dxa"/>
            <w:tcBorders>
              <w:top w:val="nil"/>
              <w:left w:val="single" w:sz="8" w:space="0" w:color="auto"/>
              <w:bottom w:val="single" w:sz="8" w:space="0" w:color="auto"/>
              <w:right w:val="single" w:sz="8" w:space="0" w:color="auto"/>
            </w:tcBorders>
            <w:shd w:val="clear" w:color="auto" w:fill="244062"/>
            <w:vAlign w:val="center"/>
            <w:hideMark/>
          </w:tcPr>
          <w:p w14:paraId="51B5686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79" w:type="dxa"/>
            <w:gridSpan w:val="3"/>
            <w:tcBorders>
              <w:top w:val="single" w:sz="8" w:space="0" w:color="auto"/>
              <w:left w:val="nil"/>
              <w:bottom w:val="single" w:sz="8" w:space="0" w:color="auto"/>
              <w:right w:val="single" w:sz="8" w:space="0" w:color="000000"/>
            </w:tcBorders>
            <w:vAlign w:val="center"/>
            <w:hideMark/>
          </w:tcPr>
          <w:p w14:paraId="37736088"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Heating and cooling</w:t>
            </w:r>
          </w:p>
        </w:tc>
      </w:tr>
      <w:tr w:rsidR="00614438" w:rsidRPr="003E0710" w14:paraId="670BEA1E" w14:textId="77777777" w:rsidTr="00614438">
        <w:trPr>
          <w:gridAfter w:val="1"/>
          <w:wAfter w:w="222" w:type="dxa"/>
          <w:trHeight w:val="315"/>
        </w:trPr>
        <w:tc>
          <w:tcPr>
            <w:tcW w:w="3279" w:type="dxa"/>
            <w:tcBorders>
              <w:top w:val="nil"/>
              <w:left w:val="single" w:sz="8" w:space="0" w:color="auto"/>
              <w:bottom w:val="single" w:sz="8" w:space="0" w:color="auto"/>
              <w:right w:val="single" w:sz="8" w:space="0" w:color="auto"/>
            </w:tcBorders>
            <w:shd w:val="clear" w:color="auto" w:fill="244062"/>
            <w:vAlign w:val="center"/>
            <w:hideMark/>
          </w:tcPr>
          <w:p w14:paraId="3C2A740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79" w:type="dxa"/>
            <w:gridSpan w:val="3"/>
            <w:tcBorders>
              <w:top w:val="single" w:sz="8" w:space="0" w:color="auto"/>
              <w:left w:val="nil"/>
              <w:bottom w:val="single" w:sz="8" w:space="0" w:color="auto"/>
              <w:right w:val="single" w:sz="8" w:space="0" w:color="000000"/>
            </w:tcBorders>
            <w:vAlign w:val="center"/>
            <w:hideMark/>
          </w:tcPr>
          <w:p w14:paraId="43B1986B"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Mining and Energy</w:t>
            </w:r>
          </w:p>
          <w:p w14:paraId="0F3107FB"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Local self-governments</w:t>
            </w:r>
          </w:p>
        </w:tc>
      </w:tr>
      <w:tr w:rsidR="00614438" w:rsidRPr="003E0710" w14:paraId="11D8050A" w14:textId="77777777" w:rsidTr="00614438">
        <w:trPr>
          <w:gridAfter w:val="1"/>
          <w:wAfter w:w="222" w:type="dxa"/>
          <w:trHeight w:val="315"/>
        </w:trPr>
        <w:tc>
          <w:tcPr>
            <w:tcW w:w="3279" w:type="dxa"/>
            <w:tcBorders>
              <w:top w:val="nil"/>
              <w:left w:val="single" w:sz="8" w:space="0" w:color="auto"/>
              <w:bottom w:val="single" w:sz="8" w:space="0" w:color="auto"/>
              <w:right w:val="nil"/>
            </w:tcBorders>
            <w:shd w:val="clear" w:color="auto" w:fill="244062"/>
            <w:vAlign w:val="center"/>
            <w:hideMark/>
          </w:tcPr>
          <w:p w14:paraId="4F217B1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79" w:type="dxa"/>
            <w:gridSpan w:val="3"/>
            <w:tcBorders>
              <w:top w:val="single" w:sz="8" w:space="0" w:color="auto"/>
              <w:left w:val="nil"/>
              <w:bottom w:val="single" w:sz="8" w:space="0" w:color="auto"/>
              <w:right w:val="single" w:sz="8" w:space="0" w:color="000000"/>
            </w:tcBorders>
            <w:vAlign w:val="center"/>
            <w:hideMark/>
          </w:tcPr>
          <w:p w14:paraId="527C9E76"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 </w:t>
            </w:r>
          </w:p>
        </w:tc>
      </w:tr>
      <w:tr w:rsidR="00614438" w:rsidRPr="003E0710" w14:paraId="73E6A98F" w14:textId="77777777" w:rsidTr="00614438">
        <w:trPr>
          <w:gridAfter w:val="1"/>
          <w:wAfter w:w="222" w:type="dxa"/>
          <w:trHeight w:val="315"/>
        </w:trPr>
        <w:tc>
          <w:tcPr>
            <w:tcW w:w="3279" w:type="dxa"/>
            <w:tcBorders>
              <w:top w:val="nil"/>
              <w:left w:val="single" w:sz="8" w:space="0" w:color="auto"/>
              <w:bottom w:val="single" w:sz="8" w:space="0" w:color="auto"/>
              <w:right w:val="nil"/>
            </w:tcBorders>
            <w:shd w:val="clear" w:color="auto" w:fill="244062"/>
            <w:vAlign w:val="center"/>
            <w:hideMark/>
          </w:tcPr>
          <w:p w14:paraId="274600E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79" w:type="dxa"/>
            <w:gridSpan w:val="3"/>
            <w:tcBorders>
              <w:top w:val="single" w:sz="8" w:space="0" w:color="auto"/>
              <w:left w:val="nil"/>
              <w:bottom w:val="single" w:sz="8" w:space="0" w:color="auto"/>
              <w:right w:val="single" w:sz="8" w:space="0" w:color="000000"/>
            </w:tcBorders>
            <w:vAlign w:val="center"/>
            <w:hideMark/>
          </w:tcPr>
          <w:p w14:paraId="439CDD68"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Produced RES heating and cooling</w:t>
            </w:r>
          </w:p>
        </w:tc>
      </w:tr>
      <w:tr w:rsidR="00614438" w:rsidRPr="003E0710" w14:paraId="1959322D" w14:textId="77777777" w:rsidTr="00614438">
        <w:trPr>
          <w:gridAfter w:val="1"/>
          <w:wAfter w:w="222" w:type="dxa"/>
          <w:trHeight w:val="287"/>
        </w:trPr>
        <w:tc>
          <w:tcPr>
            <w:tcW w:w="3279" w:type="dxa"/>
            <w:tcBorders>
              <w:top w:val="nil"/>
              <w:left w:val="single" w:sz="8" w:space="0" w:color="auto"/>
              <w:bottom w:val="single" w:sz="8" w:space="0" w:color="auto"/>
              <w:right w:val="single" w:sz="8" w:space="0" w:color="auto"/>
            </w:tcBorders>
            <w:shd w:val="clear" w:color="auto" w:fill="244062"/>
            <w:vAlign w:val="center"/>
            <w:hideMark/>
          </w:tcPr>
          <w:p w14:paraId="7303B76D"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79" w:type="dxa"/>
            <w:gridSpan w:val="3"/>
            <w:tcBorders>
              <w:top w:val="single" w:sz="8" w:space="0" w:color="auto"/>
              <w:left w:val="nil"/>
              <w:bottom w:val="single" w:sz="8" w:space="0" w:color="auto"/>
              <w:right w:val="single" w:sz="8" w:space="0" w:color="000000"/>
            </w:tcBorders>
            <w:vAlign w:val="center"/>
            <w:hideMark/>
          </w:tcPr>
          <w:p w14:paraId="70A0C0C3"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 xml:space="preserve">Energy efficiency (the promoted RES technologies will </w:t>
            </w:r>
            <w:r w:rsidR="007E5499" w:rsidRPr="003E0710">
              <w:rPr>
                <w:rFonts w:ascii="Times New Roman" w:hAnsi="Times New Roman" w:cs="Times New Roman"/>
                <w:sz w:val="20"/>
                <w:szCs w:val="20"/>
              </w:rPr>
              <w:t xml:space="preserve">also </w:t>
            </w:r>
            <w:r w:rsidRPr="003E0710">
              <w:rPr>
                <w:rFonts w:ascii="Times New Roman" w:hAnsi="Times New Roman" w:cs="Times New Roman"/>
                <w:sz w:val="20"/>
                <w:szCs w:val="20"/>
              </w:rPr>
              <w:t>deliver primary energy savings contributing to the achievement of the relevant targets)</w:t>
            </w:r>
          </w:p>
          <w:p w14:paraId="620FF5E5"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Energy security (the penetration of RES technologies will reduce the energy import dependency from third countries and increase the deployment of domestic energy sources)</w:t>
            </w:r>
          </w:p>
        </w:tc>
      </w:tr>
      <w:tr w:rsidR="00614438" w:rsidRPr="003E0710" w14:paraId="385B0862" w14:textId="77777777" w:rsidTr="00614438">
        <w:trPr>
          <w:gridAfter w:val="1"/>
          <w:wAfter w:w="222" w:type="dxa"/>
          <w:trHeight w:val="458"/>
        </w:trPr>
        <w:tc>
          <w:tcPr>
            <w:tcW w:w="3279" w:type="dxa"/>
            <w:vMerge w:val="restart"/>
            <w:tcBorders>
              <w:top w:val="nil"/>
              <w:left w:val="single" w:sz="8" w:space="0" w:color="auto"/>
              <w:bottom w:val="single" w:sz="8" w:space="0" w:color="000000"/>
              <w:right w:val="single" w:sz="8" w:space="0" w:color="auto"/>
            </w:tcBorders>
            <w:shd w:val="clear" w:color="auto" w:fill="244062"/>
            <w:vAlign w:val="center"/>
            <w:hideMark/>
          </w:tcPr>
          <w:p w14:paraId="0DE6B5F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Union policy which resulted in the implementation of the PaM</w:t>
            </w:r>
          </w:p>
        </w:tc>
        <w:tc>
          <w:tcPr>
            <w:tcW w:w="6179"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6DFF230"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49DCA5D5"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175D757D"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77106BC"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461C61B1"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80BABE4" w14:textId="77777777" w:rsidTr="00614438">
        <w:trPr>
          <w:trHeight w:val="54"/>
        </w:trPr>
        <w:tc>
          <w:tcPr>
            <w:tcW w:w="0" w:type="auto"/>
            <w:vMerge/>
            <w:tcBorders>
              <w:top w:val="nil"/>
              <w:left w:val="single" w:sz="8" w:space="0" w:color="auto"/>
              <w:bottom w:val="single" w:sz="8" w:space="0" w:color="000000"/>
              <w:right w:val="single" w:sz="8" w:space="0" w:color="auto"/>
            </w:tcBorders>
            <w:vAlign w:val="center"/>
            <w:hideMark/>
          </w:tcPr>
          <w:p w14:paraId="30D2B0C0"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DD37D75"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5580C4D3"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0DFC2F9F" w14:textId="77777777" w:rsidTr="00614438">
        <w:trPr>
          <w:trHeight w:val="271"/>
        </w:trPr>
        <w:tc>
          <w:tcPr>
            <w:tcW w:w="3279" w:type="dxa"/>
            <w:tcBorders>
              <w:top w:val="nil"/>
              <w:left w:val="single" w:sz="8" w:space="0" w:color="auto"/>
              <w:bottom w:val="single" w:sz="8" w:space="0" w:color="auto"/>
              <w:right w:val="single" w:sz="8" w:space="0" w:color="auto"/>
            </w:tcBorders>
            <w:shd w:val="clear" w:color="auto" w:fill="244062"/>
            <w:vAlign w:val="center"/>
            <w:hideMark/>
          </w:tcPr>
          <w:p w14:paraId="02CE307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79" w:type="dxa"/>
            <w:gridSpan w:val="3"/>
            <w:tcBorders>
              <w:top w:val="single" w:sz="8" w:space="0" w:color="auto"/>
              <w:left w:val="nil"/>
              <w:bottom w:val="single" w:sz="8" w:space="0" w:color="auto"/>
              <w:right w:val="single" w:sz="8" w:space="0" w:color="000000"/>
            </w:tcBorders>
            <w:vAlign w:val="center"/>
            <w:hideMark/>
          </w:tcPr>
          <w:p w14:paraId="3B26B2AE"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Law on the use of renewable energy sources</w:t>
            </w:r>
          </w:p>
        </w:tc>
        <w:tc>
          <w:tcPr>
            <w:tcW w:w="222" w:type="dxa"/>
            <w:vAlign w:val="center"/>
            <w:hideMark/>
          </w:tcPr>
          <w:p w14:paraId="56A18871"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53EA36AC" w14:textId="77777777" w:rsidTr="00614438">
        <w:trPr>
          <w:trHeight w:val="315"/>
        </w:trPr>
        <w:tc>
          <w:tcPr>
            <w:tcW w:w="3279" w:type="dxa"/>
            <w:tcBorders>
              <w:top w:val="nil"/>
              <w:left w:val="single" w:sz="8" w:space="0" w:color="auto"/>
              <w:bottom w:val="single" w:sz="8" w:space="0" w:color="auto"/>
              <w:right w:val="single" w:sz="8" w:space="0" w:color="auto"/>
            </w:tcBorders>
            <w:shd w:val="clear" w:color="auto" w:fill="244062"/>
            <w:vAlign w:val="center"/>
            <w:hideMark/>
          </w:tcPr>
          <w:p w14:paraId="1EBB8EB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79" w:type="dxa"/>
            <w:gridSpan w:val="3"/>
            <w:tcBorders>
              <w:top w:val="single" w:sz="8" w:space="0" w:color="auto"/>
              <w:left w:val="nil"/>
              <w:bottom w:val="single" w:sz="8" w:space="0" w:color="auto"/>
              <w:right w:val="single" w:sz="8" w:space="0" w:color="000000"/>
            </w:tcBorders>
            <w:vAlign w:val="center"/>
            <w:hideMark/>
          </w:tcPr>
          <w:p w14:paraId="1C5E3BC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8 M€ for biomass</w:t>
            </w:r>
          </w:p>
          <w:p w14:paraId="6626FC9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44 M€ for solar energy</w:t>
            </w:r>
          </w:p>
        </w:tc>
        <w:tc>
          <w:tcPr>
            <w:tcW w:w="222" w:type="dxa"/>
            <w:vAlign w:val="center"/>
            <w:hideMark/>
          </w:tcPr>
          <w:p w14:paraId="00B5A792"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E924931" w14:textId="77777777" w:rsidTr="00614438">
        <w:trPr>
          <w:trHeight w:val="315"/>
        </w:trPr>
        <w:tc>
          <w:tcPr>
            <w:tcW w:w="3279" w:type="dxa"/>
            <w:tcBorders>
              <w:top w:val="nil"/>
              <w:left w:val="single" w:sz="8" w:space="0" w:color="auto"/>
              <w:bottom w:val="single" w:sz="8" w:space="0" w:color="auto"/>
              <w:right w:val="single" w:sz="8" w:space="0" w:color="auto"/>
            </w:tcBorders>
            <w:shd w:val="clear" w:color="auto" w:fill="244062"/>
            <w:vAlign w:val="center"/>
            <w:hideMark/>
          </w:tcPr>
          <w:p w14:paraId="5B404BE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79" w:type="dxa"/>
            <w:gridSpan w:val="3"/>
            <w:tcBorders>
              <w:top w:val="single" w:sz="8" w:space="0" w:color="auto"/>
              <w:left w:val="nil"/>
              <w:bottom w:val="single" w:sz="8" w:space="0" w:color="auto"/>
              <w:right w:val="single" w:sz="8" w:space="0" w:color="000000"/>
            </w:tcBorders>
            <w:vAlign w:val="center"/>
            <w:hideMark/>
          </w:tcPr>
          <w:p w14:paraId="4CAC1BE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 and own funds</w:t>
            </w:r>
          </w:p>
        </w:tc>
        <w:tc>
          <w:tcPr>
            <w:tcW w:w="222" w:type="dxa"/>
            <w:vAlign w:val="center"/>
            <w:hideMark/>
          </w:tcPr>
          <w:p w14:paraId="01B66D78" w14:textId="77777777" w:rsidR="00614438" w:rsidRPr="003E0710" w:rsidRDefault="00614438" w:rsidP="003E0710">
            <w:pPr>
              <w:spacing w:after="0"/>
              <w:jc w:val="both"/>
              <w:rPr>
                <w:rFonts w:ascii="Times New Roman" w:hAnsi="Times New Roman" w:cs="Times New Roman"/>
                <w:sz w:val="20"/>
                <w:szCs w:val="20"/>
                <w:lang w:val="en-GB"/>
              </w:rPr>
            </w:pPr>
          </w:p>
        </w:tc>
      </w:tr>
    </w:tbl>
    <w:p w14:paraId="5D0ECA46" w14:textId="77777777" w:rsidR="00614438" w:rsidRPr="00614438" w:rsidRDefault="007E5499" w:rsidP="007E5499">
      <w:pPr>
        <w:ind w:left="1440"/>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3.1.2.5 </w:t>
      </w:r>
      <w:r w:rsidR="00614438" w:rsidRPr="00614438">
        <w:rPr>
          <w:rFonts w:ascii="Times New Roman" w:hAnsi="Times New Roman" w:cs="Times New Roman"/>
          <w:sz w:val="24"/>
          <w:szCs w:val="24"/>
          <w:lang w:val="en-GB"/>
        </w:rPr>
        <w:t>Specific measures on the promotion of the use of energy from biomass, especially for new biomass mobilisation</w:t>
      </w:r>
    </w:p>
    <w:p w14:paraId="1B72B85F" w14:textId="77777777" w:rsidR="00614438" w:rsidRPr="00614438" w:rsidRDefault="00614438" w:rsidP="007E5499">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Specialized support programmes will be designed and implemented targeting the development of efficient supply chains of residual biomass and biodegradable material, which is required for the achievement of the specified targets. Additional measures will be examined so as to increase the quantities of biomass, which will be utilized for energy production, such as the potential imposition of gate fee.</w:t>
      </w:r>
    </w:p>
    <w:p w14:paraId="1B17DF4B" w14:textId="77777777" w:rsidR="00614438" w:rsidRPr="003E0710" w:rsidRDefault="00614438" w:rsidP="003E0710">
      <w:pPr>
        <w:spacing w:after="0"/>
        <w:ind w:firstLine="720"/>
        <w:jc w:val="both"/>
        <w:rPr>
          <w:rFonts w:ascii="Times New Roman" w:hAnsi="Times New Roman" w:cs="Times New Roman"/>
          <w:sz w:val="20"/>
          <w:szCs w:val="20"/>
          <w:lang w:val="en-GB"/>
        </w:rPr>
      </w:pPr>
      <w:r w:rsidRPr="00614438">
        <w:rPr>
          <w:rFonts w:ascii="Times New Roman" w:hAnsi="Times New Roman" w:cs="Times New Roman"/>
          <w:sz w:val="24"/>
          <w:szCs w:val="24"/>
          <w:lang w:val="en-GB"/>
        </w:rPr>
        <w:t>Finally, a holistic framework will be set-up for fulfilling the sustainability and greenhouse gas emissions saving criteria for the different types of biomass</w:t>
      </w:r>
      <w:r w:rsidR="00EB618F">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according to the provision of the Directive 2018/2001/EU</w:t>
      </w:r>
      <w:r w:rsidR="00EB618F">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including the establishment and operation of a monitoring, control and verification mechanism ensuring and justifying the fulfilment with the defined criteria.</w:t>
      </w:r>
    </w:p>
    <w:tbl>
      <w:tblPr>
        <w:tblW w:w="9680" w:type="dxa"/>
        <w:tblLook w:val="04A0" w:firstRow="1" w:lastRow="0" w:firstColumn="1" w:lastColumn="0" w:noHBand="0" w:noVBand="1"/>
      </w:tblPr>
      <w:tblGrid>
        <w:gridCol w:w="3326"/>
        <w:gridCol w:w="950"/>
        <w:gridCol w:w="946"/>
        <w:gridCol w:w="4236"/>
        <w:gridCol w:w="222"/>
      </w:tblGrid>
      <w:tr w:rsidR="00614438" w:rsidRPr="003E0710" w14:paraId="086F2E22" w14:textId="77777777" w:rsidTr="00614438">
        <w:trPr>
          <w:gridAfter w:val="1"/>
          <w:wAfter w:w="222" w:type="dxa"/>
          <w:trHeight w:val="780"/>
        </w:trPr>
        <w:tc>
          <w:tcPr>
            <w:tcW w:w="3328"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7DDDFE5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4873FF8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PM_D40</w:t>
            </w:r>
          </w:p>
        </w:tc>
        <w:tc>
          <w:tcPr>
            <w:tcW w:w="946" w:type="dxa"/>
            <w:tcBorders>
              <w:top w:val="single" w:sz="8" w:space="0" w:color="auto"/>
              <w:left w:val="nil"/>
              <w:bottom w:val="single" w:sz="8" w:space="0" w:color="auto"/>
              <w:right w:val="single" w:sz="8" w:space="0" w:color="auto"/>
            </w:tcBorders>
            <w:shd w:val="clear" w:color="auto" w:fill="244062"/>
            <w:vAlign w:val="center"/>
            <w:hideMark/>
          </w:tcPr>
          <w:p w14:paraId="251E3A9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39" w:type="dxa"/>
            <w:tcBorders>
              <w:top w:val="single" w:sz="8" w:space="0" w:color="auto"/>
              <w:left w:val="nil"/>
              <w:bottom w:val="single" w:sz="8" w:space="0" w:color="auto"/>
              <w:right w:val="single" w:sz="8" w:space="0" w:color="auto"/>
            </w:tcBorders>
            <w:shd w:val="clear" w:color="auto" w:fill="E7E6E6" w:themeFill="background2"/>
            <w:vAlign w:val="center"/>
            <w:hideMark/>
          </w:tcPr>
          <w:p w14:paraId="13BB030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Development of effective supply chains for the exploitation of the available potential of biofuels, bioliquids and biomass</w:t>
            </w:r>
          </w:p>
        </w:tc>
      </w:tr>
      <w:tr w:rsidR="00614438" w:rsidRPr="003E0710" w14:paraId="4B8D2DA9" w14:textId="77777777" w:rsidTr="00614438">
        <w:trPr>
          <w:gridAfter w:val="1"/>
          <w:wAfter w:w="222" w:type="dxa"/>
          <w:trHeight w:val="337"/>
        </w:trPr>
        <w:tc>
          <w:tcPr>
            <w:tcW w:w="3328" w:type="dxa"/>
            <w:tcBorders>
              <w:top w:val="nil"/>
              <w:left w:val="single" w:sz="8" w:space="0" w:color="auto"/>
              <w:bottom w:val="single" w:sz="8" w:space="0" w:color="auto"/>
              <w:right w:val="nil"/>
            </w:tcBorders>
            <w:shd w:val="clear" w:color="auto" w:fill="244062"/>
            <w:vAlign w:val="center"/>
            <w:hideMark/>
          </w:tcPr>
          <w:p w14:paraId="2C498FF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30" w:type="dxa"/>
            <w:gridSpan w:val="3"/>
            <w:tcBorders>
              <w:top w:val="single" w:sz="8" w:space="0" w:color="auto"/>
              <w:left w:val="nil"/>
              <w:bottom w:val="single" w:sz="8" w:space="0" w:color="auto"/>
              <w:right w:val="single" w:sz="8" w:space="0" w:color="000000"/>
            </w:tcBorders>
            <w:vAlign w:val="center"/>
            <w:hideMark/>
          </w:tcPr>
          <w:p w14:paraId="1D25BB3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Increase share of RES in electricity, increase share of RES in heating and cooling and increase share of RES in transport</w:t>
            </w:r>
          </w:p>
        </w:tc>
      </w:tr>
      <w:tr w:rsidR="00614438" w:rsidRPr="003E0710" w14:paraId="5E583B97"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021D9B1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30" w:type="dxa"/>
            <w:gridSpan w:val="3"/>
            <w:tcBorders>
              <w:top w:val="single" w:sz="8" w:space="0" w:color="auto"/>
              <w:left w:val="nil"/>
              <w:bottom w:val="single" w:sz="8" w:space="0" w:color="auto"/>
              <w:right w:val="single" w:sz="8" w:space="0" w:color="000000"/>
            </w:tcBorders>
            <w:vAlign w:val="center"/>
            <w:hideMark/>
          </w:tcPr>
          <w:p w14:paraId="44D2998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Contribution to the expected penetration of biofuels, bioliquids and biomass</w:t>
            </w:r>
          </w:p>
        </w:tc>
      </w:tr>
      <w:tr w:rsidR="00614438" w:rsidRPr="003E0710" w14:paraId="578AEEF9" w14:textId="77777777" w:rsidTr="00614438">
        <w:trPr>
          <w:gridAfter w:val="1"/>
          <w:wAfter w:w="222" w:type="dxa"/>
          <w:trHeight w:val="1433"/>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79F2EA2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30" w:type="dxa"/>
            <w:gridSpan w:val="3"/>
            <w:tcBorders>
              <w:top w:val="single" w:sz="8" w:space="0" w:color="auto"/>
              <w:left w:val="nil"/>
              <w:bottom w:val="single" w:sz="8" w:space="0" w:color="auto"/>
              <w:right w:val="single" w:sz="8" w:space="0" w:color="000000"/>
            </w:tcBorders>
            <w:vAlign w:val="center"/>
            <w:hideMark/>
          </w:tcPr>
          <w:p w14:paraId="770D628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PM_D40 will apply specialized support programs both for the development of efficient supply chains of residual biomass and biodegradable material </w:t>
            </w:r>
            <w:r w:rsidR="00EB618F" w:rsidRPr="003E0710">
              <w:rPr>
                <w:rFonts w:ascii="Times New Roman" w:hAnsi="Times New Roman" w:cs="Times New Roman"/>
                <w:sz w:val="20"/>
                <w:szCs w:val="20"/>
                <w:lang w:val="en-GB"/>
              </w:rPr>
              <w:t>as weel as for</w:t>
            </w:r>
            <w:r w:rsidRPr="003E0710">
              <w:rPr>
                <w:rFonts w:ascii="Times New Roman" w:hAnsi="Times New Roman" w:cs="Times New Roman"/>
                <w:sz w:val="20"/>
                <w:szCs w:val="20"/>
                <w:lang w:val="en-GB"/>
              </w:rPr>
              <w:t xml:space="preserve"> the support of the most effective and environmental-friendly bioenergy applications. </w:t>
            </w:r>
            <w:bookmarkStart w:id="136" w:name="_Hlk135854685"/>
            <w:r w:rsidRPr="003E0710">
              <w:rPr>
                <w:rFonts w:ascii="Times New Roman" w:hAnsi="Times New Roman" w:cs="Times New Roman"/>
                <w:sz w:val="20"/>
                <w:szCs w:val="20"/>
                <w:lang w:val="en-GB"/>
              </w:rPr>
              <w:t>More specifically, the required equipment and infrastructure will be supported economically in different stages of the supply chain, such as feedstock production</w:t>
            </w:r>
            <w:r w:rsidR="00EB618F" w:rsidRPr="003E0710">
              <w:rPr>
                <w:rFonts w:ascii="Times New Roman" w:hAnsi="Times New Roman" w:cs="Times New Roman"/>
                <w:sz w:val="20"/>
                <w:szCs w:val="20"/>
                <w:lang w:val="en-GB"/>
              </w:rPr>
              <w:t>, cutting of trees</w:t>
            </w:r>
            <w:r w:rsidRPr="003E0710">
              <w:rPr>
                <w:rFonts w:ascii="Times New Roman" w:hAnsi="Times New Roman" w:cs="Times New Roman"/>
                <w:sz w:val="20"/>
                <w:szCs w:val="20"/>
                <w:lang w:val="en-GB"/>
              </w:rPr>
              <w:t xml:space="preserve">/processing, transportation, collection and storage of the collected residual biomass. </w:t>
            </w:r>
            <w:bookmarkEnd w:id="136"/>
            <w:r w:rsidRPr="003E0710">
              <w:rPr>
                <w:rFonts w:ascii="Times New Roman" w:hAnsi="Times New Roman" w:cs="Times New Roman"/>
                <w:sz w:val="20"/>
                <w:szCs w:val="20"/>
                <w:lang w:val="en-GB"/>
              </w:rPr>
              <w:t>Moreover, the potential imposition for collecting the biomass in the form of gate-fee levy will be examined in order to increase the quantities of biomass, which will be utilized for energy production. In any case, the compliant biofuels, bioliquids and biomass fuels with the sustainability and greenhouse gas emissions saving criteria will be supported, as foreseen by the Directive 2018/2001/ΕU.</w:t>
            </w:r>
          </w:p>
        </w:tc>
      </w:tr>
      <w:tr w:rsidR="00614438" w:rsidRPr="003E0710" w14:paraId="5085021F"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07FEBD5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30" w:type="dxa"/>
            <w:gridSpan w:val="3"/>
            <w:tcBorders>
              <w:top w:val="single" w:sz="8" w:space="0" w:color="auto"/>
              <w:left w:val="nil"/>
              <w:bottom w:val="single" w:sz="8" w:space="0" w:color="auto"/>
              <w:right w:val="single" w:sz="8" w:space="0" w:color="000000"/>
            </w:tcBorders>
            <w:vAlign w:val="center"/>
            <w:hideMark/>
          </w:tcPr>
          <w:p w14:paraId="52B3A31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2025-2030</w:t>
            </w:r>
          </w:p>
        </w:tc>
      </w:tr>
      <w:tr w:rsidR="00614438" w:rsidRPr="003E0710" w14:paraId="3C739310"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19AF4BC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30" w:type="dxa"/>
            <w:gridSpan w:val="3"/>
            <w:tcBorders>
              <w:top w:val="single" w:sz="8" w:space="0" w:color="auto"/>
              <w:left w:val="nil"/>
              <w:bottom w:val="single" w:sz="8" w:space="0" w:color="auto"/>
              <w:right w:val="single" w:sz="8" w:space="0" w:color="000000"/>
            </w:tcBorders>
            <w:vAlign w:val="center"/>
            <w:hideMark/>
          </w:tcPr>
          <w:p w14:paraId="74FA2BE9"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Investment</w:t>
            </w:r>
          </w:p>
        </w:tc>
      </w:tr>
      <w:tr w:rsidR="00614438" w:rsidRPr="003E0710" w14:paraId="0432D190"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38DDABB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30" w:type="dxa"/>
            <w:gridSpan w:val="3"/>
            <w:tcBorders>
              <w:top w:val="single" w:sz="8" w:space="0" w:color="auto"/>
              <w:left w:val="nil"/>
              <w:bottom w:val="single" w:sz="8" w:space="0" w:color="auto"/>
              <w:right w:val="single" w:sz="8" w:space="0" w:color="000000"/>
            </w:tcBorders>
            <w:vAlign w:val="center"/>
            <w:hideMark/>
          </w:tcPr>
          <w:p w14:paraId="2B129D8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Electricity, Heating and cooling, Transport</w:t>
            </w:r>
          </w:p>
        </w:tc>
      </w:tr>
      <w:tr w:rsidR="00614438" w:rsidRPr="003E0710" w14:paraId="2B26090F"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2C9E42A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30" w:type="dxa"/>
            <w:gridSpan w:val="3"/>
            <w:tcBorders>
              <w:top w:val="single" w:sz="8" w:space="0" w:color="auto"/>
              <w:left w:val="nil"/>
              <w:bottom w:val="single" w:sz="8" w:space="0" w:color="auto"/>
              <w:right w:val="single" w:sz="8" w:space="0" w:color="000000"/>
            </w:tcBorders>
            <w:vAlign w:val="center"/>
            <w:hideMark/>
          </w:tcPr>
          <w:p w14:paraId="4E6FC321"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Mining and Energy</w:t>
            </w:r>
          </w:p>
          <w:p w14:paraId="309DA740"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Agriculture, Forestry and Water Economy</w:t>
            </w:r>
          </w:p>
        </w:tc>
      </w:tr>
      <w:tr w:rsidR="00614438" w:rsidRPr="003E0710" w14:paraId="691B2C9F" w14:textId="77777777" w:rsidTr="00614438">
        <w:trPr>
          <w:gridAfter w:val="1"/>
          <w:wAfter w:w="222" w:type="dxa"/>
          <w:trHeight w:val="315"/>
        </w:trPr>
        <w:tc>
          <w:tcPr>
            <w:tcW w:w="3328" w:type="dxa"/>
            <w:tcBorders>
              <w:top w:val="nil"/>
              <w:left w:val="single" w:sz="8" w:space="0" w:color="auto"/>
              <w:bottom w:val="single" w:sz="8" w:space="0" w:color="auto"/>
              <w:right w:val="nil"/>
            </w:tcBorders>
            <w:shd w:val="clear" w:color="auto" w:fill="244062"/>
            <w:vAlign w:val="center"/>
            <w:hideMark/>
          </w:tcPr>
          <w:p w14:paraId="6D3650E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30" w:type="dxa"/>
            <w:gridSpan w:val="3"/>
            <w:tcBorders>
              <w:top w:val="single" w:sz="8" w:space="0" w:color="auto"/>
              <w:left w:val="nil"/>
              <w:bottom w:val="single" w:sz="8" w:space="0" w:color="auto"/>
              <w:right w:val="single" w:sz="8" w:space="0" w:color="000000"/>
            </w:tcBorders>
            <w:vAlign w:val="center"/>
            <w:hideMark/>
          </w:tcPr>
          <w:p w14:paraId="57C985B4"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 </w:t>
            </w:r>
          </w:p>
        </w:tc>
      </w:tr>
      <w:tr w:rsidR="00614438" w:rsidRPr="003E0710" w14:paraId="2A071F77" w14:textId="77777777" w:rsidTr="00614438">
        <w:trPr>
          <w:gridAfter w:val="1"/>
          <w:wAfter w:w="222" w:type="dxa"/>
          <w:trHeight w:val="315"/>
        </w:trPr>
        <w:tc>
          <w:tcPr>
            <w:tcW w:w="3328" w:type="dxa"/>
            <w:tcBorders>
              <w:top w:val="nil"/>
              <w:left w:val="single" w:sz="8" w:space="0" w:color="auto"/>
              <w:bottom w:val="single" w:sz="8" w:space="0" w:color="auto"/>
              <w:right w:val="nil"/>
            </w:tcBorders>
            <w:shd w:val="clear" w:color="auto" w:fill="244062"/>
            <w:vAlign w:val="center"/>
            <w:hideMark/>
          </w:tcPr>
          <w:p w14:paraId="528BAE9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30" w:type="dxa"/>
            <w:gridSpan w:val="3"/>
            <w:tcBorders>
              <w:top w:val="single" w:sz="8" w:space="0" w:color="auto"/>
              <w:left w:val="nil"/>
              <w:bottom w:val="single" w:sz="8" w:space="0" w:color="auto"/>
              <w:right w:val="single" w:sz="8" w:space="0" w:color="000000"/>
            </w:tcBorders>
            <w:vAlign w:val="center"/>
            <w:hideMark/>
          </w:tcPr>
          <w:p w14:paraId="53B6E1F4"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Promoted biofuels, bioliquids and biomass </w:t>
            </w:r>
          </w:p>
        </w:tc>
      </w:tr>
      <w:tr w:rsidR="00614438" w:rsidRPr="003E0710" w14:paraId="40B9C260" w14:textId="77777777" w:rsidTr="00614438">
        <w:trPr>
          <w:gridAfter w:val="1"/>
          <w:wAfter w:w="222" w:type="dxa"/>
          <w:trHeight w:val="411"/>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6E4ED93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30" w:type="dxa"/>
            <w:gridSpan w:val="3"/>
            <w:tcBorders>
              <w:top w:val="single" w:sz="8" w:space="0" w:color="auto"/>
              <w:left w:val="nil"/>
              <w:bottom w:val="single" w:sz="8" w:space="0" w:color="auto"/>
              <w:right w:val="single" w:sz="8" w:space="0" w:color="000000"/>
            </w:tcBorders>
            <w:vAlign w:val="center"/>
            <w:hideMark/>
          </w:tcPr>
          <w:p w14:paraId="61EF1925" w14:textId="77777777" w:rsidR="00614438" w:rsidRPr="003E0710" w:rsidRDefault="00614438" w:rsidP="003E0710">
            <w:pPr>
              <w:numPr>
                <w:ilvl w:val="0"/>
                <w:numId w:val="43"/>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Energy efficiency (the promoted RES technologies will </w:t>
            </w:r>
            <w:r w:rsidR="00EB618F" w:rsidRPr="003E0710">
              <w:rPr>
                <w:rFonts w:ascii="Times New Roman" w:hAnsi="Times New Roman" w:cs="Times New Roman"/>
                <w:sz w:val="20"/>
                <w:szCs w:val="20"/>
                <w:lang w:val="en-GB"/>
              </w:rPr>
              <w:t xml:space="preserve">also </w:t>
            </w:r>
            <w:r w:rsidRPr="003E0710">
              <w:rPr>
                <w:rFonts w:ascii="Times New Roman" w:hAnsi="Times New Roman" w:cs="Times New Roman"/>
                <w:sz w:val="20"/>
                <w:szCs w:val="20"/>
                <w:lang w:val="en-GB"/>
              </w:rPr>
              <w:t>deliver primary energy savings contributing to the achievement of the relevant targets)</w:t>
            </w:r>
          </w:p>
          <w:p w14:paraId="2CA49375" w14:textId="77777777" w:rsidR="00614438" w:rsidRPr="003E0710" w:rsidRDefault="00614438" w:rsidP="003E0710">
            <w:pPr>
              <w:numPr>
                <w:ilvl w:val="0"/>
                <w:numId w:val="43"/>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Energy security (the penetration of RES technologies will reduce the energy import dependency from third countries and increase the deployment of domestic energy sources)</w:t>
            </w:r>
          </w:p>
        </w:tc>
      </w:tr>
      <w:tr w:rsidR="00614438" w:rsidRPr="003E0710" w14:paraId="1FE9C777" w14:textId="77777777" w:rsidTr="00614438">
        <w:trPr>
          <w:gridAfter w:val="1"/>
          <w:wAfter w:w="222" w:type="dxa"/>
          <w:trHeight w:val="458"/>
        </w:trPr>
        <w:tc>
          <w:tcPr>
            <w:tcW w:w="3328" w:type="dxa"/>
            <w:vMerge w:val="restart"/>
            <w:tcBorders>
              <w:top w:val="nil"/>
              <w:left w:val="single" w:sz="8" w:space="0" w:color="auto"/>
              <w:bottom w:val="single" w:sz="8" w:space="0" w:color="000000"/>
              <w:right w:val="single" w:sz="8" w:space="0" w:color="auto"/>
            </w:tcBorders>
            <w:shd w:val="clear" w:color="auto" w:fill="244062"/>
            <w:vAlign w:val="center"/>
            <w:hideMark/>
          </w:tcPr>
          <w:p w14:paraId="3162B2A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lastRenderedPageBreak/>
              <w:t>Union policy which resulted in the implementation of the PaM</w:t>
            </w:r>
          </w:p>
        </w:tc>
        <w:tc>
          <w:tcPr>
            <w:tcW w:w="613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26D2323"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7D9E07C6"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6695DA39"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DE1AD2D"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75BD6379"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BF5E4A8" w14:textId="77777777" w:rsidTr="00614438">
        <w:trPr>
          <w:trHeight w:val="54"/>
        </w:trPr>
        <w:tc>
          <w:tcPr>
            <w:tcW w:w="0" w:type="auto"/>
            <w:vMerge/>
            <w:tcBorders>
              <w:top w:val="nil"/>
              <w:left w:val="single" w:sz="8" w:space="0" w:color="auto"/>
              <w:bottom w:val="single" w:sz="8" w:space="0" w:color="000000"/>
              <w:right w:val="single" w:sz="8" w:space="0" w:color="auto"/>
            </w:tcBorders>
            <w:vAlign w:val="center"/>
            <w:hideMark/>
          </w:tcPr>
          <w:p w14:paraId="329D29A5"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2537C60"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67D75C1E"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3BE85B31" w14:textId="77777777" w:rsidTr="00614438">
        <w:trPr>
          <w:trHeight w:val="482"/>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3351E13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30" w:type="dxa"/>
            <w:gridSpan w:val="3"/>
            <w:tcBorders>
              <w:top w:val="single" w:sz="8" w:space="0" w:color="auto"/>
              <w:left w:val="nil"/>
              <w:bottom w:val="single" w:sz="8" w:space="0" w:color="auto"/>
              <w:right w:val="single" w:sz="8" w:space="0" w:color="000000"/>
            </w:tcBorders>
            <w:vAlign w:val="center"/>
            <w:hideMark/>
          </w:tcPr>
          <w:p w14:paraId="673AC3B0"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vAlign w:val="center"/>
            <w:hideMark/>
          </w:tcPr>
          <w:p w14:paraId="547231AB"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64E65D29" w14:textId="77777777" w:rsidTr="00614438">
        <w:trPr>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5BFF3A1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30" w:type="dxa"/>
            <w:gridSpan w:val="3"/>
            <w:tcBorders>
              <w:top w:val="single" w:sz="4" w:space="0" w:color="auto"/>
              <w:left w:val="single" w:sz="4" w:space="0" w:color="auto"/>
              <w:bottom w:val="single" w:sz="4" w:space="0" w:color="000000"/>
              <w:right w:val="single" w:sz="4" w:space="0" w:color="000000"/>
            </w:tcBorders>
            <w:vAlign w:val="center"/>
            <w:hideMark/>
          </w:tcPr>
          <w:p w14:paraId="69659080" w14:textId="77777777" w:rsidR="00614438" w:rsidRPr="003E0710" w:rsidRDefault="00EB618F"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Will b</w:t>
            </w:r>
            <w:r w:rsidR="00614438" w:rsidRPr="003E0710">
              <w:rPr>
                <w:rFonts w:ascii="Times New Roman" w:hAnsi="Times New Roman" w:cs="Times New Roman"/>
                <w:sz w:val="20"/>
                <w:szCs w:val="20"/>
                <w:lang w:val="en-GB"/>
              </w:rPr>
              <w:t>e integrated into PM_D29 and PM_D33</w:t>
            </w:r>
          </w:p>
        </w:tc>
        <w:tc>
          <w:tcPr>
            <w:tcW w:w="222" w:type="dxa"/>
            <w:vAlign w:val="center"/>
            <w:hideMark/>
          </w:tcPr>
          <w:p w14:paraId="78656526"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41CBA2D4" w14:textId="77777777" w:rsidTr="00614438">
        <w:trPr>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7490DF8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30" w:type="dxa"/>
            <w:gridSpan w:val="3"/>
            <w:tcBorders>
              <w:top w:val="single" w:sz="4" w:space="0" w:color="auto"/>
              <w:left w:val="single" w:sz="4" w:space="0" w:color="auto"/>
              <w:bottom w:val="single" w:sz="4" w:space="0" w:color="000000"/>
              <w:right w:val="single" w:sz="4" w:space="0" w:color="000000"/>
            </w:tcBorders>
            <w:vAlign w:val="center"/>
            <w:hideMark/>
          </w:tcPr>
          <w:p w14:paraId="74DD5FD7"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 and own funds</w:t>
            </w:r>
          </w:p>
        </w:tc>
        <w:tc>
          <w:tcPr>
            <w:tcW w:w="222" w:type="dxa"/>
            <w:vAlign w:val="center"/>
            <w:hideMark/>
          </w:tcPr>
          <w:p w14:paraId="6BB2B4B6" w14:textId="77777777" w:rsidR="00614438" w:rsidRPr="003E0710" w:rsidRDefault="00614438" w:rsidP="003E0710">
            <w:pPr>
              <w:spacing w:after="0"/>
              <w:jc w:val="both"/>
              <w:rPr>
                <w:rFonts w:ascii="Times New Roman" w:hAnsi="Times New Roman" w:cs="Times New Roman"/>
                <w:sz w:val="20"/>
                <w:szCs w:val="20"/>
                <w:lang w:val="en-GB"/>
              </w:rPr>
            </w:pPr>
          </w:p>
        </w:tc>
      </w:tr>
    </w:tbl>
    <w:p w14:paraId="3C326A78" w14:textId="77777777" w:rsidR="00614438" w:rsidRPr="003E0710" w:rsidRDefault="00614438" w:rsidP="003E0710">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27"/>
        <w:gridCol w:w="950"/>
        <w:gridCol w:w="946"/>
        <w:gridCol w:w="4235"/>
        <w:gridCol w:w="222"/>
      </w:tblGrid>
      <w:tr w:rsidR="00614438" w:rsidRPr="003E0710" w14:paraId="0A44E79C" w14:textId="77777777" w:rsidTr="00614438">
        <w:trPr>
          <w:gridAfter w:val="1"/>
          <w:wAfter w:w="222" w:type="dxa"/>
          <w:trHeight w:val="780"/>
        </w:trPr>
        <w:tc>
          <w:tcPr>
            <w:tcW w:w="3329"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752B540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Policy measure code: </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1A44B4D1"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PM_D41</w:t>
            </w:r>
          </w:p>
        </w:tc>
        <w:tc>
          <w:tcPr>
            <w:tcW w:w="946" w:type="dxa"/>
            <w:tcBorders>
              <w:top w:val="single" w:sz="8" w:space="0" w:color="auto"/>
              <w:left w:val="nil"/>
              <w:bottom w:val="single" w:sz="8" w:space="0" w:color="auto"/>
              <w:right w:val="single" w:sz="8" w:space="0" w:color="auto"/>
            </w:tcBorders>
            <w:shd w:val="clear" w:color="auto" w:fill="244062"/>
            <w:vAlign w:val="center"/>
            <w:hideMark/>
          </w:tcPr>
          <w:p w14:paraId="58D9890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Title: </w:t>
            </w:r>
          </w:p>
        </w:tc>
        <w:tc>
          <w:tcPr>
            <w:tcW w:w="4238" w:type="dxa"/>
            <w:tcBorders>
              <w:top w:val="single" w:sz="8" w:space="0" w:color="auto"/>
              <w:left w:val="nil"/>
              <w:bottom w:val="single" w:sz="8" w:space="0" w:color="auto"/>
              <w:right w:val="single" w:sz="8" w:space="0" w:color="auto"/>
            </w:tcBorders>
            <w:shd w:val="clear" w:color="auto" w:fill="E7E6E6" w:themeFill="background2"/>
            <w:vAlign w:val="center"/>
            <w:hideMark/>
          </w:tcPr>
          <w:p w14:paraId="2C6A6F84"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Specification of the sustainability and greenhouse gas emissions saving criteria for biofuels, bioliquids and biomass fuels including the required monitoring and verification activities</w:t>
            </w:r>
          </w:p>
        </w:tc>
      </w:tr>
      <w:tr w:rsidR="00614438" w:rsidRPr="003E0710" w14:paraId="6B9E77E0" w14:textId="77777777" w:rsidTr="00614438">
        <w:trPr>
          <w:gridAfter w:val="1"/>
          <w:wAfter w:w="222" w:type="dxa"/>
          <w:trHeight w:val="441"/>
        </w:trPr>
        <w:tc>
          <w:tcPr>
            <w:tcW w:w="3329" w:type="dxa"/>
            <w:tcBorders>
              <w:top w:val="nil"/>
              <w:left w:val="single" w:sz="8" w:space="0" w:color="auto"/>
              <w:bottom w:val="single" w:sz="8" w:space="0" w:color="auto"/>
              <w:right w:val="nil"/>
            </w:tcBorders>
            <w:shd w:val="clear" w:color="auto" w:fill="244062"/>
            <w:vAlign w:val="center"/>
            <w:hideMark/>
          </w:tcPr>
          <w:p w14:paraId="1075F82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Main objective: </w:t>
            </w:r>
          </w:p>
        </w:tc>
        <w:tc>
          <w:tcPr>
            <w:tcW w:w="6129" w:type="dxa"/>
            <w:gridSpan w:val="3"/>
            <w:tcBorders>
              <w:top w:val="single" w:sz="8" w:space="0" w:color="auto"/>
              <w:left w:val="nil"/>
              <w:bottom w:val="single" w:sz="8" w:space="0" w:color="auto"/>
              <w:right w:val="single" w:sz="8" w:space="0" w:color="000000"/>
            </w:tcBorders>
            <w:vAlign w:val="center"/>
            <w:hideMark/>
          </w:tcPr>
          <w:p w14:paraId="18BED28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Increase share of RES in electricity, increase share of RES in heating and cooling and increase share of RES in transport</w:t>
            </w:r>
          </w:p>
        </w:tc>
      </w:tr>
      <w:tr w:rsidR="00614438" w:rsidRPr="003E0710" w14:paraId="06A9A4C3"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3969C47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Quantified objective: </w:t>
            </w:r>
          </w:p>
        </w:tc>
        <w:tc>
          <w:tcPr>
            <w:tcW w:w="6129" w:type="dxa"/>
            <w:gridSpan w:val="3"/>
            <w:tcBorders>
              <w:top w:val="single" w:sz="8" w:space="0" w:color="auto"/>
              <w:left w:val="nil"/>
              <w:bottom w:val="single" w:sz="8" w:space="0" w:color="auto"/>
              <w:right w:val="single" w:sz="8" w:space="0" w:color="000000"/>
            </w:tcBorders>
            <w:vAlign w:val="center"/>
            <w:hideMark/>
          </w:tcPr>
          <w:p w14:paraId="29A3A97B"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Contribution to the expected penetration of biofuels, bioliquids and biomass</w:t>
            </w:r>
          </w:p>
        </w:tc>
      </w:tr>
      <w:tr w:rsidR="00614438" w:rsidRPr="003E0710" w14:paraId="529FA77E" w14:textId="77777777" w:rsidTr="00614438">
        <w:trPr>
          <w:gridAfter w:val="1"/>
          <w:wAfter w:w="222" w:type="dxa"/>
          <w:trHeight w:val="1279"/>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35226E7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Description:</w:t>
            </w:r>
          </w:p>
        </w:tc>
        <w:tc>
          <w:tcPr>
            <w:tcW w:w="6129" w:type="dxa"/>
            <w:gridSpan w:val="3"/>
            <w:tcBorders>
              <w:top w:val="single" w:sz="8" w:space="0" w:color="auto"/>
              <w:left w:val="nil"/>
              <w:bottom w:val="single" w:sz="8" w:space="0" w:color="auto"/>
              <w:right w:val="single" w:sz="8" w:space="0" w:color="000000"/>
            </w:tcBorders>
            <w:vAlign w:val="center"/>
            <w:hideMark/>
          </w:tcPr>
          <w:p w14:paraId="04F553E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PM_D41 will develop a holistic framework for fulfilling the sustainability and greenhouse gas emissions </w:t>
            </w:r>
            <w:r w:rsidR="00EB618F" w:rsidRPr="003E0710">
              <w:rPr>
                <w:rFonts w:ascii="Times New Roman" w:hAnsi="Times New Roman" w:cs="Times New Roman"/>
                <w:sz w:val="20"/>
                <w:szCs w:val="20"/>
                <w:lang w:val="en-GB"/>
              </w:rPr>
              <w:t>reduction</w:t>
            </w:r>
            <w:r w:rsidRPr="003E0710">
              <w:rPr>
                <w:rFonts w:ascii="Times New Roman" w:hAnsi="Times New Roman" w:cs="Times New Roman"/>
                <w:sz w:val="20"/>
                <w:szCs w:val="20"/>
                <w:lang w:val="en-GB"/>
              </w:rPr>
              <w:t xml:space="preserve"> criteria for the different types of biomass according to the provision of the Directive 2018/2001/EU. Moreover, a monitoring, control and verification mechanism will be established ensuring and justifying the fulfilment with the defined criteria. </w:t>
            </w:r>
          </w:p>
        </w:tc>
      </w:tr>
      <w:tr w:rsidR="00614438" w:rsidRPr="003E0710" w14:paraId="5D840842"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51E974E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Timeframe</w:t>
            </w:r>
          </w:p>
        </w:tc>
        <w:tc>
          <w:tcPr>
            <w:tcW w:w="6129" w:type="dxa"/>
            <w:gridSpan w:val="3"/>
            <w:tcBorders>
              <w:top w:val="single" w:sz="8" w:space="0" w:color="auto"/>
              <w:left w:val="nil"/>
              <w:bottom w:val="single" w:sz="8" w:space="0" w:color="auto"/>
              <w:right w:val="single" w:sz="8" w:space="0" w:color="000000"/>
            </w:tcBorders>
            <w:vAlign w:val="center"/>
            <w:hideMark/>
          </w:tcPr>
          <w:p w14:paraId="04376E02"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2025</w:t>
            </w:r>
          </w:p>
        </w:tc>
      </w:tr>
      <w:tr w:rsidR="00614438" w:rsidRPr="003E0710" w14:paraId="39CD2B7C"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2D3DBB6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Type of measure</w:t>
            </w:r>
          </w:p>
        </w:tc>
        <w:tc>
          <w:tcPr>
            <w:tcW w:w="6129" w:type="dxa"/>
            <w:gridSpan w:val="3"/>
            <w:tcBorders>
              <w:top w:val="single" w:sz="8" w:space="0" w:color="auto"/>
              <w:left w:val="nil"/>
              <w:bottom w:val="single" w:sz="8" w:space="0" w:color="auto"/>
              <w:right w:val="single" w:sz="8" w:space="0" w:color="000000"/>
            </w:tcBorders>
            <w:vAlign w:val="center"/>
            <w:hideMark/>
          </w:tcPr>
          <w:p w14:paraId="344AEF5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Reform</w:t>
            </w:r>
          </w:p>
        </w:tc>
      </w:tr>
      <w:tr w:rsidR="00614438" w:rsidRPr="003E0710" w14:paraId="3D4D388C"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0F09FB1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Sectors covered/affected</w:t>
            </w:r>
          </w:p>
        </w:tc>
        <w:tc>
          <w:tcPr>
            <w:tcW w:w="6129" w:type="dxa"/>
            <w:gridSpan w:val="3"/>
            <w:tcBorders>
              <w:top w:val="single" w:sz="8" w:space="0" w:color="auto"/>
              <w:left w:val="nil"/>
              <w:bottom w:val="single" w:sz="8" w:space="0" w:color="auto"/>
              <w:right w:val="single" w:sz="8" w:space="0" w:color="000000"/>
            </w:tcBorders>
            <w:vAlign w:val="center"/>
            <w:hideMark/>
          </w:tcPr>
          <w:p w14:paraId="0CF20F9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Electricity, Heating and cooling, Transport</w:t>
            </w:r>
          </w:p>
        </w:tc>
      </w:tr>
      <w:tr w:rsidR="00614438" w:rsidRPr="003E0710" w14:paraId="42E3EAA4"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567F362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Implementing Entity</w:t>
            </w:r>
          </w:p>
        </w:tc>
        <w:tc>
          <w:tcPr>
            <w:tcW w:w="6129" w:type="dxa"/>
            <w:gridSpan w:val="3"/>
            <w:tcBorders>
              <w:top w:val="single" w:sz="8" w:space="0" w:color="auto"/>
              <w:left w:val="nil"/>
              <w:bottom w:val="single" w:sz="8" w:space="0" w:color="auto"/>
              <w:right w:val="single" w:sz="8" w:space="0" w:color="000000"/>
            </w:tcBorders>
            <w:vAlign w:val="center"/>
            <w:hideMark/>
          </w:tcPr>
          <w:p w14:paraId="694CD067"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Ministry of Mining and Energy</w:t>
            </w:r>
          </w:p>
        </w:tc>
      </w:tr>
      <w:tr w:rsidR="00614438" w:rsidRPr="003E0710" w14:paraId="4CEAB8EE" w14:textId="77777777" w:rsidTr="00614438">
        <w:trPr>
          <w:gridAfter w:val="1"/>
          <w:wAfter w:w="222" w:type="dxa"/>
          <w:trHeight w:val="315"/>
        </w:trPr>
        <w:tc>
          <w:tcPr>
            <w:tcW w:w="3329" w:type="dxa"/>
            <w:tcBorders>
              <w:top w:val="nil"/>
              <w:left w:val="single" w:sz="8" w:space="0" w:color="auto"/>
              <w:bottom w:val="single" w:sz="8" w:space="0" w:color="auto"/>
              <w:right w:val="nil"/>
            </w:tcBorders>
            <w:shd w:val="clear" w:color="auto" w:fill="244062"/>
            <w:vAlign w:val="center"/>
            <w:hideMark/>
          </w:tcPr>
          <w:p w14:paraId="3CAD6CA5"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Monitoring Entity</w:t>
            </w:r>
          </w:p>
        </w:tc>
        <w:tc>
          <w:tcPr>
            <w:tcW w:w="6129" w:type="dxa"/>
            <w:gridSpan w:val="3"/>
            <w:tcBorders>
              <w:top w:val="single" w:sz="8" w:space="0" w:color="auto"/>
              <w:left w:val="nil"/>
              <w:bottom w:val="single" w:sz="8" w:space="0" w:color="auto"/>
              <w:right w:val="single" w:sz="8" w:space="0" w:color="000000"/>
            </w:tcBorders>
            <w:vAlign w:val="center"/>
            <w:hideMark/>
          </w:tcPr>
          <w:p w14:paraId="642DD253"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Government of the Republic of Serbia </w:t>
            </w:r>
          </w:p>
        </w:tc>
      </w:tr>
      <w:tr w:rsidR="00614438" w:rsidRPr="003E0710" w14:paraId="56B10386" w14:textId="77777777" w:rsidTr="00614438">
        <w:trPr>
          <w:gridAfter w:val="1"/>
          <w:wAfter w:w="222" w:type="dxa"/>
          <w:trHeight w:val="315"/>
        </w:trPr>
        <w:tc>
          <w:tcPr>
            <w:tcW w:w="3329" w:type="dxa"/>
            <w:tcBorders>
              <w:top w:val="nil"/>
              <w:left w:val="single" w:sz="8" w:space="0" w:color="auto"/>
              <w:bottom w:val="single" w:sz="8" w:space="0" w:color="auto"/>
              <w:right w:val="nil"/>
            </w:tcBorders>
            <w:shd w:val="clear" w:color="auto" w:fill="244062"/>
            <w:vAlign w:val="center"/>
            <w:hideMark/>
          </w:tcPr>
          <w:p w14:paraId="63C56930"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Progress indicators</w:t>
            </w:r>
          </w:p>
        </w:tc>
        <w:tc>
          <w:tcPr>
            <w:tcW w:w="6129" w:type="dxa"/>
            <w:gridSpan w:val="3"/>
            <w:tcBorders>
              <w:top w:val="single" w:sz="8" w:space="0" w:color="auto"/>
              <w:left w:val="nil"/>
              <w:bottom w:val="single" w:sz="8" w:space="0" w:color="auto"/>
              <w:right w:val="single" w:sz="8" w:space="0" w:color="000000"/>
            </w:tcBorders>
            <w:vAlign w:val="center"/>
            <w:hideMark/>
          </w:tcPr>
          <w:p w14:paraId="27613167"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Developed legislative and regulatory framework</w:t>
            </w:r>
          </w:p>
        </w:tc>
      </w:tr>
      <w:tr w:rsidR="00614438" w:rsidRPr="003E0710" w14:paraId="4709B655" w14:textId="77777777" w:rsidTr="00614438">
        <w:trPr>
          <w:gridAfter w:val="1"/>
          <w:wAfter w:w="222" w:type="dxa"/>
          <w:trHeight w:val="362"/>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5FE113FA"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Other relevant Energy Union dimension(s) affected</w:t>
            </w:r>
          </w:p>
        </w:tc>
        <w:tc>
          <w:tcPr>
            <w:tcW w:w="6129" w:type="dxa"/>
            <w:gridSpan w:val="3"/>
            <w:tcBorders>
              <w:top w:val="single" w:sz="8" w:space="0" w:color="auto"/>
              <w:left w:val="nil"/>
              <w:bottom w:val="single" w:sz="8" w:space="0" w:color="auto"/>
              <w:right w:val="single" w:sz="8" w:space="0" w:color="000000"/>
            </w:tcBorders>
            <w:vAlign w:val="center"/>
            <w:hideMark/>
          </w:tcPr>
          <w:p w14:paraId="58C85807" w14:textId="77777777" w:rsidR="00614438" w:rsidRPr="003E0710" w:rsidRDefault="00614438" w:rsidP="003E0710">
            <w:pPr>
              <w:numPr>
                <w:ilvl w:val="0"/>
                <w:numId w:val="43"/>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 xml:space="preserve">Energy efficiency (the promoted RES technologies will </w:t>
            </w:r>
            <w:r w:rsidR="00EB618F" w:rsidRPr="003E0710">
              <w:rPr>
                <w:rFonts w:ascii="Times New Roman" w:hAnsi="Times New Roman" w:cs="Times New Roman"/>
                <w:sz w:val="20"/>
                <w:szCs w:val="20"/>
                <w:lang w:val="en-GB"/>
              </w:rPr>
              <w:t xml:space="preserve">also </w:t>
            </w:r>
            <w:r w:rsidRPr="003E0710">
              <w:rPr>
                <w:rFonts w:ascii="Times New Roman" w:hAnsi="Times New Roman" w:cs="Times New Roman"/>
                <w:sz w:val="20"/>
                <w:szCs w:val="20"/>
                <w:lang w:val="en-GB"/>
              </w:rPr>
              <w:t>deliver primary energy savings contributing to the achievement of the relevant targets)</w:t>
            </w:r>
          </w:p>
          <w:p w14:paraId="18E5E833" w14:textId="77777777" w:rsidR="00614438" w:rsidRPr="003E0710" w:rsidRDefault="00614438" w:rsidP="003E0710">
            <w:pPr>
              <w:numPr>
                <w:ilvl w:val="0"/>
                <w:numId w:val="43"/>
              </w:num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Energy security (the penetration of RES technologies will reduce the energy import dependency from third countries and increase the deployment of domestic energy sources)</w:t>
            </w:r>
          </w:p>
        </w:tc>
      </w:tr>
      <w:tr w:rsidR="00614438" w:rsidRPr="003E0710" w14:paraId="0206800C" w14:textId="77777777" w:rsidTr="00614438">
        <w:trPr>
          <w:gridAfter w:val="1"/>
          <w:wAfter w:w="222" w:type="dxa"/>
          <w:trHeight w:val="458"/>
        </w:trPr>
        <w:tc>
          <w:tcPr>
            <w:tcW w:w="3329" w:type="dxa"/>
            <w:vMerge w:val="restart"/>
            <w:tcBorders>
              <w:top w:val="nil"/>
              <w:left w:val="single" w:sz="8" w:space="0" w:color="auto"/>
              <w:bottom w:val="single" w:sz="8" w:space="0" w:color="000000"/>
              <w:right w:val="single" w:sz="8" w:space="0" w:color="auto"/>
            </w:tcBorders>
            <w:shd w:val="clear" w:color="auto" w:fill="244062"/>
            <w:vAlign w:val="center"/>
            <w:hideMark/>
          </w:tcPr>
          <w:p w14:paraId="5AA4B17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Union policy which resulted in the implementation of the PaM</w:t>
            </w:r>
          </w:p>
        </w:tc>
        <w:tc>
          <w:tcPr>
            <w:tcW w:w="6129"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B3A2E13"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Directive 2018/2001/ΕU</w:t>
            </w:r>
          </w:p>
        </w:tc>
      </w:tr>
      <w:tr w:rsidR="00614438" w:rsidRPr="003E0710" w14:paraId="39E50047"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4E6B0AA0"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B8373CA"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7CFE1127"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0D6A0572" w14:textId="77777777" w:rsidTr="00614438">
        <w:trPr>
          <w:trHeight w:val="54"/>
        </w:trPr>
        <w:tc>
          <w:tcPr>
            <w:tcW w:w="0" w:type="auto"/>
            <w:vMerge/>
            <w:tcBorders>
              <w:top w:val="nil"/>
              <w:left w:val="single" w:sz="8" w:space="0" w:color="auto"/>
              <w:bottom w:val="single" w:sz="8" w:space="0" w:color="000000"/>
              <w:right w:val="single" w:sz="8" w:space="0" w:color="auto"/>
            </w:tcBorders>
            <w:vAlign w:val="center"/>
            <w:hideMark/>
          </w:tcPr>
          <w:p w14:paraId="2148680E" w14:textId="77777777" w:rsidR="00614438" w:rsidRPr="003E0710" w:rsidRDefault="00614438" w:rsidP="003E0710">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1CCA6C4" w14:textId="77777777" w:rsidR="00614438" w:rsidRPr="003E0710" w:rsidRDefault="00614438" w:rsidP="003E0710">
            <w:pPr>
              <w:spacing w:after="0"/>
              <w:jc w:val="both"/>
              <w:rPr>
                <w:rFonts w:ascii="Times New Roman" w:hAnsi="Times New Roman" w:cs="Times New Roman"/>
                <w:sz w:val="20"/>
                <w:szCs w:val="20"/>
                <w:lang w:val="en-GB"/>
              </w:rPr>
            </w:pPr>
          </w:p>
        </w:tc>
        <w:tc>
          <w:tcPr>
            <w:tcW w:w="222" w:type="dxa"/>
            <w:noWrap/>
            <w:vAlign w:val="bottom"/>
            <w:hideMark/>
          </w:tcPr>
          <w:p w14:paraId="5326AA8F" w14:textId="77777777" w:rsidR="00614438" w:rsidRPr="003E0710" w:rsidRDefault="00614438" w:rsidP="003E0710">
            <w:pPr>
              <w:spacing w:after="0"/>
              <w:jc w:val="both"/>
              <w:rPr>
                <w:rFonts w:ascii="Times New Roman" w:hAnsi="Times New Roman" w:cs="Times New Roman"/>
                <w:sz w:val="20"/>
                <w:szCs w:val="20"/>
              </w:rPr>
            </w:pPr>
          </w:p>
        </w:tc>
      </w:tr>
      <w:tr w:rsidR="00614438" w:rsidRPr="003E0710" w14:paraId="4BA5C75C" w14:textId="77777777" w:rsidTr="00614438">
        <w:trPr>
          <w:trHeight w:val="269"/>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375FA38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Relevant National Planning Document (Legal, Regulatory Acts etc)</w:t>
            </w:r>
          </w:p>
        </w:tc>
        <w:tc>
          <w:tcPr>
            <w:tcW w:w="6129" w:type="dxa"/>
            <w:gridSpan w:val="3"/>
            <w:tcBorders>
              <w:top w:val="single" w:sz="8" w:space="0" w:color="auto"/>
              <w:left w:val="nil"/>
              <w:bottom w:val="single" w:sz="8" w:space="0" w:color="auto"/>
              <w:right w:val="single" w:sz="8" w:space="0" w:color="000000"/>
            </w:tcBorders>
            <w:vAlign w:val="center"/>
            <w:hideMark/>
          </w:tcPr>
          <w:p w14:paraId="6B1260D1" w14:textId="77777777" w:rsidR="00614438" w:rsidRPr="003E0710" w:rsidRDefault="00614438" w:rsidP="003E0710">
            <w:pPr>
              <w:numPr>
                <w:ilvl w:val="0"/>
                <w:numId w:val="43"/>
              </w:numPr>
              <w:spacing w:after="0"/>
              <w:jc w:val="both"/>
              <w:rPr>
                <w:rFonts w:ascii="Times New Roman" w:hAnsi="Times New Roman" w:cs="Times New Roman"/>
                <w:sz w:val="20"/>
                <w:szCs w:val="20"/>
              </w:rPr>
            </w:pPr>
            <w:r w:rsidRPr="003E0710">
              <w:rPr>
                <w:rFonts w:ascii="Times New Roman" w:hAnsi="Times New Roman" w:cs="Times New Roman"/>
                <w:sz w:val="20"/>
                <w:szCs w:val="20"/>
              </w:rPr>
              <w:t xml:space="preserve">Law on the use of renewable energy sources </w:t>
            </w:r>
          </w:p>
        </w:tc>
        <w:tc>
          <w:tcPr>
            <w:tcW w:w="222" w:type="dxa"/>
            <w:vAlign w:val="center"/>
            <w:hideMark/>
          </w:tcPr>
          <w:p w14:paraId="3B1910C9"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3B6CFAEE" w14:textId="77777777" w:rsidTr="00614438">
        <w:trPr>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31DDF42E"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Implementation cost</w:t>
            </w:r>
          </w:p>
        </w:tc>
        <w:tc>
          <w:tcPr>
            <w:tcW w:w="6129" w:type="dxa"/>
            <w:gridSpan w:val="3"/>
            <w:tcBorders>
              <w:top w:val="single" w:sz="4" w:space="0" w:color="auto"/>
              <w:left w:val="single" w:sz="4" w:space="0" w:color="auto"/>
              <w:bottom w:val="single" w:sz="4" w:space="0" w:color="000000"/>
              <w:right w:val="single" w:sz="4" w:space="0" w:color="000000"/>
            </w:tcBorders>
            <w:vAlign w:val="center"/>
            <w:hideMark/>
          </w:tcPr>
          <w:p w14:paraId="2AED67CC"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0.2 M€</w:t>
            </w:r>
          </w:p>
        </w:tc>
        <w:tc>
          <w:tcPr>
            <w:tcW w:w="222" w:type="dxa"/>
            <w:vAlign w:val="center"/>
            <w:hideMark/>
          </w:tcPr>
          <w:p w14:paraId="70B3C3D7" w14:textId="77777777" w:rsidR="00614438" w:rsidRPr="003E0710" w:rsidRDefault="00614438" w:rsidP="003E0710">
            <w:pPr>
              <w:spacing w:after="0"/>
              <w:jc w:val="both"/>
              <w:rPr>
                <w:rFonts w:ascii="Times New Roman" w:hAnsi="Times New Roman" w:cs="Times New Roman"/>
                <w:sz w:val="20"/>
                <w:szCs w:val="20"/>
                <w:lang w:val="en-GB"/>
              </w:rPr>
            </w:pPr>
          </w:p>
        </w:tc>
      </w:tr>
      <w:tr w:rsidR="00614438" w:rsidRPr="003E0710" w14:paraId="774E1307" w14:textId="77777777" w:rsidTr="00614438">
        <w:trPr>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5EE33E9F"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Financing source(s)</w:t>
            </w:r>
          </w:p>
        </w:tc>
        <w:tc>
          <w:tcPr>
            <w:tcW w:w="6129" w:type="dxa"/>
            <w:gridSpan w:val="3"/>
            <w:tcBorders>
              <w:top w:val="single" w:sz="8" w:space="0" w:color="auto"/>
              <w:left w:val="nil"/>
              <w:bottom w:val="single" w:sz="8" w:space="0" w:color="auto"/>
              <w:right w:val="single" w:sz="8" w:space="0" w:color="000000"/>
            </w:tcBorders>
            <w:vAlign w:val="center"/>
            <w:hideMark/>
          </w:tcPr>
          <w:p w14:paraId="4EE64283" w14:textId="77777777" w:rsidR="00614438" w:rsidRPr="003E0710" w:rsidRDefault="00614438" w:rsidP="003E0710">
            <w:pPr>
              <w:spacing w:after="0"/>
              <w:jc w:val="both"/>
              <w:rPr>
                <w:rFonts w:ascii="Times New Roman" w:hAnsi="Times New Roman" w:cs="Times New Roman"/>
                <w:sz w:val="20"/>
                <w:szCs w:val="20"/>
                <w:lang w:val="en-GB"/>
              </w:rPr>
            </w:pPr>
            <w:r w:rsidRPr="003E0710">
              <w:rPr>
                <w:rFonts w:ascii="Times New Roman" w:hAnsi="Times New Roman" w:cs="Times New Roman"/>
                <w:sz w:val="20"/>
                <w:szCs w:val="20"/>
                <w:lang w:val="en-GB"/>
              </w:rPr>
              <w:t>EU and other funds, public funds</w:t>
            </w:r>
          </w:p>
        </w:tc>
        <w:tc>
          <w:tcPr>
            <w:tcW w:w="222" w:type="dxa"/>
            <w:vAlign w:val="center"/>
            <w:hideMark/>
          </w:tcPr>
          <w:p w14:paraId="729272E1" w14:textId="77777777" w:rsidR="00614438" w:rsidRPr="003E0710" w:rsidRDefault="00614438" w:rsidP="003E0710">
            <w:pPr>
              <w:spacing w:after="0"/>
              <w:jc w:val="both"/>
              <w:rPr>
                <w:rFonts w:ascii="Times New Roman" w:hAnsi="Times New Roman" w:cs="Times New Roman"/>
                <w:sz w:val="20"/>
                <w:szCs w:val="20"/>
                <w:lang w:val="en-GB"/>
              </w:rPr>
            </w:pPr>
          </w:p>
        </w:tc>
      </w:tr>
    </w:tbl>
    <w:p w14:paraId="093CE5F6" w14:textId="77777777" w:rsidR="00614438" w:rsidRPr="00614438" w:rsidRDefault="00614438" w:rsidP="00614438">
      <w:pPr>
        <w:jc w:val="both"/>
        <w:rPr>
          <w:rFonts w:ascii="Times New Roman" w:hAnsi="Times New Roman" w:cs="Times New Roman"/>
          <w:sz w:val="24"/>
          <w:szCs w:val="24"/>
          <w:lang w:val="en-GB"/>
        </w:rPr>
      </w:pPr>
    </w:p>
    <w:p w14:paraId="004ECFEF" w14:textId="77777777" w:rsidR="00614438" w:rsidRPr="00614438" w:rsidRDefault="00614438" w:rsidP="00614438">
      <w:pPr>
        <w:jc w:val="both"/>
        <w:rPr>
          <w:rFonts w:ascii="Times New Roman" w:hAnsi="Times New Roman" w:cs="Times New Roman"/>
          <w:sz w:val="24"/>
          <w:szCs w:val="24"/>
          <w:lang w:val="en-GB"/>
        </w:rPr>
      </w:pPr>
    </w:p>
    <w:p w14:paraId="6A8BB4D3" w14:textId="77777777" w:rsidR="00614438" w:rsidRPr="00614438" w:rsidRDefault="00614438" w:rsidP="00EB618F">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Except</w:t>
      </w:r>
      <w:r w:rsidR="00EB618F">
        <w:rPr>
          <w:rFonts w:ascii="Times New Roman" w:hAnsi="Times New Roman" w:cs="Times New Roman"/>
          <w:sz w:val="24"/>
          <w:szCs w:val="24"/>
          <w:lang w:val="en-GB"/>
        </w:rPr>
        <w:t xml:space="preserve"> for</w:t>
      </w:r>
      <w:r w:rsidRPr="00614438">
        <w:rPr>
          <w:rFonts w:ascii="Times New Roman" w:hAnsi="Times New Roman" w:cs="Times New Roman"/>
          <w:sz w:val="24"/>
          <w:szCs w:val="24"/>
          <w:lang w:val="en-GB"/>
        </w:rPr>
        <w:t xml:space="preserve"> the measures presented in the previous tables, the following measures related to the other dimensions also affect the decarbonisation dimension and contribute to the achievement of the decarbonisation targets:</w:t>
      </w:r>
    </w:p>
    <w:p w14:paraId="0CA4FAEB" w14:textId="295184A8"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rPr>
        <w:t xml:space="preserve">Dimension </w:t>
      </w:r>
      <w:r w:rsidR="00CD4726">
        <w:rPr>
          <w:rFonts w:ascii="Times New Roman" w:hAnsi="Times New Roman" w:cs="Times New Roman"/>
          <w:sz w:val="24"/>
          <w:szCs w:val="24"/>
        </w:rPr>
        <w:t xml:space="preserve">of </w:t>
      </w:r>
      <w:r w:rsidRPr="00614438">
        <w:rPr>
          <w:rFonts w:ascii="Times New Roman" w:hAnsi="Times New Roman" w:cs="Times New Roman"/>
          <w:sz w:val="24"/>
          <w:szCs w:val="24"/>
        </w:rPr>
        <w:t>energy efficiency: PM_EE1– PM_EE46</w:t>
      </w:r>
    </w:p>
    <w:p w14:paraId="303AB954" w14:textId="61B83A78" w:rsidR="00614438" w:rsidRPr="00614438" w:rsidRDefault="00614438" w:rsidP="00614438">
      <w:pPr>
        <w:jc w:val="both"/>
        <w:rPr>
          <w:rFonts w:ascii="Times New Roman" w:hAnsi="Times New Roman" w:cs="Times New Roman"/>
          <w:sz w:val="24"/>
          <w:szCs w:val="24"/>
        </w:rPr>
      </w:pPr>
      <w:r w:rsidRPr="00614438">
        <w:rPr>
          <w:rFonts w:ascii="Times New Roman" w:hAnsi="Times New Roman" w:cs="Times New Roman"/>
          <w:sz w:val="24"/>
          <w:szCs w:val="24"/>
        </w:rPr>
        <w:lastRenderedPageBreak/>
        <w:t xml:space="preserve">Dimension </w:t>
      </w:r>
      <w:r w:rsidR="00CD4726">
        <w:rPr>
          <w:rFonts w:ascii="Times New Roman" w:hAnsi="Times New Roman" w:cs="Times New Roman"/>
          <w:sz w:val="24"/>
          <w:szCs w:val="24"/>
        </w:rPr>
        <w:t xml:space="preserve">of </w:t>
      </w:r>
      <w:r w:rsidRPr="00614438">
        <w:rPr>
          <w:rFonts w:ascii="Times New Roman" w:hAnsi="Times New Roman" w:cs="Times New Roman"/>
          <w:sz w:val="24"/>
          <w:szCs w:val="24"/>
        </w:rPr>
        <w:t>energy security: PM_ES2, PM_ES3, PM_ES3.1 and PM_ES8</w:t>
      </w:r>
    </w:p>
    <w:p w14:paraId="57E48895" w14:textId="4181C892" w:rsidR="00614438" w:rsidRPr="00614438" w:rsidRDefault="00614438" w:rsidP="00614438">
      <w:pPr>
        <w:jc w:val="both"/>
        <w:rPr>
          <w:rFonts w:ascii="Times New Roman" w:hAnsi="Times New Roman" w:cs="Times New Roman"/>
          <w:sz w:val="24"/>
          <w:szCs w:val="24"/>
        </w:rPr>
      </w:pPr>
      <w:r w:rsidRPr="00614438">
        <w:rPr>
          <w:rFonts w:ascii="Times New Roman" w:hAnsi="Times New Roman" w:cs="Times New Roman"/>
          <w:sz w:val="24"/>
          <w:szCs w:val="24"/>
        </w:rPr>
        <w:t xml:space="preserve">Dimension </w:t>
      </w:r>
      <w:r w:rsidR="00CD4726">
        <w:rPr>
          <w:rFonts w:ascii="Times New Roman" w:hAnsi="Times New Roman" w:cs="Times New Roman"/>
          <w:sz w:val="24"/>
          <w:szCs w:val="24"/>
        </w:rPr>
        <w:t xml:space="preserve">of </w:t>
      </w:r>
      <w:r w:rsidRPr="00614438">
        <w:rPr>
          <w:rFonts w:ascii="Times New Roman" w:hAnsi="Times New Roman" w:cs="Times New Roman"/>
          <w:sz w:val="24"/>
          <w:szCs w:val="24"/>
        </w:rPr>
        <w:t>internal energy market: PM_IEM8 (PM_IEM8.1 – PM_IEM8.8), PM_IEM17, PM_IEM20, PM_IEM29, PM_IEM30 and PM_IEM36</w:t>
      </w:r>
      <w:r w:rsidR="00EB618F">
        <w:rPr>
          <w:rFonts w:ascii="Times New Roman" w:hAnsi="Times New Roman" w:cs="Times New Roman"/>
          <w:sz w:val="24"/>
          <w:szCs w:val="24"/>
        </w:rPr>
        <w:t>.</w:t>
      </w:r>
    </w:p>
    <w:p w14:paraId="75589763" w14:textId="77777777" w:rsidR="00614438" w:rsidRPr="00614438" w:rsidRDefault="00614438" w:rsidP="00614438">
      <w:pPr>
        <w:jc w:val="both"/>
        <w:rPr>
          <w:rFonts w:ascii="Times New Roman" w:hAnsi="Times New Roman" w:cs="Times New Roman"/>
          <w:sz w:val="24"/>
          <w:szCs w:val="24"/>
          <w:lang w:val="en-GB"/>
        </w:rPr>
      </w:pPr>
    </w:p>
    <w:p w14:paraId="62B4BA4E" w14:textId="286DC055" w:rsidR="00EB618F" w:rsidRDefault="00EB618F" w:rsidP="00EB618F">
      <w:pPr>
        <w:jc w:val="center"/>
        <w:rPr>
          <w:rFonts w:ascii="Times New Roman" w:hAnsi="Times New Roman" w:cs="Times New Roman"/>
          <w:sz w:val="24"/>
          <w:szCs w:val="24"/>
          <w:lang w:val="en-GB"/>
        </w:rPr>
      </w:pPr>
      <w:bookmarkStart w:id="137" w:name="_Toc79772554"/>
      <w:bookmarkStart w:id="138" w:name="_Toc118991774"/>
      <w:bookmarkStart w:id="139" w:name="_Toc153545046"/>
      <w:r>
        <w:rPr>
          <w:rFonts w:ascii="Times New Roman" w:hAnsi="Times New Roman" w:cs="Times New Roman"/>
          <w:sz w:val="24"/>
          <w:szCs w:val="24"/>
          <w:lang w:val="en-GB"/>
        </w:rPr>
        <w:t xml:space="preserve">3.2 </w:t>
      </w:r>
      <w:r w:rsidR="00CD4726">
        <w:rPr>
          <w:rFonts w:ascii="Times New Roman" w:hAnsi="Times New Roman" w:cs="Times New Roman"/>
          <w:sz w:val="24"/>
          <w:szCs w:val="24"/>
          <w:lang w:val="en-GB"/>
        </w:rPr>
        <w:t xml:space="preserve">The </w:t>
      </w:r>
      <w:r w:rsidR="00614438" w:rsidRPr="00614438">
        <w:rPr>
          <w:rFonts w:ascii="Times New Roman" w:hAnsi="Times New Roman" w:cs="Times New Roman"/>
          <w:sz w:val="24"/>
          <w:szCs w:val="24"/>
          <w:lang w:val="en-GB"/>
        </w:rPr>
        <w:t>Energy Efficienc</w:t>
      </w:r>
      <w:bookmarkEnd w:id="137"/>
      <w:bookmarkEnd w:id="138"/>
      <w:bookmarkEnd w:id="139"/>
      <w:r>
        <w:rPr>
          <w:rFonts w:ascii="Times New Roman" w:hAnsi="Times New Roman" w:cs="Times New Roman"/>
          <w:sz w:val="24"/>
          <w:szCs w:val="24"/>
          <w:lang w:val="en-GB"/>
        </w:rPr>
        <w:t>y</w:t>
      </w:r>
      <w:r w:rsidR="00CD4726" w:rsidRPr="00CD4726">
        <w:rPr>
          <w:rFonts w:ascii="Times New Roman" w:hAnsi="Times New Roman" w:cs="Times New Roman"/>
          <w:sz w:val="24"/>
          <w:szCs w:val="24"/>
          <w:lang w:val="en-GB"/>
        </w:rPr>
        <w:t xml:space="preserve"> </w:t>
      </w:r>
      <w:r w:rsidR="00CD4726" w:rsidRPr="00614438">
        <w:rPr>
          <w:rFonts w:ascii="Times New Roman" w:hAnsi="Times New Roman" w:cs="Times New Roman"/>
          <w:sz w:val="24"/>
          <w:szCs w:val="24"/>
          <w:lang w:val="en-GB"/>
        </w:rPr>
        <w:t>Dimension</w:t>
      </w:r>
    </w:p>
    <w:p w14:paraId="4A5C4097" w14:textId="77777777" w:rsidR="00614438" w:rsidRPr="00614438" w:rsidRDefault="00EB618F" w:rsidP="00EB618F">
      <w:pPr>
        <w:ind w:firstLine="720"/>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3.2.1 </w:t>
      </w:r>
      <w:r w:rsidR="00614438" w:rsidRPr="00614438">
        <w:rPr>
          <w:rFonts w:ascii="Times New Roman" w:hAnsi="Times New Roman" w:cs="Times New Roman"/>
          <w:sz w:val="24"/>
          <w:szCs w:val="24"/>
          <w:lang w:val="en-GB"/>
        </w:rPr>
        <w:t>Energy efficiency obligation schemes and alternative measures under Article 7 of Directive 2012/27/EU</w:t>
      </w:r>
    </w:p>
    <w:p w14:paraId="5026BD2B" w14:textId="77777777" w:rsidR="00614438" w:rsidRPr="00614438" w:rsidRDefault="00614438" w:rsidP="00466281">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target under Article 7 of Directive (EU) 2012/27, as amended by Directive (EU) 2018/2002, will be attained through the implementation of alternative policy measures. The planned alternative measures should deliver </w:t>
      </w:r>
      <w:r w:rsidR="006B11BA">
        <w:rPr>
          <w:rFonts w:ascii="Times New Roman" w:hAnsi="Times New Roman" w:cs="Times New Roman"/>
          <w:sz w:val="24"/>
          <w:szCs w:val="24"/>
          <w:lang w:val="en-GB"/>
        </w:rPr>
        <w:t xml:space="preserve">up to </w:t>
      </w:r>
      <w:r w:rsidRPr="00614438">
        <w:rPr>
          <w:rFonts w:ascii="Times New Roman" w:hAnsi="Times New Roman" w:cs="Times New Roman"/>
          <w:sz w:val="24"/>
          <w:szCs w:val="24"/>
          <w:lang w:val="en-GB"/>
        </w:rPr>
        <w:t>2023 ktoe of cumulative final energy savings in the period 2024-2030, which correspond to 506 ktoe of new final energy savings in the examined period. The calculation of the energy saving target was estimated taking into account the average final energy consumption of the period 2018-2020 (9,031 ktoe based on EUROSTAT’s data)</w:t>
      </w:r>
      <w:r w:rsidR="006B11BA">
        <w:rPr>
          <w:rFonts w:ascii="Times New Roman" w:hAnsi="Times New Roman" w:cs="Times New Roman"/>
          <w:sz w:val="24"/>
          <w:szCs w:val="24"/>
          <w:lang w:val="en-GB"/>
        </w:rPr>
        <w:t>, with the assumption that</w:t>
      </w:r>
      <w:r w:rsidRPr="00614438">
        <w:rPr>
          <w:rFonts w:ascii="Times New Roman" w:hAnsi="Times New Roman" w:cs="Times New Roman"/>
          <w:sz w:val="24"/>
          <w:szCs w:val="24"/>
          <w:lang w:val="en-GB"/>
        </w:rPr>
        <w:t xml:space="preserve"> </w:t>
      </w:r>
      <w:r w:rsidR="00466281">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energy saving factor </w:t>
      </w:r>
      <w:r w:rsidR="00466281">
        <w:rPr>
          <w:rFonts w:ascii="Times New Roman" w:hAnsi="Times New Roman" w:cs="Times New Roman"/>
          <w:sz w:val="24"/>
          <w:szCs w:val="24"/>
          <w:lang w:val="en-GB"/>
        </w:rPr>
        <w:t xml:space="preserve">is </w:t>
      </w:r>
      <w:r w:rsidRPr="00614438">
        <w:rPr>
          <w:rFonts w:ascii="Times New Roman" w:hAnsi="Times New Roman" w:cs="Times New Roman"/>
          <w:sz w:val="24"/>
          <w:szCs w:val="24"/>
          <w:lang w:val="en-GB"/>
        </w:rPr>
        <w:t>equal to 0.8% in the period 2024-2030.</w:t>
      </w:r>
      <w:r w:rsidR="00466281">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 xml:space="preserve">The evolution of the required new and cumulative final energy savings is presented in </w:t>
      </w:r>
      <w:r w:rsidR="00FA29EF">
        <w:fldChar w:fldCharType="begin"/>
      </w:r>
      <w:r w:rsidR="00FA29EF">
        <w:instrText xml:space="preserve"> REF _Ref96502914 \h  \* MERGEFORMAT </w:instrText>
      </w:r>
      <w:r w:rsidR="00FA29EF">
        <w:fldChar w:fldCharType="separate"/>
      </w:r>
      <w:r w:rsidRPr="00614438">
        <w:rPr>
          <w:rFonts w:ascii="Times New Roman" w:hAnsi="Times New Roman" w:cs="Times New Roman"/>
          <w:sz w:val="24"/>
          <w:szCs w:val="24"/>
          <w:lang w:val="en-GB"/>
        </w:rPr>
        <w:t>Table 3.1</w:t>
      </w:r>
      <w:r w:rsidR="00FA29EF">
        <w:fldChar w:fldCharType="end"/>
      </w:r>
      <w:r w:rsidRPr="00614438">
        <w:rPr>
          <w:rFonts w:ascii="Times New Roman" w:hAnsi="Times New Roman" w:cs="Times New Roman"/>
          <w:sz w:val="24"/>
          <w:szCs w:val="24"/>
          <w:lang w:val="en-GB"/>
        </w:rPr>
        <w:t xml:space="preserve"> on annual basis.</w:t>
      </w:r>
    </w:p>
    <w:p w14:paraId="7933EC11" w14:textId="77777777" w:rsidR="00614438" w:rsidRPr="003E0710" w:rsidRDefault="00614438" w:rsidP="003E0710">
      <w:pPr>
        <w:spacing w:after="0"/>
        <w:jc w:val="both"/>
        <w:rPr>
          <w:rFonts w:ascii="Times New Roman" w:hAnsi="Times New Roman" w:cs="Times New Roman"/>
          <w:sz w:val="18"/>
          <w:szCs w:val="18"/>
        </w:rPr>
      </w:pPr>
      <w:bookmarkStart w:id="140" w:name="_Ref96502914"/>
      <w:bookmarkStart w:id="141" w:name="_Toc118992364"/>
      <w:bookmarkStart w:id="142" w:name="_Toc153545070"/>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bookmarkEnd w:id="140"/>
      <w:r w:rsidRPr="00614438">
        <w:rPr>
          <w:rFonts w:ascii="Times New Roman" w:hAnsi="Times New Roman" w:cs="Times New Roman"/>
          <w:sz w:val="24"/>
          <w:szCs w:val="24"/>
        </w:rPr>
        <w:t>: New and cumulative final energy savings in the period 2024-2030</w:t>
      </w:r>
      <w:bookmarkEnd w:id="141"/>
      <w:bookmarkEnd w:id="142"/>
    </w:p>
    <w:tbl>
      <w:tblPr>
        <w:tblW w:w="9854" w:type="dxa"/>
        <w:jc w:val="center"/>
        <w:tblLook w:val="04A0" w:firstRow="1" w:lastRow="0" w:firstColumn="1" w:lastColumn="0" w:noHBand="0" w:noVBand="1"/>
      </w:tblPr>
      <w:tblGrid>
        <w:gridCol w:w="1188"/>
        <w:gridCol w:w="656"/>
        <w:gridCol w:w="652"/>
        <w:gridCol w:w="652"/>
        <w:gridCol w:w="746"/>
        <w:gridCol w:w="815"/>
        <w:gridCol w:w="815"/>
        <w:gridCol w:w="815"/>
        <w:gridCol w:w="815"/>
        <w:gridCol w:w="815"/>
        <w:gridCol w:w="815"/>
        <w:gridCol w:w="1070"/>
      </w:tblGrid>
      <w:tr w:rsidR="00614438" w:rsidRPr="003E0710" w14:paraId="1F717BB2" w14:textId="77777777" w:rsidTr="006B11BA">
        <w:trPr>
          <w:trHeight w:val="254"/>
          <w:jc w:val="center"/>
        </w:trPr>
        <w:tc>
          <w:tcPr>
            <w:tcW w:w="1188"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57F43306"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Year</w:t>
            </w:r>
          </w:p>
        </w:tc>
        <w:tc>
          <w:tcPr>
            <w:tcW w:w="656" w:type="dxa"/>
            <w:tcBorders>
              <w:top w:val="single" w:sz="4" w:space="0" w:color="auto"/>
              <w:left w:val="nil"/>
              <w:bottom w:val="single" w:sz="4" w:space="0" w:color="auto"/>
              <w:right w:val="single" w:sz="4" w:space="0" w:color="auto"/>
            </w:tcBorders>
            <w:shd w:val="clear" w:color="auto" w:fill="002060"/>
            <w:noWrap/>
            <w:vAlign w:val="bottom"/>
            <w:hideMark/>
          </w:tcPr>
          <w:p w14:paraId="4E5647EB"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2021</w:t>
            </w:r>
          </w:p>
        </w:tc>
        <w:tc>
          <w:tcPr>
            <w:tcW w:w="652" w:type="dxa"/>
            <w:tcBorders>
              <w:top w:val="single" w:sz="4" w:space="0" w:color="auto"/>
              <w:left w:val="nil"/>
              <w:bottom w:val="single" w:sz="4" w:space="0" w:color="auto"/>
              <w:right w:val="single" w:sz="4" w:space="0" w:color="auto"/>
            </w:tcBorders>
            <w:shd w:val="clear" w:color="auto" w:fill="002060"/>
            <w:noWrap/>
            <w:vAlign w:val="bottom"/>
            <w:hideMark/>
          </w:tcPr>
          <w:p w14:paraId="5F11DAEF"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2022</w:t>
            </w:r>
          </w:p>
        </w:tc>
        <w:tc>
          <w:tcPr>
            <w:tcW w:w="652" w:type="dxa"/>
            <w:tcBorders>
              <w:top w:val="single" w:sz="4" w:space="0" w:color="auto"/>
              <w:left w:val="nil"/>
              <w:bottom w:val="single" w:sz="4" w:space="0" w:color="auto"/>
              <w:right w:val="single" w:sz="4" w:space="0" w:color="auto"/>
            </w:tcBorders>
            <w:shd w:val="clear" w:color="auto" w:fill="002060"/>
            <w:noWrap/>
            <w:vAlign w:val="bottom"/>
            <w:hideMark/>
          </w:tcPr>
          <w:p w14:paraId="4B08F77D"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2023</w:t>
            </w:r>
          </w:p>
        </w:tc>
        <w:tc>
          <w:tcPr>
            <w:tcW w:w="746" w:type="dxa"/>
            <w:tcBorders>
              <w:top w:val="single" w:sz="4" w:space="0" w:color="auto"/>
              <w:left w:val="nil"/>
              <w:bottom w:val="single" w:sz="4" w:space="0" w:color="auto"/>
              <w:right w:val="single" w:sz="4" w:space="0" w:color="auto"/>
            </w:tcBorders>
            <w:shd w:val="clear" w:color="auto" w:fill="002060"/>
            <w:noWrap/>
            <w:vAlign w:val="bottom"/>
            <w:hideMark/>
          </w:tcPr>
          <w:p w14:paraId="320B4922"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2024</w:t>
            </w:r>
          </w:p>
        </w:tc>
        <w:tc>
          <w:tcPr>
            <w:tcW w:w="815" w:type="dxa"/>
            <w:tcBorders>
              <w:top w:val="single" w:sz="4" w:space="0" w:color="auto"/>
              <w:left w:val="nil"/>
              <w:bottom w:val="single" w:sz="4" w:space="0" w:color="auto"/>
              <w:right w:val="single" w:sz="4" w:space="0" w:color="auto"/>
            </w:tcBorders>
            <w:shd w:val="clear" w:color="auto" w:fill="002060"/>
            <w:noWrap/>
            <w:vAlign w:val="bottom"/>
            <w:hideMark/>
          </w:tcPr>
          <w:p w14:paraId="76016534"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2025</w:t>
            </w:r>
          </w:p>
        </w:tc>
        <w:tc>
          <w:tcPr>
            <w:tcW w:w="815" w:type="dxa"/>
            <w:tcBorders>
              <w:top w:val="single" w:sz="4" w:space="0" w:color="auto"/>
              <w:left w:val="nil"/>
              <w:bottom w:val="single" w:sz="4" w:space="0" w:color="auto"/>
              <w:right w:val="single" w:sz="4" w:space="0" w:color="auto"/>
            </w:tcBorders>
            <w:shd w:val="clear" w:color="auto" w:fill="002060"/>
            <w:noWrap/>
            <w:vAlign w:val="bottom"/>
            <w:hideMark/>
          </w:tcPr>
          <w:p w14:paraId="2E948383"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2026</w:t>
            </w:r>
          </w:p>
        </w:tc>
        <w:tc>
          <w:tcPr>
            <w:tcW w:w="815" w:type="dxa"/>
            <w:tcBorders>
              <w:top w:val="single" w:sz="4" w:space="0" w:color="auto"/>
              <w:left w:val="nil"/>
              <w:bottom w:val="single" w:sz="4" w:space="0" w:color="auto"/>
              <w:right w:val="single" w:sz="4" w:space="0" w:color="auto"/>
            </w:tcBorders>
            <w:shd w:val="clear" w:color="auto" w:fill="002060"/>
            <w:noWrap/>
            <w:vAlign w:val="bottom"/>
            <w:hideMark/>
          </w:tcPr>
          <w:p w14:paraId="128609BE"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2027</w:t>
            </w:r>
          </w:p>
        </w:tc>
        <w:tc>
          <w:tcPr>
            <w:tcW w:w="815" w:type="dxa"/>
            <w:tcBorders>
              <w:top w:val="single" w:sz="4" w:space="0" w:color="auto"/>
              <w:left w:val="nil"/>
              <w:bottom w:val="single" w:sz="4" w:space="0" w:color="auto"/>
              <w:right w:val="single" w:sz="4" w:space="0" w:color="auto"/>
            </w:tcBorders>
            <w:shd w:val="clear" w:color="auto" w:fill="002060"/>
            <w:noWrap/>
            <w:vAlign w:val="bottom"/>
            <w:hideMark/>
          </w:tcPr>
          <w:p w14:paraId="3B3066A3"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2028</w:t>
            </w:r>
          </w:p>
        </w:tc>
        <w:tc>
          <w:tcPr>
            <w:tcW w:w="815" w:type="dxa"/>
            <w:tcBorders>
              <w:top w:val="single" w:sz="4" w:space="0" w:color="auto"/>
              <w:left w:val="nil"/>
              <w:bottom w:val="single" w:sz="4" w:space="0" w:color="auto"/>
              <w:right w:val="single" w:sz="4" w:space="0" w:color="auto"/>
            </w:tcBorders>
            <w:shd w:val="clear" w:color="auto" w:fill="002060"/>
            <w:noWrap/>
            <w:vAlign w:val="bottom"/>
            <w:hideMark/>
          </w:tcPr>
          <w:p w14:paraId="4ADE3FEC"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2029</w:t>
            </w:r>
          </w:p>
        </w:tc>
        <w:tc>
          <w:tcPr>
            <w:tcW w:w="815" w:type="dxa"/>
            <w:tcBorders>
              <w:top w:val="single" w:sz="4" w:space="0" w:color="auto"/>
              <w:left w:val="nil"/>
              <w:bottom w:val="single" w:sz="4" w:space="0" w:color="auto"/>
              <w:right w:val="single" w:sz="4" w:space="0" w:color="auto"/>
            </w:tcBorders>
            <w:shd w:val="clear" w:color="auto" w:fill="002060"/>
            <w:noWrap/>
            <w:vAlign w:val="bottom"/>
            <w:hideMark/>
          </w:tcPr>
          <w:p w14:paraId="4B47303A"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2030</w:t>
            </w:r>
          </w:p>
        </w:tc>
        <w:tc>
          <w:tcPr>
            <w:tcW w:w="107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51205B4"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End-use energy savings (ktoe)</w:t>
            </w:r>
          </w:p>
        </w:tc>
      </w:tr>
      <w:tr w:rsidR="00614438" w:rsidRPr="003E0710" w14:paraId="391D57CB" w14:textId="77777777" w:rsidTr="006B11BA">
        <w:trPr>
          <w:trHeight w:val="58"/>
          <w:jc w:val="center"/>
        </w:trPr>
        <w:tc>
          <w:tcPr>
            <w:tcW w:w="1188"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FA32312"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End-use energy savings (ktoe)</w:t>
            </w:r>
          </w:p>
        </w:tc>
        <w:tc>
          <w:tcPr>
            <w:tcW w:w="656" w:type="dxa"/>
            <w:tcBorders>
              <w:top w:val="nil"/>
              <w:left w:val="nil"/>
              <w:bottom w:val="single" w:sz="4" w:space="0" w:color="auto"/>
              <w:right w:val="single" w:sz="4" w:space="0" w:color="auto"/>
            </w:tcBorders>
            <w:noWrap/>
            <w:vAlign w:val="bottom"/>
            <w:hideMark/>
          </w:tcPr>
          <w:p w14:paraId="1085475A"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652" w:type="dxa"/>
            <w:tcBorders>
              <w:top w:val="nil"/>
              <w:left w:val="nil"/>
              <w:bottom w:val="single" w:sz="4" w:space="0" w:color="auto"/>
              <w:right w:val="single" w:sz="4" w:space="0" w:color="auto"/>
            </w:tcBorders>
            <w:noWrap/>
            <w:vAlign w:val="bottom"/>
            <w:hideMark/>
          </w:tcPr>
          <w:p w14:paraId="640F0B0E"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652" w:type="dxa"/>
            <w:tcBorders>
              <w:top w:val="nil"/>
              <w:left w:val="nil"/>
              <w:bottom w:val="single" w:sz="4" w:space="0" w:color="auto"/>
              <w:right w:val="single" w:sz="4" w:space="0" w:color="auto"/>
            </w:tcBorders>
            <w:noWrap/>
            <w:vAlign w:val="bottom"/>
            <w:hideMark/>
          </w:tcPr>
          <w:p w14:paraId="3027FD3E"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746" w:type="dxa"/>
            <w:tcBorders>
              <w:top w:val="nil"/>
              <w:left w:val="nil"/>
              <w:bottom w:val="single" w:sz="4" w:space="0" w:color="auto"/>
              <w:right w:val="single" w:sz="4" w:space="0" w:color="auto"/>
            </w:tcBorders>
            <w:noWrap/>
            <w:vAlign w:val="bottom"/>
            <w:hideMark/>
          </w:tcPr>
          <w:p w14:paraId="092AEF3F"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815" w:type="dxa"/>
            <w:tcBorders>
              <w:top w:val="nil"/>
              <w:left w:val="nil"/>
              <w:bottom w:val="single" w:sz="4" w:space="0" w:color="auto"/>
              <w:right w:val="single" w:sz="4" w:space="0" w:color="auto"/>
            </w:tcBorders>
            <w:noWrap/>
            <w:vAlign w:val="bottom"/>
            <w:hideMark/>
          </w:tcPr>
          <w:p w14:paraId="4F28EE72"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815" w:type="dxa"/>
            <w:tcBorders>
              <w:top w:val="nil"/>
              <w:left w:val="nil"/>
              <w:bottom w:val="single" w:sz="4" w:space="0" w:color="auto"/>
              <w:right w:val="single" w:sz="4" w:space="0" w:color="auto"/>
            </w:tcBorders>
            <w:noWrap/>
            <w:vAlign w:val="bottom"/>
            <w:hideMark/>
          </w:tcPr>
          <w:p w14:paraId="70506BD8"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815" w:type="dxa"/>
            <w:tcBorders>
              <w:top w:val="nil"/>
              <w:left w:val="nil"/>
              <w:bottom w:val="single" w:sz="4" w:space="0" w:color="auto"/>
              <w:right w:val="single" w:sz="4" w:space="0" w:color="auto"/>
            </w:tcBorders>
            <w:noWrap/>
            <w:vAlign w:val="bottom"/>
            <w:hideMark/>
          </w:tcPr>
          <w:p w14:paraId="584634E7"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815" w:type="dxa"/>
            <w:tcBorders>
              <w:top w:val="nil"/>
              <w:left w:val="nil"/>
              <w:bottom w:val="single" w:sz="4" w:space="0" w:color="auto"/>
              <w:right w:val="single" w:sz="4" w:space="0" w:color="auto"/>
            </w:tcBorders>
            <w:noWrap/>
            <w:vAlign w:val="bottom"/>
            <w:hideMark/>
          </w:tcPr>
          <w:p w14:paraId="18687071"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815" w:type="dxa"/>
            <w:tcBorders>
              <w:top w:val="nil"/>
              <w:left w:val="nil"/>
              <w:bottom w:val="single" w:sz="4" w:space="0" w:color="auto"/>
              <w:right w:val="single" w:sz="4" w:space="0" w:color="auto"/>
            </w:tcBorders>
            <w:noWrap/>
            <w:vAlign w:val="bottom"/>
            <w:hideMark/>
          </w:tcPr>
          <w:p w14:paraId="79AE4F74"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815" w:type="dxa"/>
            <w:tcBorders>
              <w:top w:val="nil"/>
              <w:left w:val="nil"/>
              <w:bottom w:val="single" w:sz="4" w:space="0" w:color="auto"/>
              <w:right w:val="single" w:sz="4" w:space="0" w:color="auto"/>
            </w:tcBorders>
            <w:shd w:val="clear" w:color="auto" w:fill="538DD5"/>
            <w:noWrap/>
            <w:hideMark/>
          </w:tcPr>
          <w:p w14:paraId="2F2AFC05"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130E6E" w14:textId="77777777" w:rsidR="00614438" w:rsidRPr="003E0710" w:rsidRDefault="00614438" w:rsidP="003E0710">
            <w:pPr>
              <w:spacing w:after="0"/>
              <w:jc w:val="both"/>
              <w:rPr>
                <w:rFonts w:ascii="Times New Roman" w:hAnsi="Times New Roman" w:cs="Times New Roman"/>
                <w:sz w:val="18"/>
                <w:szCs w:val="18"/>
                <w:lang w:val="en-GB"/>
              </w:rPr>
            </w:pPr>
          </w:p>
        </w:tc>
      </w:tr>
      <w:tr w:rsidR="00614438" w:rsidRPr="003E0710" w14:paraId="760F672B" w14:textId="77777777" w:rsidTr="006B11BA">
        <w:trPr>
          <w:trHeight w:val="58"/>
          <w:jc w:val="center"/>
        </w:trPr>
        <w:tc>
          <w:tcPr>
            <w:tcW w:w="1188" w:type="dxa"/>
            <w:vMerge/>
            <w:tcBorders>
              <w:top w:val="nil"/>
              <w:left w:val="single" w:sz="4" w:space="0" w:color="auto"/>
              <w:bottom w:val="single" w:sz="4" w:space="0" w:color="auto"/>
              <w:right w:val="single" w:sz="4" w:space="0" w:color="auto"/>
            </w:tcBorders>
            <w:vAlign w:val="center"/>
            <w:hideMark/>
          </w:tcPr>
          <w:p w14:paraId="35BDEBAD" w14:textId="77777777" w:rsidR="00614438" w:rsidRPr="003E0710" w:rsidRDefault="00614438" w:rsidP="003E0710">
            <w:pPr>
              <w:spacing w:after="0"/>
              <w:jc w:val="both"/>
              <w:rPr>
                <w:rFonts w:ascii="Times New Roman" w:hAnsi="Times New Roman" w:cs="Times New Roman"/>
                <w:sz w:val="18"/>
                <w:szCs w:val="18"/>
                <w:lang w:val="en-GB"/>
              </w:rPr>
            </w:pPr>
          </w:p>
        </w:tc>
        <w:tc>
          <w:tcPr>
            <w:tcW w:w="656" w:type="dxa"/>
            <w:tcBorders>
              <w:top w:val="nil"/>
              <w:left w:val="nil"/>
              <w:bottom w:val="single" w:sz="4" w:space="0" w:color="auto"/>
              <w:right w:val="single" w:sz="4" w:space="0" w:color="auto"/>
            </w:tcBorders>
            <w:noWrap/>
            <w:vAlign w:val="bottom"/>
            <w:hideMark/>
          </w:tcPr>
          <w:p w14:paraId="52071906"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652" w:type="dxa"/>
            <w:tcBorders>
              <w:top w:val="nil"/>
              <w:left w:val="nil"/>
              <w:bottom w:val="single" w:sz="4" w:space="0" w:color="auto"/>
              <w:right w:val="single" w:sz="4" w:space="0" w:color="auto"/>
            </w:tcBorders>
            <w:noWrap/>
            <w:vAlign w:val="bottom"/>
            <w:hideMark/>
          </w:tcPr>
          <w:p w14:paraId="7557D876"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652" w:type="dxa"/>
            <w:tcBorders>
              <w:top w:val="nil"/>
              <w:left w:val="nil"/>
              <w:bottom w:val="single" w:sz="4" w:space="0" w:color="auto"/>
              <w:right w:val="single" w:sz="4" w:space="0" w:color="auto"/>
            </w:tcBorders>
            <w:noWrap/>
            <w:vAlign w:val="bottom"/>
            <w:hideMark/>
          </w:tcPr>
          <w:p w14:paraId="46182C8A"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746" w:type="dxa"/>
            <w:tcBorders>
              <w:top w:val="nil"/>
              <w:left w:val="nil"/>
              <w:bottom w:val="single" w:sz="4" w:space="0" w:color="auto"/>
              <w:right w:val="single" w:sz="4" w:space="0" w:color="auto"/>
            </w:tcBorders>
            <w:noWrap/>
            <w:vAlign w:val="bottom"/>
            <w:hideMark/>
          </w:tcPr>
          <w:p w14:paraId="287185C6"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815" w:type="dxa"/>
            <w:tcBorders>
              <w:top w:val="nil"/>
              <w:left w:val="nil"/>
              <w:bottom w:val="single" w:sz="4" w:space="0" w:color="auto"/>
              <w:right w:val="single" w:sz="4" w:space="0" w:color="auto"/>
            </w:tcBorders>
            <w:noWrap/>
            <w:vAlign w:val="bottom"/>
            <w:hideMark/>
          </w:tcPr>
          <w:p w14:paraId="2625B607"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815" w:type="dxa"/>
            <w:tcBorders>
              <w:top w:val="nil"/>
              <w:left w:val="nil"/>
              <w:bottom w:val="single" w:sz="4" w:space="0" w:color="auto"/>
              <w:right w:val="single" w:sz="4" w:space="0" w:color="auto"/>
            </w:tcBorders>
            <w:noWrap/>
            <w:vAlign w:val="bottom"/>
            <w:hideMark/>
          </w:tcPr>
          <w:p w14:paraId="0FC4EDC2"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815" w:type="dxa"/>
            <w:tcBorders>
              <w:top w:val="nil"/>
              <w:left w:val="nil"/>
              <w:bottom w:val="single" w:sz="4" w:space="0" w:color="auto"/>
              <w:right w:val="single" w:sz="4" w:space="0" w:color="auto"/>
            </w:tcBorders>
            <w:noWrap/>
            <w:vAlign w:val="bottom"/>
            <w:hideMark/>
          </w:tcPr>
          <w:p w14:paraId="10E1DC55"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815" w:type="dxa"/>
            <w:tcBorders>
              <w:top w:val="nil"/>
              <w:left w:val="nil"/>
              <w:bottom w:val="single" w:sz="4" w:space="0" w:color="auto"/>
              <w:right w:val="single" w:sz="4" w:space="0" w:color="auto"/>
            </w:tcBorders>
            <w:noWrap/>
            <w:vAlign w:val="bottom"/>
            <w:hideMark/>
          </w:tcPr>
          <w:p w14:paraId="43CE6CD7"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815" w:type="dxa"/>
            <w:tcBorders>
              <w:top w:val="nil"/>
              <w:left w:val="nil"/>
              <w:bottom w:val="single" w:sz="4" w:space="0" w:color="auto"/>
              <w:right w:val="single" w:sz="4" w:space="0" w:color="auto"/>
            </w:tcBorders>
            <w:shd w:val="clear" w:color="auto" w:fill="538DD5"/>
            <w:noWrap/>
            <w:hideMark/>
          </w:tcPr>
          <w:p w14:paraId="61324447"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815" w:type="dxa"/>
            <w:tcBorders>
              <w:top w:val="nil"/>
              <w:left w:val="nil"/>
              <w:bottom w:val="single" w:sz="4" w:space="0" w:color="auto"/>
              <w:right w:val="single" w:sz="4" w:space="0" w:color="auto"/>
            </w:tcBorders>
            <w:shd w:val="clear" w:color="auto" w:fill="C5D9F1"/>
            <w:noWrap/>
            <w:hideMark/>
          </w:tcPr>
          <w:p w14:paraId="60723F44"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F20DFD" w14:textId="77777777" w:rsidR="00614438" w:rsidRPr="003E0710" w:rsidRDefault="00614438" w:rsidP="003E0710">
            <w:pPr>
              <w:spacing w:after="0"/>
              <w:jc w:val="both"/>
              <w:rPr>
                <w:rFonts w:ascii="Times New Roman" w:hAnsi="Times New Roman" w:cs="Times New Roman"/>
                <w:sz w:val="18"/>
                <w:szCs w:val="18"/>
                <w:lang w:val="en-GB"/>
              </w:rPr>
            </w:pPr>
          </w:p>
        </w:tc>
      </w:tr>
      <w:tr w:rsidR="00614438" w:rsidRPr="003E0710" w14:paraId="6BAF985F" w14:textId="77777777" w:rsidTr="006B11BA">
        <w:trPr>
          <w:trHeight w:val="58"/>
          <w:jc w:val="center"/>
        </w:trPr>
        <w:tc>
          <w:tcPr>
            <w:tcW w:w="1188" w:type="dxa"/>
            <w:vMerge/>
            <w:tcBorders>
              <w:top w:val="nil"/>
              <w:left w:val="single" w:sz="4" w:space="0" w:color="auto"/>
              <w:bottom w:val="single" w:sz="4" w:space="0" w:color="auto"/>
              <w:right w:val="single" w:sz="4" w:space="0" w:color="auto"/>
            </w:tcBorders>
            <w:vAlign w:val="center"/>
            <w:hideMark/>
          </w:tcPr>
          <w:p w14:paraId="47F5C8AB" w14:textId="77777777" w:rsidR="00614438" w:rsidRPr="003E0710" w:rsidRDefault="00614438" w:rsidP="003E0710">
            <w:pPr>
              <w:spacing w:after="0"/>
              <w:jc w:val="both"/>
              <w:rPr>
                <w:rFonts w:ascii="Times New Roman" w:hAnsi="Times New Roman" w:cs="Times New Roman"/>
                <w:sz w:val="18"/>
                <w:szCs w:val="18"/>
                <w:lang w:val="en-GB"/>
              </w:rPr>
            </w:pPr>
          </w:p>
        </w:tc>
        <w:tc>
          <w:tcPr>
            <w:tcW w:w="656" w:type="dxa"/>
            <w:tcBorders>
              <w:top w:val="nil"/>
              <w:left w:val="nil"/>
              <w:bottom w:val="single" w:sz="4" w:space="0" w:color="auto"/>
              <w:right w:val="single" w:sz="4" w:space="0" w:color="auto"/>
            </w:tcBorders>
            <w:noWrap/>
            <w:vAlign w:val="bottom"/>
            <w:hideMark/>
          </w:tcPr>
          <w:p w14:paraId="3B201F43"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652" w:type="dxa"/>
            <w:tcBorders>
              <w:top w:val="nil"/>
              <w:left w:val="nil"/>
              <w:bottom w:val="single" w:sz="4" w:space="0" w:color="auto"/>
              <w:right w:val="single" w:sz="4" w:space="0" w:color="auto"/>
            </w:tcBorders>
            <w:noWrap/>
            <w:vAlign w:val="bottom"/>
            <w:hideMark/>
          </w:tcPr>
          <w:p w14:paraId="5A5C30B2"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652" w:type="dxa"/>
            <w:tcBorders>
              <w:top w:val="nil"/>
              <w:left w:val="nil"/>
              <w:bottom w:val="single" w:sz="4" w:space="0" w:color="auto"/>
              <w:right w:val="single" w:sz="4" w:space="0" w:color="auto"/>
            </w:tcBorders>
            <w:noWrap/>
            <w:vAlign w:val="bottom"/>
            <w:hideMark/>
          </w:tcPr>
          <w:p w14:paraId="1DC4F0F6"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746" w:type="dxa"/>
            <w:tcBorders>
              <w:top w:val="nil"/>
              <w:left w:val="nil"/>
              <w:bottom w:val="single" w:sz="4" w:space="0" w:color="auto"/>
              <w:right w:val="single" w:sz="4" w:space="0" w:color="auto"/>
            </w:tcBorders>
            <w:noWrap/>
            <w:vAlign w:val="bottom"/>
            <w:hideMark/>
          </w:tcPr>
          <w:p w14:paraId="275CCE1B"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815" w:type="dxa"/>
            <w:tcBorders>
              <w:top w:val="nil"/>
              <w:left w:val="nil"/>
              <w:bottom w:val="single" w:sz="4" w:space="0" w:color="auto"/>
              <w:right w:val="single" w:sz="4" w:space="0" w:color="auto"/>
            </w:tcBorders>
            <w:noWrap/>
            <w:vAlign w:val="bottom"/>
            <w:hideMark/>
          </w:tcPr>
          <w:p w14:paraId="2E5BB940"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815" w:type="dxa"/>
            <w:tcBorders>
              <w:top w:val="nil"/>
              <w:left w:val="nil"/>
              <w:bottom w:val="single" w:sz="4" w:space="0" w:color="auto"/>
              <w:right w:val="single" w:sz="4" w:space="0" w:color="auto"/>
            </w:tcBorders>
            <w:noWrap/>
            <w:vAlign w:val="bottom"/>
            <w:hideMark/>
          </w:tcPr>
          <w:p w14:paraId="0FDEA51E"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815" w:type="dxa"/>
            <w:tcBorders>
              <w:top w:val="nil"/>
              <w:left w:val="nil"/>
              <w:bottom w:val="single" w:sz="4" w:space="0" w:color="auto"/>
              <w:right w:val="single" w:sz="4" w:space="0" w:color="auto"/>
            </w:tcBorders>
            <w:noWrap/>
            <w:vAlign w:val="bottom"/>
            <w:hideMark/>
          </w:tcPr>
          <w:p w14:paraId="6B7133B5"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815" w:type="dxa"/>
            <w:tcBorders>
              <w:top w:val="nil"/>
              <w:left w:val="nil"/>
              <w:bottom w:val="single" w:sz="4" w:space="0" w:color="auto"/>
              <w:right w:val="single" w:sz="4" w:space="0" w:color="auto"/>
            </w:tcBorders>
            <w:shd w:val="clear" w:color="auto" w:fill="538DD5"/>
            <w:noWrap/>
            <w:hideMark/>
          </w:tcPr>
          <w:p w14:paraId="70D98F5A"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815" w:type="dxa"/>
            <w:tcBorders>
              <w:top w:val="nil"/>
              <w:left w:val="nil"/>
              <w:bottom w:val="single" w:sz="4" w:space="0" w:color="auto"/>
              <w:right w:val="single" w:sz="4" w:space="0" w:color="auto"/>
            </w:tcBorders>
            <w:shd w:val="clear" w:color="auto" w:fill="C5D9F1"/>
            <w:noWrap/>
            <w:hideMark/>
          </w:tcPr>
          <w:p w14:paraId="655D5F69"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815" w:type="dxa"/>
            <w:tcBorders>
              <w:top w:val="nil"/>
              <w:left w:val="nil"/>
              <w:bottom w:val="single" w:sz="4" w:space="0" w:color="auto"/>
              <w:right w:val="single" w:sz="4" w:space="0" w:color="auto"/>
            </w:tcBorders>
            <w:shd w:val="clear" w:color="auto" w:fill="C5D9F1"/>
            <w:noWrap/>
            <w:hideMark/>
          </w:tcPr>
          <w:p w14:paraId="4A2238C1"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E81663" w14:textId="77777777" w:rsidR="00614438" w:rsidRPr="003E0710" w:rsidRDefault="00614438" w:rsidP="003E0710">
            <w:pPr>
              <w:spacing w:after="0"/>
              <w:jc w:val="both"/>
              <w:rPr>
                <w:rFonts w:ascii="Times New Roman" w:hAnsi="Times New Roman" w:cs="Times New Roman"/>
                <w:sz w:val="18"/>
                <w:szCs w:val="18"/>
                <w:lang w:val="en-GB"/>
              </w:rPr>
            </w:pPr>
          </w:p>
        </w:tc>
      </w:tr>
      <w:tr w:rsidR="00614438" w:rsidRPr="003E0710" w14:paraId="268DACC5" w14:textId="77777777" w:rsidTr="006B11BA">
        <w:trPr>
          <w:trHeight w:val="58"/>
          <w:jc w:val="center"/>
        </w:trPr>
        <w:tc>
          <w:tcPr>
            <w:tcW w:w="1188" w:type="dxa"/>
            <w:vMerge/>
            <w:tcBorders>
              <w:top w:val="nil"/>
              <w:left w:val="single" w:sz="4" w:space="0" w:color="auto"/>
              <w:bottom w:val="single" w:sz="4" w:space="0" w:color="auto"/>
              <w:right w:val="single" w:sz="4" w:space="0" w:color="auto"/>
            </w:tcBorders>
            <w:vAlign w:val="center"/>
            <w:hideMark/>
          </w:tcPr>
          <w:p w14:paraId="4A756E7F" w14:textId="77777777" w:rsidR="00614438" w:rsidRPr="003E0710" w:rsidRDefault="00614438" w:rsidP="003E0710">
            <w:pPr>
              <w:spacing w:after="0"/>
              <w:jc w:val="both"/>
              <w:rPr>
                <w:rFonts w:ascii="Times New Roman" w:hAnsi="Times New Roman" w:cs="Times New Roman"/>
                <w:sz w:val="18"/>
                <w:szCs w:val="18"/>
                <w:lang w:val="en-GB"/>
              </w:rPr>
            </w:pPr>
          </w:p>
        </w:tc>
        <w:tc>
          <w:tcPr>
            <w:tcW w:w="656" w:type="dxa"/>
            <w:tcBorders>
              <w:top w:val="nil"/>
              <w:left w:val="nil"/>
              <w:bottom w:val="single" w:sz="4" w:space="0" w:color="auto"/>
              <w:right w:val="single" w:sz="4" w:space="0" w:color="auto"/>
            </w:tcBorders>
            <w:noWrap/>
            <w:vAlign w:val="bottom"/>
            <w:hideMark/>
          </w:tcPr>
          <w:p w14:paraId="161CCCE4"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652" w:type="dxa"/>
            <w:tcBorders>
              <w:top w:val="nil"/>
              <w:left w:val="nil"/>
              <w:bottom w:val="single" w:sz="4" w:space="0" w:color="auto"/>
              <w:right w:val="single" w:sz="4" w:space="0" w:color="auto"/>
            </w:tcBorders>
            <w:noWrap/>
            <w:vAlign w:val="bottom"/>
            <w:hideMark/>
          </w:tcPr>
          <w:p w14:paraId="69ECF6A1"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652" w:type="dxa"/>
            <w:tcBorders>
              <w:top w:val="nil"/>
              <w:left w:val="nil"/>
              <w:bottom w:val="single" w:sz="4" w:space="0" w:color="auto"/>
              <w:right w:val="single" w:sz="4" w:space="0" w:color="auto"/>
            </w:tcBorders>
            <w:noWrap/>
            <w:vAlign w:val="bottom"/>
            <w:hideMark/>
          </w:tcPr>
          <w:p w14:paraId="42BE7A58"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746" w:type="dxa"/>
            <w:tcBorders>
              <w:top w:val="nil"/>
              <w:left w:val="nil"/>
              <w:bottom w:val="single" w:sz="4" w:space="0" w:color="auto"/>
              <w:right w:val="single" w:sz="4" w:space="0" w:color="auto"/>
            </w:tcBorders>
            <w:noWrap/>
            <w:vAlign w:val="bottom"/>
            <w:hideMark/>
          </w:tcPr>
          <w:p w14:paraId="2068657A"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815" w:type="dxa"/>
            <w:tcBorders>
              <w:top w:val="nil"/>
              <w:left w:val="nil"/>
              <w:bottom w:val="single" w:sz="4" w:space="0" w:color="auto"/>
              <w:right w:val="single" w:sz="4" w:space="0" w:color="auto"/>
            </w:tcBorders>
            <w:noWrap/>
            <w:vAlign w:val="bottom"/>
            <w:hideMark/>
          </w:tcPr>
          <w:p w14:paraId="6009B530"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815" w:type="dxa"/>
            <w:tcBorders>
              <w:top w:val="nil"/>
              <w:left w:val="nil"/>
              <w:bottom w:val="single" w:sz="4" w:space="0" w:color="auto"/>
              <w:right w:val="single" w:sz="4" w:space="0" w:color="auto"/>
            </w:tcBorders>
            <w:noWrap/>
            <w:vAlign w:val="bottom"/>
            <w:hideMark/>
          </w:tcPr>
          <w:p w14:paraId="6F78D14B"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815" w:type="dxa"/>
            <w:tcBorders>
              <w:top w:val="nil"/>
              <w:left w:val="nil"/>
              <w:bottom w:val="single" w:sz="4" w:space="0" w:color="auto"/>
              <w:right w:val="single" w:sz="4" w:space="0" w:color="auto"/>
            </w:tcBorders>
            <w:shd w:val="clear" w:color="auto" w:fill="538DD5"/>
            <w:noWrap/>
            <w:hideMark/>
          </w:tcPr>
          <w:p w14:paraId="090228CE"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815" w:type="dxa"/>
            <w:tcBorders>
              <w:top w:val="nil"/>
              <w:left w:val="nil"/>
              <w:bottom w:val="single" w:sz="4" w:space="0" w:color="auto"/>
              <w:right w:val="single" w:sz="4" w:space="0" w:color="auto"/>
            </w:tcBorders>
            <w:shd w:val="clear" w:color="auto" w:fill="C5D9F1"/>
            <w:noWrap/>
            <w:hideMark/>
          </w:tcPr>
          <w:p w14:paraId="32E4125F"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815" w:type="dxa"/>
            <w:tcBorders>
              <w:top w:val="nil"/>
              <w:left w:val="nil"/>
              <w:bottom w:val="single" w:sz="4" w:space="0" w:color="auto"/>
              <w:right w:val="single" w:sz="4" w:space="0" w:color="auto"/>
            </w:tcBorders>
            <w:shd w:val="clear" w:color="auto" w:fill="C5D9F1"/>
            <w:noWrap/>
            <w:hideMark/>
          </w:tcPr>
          <w:p w14:paraId="72A18E71"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815" w:type="dxa"/>
            <w:tcBorders>
              <w:top w:val="nil"/>
              <w:left w:val="nil"/>
              <w:bottom w:val="single" w:sz="4" w:space="0" w:color="auto"/>
              <w:right w:val="single" w:sz="4" w:space="0" w:color="auto"/>
            </w:tcBorders>
            <w:shd w:val="clear" w:color="auto" w:fill="C5D9F1"/>
            <w:noWrap/>
            <w:hideMark/>
          </w:tcPr>
          <w:p w14:paraId="3AE26D47"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8709BF" w14:textId="77777777" w:rsidR="00614438" w:rsidRPr="003E0710" w:rsidRDefault="00614438" w:rsidP="003E0710">
            <w:pPr>
              <w:spacing w:after="0"/>
              <w:jc w:val="both"/>
              <w:rPr>
                <w:rFonts w:ascii="Times New Roman" w:hAnsi="Times New Roman" w:cs="Times New Roman"/>
                <w:sz w:val="18"/>
                <w:szCs w:val="18"/>
                <w:lang w:val="en-GB"/>
              </w:rPr>
            </w:pPr>
          </w:p>
        </w:tc>
      </w:tr>
      <w:tr w:rsidR="00614438" w:rsidRPr="003E0710" w14:paraId="1E375F4C" w14:textId="77777777" w:rsidTr="006B11BA">
        <w:trPr>
          <w:trHeight w:val="133"/>
          <w:jc w:val="center"/>
        </w:trPr>
        <w:tc>
          <w:tcPr>
            <w:tcW w:w="1188" w:type="dxa"/>
            <w:vMerge/>
            <w:tcBorders>
              <w:top w:val="nil"/>
              <w:left w:val="single" w:sz="4" w:space="0" w:color="auto"/>
              <w:bottom w:val="single" w:sz="4" w:space="0" w:color="auto"/>
              <w:right w:val="single" w:sz="4" w:space="0" w:color="auto"/>
            </w:tcBorders>
            <w:vAlign w:val="center"/>
            <w:hideMark/>
          </w:tcPr>
          <w:p w14:paraId="2429C6E1" w14:textId="77777777" w:rsidR="00614438" w:rsidRPr="003E0710" w:rsidRDefault="00614438" w:rsidP="003E0710">
            <w:pPr>
              <w:spacing w:after="0"/>
              <w:jc w:val="both"/>
              <w:rPr>
                <w:rFonts w:ascii="Times New Roman" w:hAnsi="Times New Roman" w:cs="Times New Roman"/>
                <w:sz w:val="18"/>
                <w:szCs w:val="18"/>
                <w:lang w:val="en-GB"/>
              </w:rPr>
            </w:pPr>
          </w:p>
        </w:tc>
        <w:tc>
          <w:tcPr>
            <w:tcW w:w="656" w:type="dxa"/>
            <w:tcBorders>
              <w:top w:val="nil"/>
              <w:left w:val="nil"/>
              <w:bottom w:val="single" w:sz="4" w:space="0" w:color="auto"/>
              <w:right w:val="single" w:sz="4" w:space="0" w:color="auto"/>
            </w:tcBorders>
            <w:noWrap/>
            <w:vAlign w:val="bottom"/>
            <w:hideMark/>
          </w:tcPr>
          <w:p w14:paraId="71BF59E3"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652" w:type="dxa"/>
            <w:tcBorders>
              <w:top w:val="nil"/>
              <w:left w:val="nil"/>
              <w:bottom w:val="single" w:sz="4" w:space="0" w:color="auto"/>
              <w:right w:val="single" w:sz="4" w:space="0" w:color="auto"/>
            </w:tcBorders>
            <w:noWrap/>
            <w:vAlign w:val="bottom"/>
            <w:hideMark/>
          </w:tcPr>
          <w:p w14:paraId="54E8437D"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652" w:type="dxa"/>
            <w:tcBorders>
              <w:top w:val="nil"/>
              <w:left w:val="nil"/>
              <w:bottom w:val="single" w:sz="4" w:space="0" w:color="auto"/>
              <w:right w:val="single" w:sz="4" w:space="0" w:color="auto"/>
            </w:tcBorders>
            <w:noWrap/>
            <w:vAlign w:val="bottom"/>
            <w:hideMark/>
          </w:tcPr>
          <w:p w14:paraId="6D71ED25"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746" w:type="dxa"/>
            <w:tcBorders>
              <w:top w:val="nil"/>
              <w:left w:val="nil"/>
              <w:bottom w:val="single" w:sz="4" w:space="0" w:color="auto"/>
              <w:right w:val="single" w:sz="4" w:space="0" w:color="auto"/>
            </w:tcBorders>
            <w:noWrap/>
            <w:vAlign w:val="bottom"/>
            <w:hideMark/>
          </w:tcPr>
          <w:p w14:paraId="46A3A35F"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815" w:type="dxa"/>
            <w:tcBorders>
              <w:top w:val="nil"/>
              <w:left w:val="nil"/>
              <w:bottom w:val="single" w:sz="4" w:space="0" w:color="auto"/>
              <w:right w:val="single" w:sz="4" w:space="0" w:color="auto"/>
            </w:tcBorders>
            <w:noWrap/>
            <w:vAlign w:val="bottom"/>
            <w:hideMark/>
          </w:tcPr>
          <w:p w14:paraId="0EBF41F7"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815" w:type="dxa"/>
            <w:tcBorders>
              <w:top w:val="nil"/>
              <w:left w:val="nil"/>
              <w:bottom w:val="single" w:sz="4" w:space="0" w:color="auto"/>
              <w:right w:val="single" w:sz="4" w:space="0" w:color="auto"/>
            </w:tcBorders>
            <w:shd w:val="clear" w:color="auto" w:fill="538DD5"/>
            <w:noWrap/>
            <w:hideMark/>
          </w:tcPr>
          <w:p w14:paraId="5A525B06"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815" w:type="dxa"/>
            <w:tcBorders>
              <w:top w:val="nil"/>
              <w:left w:val="nil"/>
              <w:bottom w:val="single" w:sz="4" w:space="0" w:color="auto"/>
              <w:right w:val="single" w:sz="4" w:space="0" w:color="auto"/>
            </w:tcBorders>
            <w:shd w:val="clear" w:color="auto" w:fill="C5D9F1"/>
            <w:noWrap/>
            <w:hideMark/>
          </w:tcPr>
          <w:p w14:paraId="247ADB29"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815" w:type="dxa"/>
            <w:tcBorders>
              <w:top w:val="nil"/>
              <w:left w:val="nil"/>
              <w:bottom w:val="single" w:sz="4" w:space="0" w:color="auto"/>
              <w:right w:val="single" w:sz="4" w:space="0" w:color="auto"/>
            </w:tcBorders>
            <w:shd w:val="clear" w:color="auto" w:fill="C5D9F1"/>
            <w:noWrap/>
            <w:hideMark/>
          </w:tcPr>
          <w:p w14:paraId="18366F8A"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815" w:type="dxa"/>
            <w:tcBorders>
              <w:top w:val="nil"/>
              <w:left w:val="nil"/>
              <w:bottom w:val="single" w:sz="4" w:space="0" w:color="auto"/>
              <w:right w:val="single" w:sz="4" w:space="0" w:color="auto"/>
            </w:tcBorders>
            <w:shd w:val="clear" w:color="auto" w:fill="C5D9F1"/>
            <w:noWrap/>
            <w:hideMark/>
          </w:tcPr>
          <w:p w14:paraId="7B61CB15"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815" w:type="dxa"/>
            <w:tcBorders>
              <w:top w:val="nil"/>
              <w:left w:val="nil"/>
              <w:bottom w:val="single" w:sz="4" w:space="0" w:color="auto"/>
              <w:right w:val="single" w:sz="4" w:space="0" w:color="auto"/>
            </w:tcBorders>
            <w:shd w:val="clear" w:color="auto" w:fill="C5D9F1"/>
            <w:noWrap/>
            <w:hideMark/>
          </w:tcPr>
          <w:p w14:paraId="71B8EF8B"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ECA9EB5" w14:textId="77777777" w:rsidR="00614438" w:rsidRPr="003E0710" w:rsidRDefault="00614438" w:rsidP="003E0710">
            <w:pPr>
              <w:spacing w:after="0"/>
              <w:jc w:val="both"/>
              <w:rPr>
                <w:rFonts w:ascii="Times New Roman" w:hAnsi="Times New Roman" w:cs="Times New Roman"/>
                <w:sz w:val="18"/>
                <w:szCs w:val="18"/>
                <w:lang w:val="en-GB"/>
              </w:rPr>
            </w:pPr>
          </w:p>
        </w:tc>
      </w:tr>
      <w:tr w:rsidR="00614438" w:rsidRPr="003E0710" w14:paraId="358E5877" w14:textId="77777777" w:rsidTr="006B11BA">
        <w:trPr>
          <w:trHeight w:val="58"/>
          <w:jc w:val="center"/>
        </w:trPr>
        <w:tc>
          <w:tcPr>
            <w:tcW w:w="1188" w:type="dxa"/>
            <w:vMerge/>
            <w:tcBorders>
              <w:top w:val="nil"/>
              <w:left w:val="single" w:sz="4" w:space="0" w:color="auto"/>
              <w:bottom w:val="single" w:sz="4" w:space="0" w:color="auto"/>
              <w:right w:val="single" w:sz="4" w:space="0" w:color="auto"/>
            </w:tcBorders>
            <w:vAlign w:val="center"/>
            <w:hideMark/>
          </w:tcPr>
          <w:p w14:paraId="4D4F9C68" w14:textId="77777777" w:rsidR="00614438" w:rsidRPr="003E0710" w:rsidRDefault="00614438" w:rsidP="003E0710">
            <w:pPr>
              <w:spacing w:after="0"/>
              <w:jc w:val="both"/>
              <w:rPr>
                <w:rFonts w:ascii="Times New Roman" w:hAnsi="Times New Roman" w:cs="Times New Roman"/>
                <w:sz w:val="18"/>
                <w:szCs w:val="18"/>
                <w:lang w:val="en-GB"/>
              </w:rPr>
            </w:pPr>
          </w:p>
        </w:tc>
        <w:tc>
          <w:tcPr>
            <w:tcW w:w="656" w:type="dxa"/>
            <w:tcBorders>
              <w:top w:val="nil"/>
              <w:left w:val="nil"/>
              <w:bottom w:val="single" w:sz="4" w:space="0" w:color="auto"/>
              <w:right w:val="single" w:sz="4" w:space="0" w:color="auto"/>
            </w:tcBorders>
            <w:noWrap/>
            <w:vAlign w:val="bottom"/>
            <w:hideMark/>
          </w:tcPr>
          <w:p w14:paraId="02302BA9"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652" w:type="dxa"/>
            <w:tcBorders>
              <w:top w:val="nil"/>
              <w:left w:val="nil"/>
              <w:bottom w:val="single" w:sz="4" w:space="0" w:color="auto"/>
              <w:right w:val="single" w:sz="4" w:space="0" w:color="auto"/>
            </w:tcBorders>
            <w:noWrap/>
            <w:vAlign w:val="bottom"/>
            <w:hideMark/>
          </w:tcPr>
          <w:p w14:paraId="0D0798C3"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652" w:type="dxa"/>
            <w:tcBorders>
              <w:top w:val="nil"/>
              <w:left w:val="nil"/>
              <w:bottom w:val="single" w:sz="4" w:space="0" w:color="auto"/>
              <w:right w:val="single" w:sz="4" w:space="0" w:color="auto"/>
            </w:tcBorders>
            <w:noWrap/>
            <w:vAlign w:val="bottom"/>
            <w:hideMark/>
          </w:tcPr>
          <w:p w14:paraId="777C2451"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746" w:type="dxa"/>
            <w:tcBorders>
              <w:top w:val="nil"/>
              <w:left w:val="nil"/>
              <w:bottom w:val="single" w:sz="4" w:space="0" w:color="auto"/>
              <w:right w:val="single" w:sz="4" w:space="0" w:color="auto"/>
            </w:tcBorders>
            <w:noWrap/>
            <w:vAlign w:val="bottom"/>
            <w:hideMark/>
          </w:tcPr>
          <w:p w14:paraId="708A2017"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815" w:type="dxa"/>
            <w:tcBorders>
              <w:top w:val="nil"/>
              <w:left w:val="nil"/>
              <w:bottom w:val="single" w:sz="4" w:space="0" w:color="auto"/>
              <w:right w:val="single" w:sz="4" w:space="0" w:color="auto"/>
            </w:tcBorders>
            <w:shd w:val="clear" w:color="auto" w:fill="538DD5"/>
            <w:noWrap/>
            <w:hideMark/>
          </w:tcPr>
          <w:p w14:paraId="7DFDF9D4"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815" w:type="dxa"/>
            <w:tcBorders>
              <w:top w:val="nil"/>
              <w:left w:val="nil"/>
              <w:bottom w:val="single" w:sz="4" w:space="0" w:color="auto"/>
              <w:right w:val="single" w:sz="4" w:space="0" w:color="auto"/>
            </w:tcBorders>
            <w:shd w:val="clear" w:color="auto" w:fill="C5D9F1"/>
            <w:noWrap/>
            <w:hideMark/>
          </w:tcPr>
          <w:p w14:paraId="13663460"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815" w:type="dxa"/>
            <w:tcBorders>
              <w:top w:val="nil"/>
              <w:left w:val="nil"/>
              <w:bottom w:val="single" w:sz="4" w:space="0" w:color="auto"/>
              <w:right w:val="single" w:sz="4" w:space="0" w:color="auto"/>
            </w:tcBorders>
            <w:shd w:val="clear" w:color="auto" w:fill="C5D9F1"/>
            <w:noWrap/>
            <w:hideMark/>
          </w:tcPr>
          <w:p w14:paraId="52F4122D"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815" w:type="dxa"/>
            <w:tcBorders>
              <w:top w:val="nil"/>
              <w:left w:val="nil"/>
              <w:bottom w:val="single" w:sz="4" w:space="0" w:color="auto"/>
              <w:right w:val="single" w:sz="4" w:space="0" w:color="auto"/>
            </w:tcBorders>
            <w:shd w:val="clear" w:color="auto" w:fill="C5D9F1"/>
            <w:noWrap/>
            <w:hideMark/>
          </w:tcPr>
          <w:p w14:paraId="786A373D"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815" w:type="dxa"/>
            <w:tcBorders>
              <w:top w:val="nil"/>
              <w:left w:val="nil"/>
              <w:bottom w:val="single" w:sz="4" w:space="0" w:color="auto"/>
              <w:right w:val="single" w:sz="4" w:space="0" w:color="auto"/>
            </w:tcBorders>
            <w:shd w:val="clear" w:color="auto" w:fill="C5D9F1"/>
            <w:noWrap/>
            <w:hideMark/>
          </w:tcPr>
          <w:p w14:paraId="1DD618C5"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815" w:type="dxa"/>
            <w:tcBorders>
              <w:top w:val="nil"/>
              <w:left w:val="nil"/>
              <w:bottom w:val="single" w:sz="4" w:space="0" w:color="auto"/>
              <w:right w:val="single" w:sz="4" w:space="0" w:color="auto"/>
            </w:tcBorders>
            <w:shd w:val="clear" w:color="auto" w:fill="C5D9F1"/>
            <w:noWrap/>
            <w:hideMark/>
          </w:tcPr>
          <w:p w14:paraId="39810FEA"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4C4F63" w14:textId="77777777" w:rsidR="00614438" w:rsidRPr="003E0710" w:rsidRDefault="00614438" w:rsidP="003E0710">
            <w:pPr>
              <w:spacing w:after="0"/>
              <w:jc w:val="both"/>
              <w:rPr>
                <w:rFonts w:ascii="Times New Roman" w:hAnsi="Times New Roman" w:cs="Times New Roman"/>
                <w:sz w:val="18"/>
                <w:szCs w:val="18"/>
                <w:lang w:val="en-GB"/>
              </w:rPr>
            </w:pPr>
          </w:p>
        </w:tc>
      </w:tr>
      <w:tr w:rsidR="00614438" w:rsidRPr="003E0710" w14:paraId="75E52622" w14:textId="77777777" w:rsidTr="006B11BA">
        <w:trPr>
          <w:trHeight w:val="58"/>
          <w:jc w:val="center"/>
        </w:trPr>
        <w:tc>
          <w:tcPr>
            <w:tcW w:w="1188" w:type="dxa"/>
            <w:vMerge/>
            <w:tcBorders>
              <w:top w:val="nil"/>
              <w:left w:val="single" w:sz="4" w:space="0" w:color="auto"/>
              <w:bottom w:val="single" w:sz="4" w:space="0" w:color="auto"/>
              <w:right w:val="single" w:sz="4" w:space="0" w:color="auto"/>
            </w:tcBorders>
            <w:vAlign w:val="center"/>
            <w:hideMark/>
          </w:tcPr>
          <w:p w14:paraId="30E49C5B" w14:textId="77777777" w:rsidR="00614438" w:rsidRPr="003E0710" w:rsidRDefault="00614438" w:rsidP="003E0710">
            <w:pPr>
              <w:spacing w:after="0"/>
              <w:jc w:val="both"/>
              <w:rPr>
                <w:rFonts w:ascii="Times New Roman" w:hAnsi="Times New Roman" w:cs="Times New Roman"/>
                <w:sz w:val="18"/>
                <w:szCs w:val="18"/>
                <w:lang w:val="en-GB"/>
              </w:rPr>
            </w:pPr>
          </w:p>
        </w:tc>
        <w:tc>
          <w:tcPr>
            <w:tcW w:w="656" w:type="dxa"/>
            <w:tcBorders>
              <w:top w:val="nil"/>
              <w:left w:val="nil"/>
              <w:bottom w:val="single" w:sz="4" w:space="0" w:color="auto"/>
              <w:right w:val="single" w:sz="4" w:space="0" w:color="auto"/>
            </w:tcBorders>
            <w:noWrap/>
            <w:vAlign w:val="bottom"/>
            <w:hideMark/>
          </w:tcPr>
          <w:p w14:paraId="4D4F21B4"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652" w:type="dxa"/>
            <w:tcBorders>
              <w:top w:val="nil"/>
              <w:left w:val="nil"/>
              <w:bottom w:val="single" w:sz="4" w:space="0" w:color="auto"/>
              <w:right w:val="single" w:sz="4" w:space="0" w:color="auto"/>
            </w:tcBorders>
            <w:noWrap/>
            <w:vAlign w:val="bottom"/>
            <w:hideMark/>
          </w:tcPr>
          <w:p w14:paraId="6FCCDDA4"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652" w:type="dxa"/>
            <w:tcBorders>
              <w:top w:val="nil"/>
              <w:left w:val="nil"/>
              <w:bottom w:val="single" w:sz="4" w:space="0" w:color="auto"/>
              <w:right w:val="single" w:sz="4" w:space="0" w:color="auto"/>
            </w:tcBorders>
            <w:noWrap/>
            <w:vAlign w:val="bottom"/>
            <w:hideMark/>
          </w:tcPr>
          <w:p w14:paraId="215FC1F5"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746" w:type="dxa"/>
            <w:tcBorders>
              <w:top w:val="nil"/>
              <w:left w:val="nil"/>
              <w:bottom w:val="single" w:sz="4" w:space="0" w:color="auto"/>
              <w:right w:val="single" w:sz="4" w:space="0" w:color="auto"/>
            </w:tcBorders>
            <w:shd w:val="clear" w:color="auto" w:fill="538DD5"/>
            <w:noWrap/>
            <w:vAlign w:val="bottom"/>
            <w:hideMark/>
          </w:tcPr>
          <w:p w14:paraId="71A0A4B3"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815" w:type="dxa"/>
            <w:tcBorders>
              <w:top w:val="nil"/>
              <w:left w:val="nil"/>
              <w:bottom w:val="single" w:sz="4" w:space="0" w:color="auto"/>
              <w:right w:val="single" w:sz="4" w:space="0" w:color="auto"/>
            </w:tcBorders>
            <w:shd w:val="clear" w:color="auto" w:fill="C5D9F1"/>
            <w:noWrap/>
            <w:hideMark/>
          </w:tcPr>
          <w:p w14:paraId="3ADB58EB"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815" w:type="dxa"/>
            <w:tcBorders>
              <w:top w:val="nil"/>
              <w:left w:val="nil"/>
              <w:bottom w:val="single" w:sz="4" w:space="0" w:color="auto"/>
              <w:right w:val="single" w:sz="4" w:space="0" w:color="auto"/>
            </w:tcBorders>
            <w:shd w:val="clear" w:color="auto" w:fill="C5D9F1"/>
            <w:noWrap/>
            <w:hideMark/>
          </w:tcPr>
          <w:p w14:paraId="0BEF0CCF"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815" w:type="dxa"/>
            <w:tcBorders>
              <w:top w:val="nil"/>
              <w:left w:val="nil"/>
              <w:bottom w:val="single" w:sz="4" w:space="0" w:color="auto"/>
              <w:right w:val="single" w:sz="4" w:space="0" w:color="auto"/>
            </w:tcBorders>
            <w:shd w:val="clear" w:color="auto" w:fill="C5D9F1"/>
            <w:noWrap/>
            <w:hideMark/>
          </w:tcPr>
          <w:p w14:paraId="6CCB2814"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815" w:type="dxa"/>
            <w:tcBorders>
              <w:top w:val="nil"/>
              <w:left w:val="nil"/>
              <w:bottom w:val="single" w:sz="4" w:space="0" w:color="auto"/>
              <w:right w:val="single" w:sz="4" w:space="0" w:color="auto"/>
            </w:tcBorders>
            <w:shd w:val="clear" w:color="auto" w:fill="C5D9F1"/>
            <w:noWrap/>
            <w:hideMark/>
          </w:tcPr>
          <w:p w14:paraId="48CD8106"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815" w:type="dxa"/>
            <w:tcBorders>
              <w:top w:val="nil"/>
              <w:left w:val="nil"/>
              <w:bottom w:val="single" w:sz="4" w:space="0" w:color="auto"/>
              <w:right w:val="single" w:sz="4" w:space="0" w:color="auto"/>
            </w:tcBorders>
            <w:shd w:val="clear" w:color="auto" w:fill="C5D9F1"/>
            <w:noWrap/>
            <w:hideMark/>
          </w:tcPr>
          <w:p w14:paraId="0EDBA377"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815" w:type="dxa"/>
            <w:tcBorders>
              <w:top w:val="nil"/>
              <w:left w:val="nil"/>
              <w:bottom w:val="single" w:sz="4" w:space="0" w:color="auto"/>
              <w:right w:val="single" w:sz="4" w:space="0" w:color="auto"/>
            </w:tcBorders>
            <w:shd w:val="clear" w:color="auto" w:fill="C5D9F1"/>
            <w:noWrap/>
            <w:hideMark/>
          </w:tcPr>
          <w:p w14:paraId="1B1ACF5E"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E921965" w14:textId="77777777" w:rsidR="00614438" w:rsidRPr="003E0710" w:rsidRDefault="00614438" w:rsidP="003E0710">
            <w:pPr>
              <w:spacing w:after="0"/>
              <w:jc w:val="both"/>
              <w:rPr>
                <w:rFonts w:ascii="Times New Roman" w:hAnsi="Times New Roman" w:cs="Times New Roman"/>
                <w:sz w:val="18"/>
                <w:szCs w:val="18"/>
                <w:lang w:val="en-GB"/>
              </w:rPr>
            </w:pPr>
          </w:p>
        </w:tc>
      </w:tr>
      <w:tr w:rsidR="00614438" w:rsidRPr="003E0710" w14:paraId="245E641C" w14:textId="77777777" w:rsidTr="006B11BA">
        <w:trPr>
          <w:trHeight w:val="58"/>
          <w:jc w:val="center"/>
        </w:trPr>
        <w:tc>
          <w:tcPr>
            <w:tcW w:w="1188" w:type="dxa"/>
            <w:vMerge/>
            <w:tcBorders>
              <w:top w:val="nil"/>
              <w:left w:val="single" w:sz="4" w:space="0" w:color="auto"/>
              <w:bottom w:val="single" w:sz="4" w:space="0" w:color="auto"/>
              <w:right w:val="single" w:sz="4" w:space="0" w:color="auto"/>
            </w:tcBorders>
            <w:vAlign w:val="center"/>
            <w:hideMark/>
          </w:tcPr>
          <w:p w14:paraId="72F4DCA9" w14:textId="77777777" w:rsidR="00614438" w:rsidRPr="003E0710" w:rsidRDefault="00614438" w:rsidP="003E0710">
            <w:pPr>
              <w:spacing w:after="0"/>
              <w:jc w:val="both"/>
              <w:rPr>
                <w:rFonts w:ascii="Times New Roman" w:hAnsi="Times New Roman" w:cs="Times New Roman"/>
                <w:sz w:val="18"/>
                <w:szCs w:val="18"/>
                <w:lang w:val="en-GB"/>
              </w:rPr>
            </w:pPr>
          </w:p>
        </w:tc>
        <w:tc>
          <w:tcPr>
            <w:tcW w:w="656" w:type="dxa"/>
            <w:tcBorders>
              <w:top w:val="nil"/>
              <w:left w:val="nil"/>
              <w:bottom w:val="single" w:sz="4" w:space="0" w:color="auto"/>
              <w:right w:val="single" w:sz="4" w:space="0" w:color="auto"/>
            </w:tcBorders>
            <w:noWrap/>
            <w:vAlign w:val="bottom"/>
            <w:hideMark/>
          </w:tcPr>
          <w:p w14:paraId="36C23868"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652" w:type="dxa"/>
            <w:tcBorders>
              <w:top w:val="nil"/>
              <w:left w:val="nil"/>
              <w:bottom w:val="single" w:sz="4" w:space="0" w:color="auto"/>
              <w:right w:val="single" w:sz="4" w:space="0" w:color="auto"/>
            </w:tcBorders>
            <w:noWrap/>
            <w:vAlign w:val="bottom"/>
            <w:hideMark/>
          </w:tcPr>
          <w:p w14:paraId="53FAAEBE"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652" w:type="dxa"/>
            <w:tcBorders>
              <w:top w:val="nil"/>
              <w:left w:val="nil"/>
              <w:bottom w:val="single" w:sz="4" w:space="0" w:color="auto"/>
              <w:right w:val="single" w:sz="4" w:space="0" w:color="auto"/>
            </w:tcBorders>
            <w:shd w:val="clear" w:color="auto" w:fill="538DD5"/>
            <w:noWrap/>
            <w:vAlign w:val="bottom"/>
            <w:hideMark/>
          </w:tcPr>
          <w:p w14:paraId="530E9B5E"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746" w:type="dxa"/>
            <w:tcBorders>
              <w:top w:val="nil"/>
              <w:left w:val="nil"/>
              <w:bottom w:val="single" w:sz="4" w:space="0" w:color="auto"/>
              <w:right w:val="single" w:sz="4" w:space="0" w:color="auto"/>
            </w:tcBorders>
            <w:shd w:val="clear" w:color="auto" w:fill="C5D9F1"/>
            <w:noWrap/>
            <w:vAlign w:val="bottom"/>
            <w:hideMark/>
          </w:tcPr>
          <w:p w14:paraId="726B5803"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815" w:type="dxa"/>
            <w:tcBorders>
              <w:top w:val="nil"/>
              <w:left w:val="nil"/>
              <w:bottom w:val="single" w:sz="4" w:space="0" w:color="auto"/>
              <w:right w:val="single" w:sz="4" w:space="0" w:color="auto"/>
            </w:tcBorders>
            <w:shd w:val="clear" w:color="auto" w:fill="C5D9F1"/>
            <w:noWrap/>
            <w:vAlign w:val="bottom"/>
            <w:hideMark/>
          </w:tcPr>
          <w:p w14:paraId="1B1C5664"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815" w:type="dxa"/>
            <w:tcBorders>
              <w:top w:val="nil"/>
              <w:left w:val="nil"/>
              <w:bottom w:val="single" w:sz="4" w:space="0" w:color="auto"/>
              <w:right w:val="single" w:sz="4" w:space="0" w:color="auto"/>
            </w:tcBorders>
            <w:shd w:val="clear" w:color="auto" w:fill="C5D9F1"/>
            <w:noWrap/>
            <w:vAlign w:val="bottom"/>
            <w:hideMark/>
          </w:tcPr>
          <w:p w14:paraId="292AF200"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815" w:type="dxa"/>
            <w:tcBorders>
              <w:top w:val="nil"/>
              <w:left w:val="nil"/>
              <w:bottom w:val="single" w:sz="4" w:space="0" w:color="auto"/>
              <w:right w:val="single" w:sz="4" w:space="0" w:color="auto"/>
            </w:tcBorders>
            <w:shd w:val="clear" w:color="auto" w:fill="C5D9F1"/>
            <w:noWrap/>
            <w:vAlign w:val="bottom"/>
            <w:hideMark/>
          </w:tcPr>
          <w:p w14:paraId="6F92C243"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815" w:type="dxa"/>
            <w:tcBorders>
              <w:top w:val="nil"/>
              <w:left w:val="nil"/>
              <w:bottom w:val="single" w:sz="4" w:space="0" w:color="auto"/>
              <w:right w:val="single" w:sz="4" w:space="0" w:color="auto"/>
            </w:tcBorders>
            <w:shd w:val="clear" w:color="auto" w:fill="C5D9F1"/>
            <w:noWrap/>
            <w:vAlign w:val="bottom"/>
            <w:hideMark/>
          </w:tcPr>
          <w:p w14:paraId="6C33837E"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815" w:type="dxa"/>
            <w:tcBorders>
              <w:top w:val="nil"/>
              <w:left w:val="nil"/>
              <w:bottom w:val="single" w:sz="4" w:space="0" w:color="auto"/>
              <w:right w:val="single" w:sz="4" w:space="0" w:color="auto"/>
            </w:tcBorders>
            <w:shd w:val="clear" w:color="auto" w:fill="C5D9F1"/>
            <w:noWrap/>
            <w:vAlign w:val="bottom"/>
            <w:hideMark/>
          </w:tcPr>
          <w:p w14:paraId="0F485C0F"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815" w:type="dxa"/>
            <w:tcBorders>
              <w:top w:val="nil"/>
              <w:left w:val="nil"/>
              <w:bottom w:val="single" w:sz="4" w:space="0" w:color="auto"/>
              <w:right w:val="single" w:sz="4" w:space="0" w:color="auto"/>
            </w:tcBorders>
            <w:shd w:val="clear" w:color="auto" w:fill="C5D9F1"/>
            <w:noWrap/>
            <w:vAlign w:val="bottom"/>
            <w:hideMark/>
          </w:tcPr>
          <w:p w14:paraId="6600527C"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69513D" w14:textId="77777777" w:rsidR="00614438" w:rsidRPr="003E0710" w:rsidRDefault="00614438" w:rsidP="003E0710">
            <w:pPr>
              <w:spacing w:after="0"/>
              <w:jc w:val="both"/>
              <w:rPr>
                <w:rFonts w:ascii="Times New Roman" w:hAnsi="Times New Roman" w:cs="Times New Roman"/>
                <w:sz w:val="18"/>
                <w:szCs w:val="18"/>
                <w:lang w:val="en-GB"/>
              </w:rPr>
            </w:pPr>
          </w:p>
        </w:tc>
      </w:tr>
      <w:tr w:rsidR="00013008" w:rsidRPr="003E0710" w14:paraId="6AC62914" w14:textId="77777777" w:rsidTr="006B11BA">
        <w:trPr>
          <w:trHeight w:val="58"/>
          <w:jc w:val="center"/>
        </w:trPr>
        <w:tc>
          <w:tcPr>
            <w:tcW w:w="1188" w:type="dxa"/>
            <w:vMerge/>
            <w:tcBorders>
              <w:top w:val="nil"/>
              <w:left w:val="single" w:sz="4" w:space="0" w:color="auto"/>
              <w:bottom w:val="single" w:sz="4" w:space="0" w:color="auto"/>
              <w:right w:val="single" w:sz="4" w:space="0" w:color="auto"/>
            </w:tcBorders>
            <w:vAlign w:val="center"/>
            <w:hideMark/>
          </w:tcPr>
          <w:p w14:paraId="54333C92" w14:textId="77777777" w:rsidR="00614438" w:rsidRPr="003E0710" w:rsidRDefault="00614438" w:rsidP="003E0710">
            <w:pPr>
              <w:spacing w:after="0"/>
              <w:jc w:val="both"/>
              <w:rPr>
                <w:rFonts w:ascii="Times New Roman" w:hAnsi="Times New Roman" w:cs="Times New Roman"/>
                <w:sz w:val="18"/>
                <w:szCs w:val="18"/>
                <w:lang w:val="en-GB"/>
              </w:rPr>
            </w:pPr>
          </w:p>
        </w:tc>
        <w:tc>
          <w:tcPr>
            <w:tcW w:w="656" w:type="dxa"/>
            <w:tcBorders>
              <w:top w:val="nil"/>
              <w:left w:val="nil"/>
              <w:bottom w:val="single" w:sz="4" w:space="0" w:color="auto"/>
              <w:right w:val="single" w:sz="4" w:space="0" w:color="auto"/>
            </w:tcBorders>
            <w:noWrap/>
            <w:vAlign w:val="bottom"/>
            <w:hideMark/>
          </w:tcPr>
          <w:p w14:paraId="4CA781EF"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 </w:t>
            </w:r>
          </w:p>
        </w:tc>
        <w:tc>
          <w:tcPr>
            <w:tcW w:w="652" w:type="dxa"/>
            <w:tcBorders>
              <w:top w:val="nil"/>
              <w:left w:val="nil"/>
              <w:bottom w:val="single" w:sz="4" w:space="0" w:color="auto"/>
              <w:right w:val="single" w:sz="4" w:space="0" w:color="auto"/>
            </w:tcBorders>
            <w:shd w:val="clear" w:color="auto" w:fill="538DD5"/>
            <w:noWrap/>
            <w:vAlign w:val="bottom"/>
            <w:hideMark/>
          </w:tcPr>
          <w:p w14:paraId="51307FF2"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652" w:type="dxa"/>
            <w:tcBorders>
              <w:top w:val="nil"/>
              <w:left w:val="nil"/>
              <w:bottom w:val="single" w:sz="4" w:space="0" w:color="auto"/>
              <w:right w:val="single" w:sz="4" w:space="0" w:color="auto"/>
            </w:tcBorders>
            <w:shd w:val="clear" w:color="auto" w:fill="C5D9F1"/>
            <w:noWrap/>
            <w:vAlign w:val="bottom"/>
            <w:hideMark/>
          </w:tcPr>
          <w:p w14:paraId="4CA943C0"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746" w:type="dxa"/>
            <w:tcBorders>
              <w:top w:val="nil"/>
              <w:left w:val="nil"/>
              <w:bottom w:val="single" w:sz="4" w:space="0" w:color="auto"/>
              <w:right w:val="single" w:sz="4" w:space="0" w:color="auto"/>
            </w:tcBorders>
            <w:shd w:val="clear" w:color="auto" w:fill="C5D9F1"/>
            <w:noWrap/>
            <w:vAlign w:val="bottom"/>
            <w:hideMark/>
          </w:tcPr>
          <w:p w14:paraId="1498F89D"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815" w:type="dxa"/>
            <w:tcBorders>
              <w:top w:val="nil"/>
              <w:left w:val="nil"/>
              <w:bottom w:val="single" w:sz="4" w:space="0" w:color="auto"/>
              <w:right w:val="single" w:sz="4" w:space="0" w:color="auto"/>
            </w:tcBorders>
            <w:shd w:val="clear" w:color="auto" w:fill="C5D9F1"/>
            <w:noWrap/>
            <w:vAlign w:val="bottom"/>
            <w:hideMark/>
          </w:tcPr>
          <w:p w14:paraId="4B866D09"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815" w:type="dxa"/>
            <w:tcBorders>
              <w:top w:val="nil"/>
              <w:left w:val="nil"/>
              <w:bottom w:val="single" w:sz="4" w:space="0" w:color="auto"/>
              <w:right w:val="single" w:sz="4" w:space="0" w:color="auto"/>
            </w:tcBorders>
            <w:shd w:val="clear" w:color="auto" w:fill="C5D9F1"/>
            <w:noWrap/>
            <w:vAlign w:val="bottom"/>
            <w:hideMark/>
          </w:tcPr>
          <w:p w14:paraId="7F11CF7A"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815" w:type="dxa"/>
            <w:tcBorders>
              <w:top w:val="nil"/>
              <w:left w:val="nil"/>
              <w:bottom w:val="single" w:sz="4" w:space="0" w:color="auto"/>
              <w:right w:val="single" w:sz="4" w:space="0" w:color="auto"/>
            </w:tcBorders>
            <w:shd w:val="clear" w:color="auto" w:fill="C5D9F1"/>
            <w:noWrap/>
            <w:vAlign w:val="bottom"/>
            <w:hideMark/>
          </w:tcPr>
          <w:p w14:paraId="69517A06"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815" w:type="dxa"/>
            <w:tcBorders>
              <w:top w:val="nil"/>
              <w:left w:val="nil"/>
              <w:bottom w:val="single" w:sz="4" w:space="0" w:color="auto"/>
              <w:right w:val="single" w:sz="4" w:space="0" w:color="auto"/>
            </w:tcBorders>
            <w:shd w:val="clear" w:color="auto" w:fill="C5D9F1"/>
            <w:noWrap/>
            <w:vAlign w:val="bottom"/>
            <w:hideMark/>
          </w:tcPr>
          <w:p w14:paraId="75C31803"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815" w:type="dxa"/>
            <w:tcBorders>
              <w:top w:val="nil"/>
              <w:left w:val="nil"/>
              <w:bottom w:val="single" w:sz="4" w:space="0" w:color="auto"/>
              <w:right w:val="single" w:sz="4" w:space="0" w:color="auto"/>
            </w:tcBorders>
            <w:shd w:val="clear" w:color="auto" w:fill="C5D9F1"/>
            <w:noWrap/>
            <w:vAlign w:val="bottom"/>
            <w:hideMark/>
          </w:tcPr>
          <w:p w14:paraId="587D1124"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815" w:type="dxa"/>
            <w:tcBorders>
              <w:top w:val="nil"/>
              <w:left w:val="nil"/>
              <w:bottom w:val="single" w:sz="4" w:space="0" w:color="auto"/>
              <w:right w:val="single" w:sz="4" w:space="0" w:color="auto"/>
            </w:tcBorders>
            <w:shd w:val="clear" w:color="auto" w:fill="C5D9F1"/>
            <w:noWrap/>
            <w:vAlign w:val="bottom"/>
            <w:hideMark/>
          </w:tcPr>
          <w:p w14:paraId="51077B34"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0E4DAA" w14:textId="77777777" w:rsidR="00614438" w:rsidRPr="003E0710" w:rsidRDefault="00614438" w:rsidP="003E0710">
            <w:pPr>
              <w:spacing w:after="0"/>
              <w:jc w:val="both"/>
              <w:rPr>
                <w:rFonts w:ascii="Times New Roman" w:hAnsi="Times New Roman" w:cs="Times New Roman"/>
                <w:sz w:val="18"/>
                <w:szCs w:val="18"/>
                <w:lang w:val="en-GB"/>
              </w:rPr>
            </w:pPr>
          </w:p>
        </w:tc>
      </w:tr>
      <w:tr w:rsidR="00013008" w:rsidRPr="003E0710" w14:paraId="2D6471C5" w14:textId="77777777" w:rsidTr="006B11BA">
        <w:trPr>
          <w:trHeight w:val="58"/>
          <w:jc w:val="center"/>
        </w:trPr>
        <w:tc>
          <w:tcPr>
            <w:tcW w:w="1188" w:type="dxa"/>
            <w:vMerge/>
            <w:tcBorders>
              <w:top w:val="nil"/>
              <w:left w:val="single" w:sz="4" w:space="0" w:color="auto"/>
              <w:bottom w:val="single" w:sz="4" w:space="0" w:color="auto"/>
              <w:right w:val="single" w:sz="4" w:space="0" w:color="auto"/>
            </w:tcBorders>
            <w:vAlign w:val="center"/>
            <w:hideMark/>
          </w:tcPr>
          <w:p w14:paraId="4F22D88E" w14:textId="77777777" w:rsidR="00614438" w:rsidRPr="003E0710" w:rsidRDefault="00614438" w:rsidP="003E0710">
            <w:pPr>
              <w:spacing w:after="0"/>
              <w:jc w:val="both"/>
              <w:rPr>
                <w:rFonts w:ascii="Times New Roman" w:hAnsi="Times New Roman" w:cs="Times New Roman"/>
                <w:sz w:val="18"/>
                <w:szCs w:val="18"/>
                <w:lang w:val="en-GB"/>
              </w:rPr>
            </w:pPr>
          </w:p>
        </w:tc>
        <w:tc>
          <w:tcPr>
            <w:tcW w:w="656" w:type="dxa"/>
            <w:tcBorders>
              <w:top w:val="nil"/>
              <w:left w:val="nil"/>
              <w:bottom w:val="single" w:sz="4" w:space="0" w:color="auto"/>
              <w:right w:val="single" w:sz="4" w:space="0" w:color="auto"/>
            </w:tcBorders>
            <w:shd w:val="clear" w:color="auto" w:fill="538DD5"/>
            <w:noWrap/>
            <w:vAlign w:val="bottom"/>
            <w:hideMark/>
          </w:tcPr>
          <w:p w14:paraId="06DA95D5"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652" w:type="dxa"/>
            <w:tcBorders>
              <w:top w:val="nil"/>
              <w:left w:val="nil"/>
              <w:bottom w:val="single" w:sz="4" w:space="0" w:color="auto"/>
              <w:right w:val="single" w:sz="4" w:space="0" w:color="auto"/>
            </w:tcBorders>
            <w:shd w:val="clear" w:color="auto" w:fill="C5D9F1"/>
            <w:noWrap/>
            <w:vAlign w:val="bottom"/>
            <w:hideMark/>
          </w:tcPr>
          <w:p w14:paraId="0AB2C27B"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652" w:type="dxa"/>
            <w:tcBorders>
              <w:top w:val="nil"/>
              <w:left w:val="nil"/>
              <w:bottom w:val="single" w:sz="4" w:space="0" w:color="auto"/>
              <w:right w:val="single" w:sz="4" w:space="0" w:color="auto"/>
            </w:tcBorders>
            <w:shd w:val="clear" w:color="auto" w:fill="C5D9F1"/>
            <w:noWrap/>
            <w:vAlign w:val="bottom"/>
            <w:hideMark/>
          </w:tcPr>
          <w:p w14:paraId="06DBA1B5"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746" w:type="dxa"/>
            <w:tcBorders>
              <w:top w:val="nil"/>
              <w:left w:val="nil"/>
              <w:bottom w:val="single" w:sz="4" w:space="0" w:color="auto"/>
              <w:right w:val="single" w:sz="4" w:space="0" w:color="auto"/>
            </w:tcBorders>
            <w:shd w:val="clear" w:color="auto" w:fill="C5D9F1"/>
            <w:noWrap/>
            <w:vAlign w:val="bottom"/>
            <w:hideMark/>
          </w:tcPr>
          <w:p w14:paraId="32D758FF"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815" w:type="dxa"/>
            <w:tcBorders>
              <w:top w:val="nil"/>
              <w:left w:val="nil"/>
              <w:bottom w:val="single" w:sz="4" w:space="0" w:color="auto"/>
              <w:right w:val="single" w:sz="4" w:space="0" w:color="auto"/>
            </w:tcBorders>
            <w:shd w:val="clear" w:color="auto" w:fill="C5D9F1"/>
            <w:noWrap/>
            <w:vAlign w:val="bottom"/>
            <w:hideMark/>
          </w:tcPr>
          <w:p w14:paraId="0A7E09FA"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815" w:type="dxa"/>
            <w:tcBorders>
              <w:top w:val="nil"/>
              <w:left w:val="nil"/>
              <w:bottom w:val="single" w:sz="4" w:space="0" w:color="auto"/>
              <w:right w:val="single" w:sz="4" w:space="0" w:color="auto"/>
            </w:tcBorders>
            <w:shd w:val="clear" w:color="auto" w:fill="C5D9F1"/>
            <w:noWrap/>
            <w:vAlign w:val="bottom"/>
            <w:hideMark/>
          </w:tcPr>
          <w:p w14:paraId="20517F68"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815" w:type="dxa"/>
            <w:tcBorders>
              <w:top w:val="nil"/>
              <w:left w:val="nil"/>
              <w:bottom w:val="single" w:sz="4" w:space="0" w:color="auto"/>
              <w:right w:val="single" w:sz="4" w:space="0" w:color="auto"/>
            </w:tcBorders>
            <w:shd w:val="clear" w:color="auto" w:fill="C5D9F1"/>
            <w:noWrap/>
            <w:vAlign w:val="bottom"/>
            <w:hideMark/>
          </w:tcPr>
          <w:p w14:paraId="71918C79"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815" w:type="dxa"/>
            <w:tcBorders>
              <w:top w:val="nil"/>
              <w:left w:val="nil"/>
              <w:bottom w:val="single" w:sz="4" w:space="0" w:color="auto"/>
              <w:right w:val="single" w:sz="4" w:space="0" w:color="auto"/>
            </w:tcBorders>
            <w:shd w:val="clear" w:color="auto" w:fill="C5D9F1"/>
            <w:noWrap/>
            <w:vAlign w:val="bottom"/>
            <w:hideMark/>
          </w:tcPr>
          <w:p w14:paraId="77C6FA09"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815" w:type="dxa"/>
            <w:tcBorders>
              <w:top w:val="nil"/>
              <w:left w:val="nil"/>
              <w:bottom w:val="single" w:sz="4" w:space="0" w:color="auto"/>
              <w:right w:val="single" w:sz="4" w:space="0" w:color="auto"/>
            </w:tcBorders>
            <w:shd w:val="clear" w:color="auto" w:fill="C5D9F1"/>
            <w:noWrap/>
            <w:vAlign w:val="bottom"/>
            <w:hideMark/>
          </w:tcPr>
          <w:p w14:paraId="277323AE"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815" w:type="dxa"/>
            <w:tcBorders>
              <w:top w:val="nil"/>
              <w:left w:val="nil"/>
              <w:bottom w:val="single" w:sz="4" w:space="0" w:color="auto"/>
              <w:right w:val="single" w:sz="4" w:space="0" w:color="auto"/>
            </w:tcBorders>
            <w:shd w:val="clear" w:color="auto" w:fill="C5D9F1"/>
            <w:noWrap/>
            <w:vAlign w:val="bottom"/>
            <w:hideMark/>
          </w:tcPr>
          <w:p w14:paraId="072CA028"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608DF1E" w14:textId="77777777" w:rsidR="00614438" w:rsidRPr="003E0710" w:rsidRDefault="00614438" w:rsidP="003E0710">
            <w:pPr>
              <w:spacing w:after="0"/>
              <w:jc w:val="both"/>
              <w:rPr>
                <w:rFonts w:ascii="Times New Roman" w:hAnsi="Times New Roman" w:cs="Times New Roman"/>
                <w:sz w:val="18"/>
                <w:szCs w:val="18"/>
                <w:lang w:val="en-GB"/>
              </w:rPr>
            </w:pPr>
          </w:p>
        </w:tc>
      </w:tr>
      <w:tr w:rsidR="00614438" w:rsidRPr="003E0710" w14:paraId="586E3906" w14:textId="77777777" w:rsidTr="006B11BA">
        <w:trPr>
          <w:trHeight w:val="58"/>
          <w:jc w:val="center"/>
        </w:trPr>
        <w:tc>
          <w:tcPr>
            <w:tcW w:w="1188"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16D4D50"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Total</w:t>
            </w:r>
          </w:p>
        </w:tc>
        <w:tc>
          <w:tcPr>
            <w:tcW w:w="656" w:type="dxa"/>
            <w:tcBorders>
              <w:top w:val="nil"/>
              <w:left w:val="nil"/>
              <w:bottom w:val="single" w:sz="4" w:space="0" w:color="auto"/>
              <w:right w:val="single" w:sz="4" w:space="0" w:color="auto"/>
            </w:tcBorders>
            <w:shd w:val="clear" w:color="auto" w:fill="D9D9D9" w:themeFill="background1" w:themeFillShade="D9"/>
            <w:noWrap/>
            <w:vAlign w:val="bottom"/>
            <w:hideMark/>
          </w:tcPr>
          <w:p w14:paraId="593BB91F"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652" w:type="dxa"/>
            <w:tcBorders>
              <w:top w:val="nil"/>
              <w:left w:val="nil"/>
              <w:bottom w:val="single" w:sz="4" w:space="0" w:color="auto"/>
              <w:right w:val="single" w:sz="4" w:space="0" w:color="auto"/>
            </w:tcBorders>
            <w:shd w:val="clear" w:color="auto" w:fill="D9D9D9" w:themeFill="background1" w:themeFillShade="D9"/>
            <w:noWrap/>
            <w:vAlign w:val="bottom"/>
            <w:hideMark/>
          </w:tcPr>
          <w:p w14:paraId="6339C9E7"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652" w:type="dxa"/>
            <w:tcBorders>
              <w:top w:val="nil"/>
              <w:left w:val="nil"/>
              <w:bottom w:val="single" w:sz="4" w:space="0" w:color="auto"/>
              <w:right w:val="single" w:sz="4" w:space="0" w:color="auto"/>
            </w:tcBorders>
            <w:shd w:val="clear" w:color="auto" w:fill="D9D9D9" w:themeFill="background1" w:themeFillShade="D9"/>
            <w:noWrap/>
            <w:vAlign w:val="bottom"/>
            <w:hideMark/>
          </w:tcPr>
          <w:p w14:paraId="3B03A0F3"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0</w:t>
            </w:r>
          </w:p>
        </w:tc>
        <w:tc>
          <w:tcPr>
            <w:tcW w:w="746" w:type="dxa"/>
            <w:tcBorders>
              <w:top w:val="nil"/>
              <w:left w:val="nil"/>
              <w:bottom w:val="single" w:sz="4" w:space="0" w:color="auto"/>
              <w:right w:val="single" w:sz="4" w:space="0" w:color="auto"/>
            </w:tcBorders>
            <w:shd w:val="clear" w:color="auto" w:fill="D9D9D9" w:themeFill="background1" w:themeFillShade="D9"/>
            <w:noWrap/>
            <w:vAlign w:val="bottom"/>
            <w:hideMark/>
          </w:tcPr>
          <w:p w14:paraId="154251B0"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72.25</w:t>
            </w:r>
          </w:p>
        </w:tc>
        <w:tc>
          <w:tcPr>
            <w:tcW w:w="815" w:type="dxa"/>
            <w:tcBorders>
              <w:top w:val="nil"/>
              <w:left w:val="nil"/>
              <w:bottom w:val="single" w:sz="4" w:space="0" w:color="auto"/>
              <w:right w:val="single" w:sz="4" w:space="0" w:color="auto"/>
            </w:tcBorders>
            <w:shd w:val="clear" w:color="auto" w:fill="D9D9D9" w:themeFill="background1" w:themeFillShade="D9"/>
            <w:noWrap/>
            <w:vAlign w:val="bottom"/>
            <w:hideMark/>
          </w:tcPr>
          <w:p w14:paraId="2C448463"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144.50</w:t>
            </w:r>
          </w:p>
        </w:tc>
        <w:tc>
          <w:tcPr>
            <w:tcW w:w="815" w:type="dxa"/>
            <w:tcBorders>
              <w:top w:val="nil"/>
              <w:left w:val="nil"/>
              <w:bottom w:val="single" w:sz="4" w:space="0" w:color="auto"/>
              <w:right w:val="single" w:sz="4" w:space="0" w:color="auto"/>
            </w:tcBorders>
            <w:shd w:val="clear" w:color="auto" w:fill="D9D9D9" w:themeFill="background1" w:themeFillShade="D9"/>
            <w:noWrap/>
            <w:vAlign w:val="bottom"/>
            <w:hideMark/>
          </w:tcPr>
          <w:p w14:paraId="5B978D53"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217.75</w:t>
            </w:r>
          </w:p>
        </w:tc>
        <w:tc>
          <w:tcPr>
            <w:tcW w:w="815" w:type="dxa"/>
            <w:tcBorders>
              <w:top w:val="nil"/>
              <w:left w:val="nil"/>
              <w:bottom w:val="single" w:sz="4" w:space="0" w:color="auto"/>
              <w:right w:val="single" w:sz="4" w:space="0" w:color="auto"/>
            </w:tcBorders>
            <w:shd w:val="clear" w:color="auto" w:fill="D9D9D9" w:themeFill="background1" w:themeFillShade="D9"/>
            <w:noWrap/>
            <w:vAlign w:val="bottom"/>
            <w:hideMark/>
          </w:tcPr>
          <w:p w14:paraId="60158E4E"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289.00</w:t>
            </w:r>
          </w:p>
        </w:tc>
        <w:tc>
          <w:tcPr>
            <w:tcW w:w="815" w:type="dxa"/>
            <w:tcBorders>
              <w:top w:val="nil"/>
              <w:left w:val="nil"/>
              <w:bottom w:val="single" w:sz="4" w:space="0" w:color="auto"/>
              <w:right w:val="single" w:sz="4" w:space="0" w:color="auto"/>
            </w:tcBorders>
            <w:shd w:val="clear" w:color="auto" w:fill="D9D9D9" w:themeFill="background1" w:themeFillShade="D9"/>
            <w:noWrap/>
            <w:vAlign w:val="bottom"/>
            <w:hideMark/>
          </w:tcPr>
          <w:p w14:paraId="3601286B"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361.25</w:t>
            </w:r>
          </w:p>
        </w:tc>
        <w:tc>
          <w:tcPr>
            <w:tcW w:w="815" w:type="dxa"/>
            <w:tcBorders>
              <w:top w:val="nil"/>
              <w:left w:val="nil"/>
              <w:bottom w:val="single" w:sz="4" w:space="0" w:color="auto"/>
              <w:right w:val="single" w:sz="4" w:space="0" w:color="auto"/>
            </w:tcBorders>
            <w:shd w:val="clear" w:color="auto" w:fill="D9D9D9" w:themeFill="background1" w:themeFillShade="D9"/>
            <w:noWrap/>
            <w:vAlign w:val="bottom"/>
            <w:hideMark/>
          </w:tcPr>
          <w:p w14:paraId="657861CB"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433.50</w:t>
            </w:r>
          </w:p>
        </w:tc>
        <w:tc>
          <w:tcPr>
            <w:tcW w:w="815" w:type="dxa"/>
            <w:tcBorders>
              <w:top w:val="nil"/>
              <w:left w:val="nil"/>
              <w:bottom w:val="single" w:sz="4" w:space="0" w:color="auto"/>
              <w:right w:val="single" w:sz="4" w:space="0" w:color="auto"/>
            </w:tcBorders>
            <w:shd w:val="clear" w:color="auto" w:fill="D9D9D9" w:themeFill="background1" w:themeFillShade="D9"/>
            <w:noWrap/>
            <w:vAlign w:val="bottom"/>
            <w:hideMark/>
          </w:tcPr>
          <w:p w14:paraId="564C892E"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506.75</w:t>
            </w:r>
          </w:p>
        </w:tc>
        <w:tc>
          <w:tcPr>
            <w:tcW w:w="1070" w:type="dxa"/>
            <w:tcBorders>
              <w:top w:val="nil"/>
              <w:left w:val="nil"/>
              <w:bottom w:val="single" w:sz="4" w:space="0" w:color="auto"/>
              <w:right w:val="single" w:sz="4" w:space="0" w:color="auto"/>
            </w:tcBorders>
            <w:shd w:val="clear" w:color="auto" w:fill="D9D9D9" w:themeFill="background1" w:themeFillShade="D9"/>
            <w:noWrap/>
            <w:vAlign w:val="bottom"/>
            <w:hideMark/>
          </w:tcPr>
          <w:p w14:paraId="51377AC8" w14:textId="77777777" w:rsidR="00614438" w:rsidRPr="003E0710" w:rsidRDefault="00614438" w:rsidP="003E0710">
            <w:pPr>
              <w:spacing w:after="0"/>
              <w:jc w:val="both"/>
              <w:rPr>
                <w:rFonts w:ascii="Times New Roman" w:hAnsi="Times New Roman" w:cs="Times New Roman"/>
                <w:sz w:val="18"/>
                <w:szCs w:val="18"/>
                <w:lang w:val="en-GB"/>
              </w:rPr>
            </w:pPr>
            <w:r w:rsidRPr="003E0710">
              <w:rPr>
                <w:rFonts w:ascii="Times New Roman" w:hAnsi="Times New Roman" w:cs="Times New Roman"/>
                <w:sz w:val="18"/>
                <w:szCs w:val="18"/>
                <w:lang w:val="en-GB"/>
              </w:rPr>
              <w:t>2022.99</w:t>
            </w:r>
          </w:p>
        </w:tc>
      </w:tr>
    </w:tbl>
    <w:p w14:paraId="178E8A60" w14:textId="77777777" w:rsidR="00614438" w:rsidRPr="003E0710" w:rsidRDefault="00614438" w:rsidP="003E0710">
      <w:pPr>
        <w:spacing w:after="0"/>
        <w:jc w:val="both"/>
        <w:rPr>
          <w:rFonts w:ascii="Times New Roman" w:hAnsi="Times New Roman" w:cs="Times New Roman"/>
          <w:sz w:val="18"/>
          <w:szCs w:val="18"/>
          <w:lang w:val="en-GB"/>
        </w:rPr>
      </w:pPr>
    </w:p>
    <w:p w14:paraId="525F4DA1" w14:textId="77777777" w:rsidR="00614438" w:rsidRPr="00614438" w:rsidRDefault="00614438" w:rsidP="00466281">
      <w:pPr>
        <w:ind w:firstLine="720"/>
        <w:jc w:val="both"/>
        <w:rPr>
          <w:rFonts w:ascii="Times New Roman" w:hAnsi="Times New Roman" w:cs="Times New Roman"/>
          <w:sz w:val="24"/>
          <w:szCs w:val="24"/>
        </w:rPr>
      </w:pPr>
      <w:r w:rsidRPr="00614438">
        <w:rPr>
          <w:rFonts w:ascii="Times New Roman" w:hAnsi="Times New Roman" w:cs="Times New Roman"/>
          <w:sz w:val="24"/>
          <w:szCs w:val="24"/>
        </w:rPr>
        <w:t xml:space="preserve">The alternative measures, which will contribute to the </w:t>
      </w:r>
      <w:r w:rsidR="00474538" w:rsidRPr="00614438">
        <w:rPr>
          <w:rFonts w:ascii="Times New Roman" w:hAnsi="Times New Roman" w:cs="Times New Roman"/>
          <w:sz w:val="24"/>
          <w:szCs w:val="24"/>
        </w:rPr>
        <w:t>fulfillment</w:t>
      </w:r>
      <w:r w:rsidRPr="00614438">
        <w:rPr>
          <w:rFonts w:ascii="Times New Roman" w:hAnsi="Times New Roman" w:cs="Times New Roman"/>
          <w:sz w:val="24"/>
          <w:szCs w:val="24"/>
        </w:rPr>
        <w:t xml:space="preserve"> of </w:t>
      </w:r>
      <w:r w:rsidR="00474538">
        <w:rPr>
          <w:rFonts w:ascii="Times New Roman" w:hAnsi="Times New Roman" w:cs="Times New Roman"/>
          <w:sz w:val="24"/>
          <w:szCs w:val="24"/>
        </w:rPr>
        <w:t>the</w:t>
      </w:r>
      <w:r w:rsidRPr="00614438">
        <w:rPr>
          <w:rFonts w:ascii="Times New Roman" w:hAnsi="Times New Roman" w:cs="Times New Roman"/>
          <w:sz w:val="24"/>
          <w:szCs w:val="24"/>
        </w:rPr>
        <w:t xml:space="preserve"> target in the period 2024-2030, are presented in </w:t>
      </w:r>
      <w:r w:rsidR="00FA29EF">
        <w:fldChar w:fldCharType="begin"/>
      </w:r>
      <w:r w:rsidR="00FA29EF">
        <w:instrText xml:space="preserve"> REF _Ref96502955 \h  \* MERGEFORMAT </w:instrText>
      </w:r>
      <w:r w:rsidR="00FA29EF">
        <w:fldChar w:fldCharType="separate"/>
      </w:r>
      <w:r w:rsidRPr="00614438">
        <w:rPr>
          <w:rFonts w:ascii="Times New Roman" w:hAnsi="Times New Roman" w:cs="Times New Roman"/>
          <w:sz w:val="24"/>
          <w:szCs w:val="24"/>
        </w:rPr>
        <w:t>Table 3.2</w:t>
      </w:r>
      <w:r w:rsidR="00FA29EF">
        <w:fldChar w:fldCharType="end"/>
      </w:r>
      <w:r w:rsidR="00474538">
        <w:rPr>
          <w:rFonts w:ascii="Times New Roman" w:hAnsi="Times New Roman" w:cs="Times New Roman"/>
          <w:sz w:val="24"/>
          <w:szCs w:val="24"/>
        </w:rPr>
        <w:t>,</w:t>
      </w:r>
      <w:r w:rsidRPr="00614438">
        <w:rPr>
          <w:rFonts w:ascii="Times New Roman" w:hAnsi="Times New Roman" w:cs="Times New Roman"/>
          <w:sz w:val="24"/>
          <w:szCs w:val="24"/>
        </w:rPr>
        <w:t xml:space="preserve"> taking into consideration the contribution of each measure as presented in the following sections of the INECP. It should be noted that only the energy efficiency interventions which will be occurred after 2024 ha</w:t>
      </w:r>
      <w:r w:rsidR="00474538">
        <w:rPr>
          <w:rFonts w:ascii="Times New Roman" w:hAnsi="Times New Roman" w:cs="Times New Roman"/>
          <w:sz w:val="24"/>
          <w:szCs w:val="24"/>
        </w:rPr>
        <w:t>ve</w:t>
      </w:r>
      <w:r w:rsidRPr="00614438">
        <w:rPr>
          <w:rFonts w:ascii="Times New Roman" w:hAnsi="Times New Roman" w:cs="Times New Roman"/>
          <w:sz w:val="24"/>
          <w:szCs w:val="24"/>
        </w:rPr>
        <w:t xml:space="preserve"> been tak</w:t>
      </w:r>
      <w:r w:rsidR="00474538">
        <w:rPr>
          <w:rFonts w:ascii="Times New Roman" w:hAnsi="Times New Roman" w:cs="Times New Roman"/>
          <w:sz w:val="24"/>
          <w:szCs w:val="24"/>
        </w:rPr>
        <w:t>en</w:t>
      </w:r>
      <w:r w:rsidRPr="00614438">
        <w:rPr>
          <w:rFonts w:ascii="Times New Roman" w:hAnsi="Times New Roman" w:cs="Times New Roman"/>
          <w:sz w:val="24"/>
          <w:szCs w:val="24"/>
        </w:rPr>
        <w:t xml:space="preserve"> into consideration for calculating their contribution, where it should be borne in mind that</w:t>
      </w:r>
      <w:r w:rsidR="00474538">
        <w:rPr>
          <w:rFonts w:ascii="Times New Roman" w:hAnsi="Times New Roman" w:cs="Times New Roman"/>
          <w:sz w:val="24"/>
          <w:szCs w:val="24"/>
        </w:rPr>
        <w:t>,</w:t>
      </w:r>
      <w:r w:rsidRPr="00614438">
        <w:rPr>
          <w:rFonts w:ascii="Times New Roman" w:hAnsi="Times New Roman" w:cs="Times New Roman"/>
          <w:sz w:val="24"/>
          <w:szCs w:val="24"/>
        </w:rPr>
        <w:t xml:space="preserve"> in accordance with the Decision D/2021/14/MC-EnC of the Ministerial Council of the Energy Community</w:t>
      </w:r>
      <w:r w:rsidR="00474538">
        <w:rPr>
          <w:rFonts w:ascii="Times New Roman" w:hAnsi="Times New Roman" w:cs="Times New Roman"/>
          <w:sz w:val="24"/>
          <w:szCs w:val="24"/>
        </w:rPr>
        <w:t xml:space="preserve"> for </w:t>
      </w:r>
      <w:r w:rsidRPr="00614438">
        <w:rPr>
          <w:rFonts w:ascii="Times New Roman" w:hAnsi="Times New Roman" w:cs="Times New Roman"/>
          <w:sz w:val="24"/>
          <w:szCs w:val="24"/>
        </w:rPr>
        <w:t>achiev</w:t>
      </w:r>
      <w:r w:rsidR="00474538">
        <w:rPr>
          <w:rFonts w:ascii="Times New Roman" w:hAnsi="Times New Roman" w:cs="Times New Roman"/>
          <w:sz w:val="24"/>
          <w:szCs w:val="24"/>
        </w:rPr>
        <w:t xml:space="preserve">ing the goals, </w:t>
      </w:r>
      <w:r w:rsidRPr="00614438">
        <w:rPr>
          <w:rFonts w:ascii="Times New Roman" w:hAnsi="Times New Roman" w:cs="Times New Roman"/>
          <w:sz w:val="24"/>
          <w:szCs w:val="24"/>
        </w:rPr>
        <w:t>the savings generated in the specified period as a result of the implemented measures can be taken into account in the period from 2021 to 2024.</w:t>
      </w:r>
    </w:p>
    <w:p w14:paraId="2D3201A4" w14:textId="77777777" w:rsidR="00614438" w:rsidRPr="00614438" w:rsidRDefault="00614438" w:rsidP="003E0710">
      <w:pPr>
        <w:spacing w:after="0"/>
        <w:jc w:val="both"/>
        <w:rPr>
          <w:rFonts w:ascii="Times New Roman" w:hAnsi="Times New Roman" w:cs="Times New Roman"/>
          <w:sz w:val="24"/>
          <w:szCs w:val="24"/>
        </w:rPr>
      </w:pPr>
      <w:bookmarkStart w:id="143" w:name="_Ref96502955"/>
      <w:bookmarkStart w:id="144" w:name="_Toc118992365"/>
      <w:bookmarkStart w:id="145" w:name="_Toc153545071"/>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w:t>
      </w:r>
      <w:r w:rsidR="00C83251" w:rsidRPr="00614438">
        <w:rPr>
          <w:rFonts w:ascii="Times New Roman" w:hAnsi="Times New Roman" w:cs="Times New Roman"/>
          <w:sz w:val="24"/>
          <w:szCs w:val="24"/>
        </w:rPr>
        <w:fldChar w:fldCharType="end"/>
      </w:r>
      <w:bookmarkEnd w:id="143"/>
      <w:r w:rsidRPr="00614438">
        <w:rPr>
          <w:rFonts w:ascii="Times New Roman" w:hAnsi="Times New Roman" w:cs="Times New Roman"/>
          <w:sz w:val="24"/>
          <w:szCs w:val="24"/>
        </w:rPr>
        <w:t xml:space="preserve">: Selected alternative measures for the achievement of </w:t>
      </w:r>
      <w:r w:rsidR="00474538">
        <w:rPr>
          <w:rFonts w:ascii="Times New Roman" w:hAnsi="Times New Roman" w:cs="Times New Roman"/>
          <w:sz w:val="24"/>
          <w:szCs w:val="24"/>
        </w:rPr>
        <w:t>the</w:t>
      </w:r>
      <w:r w:rsidRPr="00614438">
        <w:rPr>
          <w:rFonts w:ascii="Times New Roman" w:hAnsi="Times New Roman" w:cs="Times New Roman"/>
          <w:sz w:val="24"/>
          <w:szCs w:val="24"/>
        </w:rPr>
        <w:t xml:space="preserve"> target in the period 2024-2030</w:t>
      </w:r>
      <w:bookmarkEnd w:id="144"/>
      <w:bookmarkEnd w:id="145"/>
    </w:p>
    <w:tbl>
      <w:tblPr>
        <w:tblW w:w="9299" w:type="dxa"/>
        <w:jc w:val="center"/>
        <w:tblLook w:val="04A0" w:firstRow="1" w:lastRow="0" w:firstColumn="1" w:lastColumn="0" w:noHBand="0" w:noVBand="1"/>
      </w:tblPr>
      <w:tblGrid>
        <w:gridCol w:w="7031"/>
        <w:gridCol w:w="2268"/>
      </w:tblGrid>
      <w:tr w:rsidR="00614438" w:rsidRPr="00614438" w14:paraId="326C72F8" w14:textId="77777777" w:rsidTr="00614438">
        <w:trPr>
          <w:trHeight w:val="288"/>
          <w:jc w:val="center"/>
        </w:trPr>
        <w:tc>
          <w:tcPr>
            <w:tcW w:w="7031"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7275B67C" w14:textId="77777777" w:rsidR="00614438" w:rsidRPr="00474538" w:rsidRDefault="00614438" w:rsidP="003E0710">
            <w:pPr>
              <w:spacing w:after="0"/>
              <w:jc w:val="both"/>
              <w:rPr>
                <w:rFonts w:ascii="Times New Roman" w:hAnsi="Times New Roman" w:cs="Times New Roman"/>
                <w:sz w:val="18"/>
                <w:szCs w:val="18"/>
                <w:lang w:val="en-GB"/>
              </w:rPr>
            </w:pPr>
            <w:r w:rsidRPr="00474538">
              <w:rPr>
                <w:rFonts w:ascii="Times New Roman" w:hAnsi="Times New Roman" w:cs="Times New Roman"/>
                <w:sz w:val="18"/>
                <w:szCs w:val="18"/>
                <w:lang w:val="en-GB"/>
              </w:rPr>
              <w:t>Alternative measures</w:t>
            </w:r>
          </w:p>
        </w:tc>
        <w:tc>
          <w:tcPr>
            <w:tcW w:w="2268" w:type="dxa"/>
            <w:tcBorders>
              <w:top w:val="single" w:sz="4" w:space="0" w:color="auto"/>
              <w:left w:val="nil"/>
              <w:bottom w:val="single" w:sz="4" w:space="0" w:color="auto"/>
              <w:right w:val="single" w:sz="4" w:space="0" w:color="auto"/>
            </w:tcBorders>
            <w:shd w:val="clear" w:color="auto" w:fill="002060"/>
            <w:noWrap/>
            <w:vAlign w:val="bottom"/>
            <w:hideMark/>
          </w:tcPr>
          <w:p w14:paraId="28E69EF2" w14:textId="77777777" w:rsidR="00614438" w:rsidRPr="00474538" w:rsidRDefault="00614438" w:rsidP="003E0710">
            <w:pPr>
              <w:spacing w:after="0"/>
              <w:jc w:val="both"/>
              <w:rPr>
                <w:rFonts w:ascii="Times New Roman" w:hAnsi="Times New Roman" w:cs="Times New Roman"/>
                <w:sz w:val="18"/>
                <w:szCs w:val="18"/>
                <w:lang w:val="en-GB"/>
              </w:rPr>
            </w:pPr>
            <w:r w:rsidRPr="00474538">
              <w:rPr>
                <w:rFonts w:ascii="Times New Roman" w:hAnsi="Times New Roman" w:cs="Times New Roman"/>
                <w:sz w:val="18"/>
                <w:szCs w:val="18"/>
                <w:lang w:val="en-GB"/>
              </w:rPr>
              <w:t>Annual savings (ktoe)</w:t>
            </w:r>
          </w:p>
        </w:tc>
      </w:tr>
      <w:tr w:rsidR="00614438" w:rsidRPr="00614438" w14:paraId="5A8768F3" w14:textId="77777777" w:rsidTr="00614438">
        <w:trPr>
          <w:trHeight w:val="288"/>
          <w:jc w:val="center"/>
        </w:trPr>
        <w:tc>
          <w:tcPr>
            <w:tcW w:w="7031"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58371C2" w14:textId="77777777" w:rsidR="00614438" w:rsidRPr="00474538" w:rsidRDefault="00614438" w:rsidP="003E0710">
            <w:pPr>
              <w:spacing w:after="0"/>
              <w:jc w:val="both"/>
              <w:rPr>
                <w:rFonts w:ascii="Times New Roman" w:hAnsi="Times New Roman" w:cs="Times New Roman"/>
                <w:sz w:val="18"/>
                <w:szCs w:val="18"/>
                <w:lang w:val="en-GB"/>
              </w:rPr>
            </w:pPr>
            <w:r w:rsidRPr="00474538">
              <w:rPr>
                <w:rFonts w:ascii="Times New Roman" w:hAnsi="Times New Roman" w:cs="Times New Roman"/>
                <w:sz w:val="18"/>
                <w:szCs w:val="18"/>
                <w:lang w:val="en-GB"/>
              </w:rPr>
              <w:t>Promotion of EE measures in industrial sector (PM_EE21, PM_EE22 and PM_EE23)</w:t>
            </w:r>
          </w:p>
        </w:tc>
        <w:tc>
          <w:tcPr>
            <w:tcW w:w="2268" w:type="dxa"/>
            <w:tcBorders>
              <w:top w:val="nil"/>
              <w:left w:val="nil"/>
              <w:bottom w:val="single" w:sz="4" w:space="0" w:color="auto"/>
              <w:right w:val="single" w:sz="4" w:space="0" w:color="auto"/>
            </w:tcBorders>
            <w:shd w:val="clear" w:color="auto" w:fill="FFFFFF"/>
            <w:noWrap/>
            <w:vAlign w:val="bottom"/>
            <w:hideMark/>
          </w:tcPr>
          <w:p w14:paraId="1EAFD4E7" w14:textId="77777777" w:rsidR="00614438" w:rsidRPr="00474538" w:rsidRDefault="00614438" w:rsidP="003E0710">
            <w:pPr>
              <w:spacing w:after="0"/>
              <w:jc w:val="center"/>
              <w:rPr>
                <w:rFonts w:ascii="Times New Roman" w:hAnsi="Times New Roman" w:cs="Times New Roman"/>
                <w:sz w:val="18"/>
                <w:szCs w:val="18"/>
                <w:lang w:val="el-GR"/>
              </w:rPr>
            </w:pPr>
            <w:r w:rsidRPr="00474538">
              <w:rPr>
                <w:rFonts w:ascii="Times New Roman" w:hAnsi="Times New Roman" w:cs="Times New Roman"/>
                <w:sz w:val="18"/>
                <w:szCs w:val="18"/>
                <w:lang w:val="en-GB"/>
              </w:rPr>
              <w:t>27</w:t>
            </w:r>
            <w:r w:rsidRPr="00474538">
              <w:rPr>
                <w:rFonts w:ascii="Times New Roman" w:hAnsi="Times New Roman" w:cs="Times New Roman"/>
                <w:sz w:val="18"/>
                <w:szCs w:val="18"/>
                <w:lang w:val="el-GR"/>
              </w:rPr>
              <w:t>1</w:t>
            </w:r>
          </w:p>
        </w:tc>
      </w:tr>
      <w:tr w:rsidR="00614438" w:rsidRPr="00614438" w14:paraId="5095937F" w14:textId="77777777" w:rsidTr="00614438">
        <w:trPr>
          <w:trHeight w:val="288"/>
          <w:jc w:val="center"/>
        </w:trPr>
        <w:tc>
          <w:tcPr>
            <w:tcW w:w="7031"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7D2139D" w14:textId="77777777" w:rsidR="00614438" w:rsidRPr="00474538" w:rsidRDefault="00614438" w:rsidP="003E0710">
            <w:pPr>
              <w:spacing w:after="0"/>
              <w:jc w:val="both"/>
              <w:rPr>
                <w:rFonts w:ascii="Times New Roman" w:hAnsi="Times New Roman" w:cs="Times New Roman"/>
                <w:sz w:val="18"/>
                <w:szCs w:val="18"/>
                <w:lang w:val="en-GB"/>
              </w:rPr>
            </w:pPr>
            <w:r w:rsidRPr="00474538">
              <w:rPr>
                <w:rFonts w:ascii="Times New Roman" w:hAnsi="Times New Roman" w:cs="Times New Roman"/>
                <w:sz w:val="18"/>
                <w:szCs w:val="18"/>
                <w:lang w:val="en-GB"/>
              </w:rPr>
              <w:t>Promotion of electric passenger vehicles (PM_EE13)</w:t>
            </w:r>
          </w:p>
        </w:tc>
        <w:tc>
          <w:tcPr>
            <w:tcW w:w="2268" w:type="dxa"/>
            <w:tcBorders>
              <w:top w:val="nil"/>
              <w:left w:val="nil"/>
              <w:bottom w:val="single" w:sz="4" w:space="0" w:color="auto"/>
              <w:right w:val="single" w:sz="4" w:space="0" w:color="auto"/>
            </w:tcBorders>
            <w:shd w:val="clear" w:color="auto" w:fill="FFFFFF"/>
            <w:noWrap/>
            <w:vAlign w:val="bottom"/>
            <w:hideMark/>
          </w:tcPr>
          <w:p w14:paraId="71471FA3" w14:textId="77777777" w:rsidR="00614438" w:rsidRPr="00474538" w:rsidRDefault="00614438" w:rsidP="003E0710">
            <w:pPr>
              <w:spacing w:after="0"/>
              <w:jc w:val="center"/>
              <w:rPr>
                <w:rFonts w:ascii="Times New Roman" w:hAnsi="Times New Roman" w:cs="Times New Roman"/>
                <w:sz w:val="18"/>
                <w:szCs w:val="18"/>
                <w:lang w:val="en-GB"/>
              </w:rPr>
            </w:pPr>
            <w:r w:rsidRPr="00474538">
              <w:rPr>
                <w:rFonts w:ascii="Times New Roman" w:hAnsi="Times New Roman" w:cs="Times New Roman"/>
                <w:sz w:val="18"/>
                <w:szCs w:val="18"/>
                <w:lang w:val="en-GB"/>
              </w:rPr>
              <w:t>4</w:t>
            </w:r>
          </w:p>
        </w:tc>
      </w:tr>
      <w:tr w:rsidR="00614438" w:rsidRPr="00614438" w14:paraId="3C53C150" w14:textId="77777777" w:rsidTr="00614438">
        <w:trPr>
          <w:trHeight w:val="288"/>
          <w:jc w:val="center"/>
        </w:trPr>
        <w:tc>
          <w:tcPr>
            <w:tcW w:w="7031"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5483C8A" w14:textId="77777777" w:rsidR="00614438" w:rsidRPr="00474538" w:rsidRDefault="00614438" w:rsidP="003E0710">
            <w:pPr>
              <w:spacing w:after="0"/>
              <w:jc w:val="both"/>
              <w:rPr>
                <w:rFonts w:ascii="Times New Roman" w:hAnsi="Times New Roman" w:cs="Times New Roman"/>
                <w:sz w:val="18"/>
                <w:szCs w:val="18"/>
                <w:lang w:val="en-GB"/>
              </w:rPr>
            </w:pPr>
            <w:r w:rsidRPr="00474538">
              <w:rPr>
                <w:rFonts w:ascii="Times New Roman" w:hAnsi="Times New Roman" w:cs="Times New Roman"/>
                <w:sz w:val="18"/>
                <w:szCs w:val="18"/>
                <w:lang w:val="en-GB"/>
              </w:rPr>
              <w:t>Promotion of electric LDV (PM_EE14)</w:t>
            </w:r>
          </w:p>
        </w:tc>
        <w:tc>
          <w:tcPr>
            <w:tcW w:w="2268" w:type="dxa"/>
            <w:tcBorders>
              <w:top w:val="nil"/>
              <w:left w:val="nil"/>
              <w:bottom w:val="single" w:sz="4" w:space="0" w:color="auto"/>
              <w:right w:val="single" w:sz="4" w:space="0" w:color="auto"/>
            </w:tcBorders>
            <w:shd w:val="clear" w:color="auto" w:fill="FFFFFF"/>
            <w:noWrap/>
            <w:vAlign w:val="bottom"/>
            <w:hideMark/>
          </w:tcPr>
          <w:p w14:paraId="0F4745F7" w14:textId="77777777" w:rsidR="00614438" w:rsidRPr="00474538" w:rsidRDefault="00614438" w:rsidP="003E0710">
            <w:pPr>
              <w:spacing w:after="0"/>
              <w:jc w:val="center"/>
              <w:rPr>
                <w:rFonts w:ascii="Times New Roman" w:hAnsi="Times New Roman" w:cs="Times New Roman"/>
                <w:sz w:val="18"/>
                <w:szCs w:val="18"/>
                <w:lang w:val="en-GB"/>
              </w:rPr>
            </w:pPr>
            <w:r w:rsidRPr="00474538">
              <w:rPr>
                <w:rFonts w:ascii="Times New Roman" w:hAnsi="Times New Roman" w:cs="Times New Roman"/>
                <w:sz w:val="18"/>
                <w:szCs w:val="18"/>
                <w:lang w:val="en-GB"/>
              </w:rPr>
              <w:t>13</w:t>
            </w:r>
          </w:p>
        </w:tc>
      </w:tr>
      <w:tr w:rsidR="00614438" w:rsidRPr="00614438" w14:paraId="487BBA0E" w14:textId="77777777" w:rsidTr="00614438">
        <w:trPr>
          <w:trHeight w:val="288"/>
          <w:jc w:val="center"/>
        </w:trPr>
        <w:tc>
          <w:tcPr>
            <w:tcW w:w="7031"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42BF6D2" w14:textId="77777777" w:rsidR="00614438" w:rsidRPr="00474538" w:rsidRDefault="00614438" w:rsidP="003E0710">
            <w:pPr>
              <w:spacing w:after="0"/>
              <w:jc w:val="both"/>
              <w:rPr>
                <w:rFonts w:ascii="Times New Roman" w:hAnsi="Times New Roman" w:cs="Times New Roman"/>
                <w:sz w:val="18"/>
                <w:szCs w:val="18"/>
                <w:lang w:val="en-GB"/>
              </w:rPr>
            </w:pPr>
            <w:r w:rsidRPr="00474538">
              <w:rPr>
                <w:rFonts w:ascii="Times New Roman" w:hAnsi="Times New Roman" w:cs="Times New Roman"/>
                <w:sz w:val="18"/>
                <w:szCs w:val="18"/>
                <w:lang w:val="en-GB"/>
              </w:rPr>
              <w:t>Promotion of electric buses (PM_EE18)</w:t>
            </w:r>
          </w:p>
        </w:tc>
        <w:tc>
          <w:tcPr>
            <w:tcW w:w="2268" w:type="dxa"/>
            <w:tcBorders>
              <w:top w:val="nil"/>
              <w:left w:val="nil"/>
              <w:bottom w:val="single" w:sz="4" w:space="0" w:color="auto"/>
              <w:right w:val="single" w:sz="4" w:space="0" w:color="auto"/>
            </w:tcBorders>
            <w:shd w:val="clear" w:color="auto" w:fill="FFFFFF"/>
            <w:noWrap/>
            <w:vAlign w:val="bottom"/>
            <w:hideMark/>
          </w:tcPr>
          <w:p w14:paraId="55A8D18C" w14:textId="77777777" w:rsidR="00614438" w:rsidRPr="00474538" w:rsidRDefault="00614438" w:rsidP="003E0710">
            <w:pPr>
              <w:spacing w:after="0"/>
              <w:jc w:val="center"/>
              <w:rPr>
                <w:rFonts w:ascii="Times New Roman" w:hAnsi="Times New Roman" w:cs="Times New Roman"/>
                <w:sz w:val="18"/>
                <w:szCs w:val="18"/>
                <w:lang w:val="en-GB"/>
              </w:rPr>
            </w:pPr>
            <w:r w:rsidRPr="00474538">
              <w:rPr>
                <w:rFonts w:ascii="Times New Roman" w:hAnsi="Times New Roman" w:cs="Times New Roman"/>
                <w:sz w:val="18"/>
                <w:szCs w:val="18"/>
                <w:lang w:val="en-GB"/>
              </w:rPr>
              <w:t>17</w:t>
            </w:r>
          </w:p>
        </w:tc>
      </w:tr>
      <w:tr w:rsidR="00614438" w:rsidRPr="00614438" w14:paraId="2A0CE76A" w14:textId="77777777" w:rsidTr="00614438">
        <w:trPr>
          <w:trHeight w:val="288"/>
          <w:jc w:val="center"/>
        </w:trPr>
        <w:tc>
          <w:tcPr>
            <w:tcW w:w="7031"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D9D8EE4" w14:textId="77777777" w:rsidR="00614438" w:rsidRPr="00474538" w:rsidRDefault="00614438" w:rsidP="003E0710">
            <w:pPr>
              <w:spacing w:after="0"/>
              <w:jc w:val="both"/>
              <w:rPr>
                <w:rFonts w:ascii="Times New Roman" w:hAnsi="Times New Roman" w:cs="Times New Roman"/>
                <w:sz w:val="18"/>
                <w:szCs w:val="18"/>
                <w:lang w:val="en-GB"/>
              </w:rPr>
            </w:pPr>
            <w:r w:rsidRPr="00474538">
              <w:rPr>
                <w:rFonts w:ascii="Times New Roman" w:hAnsi="Times New Roman" w:cs="Times New Roman"/>
                <w:sz w:val="18"/>
                <w:szCs w:val="18"/>
                <w:lang w:val="en-GB"/>
              </w:rPr>
              <w:t>Upgrade of building envelope in residential sector (PM_EE1)</w:t>
            </w:r>
          </w:p>
        </w:tc>
        <w:tc>
          <w:tcPr>
            <w:tcW w:w="2268" w:type="dxa"/>
            <w:tcBorders>
              <w:top w:val="nil"/>
              <w:left w:val="nil"/>
              <w:bottom w:val="single" w:sz="4" w:space="0" w:color="auto"/>
              <w:right w:val="single" w:sz="4" w:space="0" w:color="auto"/>
            </w:tcBorders>
            <w:shd w:val="clear" w:color="auto" w:fill="FFFFFF"/>
            <w:noWrap/>
            <w:vAlign w:val="bottom"/>
            <w:hideMark/>
          </w:tcPr>
          <w:p w14:paraId="307F9892" w14:textId="77777777" w:rsidR="00614438" w:rsidRPr="00474538" w:rsidRDefault="00614438" w:rsidP="003E0710">
            <w:pPr>
              <w:spacing w:after="0"/>
              <w:jc w:val="center"/>
              <w:rPr>
                <w:rFonts w:ascii="Times New Roman" w:hAnsi="Times New Roman" w:cs="Times New Roman"/>
                <w:sz w:val="18"/>
                <w:szCs w:val="18"/>
                <w:lang w:val="en-GB"/>
              </w:rPr>
            </w:pPr>
            <w:r w:rsidRPr="00474538">
              <w:rPr>
                <w:rFonts w:ascii="Times New Roman" w:hAnsi="Times New Roman" w:cs="Times New Roman"/>
                <w:sz w:val="18"/>
                <w:szCs w:val="18"/>
                <w:lang w:val="en-GB"/>
              </w:rPr>
              <w:t>35</w:t>
            </w:r>
          </w:p>
        </w:tc>
      </w:tr>
      <w:tr w:rsidR="00614438" w:rsidRPr="00614438" w14:paraId="0904D2FA" w14:textId="77777777" w:rsidTr="00614438">
        <w:trPr>
          <w:trHeight w:val="288"/>
          <w:jc w:val="center"/>
        </w:trPr>
        <w:tc>
          <w:tcPr>
            <w:tcW w:w="7031"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C16A732" w14:textId="77777777" w:rsidR="00614438" w:rsidRPr="00474538" w:rsidRDefault="00614438" w:rsidP="003E0710">
            <w:pPr>
              <w:spacing w:after="0"/>
              <w:jc w:val="both"/>
              <w:rPr>
                <w:rFonts w:ascii="Times New Roman" w:hAnsi="Times New Roman" w:cs="Times New Roman"/>
                <w:sz w:val="18"/>
                <w:szCs w:val="18"/>
                <w:lang w:val="en-GB"/>
              </w:rPr>
            </w:pPr>
            <w:r w:rsidRPr="00474538">
              <w:rPr>
                <w:rFonts w:ascii="Times New Roman" w:hAnsi="Times New Roman" w:cs="Times New Roman"/>
                <w:sz w:val="18"/>
                <w:szCs w:val="18"/>
                <w:lang w:val="en-GB"/>
              </w:rPr>
              <w:t>Upgrade of building envelope in tertiary sector (PM_EE2 and PM_EE3)</w:t>
            </w:r>
          </w:p>
        </w:tc>
        <w:tc>
          <w:tcPr>
            <w:tcW w:w="2268" w:type="dxa"/>
            <w:tcBorders>
              <w:top w:val="nil"/>
              <w:left w:val="nil"/>
              <w:bottom w:val="single" w:sz="4" w:space="0" w:color="auto"/>
              <w:right w:val="single" w:sz="4" w:space="0" w:color="auto"/>
            </w:tcBorders>
            <w:shd w:val="clear" w:color="auto" w:fill="FFFFFF"/>
            <w:noWrap/>
            <w:vAlign w:val="bottom"/>
            <w:hideMark/>
          </w:tcPr>
          <w:p w14:paraId="1C191344" w14:textId="77777777" w:rsidR="00614438" w:rsidRPr="00474538" w:rsidRDefault="00614438" w:rsidP="003E0710">
            <w:pPr>
              <w:spacing w:after="0"/>
              <w:jc w:val="center"/>
              <w:rPr>
                <w:rFonts w:ascii="Times New Roman" w:hAnsi="Times New Roman" w:cs="Times New Roman"/>
                <w:sz w:val="18"/>
                <w:szCs w:val="18"/>
                <w:lang w:val="en-GB"/>
              </w:rPr>
            </w:pPr>
            <w:r w:rsidRPr="00474538">
              <w:rPr>
                <w:rFonts w:ascii="Times New Roman" w:hAnsi="Times New Roman" w:cs="Times New Roman"/>
                <w:sz w:val="18"/>
                <w:szCs w:val="18"/>
                <w:lang w:val="en-GB"/>
              </w:rPr>
              <w:t>37</w:t>
            </w:r>
          </w:p>
        </w:tc>
      </w:tr>
      <w:tr w:rsidR="00614438" w:rsidRPr="00614438" w14:paraId="37EBB896" w14:textId="77777777" w:rsidTr="00614438">
        <w:trPr>
          <w:trHeight w:val="288"/>
          <w:jc w:val="center"/>
        </w:trPr>
        <w:tc>
          <w:tcPr>
            <w:tcW w:w="7031"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91E67F0" w14:textId="77777777" w:rsidR="00614438" w:rsidRPr="00474538" w:rsidRDefault="00614438" w:rsidP="003E0710">
            <w:pPr>
              <w:spacing w:after="0"/>
              <w:jc w:val="both"/>
              <w:rPr>
                <w:rFonts w:ascii="Times New Roman" w:hAnsi="Times New Roman" w:cs="Times New Roman"/>
                <w:sz w:val="18"/>
                <w:szCs w:val="18"/>
                <w:lang w:val="en-GB"/>
              </w:rPr>
            </w:pPr>
            <w:r w:rsidRPr="00474538">
              <w:rPr>
                <w:rFonts w:ascii="Times New Roman" w:hAnsi="Times New Roman" w:cs="Times New Roman"/>
                <w:sz w:val="18"/>
                <w:szCs w:val="18"/>
                <w:lang w:val="en-GB"/>
              </w:rPr>
              <w:t>Installation of heat pumps (PM_EE1, PM_EE2 and PM_EE3)</w:t>
            </w:r>
          </w:p>
        </w:tc>
        <w:tc>
          <w:tcPr>
            <w:tcW w:w="2268" w:type="dxa"/>
            <w:tcBorders>
              <w:top w:val="nil"/>
              <w:left w:val="nil"/>
              <w:bottom w:val="single" w:sz="4" w:space="0" w:color="auto"/>
              <w:right w:val="single" w:sz="4" w:space="0" w:color="auto"/>
            </w:tcBorders>
            <w:shd w:val="clear" w:color="auto" w:fill="FFFFFF"/>
            <w:noWrap/>
            <w:vAlign w:val="bottom"/>
            <w:hideMark/>
          </w:tcPr>
          <w:p w14:paraId="3E860E9F" w14:textId="77777777" w:rsidR="00614438" w:rsidRPr="00474538" w:rsidRDefault="00614438" w:rsidP="003E0710">
            <w:pPr>
              <w:spacing w:after="0"/>
              <w:jc w:val="center"/>
              <w:rPr>
                <w:rFonts w:ascii="Times New Roman" w:hAnsi="Times New Roman" w:cs="Times New Roman"/>
                <w:sz w:val="18"/>
                <w:szCs w:val="18"/>
                <w:lang w:val="en-GB"/>
              </w:rPr>
            </w:pPr>
            <w:r w:rsidRPr="00474538">
              <w:rPr>
                <w:rFonts w:ascii="Times New Roman" w:hAnsi="Times New Roman" w:cs="Times New Roman"/>
                <w:sz w:val="18"/>
                <w:szCs w:val="18"/>
                <w:lang w:val="en-GB"/>
              </w:rPr>
              <w:t>86</w:t>
            </w:r>
          </w:p>
        </w:tc>
      </w:tr>
      <w:tr w:rsidR="00614438" w:rsidRPr="00614438" w14:paraId="29B44FCE" w14:textId="77777777" w:rsidTr="00614438">
        <w:trPr>
          <w:trHeight w:val="288"/>
          <w:jc w:val="center"/>
        </w:trPr>
        <w:tc>
          <w:tcPr>
            <w:tcW w:w="7031"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9152FA0" w14:textId="77777777" w:rsidR="00614438" w:rsidRPr="00474538" w:rsidRDefault="00614438" w:rsidP="003E0710">
            <w:pPr>
              <w:spacing w:after="0"/>
              <w:jc w:val="both"/>
              <w:rPr>
                <w:rFonts w:ascii="Times New Roman" w:hAnsi="Times New Roman" w:cs="Times New Roman"/>
                <w:sz w:val="18"/>
                <w:szCs w:val="18"/>
                <w:lang w:val="en-GB"/>
              </w:rPr>
            </w:pPr>
            <w:r w:rsidRPr="00474538">
              <w:rPr>
                <w:rFonts w:ascii="Times New Roman" w:hAnsi="Times New Roman" w:cs="Times New Roman"/>
                <w:sz w:val="18"/>
                <w:szCs w:val="18"/>
                <w:lang w:val="en-GB"/>
              </w:rPr>
              <w:t>Energy upgrading of street lighting (PM_EE30)</w:t>
            </w:r>
          </w:p>
        </w:tc>
        <w:tc>
          <w:tcPr>
            <w:tcW w:w="2268" w:type="dxa"/>
            <w:tcBorders>
              <w:top w:val="nil"/>
              <w:left w:val="nil"/>
              <w:bottom w:val="single" w:sz="4" w:space="0" w:color="auto"/>
              <w:right w:val="single" w:sz="4" w:space="0" w:color="auto"/>
            </w:tcBorders>
            <w:shd w:val="clear" w:color="auto" w:fill="FFFFFF"/>
            <w:noWrap/>
            <w:vAlign w:val="bottom"/>
            <w:hideMark/>
          </w:tcPr>
          <w:p w14:paraId="6CD104DC" w14:textId="77777777" w:rsidR="00614438" w:rsidRPr="00474538" w:rsidRDefault="00614438" w:rsidP="003E0710">
            <w:pPr>
              <w:spacing w:after="0"/>
              <w:jc w:val="center"/>
              <w:rPr>
                <w:rFonts w:ascii="Times New Roman" w:hAnsi="Times New Roman" w:cs="Times New Roman"/>
                <w:sz w:val="18"/>
                <w:szCs w:val="18"/>
                <w:lang w:val="en-GB"/>
              </w:rPr>
            </w:pPr>
            <w:r w:rsidRPr="00474538">
              <w:rPr>
                <w:rFonts w:ascii="Times New Roman" w:hAnsi="Times New Roman" w:cs="Times New Roman"/>
                <w:sz w:val="18"/>
                <w:szCs w:val="18"/>
                <w:lang w:val="en-GB"/>
              </w:rPr>
              <w:t>17</w:t>
            </w:r>
          </w:p>
        </w:tc>
      </w:tr>
      <w:tr w:rsidR="00614438" w:rsidRPr="00614438" w14:paraId="49245578" w14:textId="77777777" w:rsidTr="00614438">
        <w:trPr>
          <w:trHeight w:val="288"/>
          <w:jc w:val="center"/>
        </w:trPr>
        <w:tc>
          <w:tcPr>
            <w:tcW w:w="7031"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5664A43" w14:textId="77777777" w:rsidR="00614438" w:rsidRPr="00474538" w:rsidRDefault="00614438" w:rsidP="003E0710">
            <w:pPr>
              <w:spacing w:after="0"/>
              <w:jc w:val="both"/>
              <w:rPr>
                <w:rFonts w:ascii="Times New Roman" w:hAnsi="Times New Roman" w:cs="Times New Roman"/>
                <w:sz w:val="18"/>
                <w:szCs w:val="18"/>
                <w:lang w:val="en-GB"/>
              </w:rPr>
            </w:pPr>
            <w:r w:rsidRPr="00474538">
              <w:rPr>
                <w:rFonts w:ascii="Times New Roman" w:hAnsi="Times New Roman" w:cs="Times New Roman"/>
                <w:sz w:val="18"/>
                <w:szCs w:val="18"/>
                <w:lang w:val="en-GB"/>
              </w:rPr>
              <w:lastRenderedPageBreak/>
              <w:t>Promotion of energy efficiency lighting and appliances (PM_EE9)</w:t>
            </w:r>
          </w:p>
        </w:tc>
        <w:tc>
          <w:tcPr>
            <w:tcW w:w="2268" w:type="dxa"/>
            <w:tcBorders>
              <w:top w:val="nil"/>
              <w:left w:val="nil"/>
              <w:bottom w:val="single" w:sz="4" w:space="0" w:color="auto"/>
              <w:right w:val="single" w:sz="4" w:space="0" w:color="auto"/>
            </w:tcBorders>
            <w:shd w:val="clear" w:color="auto" w:fill="FFFFFF"/>
            <w:noWrap/>
            <w:vAlign w:val="bottom"/>
            <w:hideMark/>
          </w:tcPr>
          <w:p w14:paraId="403B9733" w14:textId="77777777" w:rsidR="00614438" w:rsidRPr="00474538" w:rsidRDefault="00614438" w:rsidP="003E0710">
            <w:pPr>
              <w:spacing w:after="0"/>
              <w:jc w:val="center"/>
              <w:rPr>
                <w:rFonts w:ascii="Times New Roman" w:hAnsi="Times New Roman" w:cs="Times New Roman"/>
                <w:sz w:val="18"/>
                <w:szCs w:val="18"/>
                <w:lang w:val="en-GB"/>
              </w:rPr>
            </w:pPr>
            <w:r w:rsidRPr="00474538">
              <w:rPr>
                <w:rFonts w:ascii="Times New Roman" w:hAnsi="Times New Roman" w:cs="Times New Roman"/>
                <w:sz w:val="18"/>
                <w:szCs w:val="18"/>
                <w:lang w:val="en-GB"/>
              </w:rPr>
              <w:t>18</w:t>
            </w:r>
          </w:p>
        </w:tc>
      </w:tr>
      <w:tr w:rsidR="00614438" w:rsidRPr="00614438" w14:paraId="0EAE1FE5" w14:textId="77777777" w:rsidTr="00614438">
        <w:trPr>
          <w:trHeight w:val="288"/>
          <w:jc w:val="center"/>
        </w:trPr>
        <w:tc>
          <w:tcPr>
            <w:tcW w:w="7031"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1EFC38C" w14:textId="77777777" w:rsidR="00614438" w:rsidRPr="00474538" w:rsidRDefault="00614438" w:rsidP="003E0710">
            <w:pPr>
              <w:spacing w:after="0"/>
              <w:jc w:val="both"/>
              <w:rPr>
                <w:rFonts w:ascii="Times New Roman" w:hAnsi="Times New Roman" w:cs="Times New Roman"/>
                <w:sz w:val="18"/>
                <w:szCs w:val="18"/>
                <w:lang w:val="en-GB"/>
              </w:rPr>
            </w:pPr>
            <w:r w:rsidRPr="00474538">
              <w:rPr>
                <w:rFonts w:ascii="Times New Roman" w:hAnsi="Times New Roman" w:cs="Times New Roman"/>
                <w:sz w:val="18"/>
                <w:szCs w:val="18"/>
                <w:lang w:val="en-GB"/>
              </w:rPr>
              <w:t>Promotion of energy efficiency in agricultural sector (PM_EE24 and PM_EE25)</w:t>
            </w:r>
          </w:p>
        </w:tc>
        <w:tc>
          <w:tcPr>
            <w:tcW w:w="2268" w:type="dxa"/>
            <w:tcBorders>
              <w:top w:val="nil"/>
              <w:left w:val="nil"/>
              <w:bottom w:val="single" w:sz="4" w:space="0" w:color="auto"/>
              <w:right w:val="single" w:sz="4" w:space="0" w:color="auto"/>
            </w:tcBorders>
            <w:shd w:val="clear" w:color="auto" w:fill="FFFFFF"/>
            <w:noWrap/>
            <w:vAlign w:val="bottom"/>
            <w:hideMark/>
          </w:tcPr>
          <w:p w14:paraId="362D9B5D" w14:textId="77777777" w:rsidR="00614438" w:rsidRPr="00474538" w:rsidRDefault="00614438" w:rsidP="003E0710">
            <w:pPr>
              <w:spacing w:after="0"/>
              <w:jc w:val="center"/>
              <w:rPr>
                <w:rFonts w:ascii="Times New Roman" w:hAnsi="Times New Roman" w:cs="Times New Roman"/>
                <w:sz w:val="18"/>
                <w:szCs w:val="18"/>
                <w:lang w:val="en-GB"/>
              </w:rPr>
            </w:pPr>
            <w:r w:rsidRPr="00474538">
              <w:rPr>
                <w:rFonts w:ascii="Times New Roman" w:hAnsi="Times New Roman" w:cs="Times New Roman"/>
                <w:sz w:val="18"/>
                <w:szCs w:val="18"/>
                <w:lang w:val="en-GB"/>
              </w:rPr>
              <w:t>8</w:t>
            </w:r>
          </w:p>
        </w:tc>
      </w:tr>
      <w:tr w:rsidR="00614438" w:rsidRPr="00614438" w14:paraId="2E9B1A65" w14:textId="77777777" w:rsidTr="00614438">
        <w:trPr>
          <w:trHeight w:val="288"/>
          <w:jc w:val="center"/>
        </w:trPr>
        <w:tc>
          <w:tcPr>
            <w:tcW w:w="7031"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90A5741" w14:textId="77777777" w:rsidR="00614438" w:rsidRPr="00474538" w:rsidRDefault="00614438" w:rsidP="00AA7A53">
            <w:pPr>
              <w:spacing w:after="0"/>
              <w:jc w:val="center"/>
              <w:rPr>
                <w:rFonts w:ascii="Times New Roman" w:hAnsi="Times New Roman" w:cs="Times New Roman"/>
                <w:sz w:val="18"/>
                <w:szCs w:val="18"/>
                <w:lang w:val="en-GB"/>
              </w:rPr>
            </w:pPr>
            <w:r w:rsidRPr="00474538">
              <w:rPr>
                <w:rFonts w:ascii="Times New Roman" w:hAnsi="Times New Roman" w:cs="Times New Roman"/>
                <w:sz w:val="18"/>
                <w:szCs w:val="18"/>
                <w:lang w:val="en-GB"/>
              </w:rPr>
              <w:t>Total</w:t>
            </w:r>
          </w:p>
        </w:tc>
        <w:tc>
          <w:tcPr>
            <w:tcW w:w="2268" w:type="dxa"/>
            <w:tcBorders>
              <w:top w:val="nil"/>
              <w:left w:val="nil"/>
              <w:bottom w:val="single" w:sz="4" w:space="0" w:color="auto"/>
              <w:right w:val="single" w:sz="4" w:space="0" w:color="auto"/>
            </w:tcBorders>
            <w:shd w:val="clear" w:color="auto" w:fill="D9D9D9" w:themeFill="background1" w:themeFillShade="D9"/>
            <w:noWrap/>
            <w:vAlign w:val="bottom"/>
            <w:hideMark/>
          </w:tcPr>
          <w:p w14:paraId="2CC221E5" w14:textId="77777777" w:rsidR="00614438" w:rsidRPr="00474538" w:rsidRDefault="00614438" w:rsidP="003E0710">
            <w:pPr>
              <w:spacing w:after="0"/>
              <w:jc w:val="center"/>
              <w:rPr>
                <w:rFonts w:ascii="Times New Roman" w:hAnsi="Times New Roman" w:cs="Times New Roman"/>
                <w:sz w:val="18"/>
                <w:szCs w:val="18"/>
                <w:lang w:val="en-GB"/>
              </w:rPr>
            </w:pPr>
            <w:r w:rsidRPr="00474538">
              <w:rPr>
                <w:rFonts w:ascii="Times New Roman" w:hAnsi="Times New Roman" w:cs="Times New Roman"/>
                <w:sz w:val="18"/>
                <w:szCs w:val="18"/>
                <w:lang w:val="en-GB"/>
              </w:rPr>
              <w:t>506</w:t>
            </w:r>
          </w:p>
        </w:tc>
      </w:tr>
    </w:tbl>
    <w:p w14:paraId="0F50641E" w14:textId="77777777" w:rsidR="00474538" w:rsidRDefault="00474538" w:rsidP="003E0710">
      <w:pPr>
        <w:spacing w:after="0"/>
        <w:jc w:val="both"/>
        <w:rPr>
          <w:rFonts w:ascii="Times New Roman" w:hAnsi="Times New Roman" w:cs="Times New Roman"/>
          <w:sz w:val="24"/>
          <w:szCs w:val="24"/>
          <w:lang w:val="en-GB"/>
        </w:rPr>
      </w:pPr>
    </w:p>
    <w:p w14:paraId="1A1D9B0F" w14:textId="77777777" w:rsidR="00474538" w:rsidRPr="00614438" w:rsidRDefault="00614438" w:rsidP="00474538">
      <w:pPr>
        <w:ind w:firstLine="48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It should be noted that the delivered energy savings</w:t>
      </w:r>
      <w:r w:rsidR="00474538">
        <w:rPr>
          <w:rFonts w:ascii="Times New Roman" w:hAnsi="Times New Roman" w:cs="Times New Roman"/>
          <w:sz w:val="24"/>
          <w:szCs w:val="24"/>
          <w:lang w:val="en-GB"/>
        </w:rPr>
        <w:t xml:space="preserve"> achieved</w:t>
      </w:r>
      <w:r w:rsidRPr="00614438">
        <w:rPr>
          <w:rFonts w:ascii="Times New Roman" w:hAnsi="Times New Roman" w:cs="Times New Roman"/>
          <w:sz w:val="24"/>
          <w:szCs w:val="24"/>
          <w:lang w:val="en-GB"/>
        </w:rPr>
        <w:t xml:space="preserve"> </w:t>
      </w:r>
      <w:r w:rsidR="00474538">
        <w:rPr>
          <w:rFonts w:ascii="Times New Roman" w:hAnsi="Times New Roman" w:cs="Times New Roman"/>
          <w:sz w:val="24"/>
          <w:szCs w:val="24"/>
          <w:lang w:val="en-GB"/>
        </w:rPr>
        <w:t>as a result of</w:t>
      </w:r>
      <w:r w:rsidRPr="00614438">
        <w:rPr>
          <w:rFonts w:ascii="Times New Roman" w:hAnsi="Times New Roman" w:cs="Times New Roman"/>
          <w:sz w:val="24"/>
          <w:szCs w:val="24"/>
          <w:lang w:val="en-GB"/>
        </w:rPr>
        <w:t xml:space="preserve"> energy efficiency measures in the period 2021-2024 are </w:t>
      </w:r>
      <w:r w:rsidR="00474538">
        <w:rPr>
          <w:rFonts w:ascii="Times New Roman" w:hAnsi="Times New Roman" w:cs="Times New Roman"/>
          <w:sz w:val="24"/>
          <w:szCs w:val="24"/>
          <w:lang w:val="en-GB"/>
        </w:rPr>
        <w:t>acceptable</w:t>
      </w:r>
      <w:r w:rsidRPr="00614438">
        <w:rPr>
          <w:rFonts w:ascii="Times New Roman" w:hAnsi="Times New Roman" w:cs="Times New Roman"/>
          <w:sz w:val="24"/>
          <w:szCs w:val="24"/>
          <w:lang w:val="en-GB"/>
        </w:rPr>
        <w:t xml:space="preserve"> and will be taken into account for the attainment of the </w:t>
      </w:r>
      <w:r w:rsidR="00474538" w:rsidRPr="00474538">
        <w:rPr>
          <w:rFonts w:ascii="Times New Roman" w:hAnsi="Times New Roman" w:cs="Times New Roman"/>
          <w:sz w:val="24"/>
          <w:szCs w:val="24"/>
          <w:lang w:val="en-GB"/>
        </w:rPr>
        <w:t>stated goal based on monitoring, control and verification activities during the fulfillment of the reporting requirements.</w:t>
      </w:r>
    </w:p>
    <w:p w14:paraId="7CD23ED9" w14:textId="77777777" w:rsidR="00614438" w:rsidRPr="00614438" w:rsidRDefault="004C1A9C" w:rsidP="004C1A9C">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3.2.2 </w:t>
      </w:r>
      <w:r w:rsidR="00614438" w:rsidRPr="00614438">
        <w:rPr>
          <w:rFonts w:ascii="Times New Roman" w:hAnsi="Times New Roman" w:cs="Times New Roman"/>
          <w:sz w:val="24"/>
          <w:szCs w:val="24"/>
          <w:lang w:val="en-GB"/>
        </w:rPr>
        <w:t>Long-term strategy for Encouraging Investment in the Renovation of the National Buildings Fund of the Republic of Serbia until 2050 including policies and measures to stimulate cost-effective deep and staged deep renovations</w:t>
      </w:r>
    </w:p>
    <w:p w14:paraId="28C21813" w14:textId="77777777" w:rsidR="00614438" w:rsidRPr="00614438" w:rsidRDefault="00614438" w:rsidP="00985DA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 well-balanced mixture of policy measures, financing, fiscal and regulatory, will be implemented in order to support the energy renovation of the building stock and to attain the specified renovation rate. All the planned measures will be systematised in the Long-Term Strategy for Encouraging Investment in the Renovation of the National Buildings Fund of the Republic of Serbia until 2050</w:t>
      </w:r>
      <w:r w:rsidR="00985DA2">
        <w:rPr>
          <w:rFonts w:ascii="Times New Roman" w:hAnsi="Times New Roman" w:cs="Times New Roman"/>
          <w:sz w:val="24"/>
          <w:szCs w:val="24"/>
          <w:lang w:val="en-GB"/>
        </w:rPr>
        <w:t xml:space="preserve"> (“Official Gazette of RS”, no. 27/22)</w:t>
      </w:r>
      <w:r w:rsidRPr="00614438">
        <w:rPr>
          <w:rFonts w:ascii="Times New Roman" w:hAnsi="Times New Roman" w:cs="Times New Roman"/>
          <w:sz w:val="24"/>
          <w:szCs w:val="24"/>
          <w:lang w:val="en-GB"/>
        </w:rPr>
        <w:t>, and are intended for residential and non-residential buildings, both public and private.</w:t>
      </w:r>
    </w:p>
    <w:p w14:paraId="39225384" w14:textId="77777777" w:rsidR="00614438" w:rsidRPr="00614438" w:rsidRDefault="00614438" w:rsidP="00AB7FA5">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Financial support will be provided for fostering the improvement of energy performance and energy modernisation of the residential and non-residential buildings. The design and provision of the dedicated financial incentives will facilitate the deep energy upgrade of the residential buildings both attaining the optimum cost-effectiveness ratio and increasing the level of leverage. Furthermore, the most cost-effective individual heating and cooling technologies will be promoted through specialized instruments. Additional financial and fiscal measures will be in</w:t>
      </w:r>
      <w:r w:rsidR="00AB7FA5">
        <w:rPr>
          <w:rFonts w:ascii="Times New Roman" w:hAnsi="Times New Roman" w:cs="Times New Roman"/>
          <w:sz w:val="24"/>
          <w:szCs w:val="24"/>
          <w:lang w:val="en-GB"/>
        </w:rPr>
        <w:t>troduce</w:t>
      </w:r>
      <w:r w:rsidRPr="00614438">
        <w:rPr>
          <w:rFonts w:ascii="Times New Roman" w:hAnsi="Times New Roman" w:cs="Times New Roman"/>
          <w:sz w:val="24"/>
          <w:szCs w:val="24"/>
          <w:lang w:val="en-GB"/>
        </w:rPr>
        <w:t xml:space="preserve">d, such as the adoption of targeted tax deductions, credit lines and soft-interest loans in the case that the contribution of the planned subsidies is not sufficient. For the case of the non-residential buildings, the planned programs will focus on targeted final energy consumption sectors taking into consideration their energy saving potential. Emphasis will be </w:t>
      </w:r>
      <w:r w:rsidR="00AB7FA5">
        <w:rPr>
          <w:rFonts w:ascii="Times New Roman" w:hAnsi="Times New Roman" w:cs="Times New Roman"/>
          <w:sz w:val="24"/>
          <w:szCs w:val="24"/>
          <w:lang w:val="en-GB"/>
        </w:rPr>
        <w:t>placed</w:t>
      </w:r>
      <w:r w:rsidRPr="00614438">
        <w:rPr>
          <w:rFonts w:ascii="Times New Roman" w:hAnsi="Times New Roman" w:cs="Times New Roman"/>
          <w:sz w:val="24"/>
          <w:szCs w:val="24"/>
          <w:lang w:val="en-GB"/>
        </w:rPr>
        <w:t xml:space="preserve"> on measures for the further penetration of solar thermal systems</w:t>
      </w:r>
      <w:r w:rsidR="00AB7FA5">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such as the mandatory installation in new buildings and in buildings undergoing major renovation as defined in Directive 2010/31/EU.</w:t>
      </w:r>
    </w:p>
    <w:p w14:paraId="74EAB4C9" w14:textId="77777777" w:rsidR="0001260B" w:rsidRPr="00614438" w:rsidRDefault="00614438" w:rsidP="00AB7FA5">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Moreover, the </w:t>
      </w:r>
      <w:r w:rsidR="0001260B">
        <w:rPr>
          <w:rFonts w:ascii="Times New Roman" w:hAnsi="Times New Roman" w:cs="Times New Roman"/>
          <w:sz w:val="24"/>
          <w:szCs w:val="24"/>
          <w:lang w:val="en-GB"/>
        </w:rPr>
        <w:t>consistency</w:t>
      </w:r>
      <w:r w:rsidRPr="00614438">
        <w:rPr>
          <w:rFonts w:ascii="Times New Roman" w:hAnsi="Times New Roman" w:cs="Times New Roman"/>
          <w:sz w:val="24"/>
          <w:szCs w:val="24"/>
          <w:lang w:val="en-GB"/>
        </w:rPr>
        <w:t xml:space="preserve"> and compliance of the legislative framework with the provisions of the Directive 2018/844/EU</w:t>
      </w:r>
      <w:r w:rsidR="0001260B">
        <w:rPr>
          <w:rFonts w:ascii="Times New Roman" w:hAnsi="Times New Roman" w:cs="Times New Roman"/>
          <w:sz w:val="24"/>
          <w:szCs w:val="24"/>
          <w:lang w:val="en-GB"/>
        </w:rPr>
        <w:t>, respectively</w:t>
      </w:r>
      <w:r w:rsidR="0001260B">
        <w:rPr>
          <w:rFonts w:ascii="Times New Roman" w:hAnsi="Times New Roman" w:cs="Times New Roman"/>
          <w:sz w:val="24"/>
          <w:szCs w:val="24"/>
        </w:rPr>
        <w:t xml:space="preserve"> EPBD 2010/31/EU </w:t>
      </w:r>
      <w:r w:rsidRPr="00614438">
        <w:rPr>
          <w:rFonts w:ascii="Times New Roman" w:hAnsi="Times New Roman" w:cs="Times New Roman"/>
          <w:sz w:val="24"/>
          <w:szCs w:val="24"/>
          <w:lang w:val="en-GB"/>
        </w:rPr>
        <w:t>will be ensured</w:t>
      </w:r>
      <w:r w:rsidR="0001260B">
        <w:rPr>
          <w:rFonts w:ascii="Times New Roman" w:hAnsi="Times New Roman" w:cs="Times New Roman"/>
          <w:sz w:val="24"/>
          <w:szCs w:val="24"/>
          <w:lang w:val="en-GB"/>
        </w:rPr>
        <w:t>, whereby the</w:t>
      </w:r>
      <w:r w:rsidRPr="00614438">
        <w:rPr>
          <w:rFonts w:ascii="Times New Roman" w:hAnsi="Times New Roman" w:cs="Times New Roman"/>
          <w:sz w:val="24"/>
          <w:szCs w:val="24"/>
          <w:lang w:val="en-GB"/>
        </w:rPr>
        <w:t xml:space="preserve"> minimum requirements will be incorporated in the Energy </w:t>
      </w:r>
      <w:r w:rsidR="00543E1B">
        <w:rPr>
          <w:rFonts w:ascii="Times New Roman" w:hAnsi="Times New Roman" w:cs="Times New Roman"/>
          <w:sz w:val="24"/>
          <w:szCs w:val="24"/>
          <w:lang w:val="en-GB"/>
        </w:rPr>
        <w:t>Performance</w:t>
      </w:r>
      <w:r w:rsidRPr="00614438">
        <w:rPr>
          <w:rFonts w:ascii="Times New Roman" w:hAnsi="Times New Roman" w:cs="Times New Roman"/>
          <w:sz w:val="24"/>
          <w:szCs w:val="24"/>
          <w:lang w:val="en-GB"/>
        </w:rPr>
        <w:t xml:space="preserve"> of Building</w:t>
      </w:r>
      <w:r w:rsidR="00543E1B">
        <w:rPr>
          <w:rFonts w:ascii="Times New Roman" w:hAnsi="Times New Roman" w:cs="Times New Roman"/>
          <w:sz w:val="24"/>
          <w:szCs w:val="24"/>
          <w:lang w:val="en-GB"/>
        </w:rPr>
        <w:t xml:space="preserve"> Directive</w:t>
      </w:r>
      <w:r w:rsidRPr="00614438">
        <w:rPr>
          <w:rFonts w:ascii="Times New Roman" w:hAnsi="Times New Roman" w:cs="Times New Roman"/>
          <w:sz w:val="24"/>
          <w:szCs w:val="24"/>
          <w:lang w:val="en-GB"/>
        </w:rPr>
        <w:t xml:space="preserve"> </w:t>
      </w:r>
      <w:r w:rsidR="00543E1B">
        <w:rPr>
          <w:rFonts w:ascii="Times New Roman" w:hAnsi="Times New Roman" w:cs="Times New Roman"/>
          <w:sz w:val="24"/>
          <w:szCs w:val="24"/>
          <w:lang w:val="en-GB"/>
        </w:rPr>
        <w:t>in order</w:t>
      </w:r>
      <w:r w:rsidRPr="00614438">
        <w:rPr>
          <w:rFonts w:ascii="Times New Roman" w:hAnsi="Times New Roman" w:cs="Times New Roman"/>
          <w:sz w:val="24"/>
          <w:szCs w:val="24"/>
          <w:lang w:val="en-GB"/>
        </w:rPr>
        <w:t xml:space="preserve"> to increase the number of near-zero energy buildings. The inspections of the heating and air-conditioning systems will be conducted according to the respective provisions. The adoption of specific regulatory measures will be </w:t>
      </w:r>
      <w:r w:rsidR="00543E1B">
        <w:rPr>
          <w:rFonts w:ascii="Times New Roman" w:hAnsi="Times New Roman" w:cs="Times New Roman"/>
          <w:sz w:val="24"/>
          <w:szCs w:val="24"/>
          <w:lang w:val="en-GB"/>
        </w:rPr>
        <w:t>considered</w:t>
      </w:r>
      <w:r w:rsidRPr="00614438">
        <w:rPr>
          <w:rFonts w:ascii="Times New Roman" w:hAnsi="Times New Roman" w:cs="Times New Roman"/>
          <w:sz w:val="24"/>
          <w:szCs w:val="24"/>
          <w:lang w:val="en-GB"/>
        </w:rPr>
        <w:t xml:space="preserve"> </w:t>
      </w:r>
      <w:r w:rsidR="00543E1B">
        <w:rPr>
          <w:rFonts w:ascii="Times New Roman" w:hAnsi="Times New Roman" w:cs="Times New Roman"/>
          <w:sz w:val="24"/>
          <w:szCs w:val="24"/>
          <w:lang w:val="en-GB"/>
        </w:rPr>
        <w:t>by</w:t>
      </w:r>
      <w:r w:rsidRPr="00614438">
        <w:rPr>
          <w:rFonts w:ascii="Times New Roman" w:hAnsi="Times New Roman" w:cs="Times New Roman"/>
          <w:sz w:val="24"/>
          <w:szCs w:val="24"/>
          <w:lang w:val="en-GB"/>
        </w:rPr>
        <w:t xml:space="preserve"> the examination of different alternatives. Speci</w:t>
      </w:r>
      <w:r w:rsidR="00543E1B">
        <w:rPr>
          <w:rFonts w:ascii="Times New Roman" w:hAnsi="Times New Roman" w:cs="Times New Roman"/>
          <w:sz w:val="24"/>
          <w:szCs w:val="24"/>
          <w:lang w:val="en-GB"/>
        </w:rPr>
        <w:t>al</w:t>
      </w:r>
      <w:r w:rsidRPr="00614438">
        <w:rPr>
          <w:rFonts w:ascii="Times New Roman" w:hAnsi="Times New Roman" w:cs="Times New Roman"/>
          <w:sz w:val="24"/>
          <w:szCs w:val="24"/>
          <w:lang w:val="en-GB"/>
        </w:rPr>
        <w:t xml:space="preserve"> programmes will be implemented </w:t>
      </w:r>
      <w:r w:rsidR="00543E1B">
        <w:rPr>
          <w:rFonts w:ascii="Times New Roman" w:hAnsi="Times New Roman" w:cs="Times New Roman"/>
          <w:sz w:val="24"/>
          <w:szCs w:val="24"/>
          <w:lang w:val="en-GB"/>
        </w:rPr>
        <w:t xml:space="preserve">to achieve </w:t>
      </w:r>
      <w:r w:rsidRPr="00614438">
        <w:rPr>
          <w:rFonts w:ascii="Times New Roman" w:hAnsi="Times New Roman" w:cs="Times New Roman"/>
          <w:sz w:val="24"/>
          <w:szCs w:val="24"/>
          <w:lang w:val="en-GB"/>
        </w:rPr>
        <w:t xml:space="preserve">the energy </w:t>
      </w:r>
      <w:r w:rsidR="00543E1B" w:rsidRPr="0001260B">
        <w:rPr>
          <w:rFonts w:ascii="Times New Roman" w:hAnsi="Times New Roman" w:cs="Times New Roman"/>
          <w:sz w:val="24"/>
          <w:szCs w:val="24"/>
          <w:lang w:val="en-GB"/>
        </w:rPr>
        <w:t xml:space="preserve">efficiency </w:t>
      </w:r>
      <w:r w:rsidRPr="00614438">
        <w:rPr>
          <w:rFonts w:ascii="Times New Roman" w:hAnsi="Times New Roman" w:cs="Times New Roman"/>
          <w:sz w:val="24"/>
          <w:szCs w:val="24"/>
          <w:lang w:val="en-GB"/>
        </w:rPr>
        <w:t xml:space="preserve">requirements </w:t>
      </w:r>
      <w:r w:rsidR="00543E1B">
        <w:rPr>
          <w:rFonts w:ascii="Times New Roman" w:hAnsi="Times New Roman" w:cs="Times New Roman"/>
          <w:sz w:val="24"/>
          <w:szCs w:val="24"/>
          <w:lang w:val="en-GB"/>
        </w:rPr>
        <w:t>that exceed</w:t>
      </w:r>
      <w:r w:rsidRPr="00614438">
        <w:rPr>
          <w:rFonts w:ascii="Times New Roman" w:hAnsi="Times New Roman" w:cs="Times New Roman"/>
          <w:sz w:val="24"/>
          <w:szCs w:val="24"/>
          <w:lang w:val="en-GB"/>
        </w:rPr>
        <w:t xml:space="preserve"> the minimum</w:t>
      </w:r>
      <w:r w:rsidR="00543E1B">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w:t>
      </w:r>
      <w:r w:rsidR="0001260B" w:rsidRPr="0001260B">
        <w:rPr>
          <w:rFonts w:ascii="Times New Roman" w:hAnsi="Times New Roman" w:cs="Times New Roman"/>
          <w:sz w:val="24"/>
          <w:szCs w:val="24"/>
          <w:lang w:val="en-GB"/>
        </w:rPr>
        <w:t>by introducing regulatory and additional fiscal and financial measures.</w:t>
      </w:r>
    </w:p>
    <w:p w14:paraId="6B2667F2" w14:textId="77777777" w:rsidR="00614438" w:rsidRPr="00614438" w:rsidRDefault="00614438" w:rsidP="00543E1B">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Finally, the role of the Energy Performance </w:t>
      </w:r>
      <w:r w:rsidR="00543E1B">
        <w:rPr>
          <w:rFonts w:ascii="Times New Roman" w:hAnsi="Times New Roman" w:cs="Times New Roman"/>
          <w:sz w:val="24"/>
          <w:szCs w:val="24"/>
          <w:lang w:val="en-GB"/>
        </w:rPr>
        <w:t xml:space="preserve">Building </w:t>
      </w:r>
      <w:r w:rsidRPr="00614438">
        <w:rPr>
          <w:rFonts w:ascii="Times New Roman" w:hAnsi="Times New Roman" w:cs="Times New Roman"/>
          <w:sz w:val="24"/>
          <w:szCs w:val="24"/>
          <w:lang w:val="en-GB"/>
        </w:rPr>
        <w:t xml:space="preserve">Certificates will be enhanced aiming at their transformation into renovation passports so as to fully aligned with the provisions of the revised Directive 2018/844/EU and to facilitate the implementation of the most cost-effective interventions. Moreover, the role of the energy management systems can be also essential to the attainment of the energy efficiency targets. Obviously, all the before-mentioned priorities will be taken into consideration during the update of the legislative framework at national level (e.g., Rulebook on Energy </w:t>
      </w:r>
      <w:r w:rsidR="00543E1B">
        <w:rPr>
          <w:rFonts w:ascii="Times New Roman" w:hAnsi="Times New Roman" w:cs="Times New Roman"/>
          <w:sz w:val="24"/>
          <w:szCs w:val="24"/>
          <w:lang w:val="en-GB"/>
        </w:rPr>
        <w:t>Performance</w:t>
      </w:r>
      <w:r w:rsidRPr="00614438">
        <w:rPr>
          <w:rFonts w:ascii="Times New Roman" w:hAnsi="Times New Roman" w:cs="Times New Roman"/>
          <w:sz w:val="24"/>
          <w:szCs w:val="24"/>
          <w:lang w:val="en-GB"/>
        </w:rPr>
        <w:t xml:space="preserve"> in Buildings) in order to ensure the attainment of the specified targets.</w:t>
      </w:r>
    </w:p>
    <w:p w14:paraId="3B6EA287"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80"/>
        <w:gridCol w:w="1097"/>
        <w:gridCol w:w="938"/>
        <w:gridCol w:w="4143"/>
        <w:gridCol w:w="222"/>
      </w:tblGrid>
      <w:tr w:rsidR="00614438" w:rsidRPr="00AA7A53" w14:paraId="53570ADD" w14:textId="77777777" w:rsidTr="00FA29EF">
        <w:trPr>
          <w:gridAfter w:val="1"/>
          <w:wAfter w:w="222" w:type="dxa"/>
          <w:trHeight w:val="780"/>
        </w:trPr>
        <w:tc>
          <w:tcPr>
            <w:tcW w:w="3280"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1E5DF96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 xml:space="preserve">Policy measure code: </w:t>
            </w:r>
          </w:p>
        </w:tc>
        <w:tc>
          <w:tcPr>
            <w:tcW w:w="1097" w:type="dxa"/>
            <w:tcBorders>
              <w:top w:val="single" w:sz="8" w:space="0" w:color="auto"/>
              <w:left w:val="nil"/>
              <w:bottom w:val="single" w:sz="8" w:space="0" w:color="auto"/>
              <w:right w:val="single" w:sz="8" w:space="0" w:color="auto"/>
            </w:tcBorders>
            <w:shd w:val="clear" w:color="auto" w:fill="E7E6E6" w:themeFill="background2"/>
            <w:vAlign w:val="center"/>
            <w:hideMark/>
          </w:tcPr>
          <w:p w14:paraId="163493A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PM_EE1</w:t>
            </w:r>
          </w:p>
        </w:tc>
        <w:tc>
          <w:tcPr>
            <w:tcW w:w="938" w:type="dxa"/>
            <w:tcBorders>
              <w:top w:val="single" w:sz="8" w:space="0" w:color="auto"/>
              <w:left w:val="nil"/>
              <w:bottom w:val="single" w:sz="8" w:space="0" w:color="auto"/>
              <w:right w:val="single" w:sz="8" w:space="0" w:color="auto"/>
            </w:tcBorders>
            <w:shd w:val="clear" w:color="auto" w:fill="244062"/>
            <w:vAlign w:val="center"/>
            <w:hideMark/>
          </w:tcPr>
          <w:p w14:paraId="7A11DF0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43" w:type="dxa"/>
            <w:tcBorders>
              <w:top w:val="single" w:sz="8" w:space="0" w:color="auto"/>
              <w:left w:val="nil"/>
              <w:bottom w:val="single" w:sz="8" w:space="0" w:color="auto"/>
              <w:right w:val="single" w:sz="8" w:space="0" w:color="auto"/>
            </w:tcBorders>
            <w:shd w:val="clear" w:color="auto" w:fill="E7E6E6" w:themeFill="background2"/>
            <w:vAlign w:val="center"/>
            <w:hideMark/>
          </w:tcPr>
          <w:p w14:paraId="1AA55267" w14:textId="77777777" w:rsidR="00614438" w:rsidRPr="00AA7A53" w:rsidRDefault="00543E1B"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Financial support for energy rehabilitation of residential buildings.</w:t>
            </w:r>
          </w:p>
        </w:tc>
      </w:tr>
      <w:tr w:rsidR="00614438" w:rsidRPr="00AA7A53" w14:paraId="4F2F7864" w14:textId="77777777" w:rsidTr="00FA29EF">
        <w:trPr>
          <w:gridAfter w:val="1"/>
          <w:wAfter w:w="222" w:type="dxa"/>
          <w:trHeight w:val="960"/>
        </w:trPr>
        <w:tc>
          <w:tcPr>
            <w:tcW w:w="3280" w:type="dxa"/>
            <w:tcBorders>
              <w:top w:val="nil"/>
              <w:left w:val="single" w:sz="8" w:space="0" w:color="auto"/>
              <w:bottom w:val="single" w:sz="8" w:space="0" w:color="auto"/>
              <w:right w:val="nil"/>
            </w:tcBorders>
            <w:shd w:val="clear" w:color="auto" w:fill="244062"/>
            <w:vAlign w:val="center"/>
            <w:hideMark/>
          </w:tcPr>
          <w:p w14:paraId="4D48AB2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78" w:type="dxa"/>
            <w:gridSpan w:val="3"/>
            <w:tcBorders>
              <w:top w:val="single" w:sz="8" w:space="0" w:color="auto"/>
              <w:left w:val="nil"/>
              <w:bottom w:val="single" w:sz="8" w:space="0" w:color="auto"/>
              <w:right w:val="single" w:sz="8" w:space="0" w:color="000000"/>
            </w:tcBorders>
            <w:vAlign w:val="center"/>
            <w:hideMark/>
          </w:tcPr>
          <w:p w14:paraId="77DA11F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2012/27/EU, as amended by Directive (EU) 2018/2002:</w:t>
            </w:r>
          </w:p>
          <w:p w14:paraId="03EF152F" w14:textId="77777777" w:rsidR="00614438" w:rsidRPr="00AA7A53" w:rsidRDefault="00614438" w:rsidP="00AA7A53">
            <w:pPr>
              <w:numPr>
                <w:ilvl w:val="0"/>
                <w:numId w:val="49"/>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060C5C42" w14:textId="77777777" w:rsidR="00614438" w:rsidRPr="00AA7A53" w:rsidRDefault="00614438" w:rsidP="00AA7A53">
            <w:pPr>
              <w:numPr>
                <w:ilvl w:val="0"/>
                <w:numId w:val="49"/>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4</w:t>
            </w:r>
          </w:p>
          <w:p w14:paraId="233BFB96" w14:textId="77777777" w:rsidR="00614438" w:rsidRPr="00AA7A53" w:rsidRDefault="00614438" w:rsidP="00AA7A53">
            <w:pPr>
              <w:numPr>
                <w:ilvl w:val="0"/>
                <w:numId w:val="49"/>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tc>
      </w:tr>
      <w:tr w:rsidR="00614438" w:rsidRPr="00AA7A53" w14:paraId="0D853840" w14:textId="77777777" w:rsidTr="00FA29EF">
        <w:trPr>
          <w:gridAfter w:val="1"/>
          <w:wAfter w:w="222" w:type="dxa"/>
          <w:trHeight w:val="315"/>
        </w:trPr>
        <w:tc>
          <w:tcPr>
            <w:tcW w:w="3280" w:type="dxa"/>
            <w:tcBorders>
              <w:top w:val="nil"/>
              <w:left w:val="single" w:sz="8" w:space="0" w:color="auto"/>
              <w:bottom w:val="single" w:sz="8" w:space="0" w:color="auto"/>
              <w:right w:val="single" w:sz="8" w:space="0" w:color="auto"/>
            </w:tcBorders>
            <w:shd w:val="clear" w:color="auto" w:fill="244062"/>
            <w:vAlign w:val="center"/>
            <w:hideMark/>
          </w:tcPr>
          <w:p w14:paraId="6B2A786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78" w:type="dxa"/>
            <w:gridSpan w:val="3"/>
            <w:tcBorders>
              <w:top w:val="single" w:sz="8" w:space="0" w:color="auto"/>
              <w:left w:val="nil"/>
              <w:bottom w:val="single" w:sz="8" w:space="0" w:color="auto"/>
              <w:right w:val="single" w:sz="8" w:space="0" w:color="000000"/>
            </w:tcBorders>
            <w:vAlign w:val="center"/>
            <w:hideMark/>
          </w:tcPr>
          <w:p w14:paraId="575B0793" w14:textId="77777777" w:rsidR="00614438" w:rsidRPr="00AA7A53" w:rsidRDefault="00614438" w:rsidP="00AA7A53">
            <w:pPr>
              <w:numPr>
                <w:ilvl w:val="0"/>
                <w:numId w:val="49"/>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131 thousand energy-renovated residential buildings (final energy savings 35 ktoe delivered by interventions in the building </w:t>
            </w:r>
            <w:r w:rsidR="00543E1B" w:rsidRPr="00AA7A53">
              <w:rPr>
                <w:rFonts w:ascii="Times New Roman" w:hAnsi="Times New Roman" w:cs="Times New Roman"/>
                <w:sz w:val="20"/>
                <w:szCs w:val="20"/>
              </w:rPr>
              <w:t>envelope</w:t>
            </w:r>
            <w:r w:rsidRPr="00AA7A53">
              <w:rPr>
                <w:rFonts w:ascii="Times New Roman" w:hAnsi="Times New Roman" w:cs="Times New Roman"/>
                <w:sz w:val="20"/>
                <w:szCs w:val="20"/>
              </w:rPr>
              <w:t>)</w:t>
            </w:r>
          </w:p>
          <w:p w14:paraId="5A3E76BB" w14:textId="77777777" w:rsidR="00614438" w:rsidRPr="00AA7A53" w:rsidRDefault="00614438" w:rsidP="00AA7A53">
            <w:pPr>
              <w:numPr>
                <w:ilvl w:val="0"/>
                <w:numId w:val="49"/>
              </w:numPr>
              <w:spacing w:after="0"/>
              <w:jc w:val="both"/>
              <w:rPr>
                <w:rFonts w:ascii="Times New Roman" w:hAnsi="Times New Roman" w:cs="Times New Roman"/>
                <w:sz w:val="20"/>
                <w:szCs w:val="20"/>
              </w:rPr>
            </w:pPr>
            <w:r w:rsidRPr="00AA7A53">
              <w:rPr>
                <w:rFonts w:ascii="Times New Roman" w:hAnsi="Times New Roman" w:cs="Times New Roman"/>
                <w:sz w:val="20"/>
                <w:szCs w:val="20"/>
              </w:rPr>
              <w:t>14.3 million m</w:t>
            </w:r>
            <w:r w:rsidRPr="00AA7A53">
              <w:rPr>
                <w:rFonts w:ascii="Times New Roman" w:hAnsi="Times New Roman" w:cs="Times New Roman"/>
                <w:sz w:val="20"/>
                <w:szCs w:val="20"/>
                <w:vertAlign w:val="superscript"/>
              </w:rPr>
              <w:t>2</w:t>
            </w:r>
            <w:r w:rsidRPr="00AA7A53">
              <w:rPr>
                <w:rFonts w:ascii="Times New Roman" w:hAnsi="Times New Roman" w:cs="Times New Roman"/>
                <w:sz w:val="20"/>
                <w:szCs w:val="20"/>
              </w:rPr>
              <w:t xml:space="preserve"> of energy-renovated residential buildings</w:t>
            </w:r>
          </w:p>
          <w:p w14:paraId="295DC617" w14:textId="77777777" w:rsidR="00614438" w:rsidRPr="00AA7A53" w:rsidRDefault="00614438" w:rsidP="00AA7A53">
            <w:pPr>
              <w:numPr>
                <w:ilvl w:val="0"/>
                <w:numId w:val="49"/>
              </w:numPr>
              <w:spacing w:after="0"/>
              <w:jc w:val="both"/>
              <w:rPr>
                <w:rFonts w:ascii="Times New Roman" w:hAnsi="Times New Roman" w:cs="Times New Roman"/>
                <w:sz w:val="20"/>
                <w:szCs w:val="20"/>
              </w:rPr>
            </w:pPr>
            <w:r w:rsidRPr="00AA7A53">
              <w:rPr>
                <w:rFonts w:ascii="Times New Roman" w:hAnsi="Times New Roman" w:cs="Times New Roman"/>
                <w:sz w:val="20"/>
                <w:szCs w:val="20"/>
              </w:rPr>
              <w:t>2 GWth new capacity of heat pumps (final energy savings 34 ktoe)</w:t>
            </w:r>
          </w:p>
        </w:tc>
      </w:tr>
      <w:tr w:rsidR="00614438" w:rsidRPr="00AA7A53" w14:paraId="28B4494E" w14:textId="77777777" w:rsidTr="00FA29EF">
        <w:trPr>
          <w:gridAfter w:val="1"/>
          <w:wAfter w:w="222" w:type="dxa"/>
          <w:trHeight w:val="2295"/>
        </w:trPr>
        <w:tc>
          <w:tcPr>
            <w:tcW w:w="3280" w:type="dxa"/>
            <w:tcBorders>
              <w:top w:val="nil"/>
              <w:left w:val="single" w:sz="8" w:space="0" w:color="auto"/>
              <w:bottom w:val="single" w:sz="8" w:space="0" w:color="auto"/>
              <w:right w:val="single" w:sz="8" w:space="0" w:color="auto"/>
            </w:tcBorders>
            <w:shd w:val="clear" w:color="auto" w:fill="244062"/>
            <w:vAlign w:val="center"/>
            <w:hideMark/>
          </w:tcPr>
          <w:p w14:paraId="4ACBA53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78" w:type="dxa"/>
            <w:gridSpan w:val="3"/>
            <w:tcBorders>
              <w:top w:val="single" w:sz="8" w:space="0" w:color="auto"/>
              <w:left w:val="nil"/>
              <w:bottom w:val="single" w:sz="8" w:space="0" w:color="auto"/>
              <w:right w:val="single" w:sz="8" w:space="0" w:color="000000"/>
            </w:tcBorders>
            <w:vAlign w:val="center"/>
            <w:hideMark/>
          </w:tcPr>
          <w:p w14:paraId="018D66F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PM_EE1 will provide subsidies for the energy renovation of the existing residential buildings. The design and provision of the dedicated financial incentives will facilitate the more extensive energy renovation of the residential buildings through the rehabilitation of the building envelope and technical systems attaining the optimum cost-effectiveness ratio and increasing the share of the own funds, which will be utilized. Emphasis will be given on the promotion of heat pumps through specialized actions. Additional financial and fiscal measures will be initiated, such as the adoption of targeted tax deductions, credit lines and soft-interest loans in the case that the contribution of the planned subsidies is not sufficient. Special focus will be given on the energy renovation of the buildings in the Just Transition areas. The planned measure will </w:t>
            </w:r>
            <w:r w:rsidR="00C61058" w:rsidRPr="00AA7A53">
              <w:rPr>
                <w:rFonts w:ascii="Times New Roman" w:hAnsi="Times New Roman" w:cs="Times New Roman"/>
                <w:sz w:val="20"/>
                <w:szCs w:val="20"/>
                <w:lang w:val="en-GB"/>
              </w:rPr>
              <w:t xml:space="preserve">also </w:t>
            </w:r>
            <w:r w:rsidRPr="00AA7A53">
              <w:rPr>
                <w:rFonts w:ascii="Times New Roman" w:hAnsi="Times New Roman" w:cs="Times New Roman"/>
                <w:sz w:val="20"/>
                <w:szCs w:val="20"/>
                <w:lang w:val="en-GB"/>
              </w:rPr>
              <w:t>be utilised so as to combat energy poverty.</w:t>
            </w:r>
          </w:p>
        </w:tc>
      </w:tr>
      <w:tr w:rsidR="00614438" w:rsidRPr="00AA7A53" w14:paraId="52B60F43" w14:textId="77777777" w:rsidTr="00FA29EF">
        <w:trPr>
          <w:gridAfter w:val="1"/>
          <w:wAfter w:w="222" w:type="dxa"/>
          <w:trHeight w:val="315"/>
        </w:trPr>
        <w:tc>
          <w:tcPr>
            <w:tcW w:w="3280" w:type="dxa"/>
            <w:tcBorders>
              <w:top w:val="nil"/>
              <w:left w:val="single" w:sz="8" w:space="0" w:color="auto"/>
              <w:bottom w:val="single" w:sz="8" w:space="0" w:color="auto"/>
              <w:right w:val="single" w:sz="8" w:space="0" w:color="auto"/>
            </w:tcBorders>
            <w:shd w:val="clear" w:color="auto" w:fill="244062"/>
            <w:vAlign w:val="center"/>
            <w:hideMark/>
          </w:tcPr>
          <w:p w14:paraId="276D0FE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78" w:type="dxa"/>
            <w:gridSpan w:val="3"/>
            <w:tcBorders>
              <w:top w:val="single" w:sz="8" w:space="0" w:color="auto"/>
              <w:left w:val="nil"/>
              <w:bottom w:val="single" w:sz="8" w:space="0" w:color="auto"/>
              <w:right w:val="single" w:sz="8" w:space="0" w:color="000000"/>
            </w:tcBorders>
            <w:vAlign w:val="center"/>
            <w:hideMark/>
          </w:tcPr>
          <w:p w14:paraId="1E08CD3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7F7C5DEE" w14:textId="77777777" w:rsidTr="00FA29EF">
        <w:trPr>
          <w:gridAfter w:val="1"/>
          <w:wAfter w:w="222" w:type="dxa"/>
          <w:trHeight w:val="315"/>
        </w:trPr>
        <w:tc>
          <w:tcPr>
            <w:tcW w:w="3280" w:type="dxa"/>
            <w:tcBorders>
              <w:top w:val="nil"/>
              <w:left w:val="single" w:sz="8" w:space="0" w:color="auto"/>
              <w:bottom w:val="single" w:sz="8" w:space="0" w:color="auto"/>
              <w:right w:val="single" w:sz="8" w:space="0" w:color="auto"/>
            </w:tcBorders>
            <w:shd w:val="clear" w:color="auto" w:fill="244062"/>
            <w:vAlign w:val="center"/>
            <w:hideMark/>
          </w:tcPr>
          <w:p w14:paraId="2D744FB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78" w:type="dxa"/>
            <w:gridSpan w:val="3"/>
            <w:tcBorders>
              <w:top w:val="single" w:sz="8" w:space="0" w:color="auto"/>
              <w:left w:val="nil"/>
              <w:bottom w:val="single" w:sz="8" w:space="0" w:color="auto"/>
              <w:right w:val="single" w:sz="8" w:space="0" w:color="000000"/>
            </w:tcBorders>
            <w:vAlign w:val="center"/>
            <w:hideMark/>
          </w:tcPr>
          <w:p w14:paraId="62234E3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2A50C575" w14:textId="77777777" w:rsidTr="00FA29EF">
        <w:trPr>
          <w:gridAfter w:val="1"/>
          <w:wAfter w:w="222" w:type="dxa"/>
          <w:trHeight w:val="315"/>
        </w:trPr>
        <w:tc>
          <w:tcPr>
            <w:tcW w:w="3280" w:type="dxa"/>
            <w:tcBorders>
              <w:top w:val="nil"/>
              <w:left w:val="single" w:sz="8" w:space="0" w:color="auto"/>
              <w:bottom w:val="single" w:sz="8" w:space="0" w:color="auto"/>
              <w:right w:val="single" w:sz="8" w:space="0" w:color="auto"/>
            </w:tcBorders>
            <w:shd w:val="clear" w:color="auto" w:fill="244062"/>
            <w:vAlign w:val="center"/>
            <w:hideMark/>
          </w:tcPr>
          <w:p w14:paraId="612C7E6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78" w:type="dxa"/>
            <w:gridSpan w:val="3"/>
            <w:tcBorders>
              <w:top w:val="single" w:sz="8" w:space="0" w:color="auto"/>
              <w:left w:val="nil"/>
              <w:bottom w:val="single" w:sz="8" w:space="0" w:color="auto"/>
              <w:right w:val="single" w:sz="8" w:space="0" w:color="000000"/>
            </w:tcBorders>
            <w:vAlign w:val="center"/>
            <w:hideMark/>
          </w:tcPr>
          <w:p w14:paraId="02F9201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Residential</w:t>
            </w:r>
          </w:p>
        </w:tc>
      </w:tr>
      <w:tr w:rsidR="00614438" w:rsidRPr="00AA7A53" w14:paraId="2911D5E9" w14:textId="77777777" w:rsidTr="00FA29EF">
        <w:trPr>
          <w:gridAfter w:val="1"/>
          <w:wAfter w:w="222" w:type="dxa"/>
          <w:trHeight w:val="315"/>
        </w:trPr>
        <w:tc>
          <w:tcPr>
            <w:tcW w:w="3280" w:type="dxa"/>
            <w:tcBorders>
              <w:top w:val="nil"/>
              <w:left w:val="single" w:sz="8" w:space="0" w:color="auto"/>
              <w:bottom w:val="single" w:sz="8" w:space="0" w:color="auto"/>
              <w:right w:val="single" w:sz="8" w:space="0" w:color="auto"/>
            </w:tcBorders>
            <w:shd w:val="clear" w:color="auto" w:fill="244062"/>
            <w:vAlign w:val="center"/>
            <w:hideMark/>
          </w:tcPr>
          <w:p w14:paraId="77B3EEB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78" w:type="dxa"/>
            <w:gridSpan w:val="3"/>
            <w:tcBorders>
              <w:top w:val="single" w:sz="8" w:space="0" w:color="auto"/>
              <w:left w:val="nil"/>
              <w:bottom w:val="single" w:sz="8" w:space="0" w:color="auto"/>
              <w:right w:val="single" w:sz="8" w:space="0" w:color="000000"/>
            </w:tcBorders>
            <w:vAlign w:val="center"/>
            <w:hideMark/>
          </w:tcPr>
          <w:p w14:paraId="4CD927A9" w14:textId="77777777" w:rsidR="00C61058" w:rsidRPr="00AA7A53" w:rsidRDefault="00C61058" w:rsidP="00AA7A53">
            <w:pPr>
              <w:numPr>
                <w:ilvl w:val="0"/>
                <w:numId w:val="5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p w14:paraId="41D3681E" w14:textId="77777777" w:rsidR="00C61058" w:rsidRPr="00AA7A53" w:rsidRDefault="00614438" w:rsidP="00AA7A53">
            <w:pPr>
              <w:numPr>
                <w:ilvl w:val="0"/>
                <w:numId w:val="5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r w:rsidR="00C61058" w:rsidRPr="00AA7A53">
              <w:rPr>
                <w:rFonts w:ascii="Times New Roman" w:hAnsi="Times New Roman" w:cs="Times New Roman"/>
                <w:sz w:val="20"/>
                <w:szCs w:val="20"/>
              </w:rPr>
              <w:t>,</w:t>
            </w:r>
          </w:p>
          <w:p w14:paraId="664E2C0D" w14:textId="77777777" w:rsidR="00614438" w:rsidRPr="00AA7A53" w:rsidRDefault="00614438" w:rsidP="00AA7A53">
            <w:pPr>
              <w:numPr>
                <w:ilvl w:val="0"/>
                <w:numId w:val="50"/>
              </w:numPr>
              <w:spacing w:after="0"/>
              <w:jc w:val="both"/>
              <w:rPr>
                <w:rFonts w:ascii="Times New Roman" w:hAnsi="Times New Roman" w:cs="Times New Roman"/>
                <w:sz w:val="20"/>
                <w:szCs w:val="20"/>
              </w:rPr>
            </w:pPr>
            <w:r w:rsidRPr="00AA7A53">
              <w:rPr>
                <w:rFonts w:ascii="Times New Roman" w:hAnsi="Times New Roman" w:cs="Times New Roman"/>
                <w:sz w:val="20"/>
                <w:szCs w:val="20"/>
                <w:lang w:val="sr-Cyrl-CS"/>
              </w:rPr>
              <w:t>EE Directorate</w:t>
            </w:r>
            <w:r w:rsidR="00C61058" w:rsidRPr="00AA7A53">
              <w:rPr>
                <w:rFonts w:ascii="Times New Roman" w:hAnsi="Times New Roman" w:cs="Times New Roman"/>
                <w:sz w:val="20"/>
                <w:szCs w:val="20"/>
              </w:rPr>
              <w:t>,</w:t>
            </w:r>
          </w:p>
          <w:p w14:paraId="5FFCD0CD" w14:textId="77777777" w:rsidR="00614438" w:rsidRPr="00AA7A53" w:rsidRDefault="00614438" w:rsidP="00AA7A53">
            <w:pPr>
              <w:numPr>
                <w:ilvl w:val="0"/>
                <w:numId w:val="5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p w14:paraId="00E33FC3" w14:textId="77777777" w:rsidR="00614438" w:rsidRPr="00AA7A53" w:rsidRDefault="00614438" w:rsidP="00AA7A53">
            <w:pPr>
              <w:numPr>
                <w:ilvl w:val="0"/>
                <w:numId w:val="50"/>
              </w:numPr>
              <w:spacing w:after="0"/>
              <w:jc w:val="both"/>
              <w:rPr>
                <w:rFonts w:ascii="Times New Roman" w:hAnsi="Times New Roman" w:cs="Times New Roman"/>
                <w:sz w:val="20"/>
                <w:szCs w:val="20"/>
              </w:rPr>
            </w:pPr>
            <w:r w:rsidRPr="00AA7A53">
              <w:rPr>
                <w:rFonts w:ascii="Times New Roman" w:hAnsi="Times New Roman" w:cs="Times New Roman"/>
                <w:sz w:val="20"/>
                <w:szCs w:val="20"/>
              </w:rPr>
              <w:t>Donors</w:t>
            </w:r>
          </w:p>
        </w:tc>
      </w:tr>
      <w:tr w:rsidR="00614438" w:rsidRPr="00AA7A53" w14:paraId="5D355E2C" w14:textId="77777777" w:rsidTr="00FA29EF">
        <w:trPr>
          <w:gridAfter w:val="1"/>
          <w:wAfter w:w="222" w:type="dxa"/>
          <w:trHeight w:val="315"/>
        </w:trPr>
        <w:tc>
          <w:tcPr>
            <w:tcW w:w="3280" w:type="dxa"/>
            <w:tcBorders>
              <w:top w:val="nil"/>
              <w:left w:val="single" w:sz="8" w:space="0" w:color="auto"/>
              <w:bottom w:val="single" w:sz="8" w:space="0" w:color="auto"/>
              <w:right w:val="nil"/>
            </w:tcBorders>
            <w:shd w:val="clear" w:color="auto" w:fill="244062"/>
            <w:vAlign w:val="center"/>
            <w:hideMark/>
          </w:tcPr>
          <w:p w14:paraId="2C481CB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78" w:type="dxa"/>
            <w:gridSpan w:val="3"/>
            <w:tcBorders>
              <w:top w:val="single" w:sz="8" w:space="0" w:color="auto"/>
              <w:left w:val="nil"/>
              <w:bottom w:val="single" w:sz="8" w:space="0" w:color="auto"/>
              <w:right w:val="single" w:sz="8" w:space="0" w:color="000000"/>
            </w:tcBorders>
            <w:vAlign w:val="center"/>
            <w:hideMark/>
          </w:tcPr>
          <w:p w14:paraId="65829259" w14:textId="77777777" w:rsidR="00614438" w:rsidRPr="00AA7A53" w:rsidRDefault="00614438" w:rsidP="00AA7A53">
            <w:pPr>
              <w:numPr>
                <w:ilvl w:val="0"/>
                <w:numId w:val="50"/>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54E348AC" w14:textId="77777777" w:rsidTr="00FA29EF">
        <w:trPr>
          <w:gridAfter w:val="1"/>
          <w:wAfter w:w="222" w:type="dxa"/>
          <w:trHeight w:val="315"/>
        </w:trPr>
        <w:tc>
          <w:tcPr>
            <w:tcW w:w="3280" w:type="dxa"/>
            <w:tcBorders>
              <w:top w:val="nil"/>
              <w:left w:val="single" w:sz="8" w:space="0" w:color="auto"/>
              <w:bottom w:val="single" w:sz="8" w:space="0" w:color="auto"/>
              <w:right w:val="nil"/>
            </w:tcBorders>
            <w:shd w:val="clear" w:color="auto" w:fill="244062"/>
            <w:vAlign w:val="center"/>
            <w:hideMark/>
          </w:tcPr>
          <w:p w14:paraId="636AAD7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78" w:type="dxa"/>
            <w:gridSpan w:val="3"/>
            <w:tcBorders>
              <w:top w:val="single" w:sz="8" w:space="0" w:color="auto"/>
              <w:left w:val="nil"/>
              <w:bottom w:val="single" w:sz="8" w:space="0" w:color="auto"/>
              <w:right w:val="single" w:sz="8" w:space="0" w:color="000000"/>
            </w:tcBorders>
            <w:vAlign w:val="center"/>
            <w:hideMark/>
          </w:tcPr>
          <w:p w14:paraId="0E8E05F4" w14:textId="77777777" w:rsidR="00614438" w:rsidRPr="00AA7A53" w:rsidRDefault="00614438" w:rsidP="00AA7A53">
            <w:pPr>
              <w:numPr>
                <w:ilvl w:val="0"/>
                <w:numId w:val="50"/>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renovated buildings</w:t>
            </w:r>
          </w:p>
          <w:p w14:paraId="798712F1" w14:textId="77777777" w:rsidR="00614438" w:rsidRPr="00AA7A53" w:rsidRDefault="00614438" w:rsidP="00AA7A53">
            <w:pPr>
              <w:numPr>
                <w:ilvl w:val="0"/>
                <w:numId w:val="50"/>
              </w:numPr>
              <w:spacing w:after="0"/>
              <w:jc w:val="both"/>
              <w:rPr>
                <w:rFonts w:ascii="Times New Roman" w:hAnsi="Times New Roman" w:cs="Times New Roman"/>
                <w:sz w:val="20"/>
                <w:szCs w:val="20"/>
              </w:rPr>
            </w:pPr>
            <w:r w:rsidRPr="00AA7A53">
              <w:rPr>
                <w:rFonts w:ascii="Times New Roman" w:hAnsi="Times New Roman" w:cs="Times New Roman"/>
                <w:sz w:val="20"/>
                <w:szCs w:val="20"/>
              </w:rPr>
              <w:t>Total surface area of energy-renovated residential buildings</w:t>
            </w:r>
          </w:p>
          <w:p w14:paraId="4DEE9552" w14:textId="77777777" w:rsidR="00614438" w:rsidRPr="00AA7A53" w:rsidRDefault="00614438" w:rsidP="00AA7A53">
            <w:pPr>
              <w:numPr>
                <w:ilvl w:val="0"/>
                <w:numId w:val="50"/>
              </w:numPr>
              <w:spacing w:after="0"/>
              <w:jc w:val="both"/>
              <w:rPr>
                <w:rFonts w:ascii="Times New Roman" w:hAnsi="Times New Roman" w:cs="Times New Roman"/>
                <w:sz w:val="20"/>
                <w:szCs w:val="20"/>
              </w:rPr>
            </w:pPr>
            <w:r w:rsidRPr="00AA7A53">
              <w:rPr>
                <w:rFonts w:ascii="Times New Roman" w:hAnsi="Times New Roman" w:cs="Times New Roman"/>
                <w:sz w:val="20"/>
                <w:szCs w:val="20"/>
              </w:rPr>
              <w:t>Installed capacity of heat pumps</w:t>
            </w:r>
          </w:p>
        </w:tc>
      </w:tr>
      <w:tr w:rsidR="00614438" w:rsidRPr="00AA7A53" w14:paraId="2628D701" w14:textId="77777777" w:rsidTr="00FA29EF">
        <w:trPr>
          <w:gridAfter w:val="1"/>
          <w:wAfter w:w="222" w:type="dxa"/>
          <w:trHeight w:val="429"/>
        </w:trPr>
        <w:tc>
          <w:tcPr>
            <w:tcW w:w="3280" w:type="dxa"/>
            <w:tcBorders>
              <w:top w:val="nil"/>
              <w:left w:val="single" w:sz="8" w:space="0" w:color="auto"/>
              <w:bottom w:val="single" w:sz="8" w:space="0" w:color="auto"/>
              <w:right w:val="single" w:sz="8" w:space="0" w:color="auto"/>
            </w:tcBorders>
            <w:shd w:val="clear" w:color="auto" w:fill="244062"/>
            <w:vAlign w:val="center"/>
            <w:hideMark/>
          </w:tcPr>
          <w:p w14:paraId="2E67DF2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78" w:type="dxa"/>
            <w:gridSpan w:val="3"/>
            <w:tcBorders>
              <w:top w:val="single" w:sz="8" w:space="0" w:color="auto"/>
              <w:left w:val="nil"/>
              <w:bottom w:val="single" w:sz="8" w:space="0" w:color="auto"/>
              <w:right w:val="single" w:sz="8" w:space="0" w:color="000000"/>
            </w:tcBorders>
            <w:vAlign w:val="center"/>
            <w:hideMark/>
          </w:tcPr>
          <w:p w14:paraId="61E9A261" w14:textId="77777777" w:rsidR="00614438" w:rsidRPr="00AA7A53" w:rsidRDefault="00614438" w:rsidP="00AA7A53">
            <w:pPr>
              <w:numPr>
                <w:ilvl w:val="0"/>
                <w:numId w:val="50"/>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Decarbonisation (the delivered energy savings will decrease the consumed quantities of fossil fuels leading to the respective GHG emission reduction </w:t>
            </w:r>
            <w:r w:rsidR="00C61058"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utilised RES technologies will increase the RES share in heating and cooling)</w:t>
            </w:r>
          </w:p>
          <w:p w14:paraId="5B0745B1" w14:textId="77777777" w:rsidR="00614438" w:rsidRPr="00AA7A53" w:rsidRDefault="00614438" w:rsidP="00AA7A53">
            <w:pPr>
              <w:numPr>
                <w:ilvl w:val="0"/>
                <w:numId w:val="50"/>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p w14:paraId="41098B11" w14:textId="77777777" w:rsidR="00614438" w:rsidRPr="00AA7A53" w:rsidRDefault="00614438" w:rsidP="00AA7A53">
            <w:pPr>
              <w:numPr>
                <w:ilvl w:val="0"/>
                <w:numId w:val="50"/>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 (the promoted energy efficiency technologies will contribute to the alleviation of energy poverty)</w:t>
            </w:r>
          </w:p>
        </w:tc>
      </w:tr>
      <w:tr w:rsidR="00614438" w:rsidRPr="00AA7A53" w14:paraId="62D048C0" w14:textId="77777777" w:rsidTr="00FA29EF">
        <w:trPr>
          <w:gridAfter w:val="1"/>
          <w:wAfter w:w="222" w:type="dxa"/>
          <w:trHeight w:val="458"/>
        </w:trPr>
        <w:tc>
          <w:tcPr>
            <w:tcW w:w="3280" w:type="dxa"/>
            <w:vMerge w:val="restart"/>
            <w:tcBorders>
              <w:top w:val="nil"/>
              <w:left w:val="single" w:sz="8" w:space="0" w:color="auto"/>
              <w:bottom w:val="single" w:sz="8" w:space="0" w:color="000000"/>
              <w:right w:val="single" w:sz="8" w:space="0" w:color="auto"/>
            </w:tcBorders>
            <w:shd w:val="clear" w:color="auto" w:fill="244062"/>
            <w:vAlign w:val="center"/>
            <w:hideMark/>
          </w:tcPr>
          <w:p w14:paraId="07CD145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78"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190F775" w14:textId="77777777" w:rsidR="00614438" w:rsidRPr="00AA7A53" w:rsidRDefault="00614438" w:rsidP="00AA7A53">
            <w:pPr>
              <w:numPr>
                <w:ilvl w:val="0"/>
                <w:numId w:val="5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2010/31</w:t>
            </w:r>
          </w:p>
          <w:p w14:paraId="11723EC4" w14:textId="77777777" w:rsidR="00614438" w:rsidRPr="00AA7A53" w:rsidRDefault="00614438" w:rsidP="00AA7A53">
            <w:pPr>
              <w:numPr>
                <w:ilvl w:val="0"/>
                <w:numId w:val="5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66DE90F6" w14:textId="77777777" w:rsidR="00614438" w:rsidRPr="00AA7A53" w:rsidRDefault="00614438" w:rsidP="00AA7A53">
            <w:pPr>
              <w:numPr>
                <w:ilvl w:val="0"/>
                <w:numId w:val="5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p w14:paraId="036C0A35" w14:textId="77777777" w:rsidR="00614438" w:rsidRPr="00AA7A53" w:rsidRDefault="00614438" w:rsidP="00AA7A53">
            <w:pPr>
              <w:numPr>
                <w:ilvl w:val="0"/>
                <w:numId w:val="5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2018/844</w:t>
            </w:r>
          </w:p>
        </w:tc>
      </w:tr>
      <w:tr w:rsidR="00614438" w:rsidRPr="00AA7A53" w14:paraId="08AA0155"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6B83E21C"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D864FBF"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64AE2AB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C844493"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7D01D299"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9F924AD"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7600ECAB"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42FD1147" w14:textId="77777777" w:rsidTr="00FA29EF">
        <w:trPr>
          <w:trHeight w:val="780"/>
        </w:trPr>
        <w:tc>
          <w:tcPr>
            <w:tcW w:w="3280" w:type="dxa"/>
            <w:tcBorders>
              <w:top w:val="nil"/>
              <w:left w:val="single" w:sz="8" w:space="0" w:color="auto"/>
              <w:bottom w:val="single" w:sz="8" w:space="0" w:color="auto"/>
              <w:right w:val="single" w:sz="8" w:space="0" w:color="auto"/>
            </w:tcBorders>
            <w:shd w:val="clear" w:color="auto" w:fill="244062"/>
            <w:vAlign w:val="center"/>
            <w:hideMark/>
          </w:tcPr>
          <w:p w14:paraId="194776F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78" w:type="dxa"/>
            <w:gridSpan w:val="3"/>
            <w:tcBorders>
              <w:top w:val="single" w:sz="8" w:space="0" w:color="auto"/>
              <w:left w:val="nil"/>
              <w:bottom w:val="single" w:sz="8" w:space="0" w:color="auto"/>
              <w:right w:val="single" w:sz="8" w:space="0" w:color="000000"/>
            </w:tcBorders>
            <w:vAlign w:val="center"/>
            <w:hideMark/>
          </w:tcPr>
          <w:p w14:paraId="65ABF171" w14:textId="77777777" w:rsidR="00614438" w:rsidRPr="00AA7A53" w:rsidRDefault="00614438" w:rsidP="00AA7A53">
            <w:pPr>
              <w:numPr>
                <w:ilvl w:val="0"/>
                <w:numId w:val="50"/>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 Efficiency and Rational Use of Energy</w:t>
            </w:r>
          </w:p>
          <w:p w14:paraId="105A64BB" w14:textId="77777777" w:rsidR="00C61058" w:rsidRPr="00AA7A53" w:rsidRDefault="00C61058" w:rsidP="00AA7A53">
            <w:pPr>
              <w:numPr>
                <w:ilvl w:val="0"/>
                <w:numId w:val="50"/>
              </w:numPr>
              <w:spacing w:after="0"/>
              <w:jc w:val="both"/>
              <w:rPr>
                <w:rFonts w:ascii="Times New Roman" w:hAnsi="Times New Roman" w:cs="Times New Roman"/>
                <w:sz w:val="20"/>
                <w:szCs w:val="20"/>
              </w:rPr>
            </w:pPr>
            <w:r w:rsidRPr="00AA7A53">
              <w:rPr>
                <w:rFonts w:ascii="Times New Roman" w:hAnsi="Times New Roman" w:cs="Times New Roman"/>
                <w:sz w:val="20"/>
                <w:szCs w:val="20"/>
              </w:rPr>
              <w:t>A long-term strategy to encourage investment in the renovation of the national building stock</w:t>
            </w:r>
          </w:p>
          <w:p w14:paraId="76D703E4" w14:textId="77777777" w:rsidR="00C61058" w:rsidRPr="00AA7A53" w:rsidRDefault="00C61058" w:rsidP="00AA7A53">
            <w:pPr>
              <w:numPr>
                <w:ilvl w:val="0"/>
                <w:numId w:val="50"/>
              </w:numPr>
              <w:spacing w:after="0"/>
              <w:jc w:val="both"/>
              <w:rPr>
                <w:rFonts w:ascii="Times New Roman" w:hAnsi="Times New Roman" w:cs="Times New Roman"/>
                <w:sz w:val="20"/>
                <w:szCs w:val="20"/>
              </w:rPr>
            </w:pPr>
            <w:r w:rsidRPr="00AA7A53">
              <w:rPr>
                <w:rFonts w:ascii="Times New Roman" w:hAnsi="Times New Roman" w:cs="Times New Roman"/>
                <w:sz w:val="20"/>
                <w:szCs w:val="20"/>
              </w:rPr>
              <w:t>the law and by-laws regulating the energy efficiency of buildings</w:t>
            </w:r>
          </w:p>
        </w:tc>
        <w:tc>
          <w:tcPr>
            <w:tcW w:w="222" w:type="dxa"/>
            <w:vAlign w:val="center"/>
            <w:hideMark/>
          </w:tcPr>
          <w:p w14:paraId="31BD373E"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C9B36C2" w14:textId="77777777" w:rsidTr="00FA29EF">
        <w:trPr>
          <w:trHeight w:val="315"/>
        </w:trPr>
        <w:tc>
          <w:tcPr>
            <w:tcW w:w="3280" w:type="dxa"/>
            <w:tcBorders>
              <w:top w:val="nil"/>
              <w:left w:val="single" w:sz="8" w:space="0" w:color="auto"/>
              <w:bottom w:val="single" w:sz="8" w:space="0" w:color="auto"/>
              <w:right w:val="single" w:sz="8" w:space="0" w:color="auto"/>
            </w:tcBorders>
            <w:shd w:val="clear" w:color="auto" w:fill="244062"/>
            <w:vAlign w:val="center"/>
            <w:hideMark/>
          </w:tcPr>
          <w:p w14:paraId="018C9CC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Implementation cost</w:t>
            </w:r>
          </w:p>
        </w:tc>
        <w:tc>
          <w:tcPr>
            <w:tcW w:w="6178" w:type="dxa"/>
            <w:gridSpan w:val="3"/>
            <w:tcBorders>
              <w:top w:val="single" w:sz="8" w:space="0" w:color="auto"/>
              <w:left w:val="nil"/>
              <w:bottom w:val="single" w:sz="8" w:space="0" w:color="auto"/>
              <w:right w:val="single" w:sz="8" w:space="0" w:color="000000"/>
            </w:tcBorders>
            <w:vAlign w:val="center"/>
            <w:hideMark/>
          </w:tcPr>
          <w:p w14:paraId="0A67127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1,711 M€ (801 M€ for interventions in the building envelope and 910 M€ for heat pumps)</w:t>
            </w:r>
          </w:p>
        </w:tc>
        <w:tc>
          <w:tcPr>
            <w:tcW w:w="222" w:type="dxa"/>
            <w:vAlign w:val="center"/>
            <w:hideMark/>
          </w:tcPr>
          <w:p w14:paraId="2F3B9A4D"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13F5710" w14:textId="77777777" w:rsidTr="00FA29EF">
        <w:trPr>
          <w:trHeight w:val="315"/>
        </w:trPr>
        <w:tc>
          <w:tcPr>
            <w:tcW w:w="3280" w:type="dxa"/>
            <w:tcBorders>
              <w:top w:val="nil"/>
              <w:left w:val="single" w:sz="8" w:space="0" w:color="auto"/>
              <w:bottom w:val="single" w:sz="8" w:space="0" w:color="auto"/>
              <w:right w:val="single" w:sz="8" w:space="0" w:color="auto"/>
            </w:tcBorders>
            <w:shd w:val="clear" w:color="auto" w:fill="244062"/>
            <w:vAlign w:val="center"/>
            <w:hideMark/>
          </w:tcPr>
          <w:p w14:paraId="099063D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78" w:type="dxa"/>
            <w:gridSpan w:val="3"/>
            <w:tcBorders>
              <w:top w:val="single" w:sz="8" w:space="0" w:color="auto"/>
              <w:left w:val="nil"/>
              <w:bottom w:val="single" w:sz="8" w:space="0" w:color="auto"/>
              <w:right w:val="single" w:sz="8" w:space="0" w:color="000000"/>
            </w:tcBorders>
            <w:vAlign w:val="center"/>
            <w:hideMark/>
          </w:tcPr>
          <w:p w14:paraId="03530983" w14:textId="77777777" w:rsidR="00C6105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grants, public funds and own funds, funds of international financial institutions</w:t>
            </w:r>
            <w:r w:rsidR="00C61058" w:rsidRPr="00AA7A53">
              <w:rPr>
                <w:rFonts w:ascii="Times New Roman" w:hAnsi="Times New Roman" w:cs="Times New Roman"/>
                <w:sz w:val="20"/>
                <w:szCs w:val="20"/>
                <w:lang w:val="en-GB"/>
              </w:rPr>
              <w:t>. The possibility of applying the ESCO financing model.</w:t>
            </w:r>
          </w:p>
        </w:tc>
        <w:tc>
          <w:tcPr>
            <w:tcW w:w="222" w:type="dxa"/>
            <w:vAlign w:val="center"/>
            <w:hideMark/>
          </w:tcPr>
          <w:p w14:paraId="23A08C9E" w14:textId="77777777" w:rsidR="00614438" w:rsidRPr="00AA7A53" w:rsidRDefault="00614438" w:rsidP="00AA7A53">
            <w:pPr>
              <w:spacing w:after="0"/>
              <w:jc w:val="both"/>
              <w:rPr>
                <w:rFonts w:ascii="Times New Roman" w:hAnsi="Times New Roman" w:cs="Times New Roman"/>
                <w:sz w:val="20"/>
                <w:szCs w:val="20"/>
                <w:lang w:val="en-GB"/>
              </w:rPr>
            </w:pPr>
          </w:p>
        </w:tc>
      </w:tr>
    </w:tbl>
    <w:p w14:paraId="55FBE8D9"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83"/>
        <w:gridCol w:w="1097"/>
        <w:gridCol w:w="938"/>
        <w:gridCol w:w="4140"/>
        <w:gridCol w:w="222"/>
      </w:tblGrid>
      <w:tr w:rsidR="00614438" w:rsidRPr="00AA7A53" w14:paraId="0B9CF812" w14:textId="77777777" w:rsidTr="00C95E6F">
        <w:trPr>
          <w:gridAfter w:val="1"/>
          <w:wAfter w:w="222" w:type="dxa"/>
          <w:trHeight w:val="780"/>
        </w:trPr>
        <w:tc>
          <w:tcPr>
            <w:tcW w:w="3283"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C20C1D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097" w:type="dxa"/>
            <w:tcBorders>
              <w:top w:val="single" w:sz="8" w:space="0" w:color="auto"/>
              <w:left w:val="nil"/>
              <w:bottom w:val="single" w:sz="8" w:space="0" w:color="auto"/>
              <w:right w:val="single" w:sz="8" w:space="0" w:color="auto"/>
            </w:tcBorders>
            <w:shd w:val="clear" w:color="auto" w:fill="E7E6E6" w:themeFill="background2"/>
            <w:vAlign w:val="center"/>
            <w:hideMark/>
          </w:tcPr>
          <w:p w14:paraId="4FBA573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PM_EE2</w:t>
            </w:r>
          </w:p>
        </w:tc>
        <w:tc>
          <w:tcPr>
            <w:tcW w:w="938" w:type="dxa"/>
            <w:tcBorders>
              <w:top w:val="single" w:sz="8" w:space="0" w:color="auto"/>
              <w:left w:val="nil"/>
              <w:bottom w:val="single" w:sz="8" w:space="0" w:color="auto"/>
              <w:right w:val="single" w:sz="8" w:space="0" w:color="auto"/>
            </w:tcBorders>
            <w:shd w:val="clear" w:color="auto" w:fill="244062"/>
            <w:vAlign w:val="center"/>
            <w:hideMark/>
          </w:tcPr>
          <w:p w14:paraId="3AB08C3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40" w:type="dxa"/>
            <w:tcBorders>
              <w:top w:val="single" w:sz="8" w:space="0" w:color="auto"/>
              <w:left w:val="nil"/>
              <w:bottom w:val="single" w:sz="8" w:space="0" w:color="auto"/>
              <w:right w:val="single" w:sz="8" w:space="0" w:color="auto"/>
            </w:tcBorders>
            <w:shd w:val="clear" w:color="auto" w:fill="E7E6E6" w:themeFill="background2"/>
            <w:vAlign w:val="center"/>
            <w:hideMark/>
          </w:tcPr>
          <w:p w14:paraId="22009691" w14:textId="77777777" w:rsidR="00FA29EF" w:rsidRPr="00AA7A53" w:rsidRDefault="00FA29EF"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Financial s</w:t>
            </w:r>
            <w:r w:rsidR="00614438" w:rsidRPr="00AA7A53">
              <w:rPr>
                <w:rFonts w:ascii="Times New Roman" w:hAnsi="Times New Roman" w:cs="Times New Roman"/>
                <w:sz w:val="20"/>
                <w:szCs w:val="20"/>
                <w:lang w:val="en-GB"/>
              </w:rPr>
              <w:t xml:space="preserve">upport </w:t>
            </w:r>
            <w:r w:rsidRPr="00AA7A53">
              <w:rPr>
                <w:rFonts w:ascii="Times New Roman" w:hAnsi="Times New Roman" w:cs="Times New Roman"/>
                <w:sz w:val="20"/>
                <w:szCs w:val="20"/>
                <w:lang w:val="en-GB"/>
              </w:rPr>
              <w:t xml:space="preserve">for </w:t>
            </w:r>
            <w:r w:rsidR="00614438" w:rsidRPr="00AA7A53">
              <w:rPr>
                <w:rFonts w:ascii="Times New Roman" w:hAnsi="Times New Roman" w:cs="Times New Roman"/>
                <w:sz w:val="20"/>
                <w:szCs w:val="20"/>
                <w:lang w:val="en-GB"/>
              </w:rPr>
              <w:t>the energy renovation of public buildings</w:t>
            </w:r>
          </w:p>
        </w:tc>
      </w:tr>
      <w:tr w:rsidR="00614438" w:rsidRPr="00AA7A53" w14:paraId="2BEBFC61" w14:textId="77777777" w:rsidTr="00C95E6F">
        <w:trPr>
          <w:gridAfter w:val="1"/>
          <w:wAfter w:w="222" w:type="dxa"/>
          <w:trHeight w:val="960"/>
        </w:trPr>
        <w:tc>
          <w:tcPr>
            <w:tcW w:w="3283" w:type="dxa"/>
            <w:tcBorders>
              <w:top w:val="nil"/>
              <w:left w:val="single" w:sz="8" w:space="0" w:color="auto"/>
              <w:bottom w:val="single" w:sz="8" w:space="0" w:color="auto"/>
              <w:right w:val="nil"/>
            </w:tcBorders>
            <w:shd w:val="clear" w:color="auto" w:fill="244062"/>
            <w:vAlign w:val="center"/>
            <w:hideMark/>
          </w:tcPr>
          <w:p w14:paraId="1FE5714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75" w:type="dxa"/>
            <w:gridSpan w:val="3"/>
            <w:tcBorders>
              <w:top w:val="single" w:sz="8" w:space="0" w:color="auto"/>
              <w:left w:val="nil"/>
              <w:bottom w:val="single" w:sz="8" w:space="0" w:color="auto"/>
              <w:right w:val="single" w:sz="8" w:space="0" w:color="000000"/>
            </w:tcBorders>
            <w:vAlign w:val="center"/>
            <w:hideMark/>
          </w:tcPr>
          <w:p w14:paraId="4037871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Fulfilment Implementation of the following articles of the Directive (EU) 2012/27/EU, as amended by Directive (EU) 2018/2002:</w:t>
            </w:r>
          </w:p>
          <w:p w14:paraId="2D47209A" w14:textId="77777777" w:rsidR="00614438" w:rsidRPr="00AA7A53" w:rsidRDefault="00614438" w:rsidP="00AA7A53">
            <w:pPr>
              <w:numPr>
                <w:ilvl w:val="0"/>
                <w:numId w:val="51"/>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1CBA8F36" w14:textId="77777777" w:rsidR="00614438" w:rsidRPr="00AA7A53" w:rsidRDefault="00614438" w:rsidP="00AA7A53">
            <w:pPr>
              <w:numPr>
                <w:ilvl w:val="0"/>
                <w:numId w:val="51"/>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4</w:t>
            </w:r>
          </w:p>
          <w:p w14:paraId="3C14C73C" w14:textId="77777777" w:rsidR="00614438" w:rsidRPr="00AA7A53" w:rsidRDefault="00614438" w:rsidP="00AA7A53">
            <w:pPr>
              <w:numPr>
                <w:ilvl w:val="0"/>
                <w:numId w:val="51"/>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5</w:t>
            </w:r>
          </w:p>
          <w:p w14:paraId="042C209E" w14:textId="77777777" w:rsidR="00614438" w:rsidRPr="00AA7A53" w:rsidRDefault="00614438" w:rsidP="00AA7A53">
            <w:pPr>
              <w:numPr>
                <w:ilvl w:val="0"/>
                <w:numId w:val="51"/>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tc>
      </w:tr>
      <w:tr w:rsidR="00614438" w:rsidRPr="00AA7A53" w14:paraId="6EA8AB6E" w14:textId="77777777" w:rsidTr="00C95E6F">
        <w:trPr>
          <w:gridAfter w:val="1"/>
          <w:wAfter w:w="222" w:type="dxa"/>
          <w:trHeight w:val="315"/>
        </w:trPr>
        <w:tc>
          <w:tcPr>
            <w:tcW w:w="3283" w:type="dxa"/>
            <w:tcBorders>
              <w:top w:val="nil"/>
              <w:left w:val="single" w:sz="8" w:space="0" w:color="auto"/>
              <w:bottom w:val="single" w:sz="8" w:space="0" w:color="auto"/>
              <w:right w:val="single" w:sz="8" w:space="0" w:color="auto"/>
            </w:tcBorders>
            <w:shd w:val="clear" w:color="auto" w:fill="244062"/>
            <w:vAlign w:val="center"/>
            <w:hideMark/>
          </w:tcPr>
          <w:p w14:paraId="173DEAC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75" w:type="dxa"/>
            <w:gridSpan w:val="3"/>
            <w:tcBorders>
              <w:top w:val="single" w:sz="8" w:space="0" w:color="auto"/>
              <w:left w:val="nil"/>
              <w:bottom w:val="single" w:sz="8" w:space="0" w:color="auto"/>
              <w:right w:val="single" w:sz="8" w:space="0" w:color="000000"/>
            </w:tcBorders>
            <w:vAlign w:val="center"/>
            <w:hideMark/>
          </w:tcPr>
          <w:p w14:paraId="3D65CB4F" w14:textId="77777777" w:rsidR="00614438" w:rsidRPr="00AA7A53" w:rsidRDefault="00614438" w:rsidP="00AA7A53">
            <w:pPr>
              <w:numPr>
                <w:ilvl w:val="0"/>
                <w:numId w:val="52"/>
              </w:numPr>
              <w:spacing w:after="0"/>
              <w:jc w:val="both"/>
              <w:rPr>
                <w:rFonts w:ascii="Times New Roman" w:hAnsi="Times New Roman" w:cs="Times New Roman"/>
                <w:sz w:val="20"/>
                <w:szCs w:val="20"/>
              </w:rPr>
            </w:pPr>
            <w:r w:rsidRPr="00AA7A53">
              <w:rPr>
                <w:rFonts w:ascii="Times New Roman" w:hAnsi="Times New Roman" w:cs="Times New Roman"/>
                <w:sz w:val="20"/>
                <w:szCs w:val="20"/>
              </w:rPr>
              <w:t>1,206 thousand m</w:t>
            </w:r>
            <w:r w:rsidRPr="00AA7A53">
              <w:rPr>
                <w:rFonts w:ascii="Times New Roman" w:hAnsi="Times New Roman" w:cs="Times New Roman"/>
                <w:sz w:val="20"/>
                <w:szCs w:val="20"/>
                <w:vertAlign w:val="superscript"/>
              </w:rPr>
              <w:t>2</w:t>
            </w:r>
            <w:r w:rsidRPr="00AA7A53">
              <w:rPr>
                <w:rFonts w:ascii="Times New Roman" w:hAnsi="Times New Roman" w:cs="Times New Roman"/>
                <w:sz w:val="20"/>
                <w:szCs w:val="20"/>
              </w:rPr>
              <w:t xml:space="preserve"> energy-renovated public buildings (final energy savings 5 ktoe delivered by interventions in the building envelope)</w:t>
            </w:r>
          </w:p>
          <w:p w14:paraId="053573D0" w14:textId="77777777" w:rsidR="00614438" w:rsidRPr="00AA7A53" w:rsidRDefault="00614438" w:rsidP="00AA7A53">
            <w:pPr>
              <w:numPr>
                <w:ilvl w:val="0"/>
                <w:numId w:val="52"/>
              </w:numPr>
              <w:spacing w:after="0"/>
              <w:jc w:val="both"/>
              <w:rPr>
                <w:rFonts w:ascii="Times New Roman" w:hAnsi="Times New Roman" w:cs="Times New Roman"/>
                <w:sz w:val="20"/>
                <w:szCs w:val="20"/>
              </w:rPr>
            </w:pPr>
            <w:r w:rsidRPr="00AA7A53">
              <w:rPr>
                <w:rFonts w:ascii="Times New Roman" w:hAnsi="Times New Roman" w:cs="Times New Roman"/>
                <w:sz w:val="20"/>
                <w:szCs w:val="20"/>
              </w:rPr>
              <w:t>1.3 GWth new capacity of heat pumps (final energy savings 27 ktoe)</w:t>
            </w:r>
          </w:p>
        </w:tc>
      </w:tr>
      <w:tr w:rsidR="00614438" w:rsidRPr="00AA7A53" w14:paraId="00EA9824" w14:textId="77777777" w:rsidTr="00C95E6F">
        <w:trPr>
          <w:gridAfter w:val="1"/>
          <w:wAfter w:w="222" w:type="dxa"/>
          <w:trHeight w:val="443"/>
        </w:trPr>
        <w:tc>
          <w:tcPr>
            <w:tcW w:w="3283" w:type="dxa"/>
            <w:tcBorders>
              <w:top w:val="nil"/>
              <w:left w:val="single" w:sz="8" w:space="0" w:color="auto"/>
              <w:bottom w:val="single" w:sz="8" w:space="0" w:color="auto"/>
              <w:right w:val="single" w:sz="8" w:space="0" w:color="auto"/>
            </w:tcBorders>
            <w:shd w:val="clear" w:color="auto" w:fill="244062"/>
            <w:vAlign w:val="center"/>
            <w:hideMark/>
          </w:tcPr>
          <w:p w14:paraId="57C595F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75" w:type="dxa"/>
            <w:gridSpan w:val="3"/>
            <w:tcBorders>
              <w:top w:val="single" w:sz="8" w:space="0" w:color="auto"/>
              <w:left w:val="nil"/>
              <w:bottom w:val="single" w:sz="8" w:space="0" w:color="auto"/>
              <w:right w:val="single" w:sz="8" w:space="0" w:color="000000"/>
            </w:tcBorders>
            <w:vAlign w:val="center"/>
            <w:hideMark/>
          </w:tcPr>
          <w:p w14:paraId="5218150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PM_EE2 will promote the energy renovation of the public buildings</w:t>
            </w:r>
            <w:r w:rsidR="00FA29EF"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highlighting the exemplary role of the public sector. The most cost-effective interventions will be supported for the rehabilitation of the building envelope and technical systems attaining the optimum cost-effectiveness ratio as prioritized within the framework of the energy management systems, which will be developed by the responsible authorities in accordance with the Law on Energy Efficiency and Rational Use of Energy. The achievement of the target for the energy renovation of buildings owned and used by the central administration (central government buildings – CGB) of 3% annually will be achieved with the most cost-effective approach, while the potential</w:t>
            </w:r>
            <w:r w:rsidR="00FA29EF" w:rsidRPr="00AA7A53">
              <w:rPr>
                <w:rFonts w:ascii="Times New Roman" w:hAnsi="Times New Roman" w:cs="Times New Roman"/>
                <w:sz w:val="20"/>
                <w:szCs w:val="20"/>
                <w:lang w:val="en-GB"/>
              </w:rPr>
              <w:t>ly</w:t>
            </w:r>
            <w:r w:rsidRPr="00AA7A53">
              <w:rPr>
                <w:rFonts w:ascii="Times New Roman" w:hAnsi="Times New Roman" w:cs="Times New Roman"/>
                <w:sz w:val="20"/>
                <w:szCs w:val="20"/>
                <w:lang w:val="en-GB"/>
              </w:rPr>
              <w:t xml:space="preserve"> more ambitious targets, related to the renovation of the specific percentage of heated and cooled state-owned buildings used by the public administration will be examined. Special focus will be given on the energy renovation of the buildings in the Just Transition areas.</w:t>
            </w:r>
          </w:p>
        </w:tc>
      </w:tr>
      <w:tr w:rsidR="00614438" w:rsidRPr="00AA7A53" w14:paraId="677D248B" w14:textId="77777777" w:rsidTr="00C95E6F">
        <w:trPr>
          <w:gridAfter w:val="1"/>
          <w:wAfter w:w="222" w:type="dxa"/>
          <w:trHeight w:val="315"/>
        </w:trPr>
        <w:tc>
          <w:tcPr>
            <w:tcW w:w="3283" w:type="dxa"/>
            <w:tcBorders>
              <w:top w:val="nil"/>
              <w:left w:val="single" w:sz="8" w:space="0" w:color="auto"/>
              <w:bottom w:val="single" w:sz="8" w:space="0" w:color="auto"/>
              <w:right w:val="single" w:sz="8" w:space="0" w:color="auto"/>
            </w:tcBorders>
            <w:shd w:val="clear" w:color="auto" w:fill="244062"/>
            <w:vAlign w:val="center"/>
            <w:hideMark/>
          </w:tcPr>
          <w:p w14:paraId="42DB493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75" w:type="dxa"/>
            <w:gridSpan w:val="3"/>
            <w:tcBorders>
              <w:top w:val="single" w:sz="8" w:space="0" w:color="auto"/>
              <w:left w:val="nil"/>
              <w:bottom w:val="single" w:sz="8" w:space="0" w:color="auto"/>
              <w:right w:val="single" w:sz="8" w:space="0" w:color="000000"/>
            </w:tcBorders>
            <w:vAlign w:val="center"/>
            <w:hideMark/>
          </w:tcPr>
          <w:p w14:paraId="719475E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618822A8" w14:textId="77777777" w:rsidTr="00C95E6F">
        <w:trPr>
          <w:gridAfter w:val="1"/>
          <w:wAfter w:w="222" w:type="dxa"/>
          <w:trHeight w:val="315"/>
        </w:trPr>
        <w:tc>
          <w:tcPr>
            <w:tcW w:w="3283" w:type="dxa"/>
            <w:tcBorders>
              <w:top w:val="nil"/>
              <w:left w:val="single" w:sz="8" w:space="0" w:color="auto"/>
              <w:bottom w:val="single" w:sz="8" w:space="0" w:color="auto"/>
              <w:right w:val="single" w:sz="8" w:space="0" w:color="auto"/>
            </w:tcBorders>
            <w:shd w:val="clear" w:color="auto" w:fill="244062"/>
            <w:vAlign w:val="center"/>
            <w:hideMark/>
          </w:tcPr>
          <w:p w14:paraId="46EFD6B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75" w:type="dxa"/>
            <w:gridSpan w:val="3"/>
            <w:tcBorders>
              <w:top w:val="single" w:sz="8" w:space="0" w:color="auto"/>
              <w:left w:val="nil"/>
              <w:bottom w:val="single" w:sz="8" w:space="0" w:color="auto"/>
              <w:right w:val="single" w:sz="8" w:space="0" w:color="000000"/>
            </w:tcBorders>
            <w:vAlign w:val="center"/>
            <w:hideMark/>
          </w:tcPr>
          <w:p w14:paraId="7A0D0BB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636B8710" w14:textId="77777777" w:rsidTr="00C95E6F">
        <w:trPr>
          <w:gridAfter w:val="1"/>
          <w:wAfter w:w="222" w:type="dxa"/>
          <w:trHeight w:val="315"/>
        </w:trPr>
        <w:tc>
          <w:tcPr>
            <w:tcW w:w="3283" w:type="dxa"/>
            <w:tcBorders>
              <w:top w:val="nil"/>
              <w:left w:val="single" w:sz="8" w:space="0" w:color="auto"/>
              <w:bottom w:val="single" w:sz="8" w:space="0" w:color="auto"/>
              <w:right w:val="single" w:sz="8" w:space="0" w:color="auto"/>
            </w:tcBorders>
            <w:shd w:val="clear" w:color="auto" w:fill="244062"/>
            <w:vAlign w:val="center"/>
            <w:hideMark/>
          </w:tcPr>
          <w:p w14:paraId="3EA66E8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75" w:type="dxa"/>
            <w:gridSpan w:val="3"/>
            <w:tcBorders>
              <w:top w:val="single" w:sz="8" w:space="0" w:color="auto"/>
              <w:left w:val="nil"/>
              <w:bottom w:val="single" w:sz="8" w:space="0" w:color="auto"/>
              <w:right w:val="single" w:sz="8" w:space="0" w:color="000000"/>
            </w:tcBorders>
            <w:vAlign w:val="center"/>
            <w:hideMark/>
          </w:tcPr>
          <w:p w14:paraId="11EA452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Public</w:t>
            </w:r>
          </w:p>
        </w:tc>
      </w:tr>
      <w:tr w:rsidR="00614438" w:rsidRPr="00AA7A53" w14:paraId="4DC216D6" w14:textId="77777777" w:rsidTr="00C95E6F">
        <w:trPr>
          <w:gridAfter w:val="1"/>
          <w:wAfter w:w="222" w:type="dxa"/>
          <w:trHeight w:val="315"/>
        </w:trPr>
        <w:tc>
          <w:tcPr>
            <w:tcW w:w="3283" w:type="dxa"/>
            <w:tcBorders>
              <w:top w:val="nil"/>
              <w:left w:val="single" w:sz="8" w:space="0" w:color="auto"/>
              <w:bottom w:val="single" w:sz="8" w:space="0" w:color="auto"/>
              <w:right w:val="single" w:sz="8" w:space="0" w:color="auto"/>
            </w:tcBorders>
            <w:shd w:val="clear" w:color="auto" w:fill="244062"/>
            <w:vAlign w:val="center"/>
            <w:hideMark/>
          </w:tcPr>
          <w:p w14:paraId="2F295CD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75" w:type="dxa"/>
            <w:gridSpan w:val="3"/>
            <w:tcBorders>
              <w:top w:val="single" w:sz="8" w:space="0" w:color="auto"/>
              <w:left w:val="nil"/>
              <w:bottom w:val="single" w:sz="8" w:space="0" w:color="auto"/>
              <w:right w:val="single" w:sz="8" w:space="0" w:color="000000"/>
            </w:tcBorders>
            <w:vAlign w:val="center"/>
            <w:hideMark/>
          </w:tcPr>
          <w:p w14:paraId="60DC3AE9" w14:textId="77777777" w:rsidR="00FA29EF" w:rsidRPr="00AA7A53" w:rsidRDefault="00614438" w:rsidP="00AA7A53">
            <w:pPr>
              <w:numPr>
                <w:ilvl w:val="0"/>
                <w:numId w:val="50"/>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Ministry of Mining and Energy</w:t>
            </w:r>
          </w:p>
          <w:p w14:paraId="7BCCF86C" w14:textId="77777777" w:rsidR="00614438" w:rsidRPr="00AA7A53" w:rsidRDefault="00614438" w:rsidP="00AA7A53">
            <w:pPr>
              <w:numPr>
                <w:ilvl w:val="0"/>
                <w:numId w:val="50"/>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EE Directorate</w:t>
            </w:r>
          </w:p>
          <w:p w14:paraId="01634A23" w14:textId="77777777" w:rsidR="00614438" w:rsidRPr="00AA7A53" w:rsidRDefault="00614438" w:rsidP="00AA7A53">
            <w:pPr>
              <w:numPr>
                <w:ilvl w:val="0"/>
                <w:numId w:val="5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p w14:paraId="591FE0C7" w14:textId="77777777" w:rsidR="00614438" w:rsidRPr="00AA7A53" w:rsidRDefault="00614438" w:rsidP="00AA7A53">
            <w:pPr>
              <w:numPr>
                <w:ilvl w:val="0"/>
                <w:numId w:val="50"/>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Provincial Secretariat of Vojvodina</w:t>
            </w:r>
            <w:r w:rsidR="00FA29EF" w:rsidRPr="00AA7A53">
              <w:rPr>
                <w:rFonts w:ascii="Times New Roman" w:hAnsi="Times New Roman" w:cs="Times New Roman"/>
                <w:sz w:val="20"/>
                <w:szCs w:val="20"/>
                <w:lang w:val="en-GB"/>
              </w:rPr>
              <w:t xml:space="preserve"> for Energy, Construction and Transport</w:t>
            </w:r>
          </w:p>
          <w:p w14:paraId="36FF17BF" w14:textId="77777777" w:rsidR="00614438" w:rsidRPr="00AA7A53" w:rsidRDefault="00614438" w:rsidP="00AA7A53">
            <w:pPr>
              <w:numPr>
                <w:ilvl w:val="0"/>
                <w:numId w:val="50"/>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Ministry of Construction, Transport and Infrastructure</w:t>
            </w:r>
          </w:p>
          <w:p w14:paraId="733EDD70" w14:textId="77777777" w:rsidR="00FA29EF" w:rsidRPr="00AA7A53" w:rsidRDefault="00FA29EF" w:rsidP="00AA7A53">
            <w:pPr>
              <w:numPr>
                <w:ilvl w:val="0"/>
                <w:numId w:val="50"/>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Ministry for Public Investments</w:t>
            </w:r>
          </w:p>
        </w:tc>
      </w:tr>
      <w:tr w:rsidR="00614438" w:rsidRPr="00AA7A53" w14:paraId="2FD0CC54" w14:textId="77777777" w:rsidTr="00C95E6F">
        <w:trPr>
          <w:gridAfter w:val="1"/>
          <w:wAfter w:w="222" w:type="dxa"/>
          <w:trHeight w:val="315"/>
        </w:trPr>
        <w:tc>
          <w:tcPr>
            <w:tcW w:w="3283" w:type="dxa"/>
            <w:tcBorders>
              <w:top w:val="nil"/>
              <w:left w:val="single" w:sz="8" w:space="0" w:color="auto"/>
              <w:bottom w:val="single" w:sz="8" w:space="0" w:color="auto"/>
              <w:right w:val="nil"/>
            </w:tcBorders>
            <w:shd w:val="clear" w:color="auto" w:fill="244062"/>
            <w:vAlign w:val="center"/>
            <w:hideMark/>
          </w:tcPr>
          <w:p w14:paraId="29F2E10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75" w:type="dxa"/>
            <w:gridSpan w:val="3"/>
            <w:tcBorders>
              <w:top w:val="single" w:sz="8" w:space="0" w:color="auto"/>
              <w:left w:val="nil"/>
              <w:bottom w:val="single" w:sz="8" w:space="0" w:color="auto"/>
              <w:right w:val="single" w:sz="8" w:space="0" w:color="000000"/>
            </w:tcBorders>
            <w:vAlign w:val="center"/>
            <w:hideMark/>
          </w:tcPr>
          <w:p w14:paraId="65B0198B" w14:textId="77777777" w:rsidR="00614438" w:rsidRPr="00AA7A53" w:rsidRDefault="00614438" w:rsidP="00AA7A53">
            <w:pPr>
              <w:numPr>
                <w:ilvl w:val="0"/>
                <w:numId w:val="50"/>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6983360F" w14:textId="77777777" w:rsidTr="00C95E6F">
        <w:trPr>
          <w:gridAfter w:val="1"/>
          <w:wAfter w:w="222" w:type="dxa"/>
          <w:trHeight w:val="315"/>
        </w:trPr>
        <w:tc>
          <w:tcPr>
            <w:tcW w:w="3283" w:type="dxa"/>
            <w:tcBorders>
              <w:top w:val="nil"/>
              <w:left w:val="single" w:sz="8" w:space="0" w:color="auto"/>
              <w:bottom w:val="single" w:sz="8" w:space="0" w:color="auto"/>
              <w:right w:val="nil"/>
            </w:tcBorders>
            <w:shd w:val="clear" w:color="auto" w:fill="244062"/>
            <w:vAlign w:val="center"/>
            <w:hideMark/>
          </w:tcPr>
          <w:p w14:paraId="783B7C6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75" w:type="dxa"/>
            <w:gridSpan w:val="3"/>
            <w:tcBorders>
              <w:top w:val="single" w:sz="8" w:space="0" w:color="auto"/>
              <w:left w:val="nil"/>
              <w:bottom w:val="single" w:sz="8" w:space="0" w:color="auto"/>
              <w:right w:val="single" w:sz="8" w:space="0" w:color="000000"/>
            </w:tcBorders>
            <w:vAlign w:val="center"/>
            <w:hideMark/>
          </w:tcPr>
          <w:p w14:paraId="1D200C48" w14:textId="77777777" w:rsidR="00614438" w:rsidRPr="00AA7A53" w:rsidRDefault="00614438" w:rsidP="00AA7A53">
            <w:pPr>
              <w:numPr>
                <w:ilvl w:val="0"/>
                <w:numId w:val="50"/>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Total surface area </w:t>
            </w:r>
            <w:r w:rsidR="00FA29EF" w:rsidRPr="00AA7A53">
              <w:rPr>
                <w:rFonts w:ascii="Times New Roman" w:hAnsi="Times New Roman" w:cs="Times New Roman"/>
                <w:sz w:val="20"/>
                <w:szCs w:val="20"/>
                <w:lang w:val="en-GB"/>
              </w:rPr>
              <w:t xml:space="preserve">in </w:t>
            </w:r>
            <w:r w:rsidR="00FA29EF" w:rsidRPr="00AA7A53">
              <w:rPr>
                <w:rFonts w:ascii="Times New Roman" w:eastAsia="Times New Roman" w:hAnsi="Times New Roman" w:cs="Times New Roman"/>
                <w:sz w:val="20"/>
                <w:szCs w:val="20"/>
                <w:lang w:eastAsia="el-GR"/>
              </w:rPr>
              <w:t>m</w:t>
            </w:r>
            <w:r w:rsidR="00FA29EF" w:rsidRPr="00AA7A53">
              <w:rPr>
                <w:rFonts w:ascii="Times New Roman" w:eastAsia="Times New Roman" w:hAnsi="Times New Roman" w:cs="Times New Roman"/>
                <w:sz w:val="20"/>
                <w:szCs w:val="20"/>
                <w:vertAlign w:val="superscript"/>
                <w:lang w:eastAsia="el-GR"/>
              </w:rPr>
              <w:t xml:space="preserve">2 </w:t>
            </w:r>
            <w:r w:rsidRPr="00AA7A53">
              <w:rPr>
                <w:rFonts w:ascii="Times New Roman" w:hAnsi="Times New Roman" w:cs="Times New Roman"/>
                <w:sz w:val="20"/>
                <w:szCs w:val="20"/>
                <w:lang w:val="en-GB"/>
              </w:rPr>
              <w:t>of energy-renovated public buildings</w:t>
            </w:r>
          </w:p>
          <w:p w14:paraId="7183D4AF" w14:textId="77777777" w:rsidR="00614438" w:rsidRPr="00AA7A53" w:rsidRDefault="00614438" w:rsidP="00AA7A53">
            <w:pPr>
              <w:numPr>
                <w:ilvl w:val="0"/>
                <w:numId w:val="50"/>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Installed capacity of heat pumps</w:t>
            </w:r>
          </w:p>
        </w:tc>
      </w:tr>
      <w:tr w:rsidR="00614438" w:rsidRPr="00AA7A53" w14:paraId="2BFE2828" w14:textId="77777777" w:rsidTr="00C95E6F">
        <w:trPr>
          <w:gridAfter w:val="1"/>
          <w:wAfter w:w="222" w:type="dxa"/>
          <w:trHeight w:val="379"/>
        </w:trPr>
        <w:tc>
          <w:tcPr>
            <w:tcW w:w="3283" w:type="dxa"/>
            <w:tcBorders>
              <w:top w:val="nil"/>
              <w:left w:val="single" w:sz="8" w:space="0" w:color="auto"/>
              <w:bottom w:val="single" w:sz="8" w:space="0" w:color="auto"/>
              <w:right w:val="single" w:sz="8" w:space="0" w:color="auto"/>
            </w:tcBorders>
            <w:shd w:val="clear" w:color="auto" w:fill="244062"/>
            <w:vAlign w:val="center"/>
            <w:hideMark/>
          </w:tcPr>
          <w:p w14:paraId="69BDBA4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75" w:type="dxa"/>
            <w:gridSpan w:val="3"/>
            <w:tcBorders>
              <w:top w:val="single" w:sz="8" w:space="0" w:color="auto"/>
              <w:left w:val="nil"/>
              <w:bottom w:val="single" w:sz="8" w:space="0" w:color="auto"/>
              <w:right w:val="single" w:sz="8" w:space="0" w:color="000000"/>
            </w:tcBorders>
            <w:vAlign w:val="center"/>
            <w:hideMark/>
          </w:tcPr>
          <w:p w14:paraId="2EA05E62" w14:textId="77777777" w:rsidR="00614438" w:rsidRPr="00AA7A53" w:rsidRDefault="00614438" w:rsidP="00AA7A53">
            <w:pPr>
              <w:numPr>
                <w:ilvl w:val="0"/>
                <w:numId w:val="53"/>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 leading to the respective GHG emission reduction &amp; the utilised RES technologies will increase the RES share in heating and cooling)</w:t>
            </w:r>
          </w:p>
          <w:p w14:paraId="5951A39A" w14:textId="77777777" w:rsidR="00614438" w:rsidRPr="00AA7A53" w:rsidRDefault="00614438" w:rsidP="00AA7A53">
            <w:pPr>
              <w:numPr>
                <w:ilvl w:val="0"/>
                <w:numId w:val="53"/>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609AB6D3" w14:textId="77777777" w:rsidTr="00C95E6F">
        <w:trPr>
          <w:gridAfter w:val="1"/>
          <w:wAfter w:w="222" w:type="dxa"/>
          <w:trHeight w:val="458"/>
        </w:trPr>
        <w:tc>
          <w:tcPr>
            <w:tcW w:w="3283" w:type="dxa"/>
            <w:vMerge w:val="restart"/>
            <w:tcBorders>
              <w:top w:val="nil"/>
              <w:left w:val="single" w:sz="8" w:space="0" w:color="auto"/>
              <w:bottom w:val="single" w:sz="8" w:space="0" w:color="000000"/>
              <w:right w:val="single" w:sz="8" w:space="0" w:color="auto"/>
            </w:tcBorders>
            <w:shd w:val="clear" w:color="auto" w:fill="244062"/>
            <w:vAlign w:val="center"/>
            <w:hideMark/>
          </w:tcPr>
          <w:p w14:paraId="50575ED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Union policy which resulted in the implementation of the PaM</w:t>
            </w:r>
          </w:p>
        </w:tc>
        <w:tc>
          <w:tcPr>
            <w:tcW w:w="6175"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42DF70C5" w14:textId="77777777" w:rsidR="00614438" w:rsidRPr="00AA7A53" w:rsidRDefault="00614438" w:rsidP="00AA7A53">
            <w:pPr>
              <w:numPr>
                <w:ilvl w:val="0"/>
                <w:numId w:val="54"/>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2010/31</w:t>
            </w:r>
          </w:p>
          <w:p w14:paraId="10F614A7" w14:textId="77777777" w:rsidR="00614438" w:rsidRPr="00AA7A53" w:rsidRDefault="00614438" w:rsidP="00AA7A53">
            <w:pPr>
              <w:numPr>
                <w:ilvl w:val="0"/>
                <w:numId w:val="54"/>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4B831166" w14:textId="77777777" w:rsidR="00614438" w:rsidRPr="00AA7A53" w:rsidRDefault="00614438" w:rsidP="00AA7A53">
            <w:pPr>
              <w:numPr>
                <w:ilvl w:val="0"/>
                <w:numId w:val="54"/>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p w14:paraId="7E3F61DF" w14:textId="77777777" w:rsidR="00614438" w:rsidRPr="00AA7A53" w:rsidRDefault="00614438" w:rsidP="00AA7A53">
            <w:pPr>
              <w:numPr>
                <w:ilvl w:val="0"/>
                <w:numId w:val="54"/>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2018/844</w:t>
            </w:r>
          </w:p>
        </w:tc>
      </w:tr>
      <w:tr w:rsidR="00614438" w:rsidRPr="00AA7A53" w14:paraId="15C2720A"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2A649E96"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124A37A"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25A067FF"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CDF32CD" w14:textId="77777777" w:rsidTr="00614438">
        <w:trPr>
          <w:trHeight w:val="315"/>
        </w:trPr>
        <w:tc>
          <w:tcPr>
            <w:tcW w:w="0" w:type="auto"/>
            <w:vMerge/>
            <w:tcBorders>
              <w:top w:val="nil"/>
              <w:left w:val="single" w:sz="8" w:space="0" w:color="auto"/>
              <w:bottom w:val="single" w:sz="8" w:space="0" w:color="000000"/>
              <w:right w:val="single" w:sz="8" w:space="0" w:color="auto"/>
            </w:tcBorders>
            <w:vAlign w:val="center"/>
            <w:hideMark/>
          </w:tcPr>
          <w:p w14:paraId="5F9D9949"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C0E7371"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116F7B70"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1FC9CF0D" w14:textId="77777777" w:rsidTr="00C95E6F">
        <w:trPr>
          <w:trHeight w:val="780"/>
        </w:trPr>
        <w:tc>
          <w:tcPr>
            <w:tcW w:w="3283" w:type="dxa"/>
            <w:tcBorders>
              <w:top w:val="nil"/>
              <w:left w:val="single" w:sz="8" w:space="0" w:color="auto"/>
              <w:bottom w:val="single" w:sz="8" w:space="0" w:color="auto"/>
              <w:right w:val="single" w:sz="8" w:space="0" w:color="auto"/>
            </w:tcBorders>
            <w:shd w:val="clear" w:color="auto" w:fill="244062"/>
            <w:vAlign w:val="center"/>
            <w:hideMark/>
          </w:tcPr>
          <w:p w14:paraId="19ACEEB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75" w:type="dxa"/>
            <w:gridSpan w:val="3"/>
            <w:tcBorders>
              <w:top w:val="single" w:sz="8" w:space="0" w:color="auto"/>
              <w:left w:val="nil"/>
              <w:bottom w:val="single" w:sz="8" w:space="0" w:color="auto"/>
              <w:right w:val="single" w:sz="8" w:space="0" w:color="000000"/>
            </w:tcBorders>
            <w:vAlign w:val="center"/>
            <w:hideMark/>
          </w:tcPr>
          <w:p w14:paraId="1A4FA3B3" w14:textId="77777777" w:rsidR="00FA29EF" w:rsidRPr="00AA7A53" w:rsidRDefault="00FA29EF" w:rsidP="00AA7A53">
            <w:pPr>
              <w:numPr>
                <w:ilvl w:val="0"/>
                <w:numId w:val="55"/>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 Efficiency and Rational Use of Energy</w:t>
            </w:r>
          </w:p>
          <w:p w14:paraId="7C47D819" w14:textId="77777777" w:rsidR="00FA29EF" w:rsidRPr="00AA7A53" w:rsidRDefault="00FA29EF" w:rsidP="00AA7A53">
            <w:pPr>
              <w:numPr>
                <w:ilvl w:val="0"/>
                <w:numId w:val="55"/>
              </w:numPr>
              <w:spacing w:after="0"/>
              <w:jc w:val="both"/>
              <w:rPr>
                <w:rFonts w:ascii="Times New Roman" w:hAnsi="Times New Roman" w:cs="Times New Roman"/>
                <w:sz w:val="20"/>
                <w:szCs w:val="20"/>
              </w:rPr>
            </w:pPr>
            <w:r w:rsidRPr="00AA7A53">
              <w:rPr>
                <w:rFonts w:ascii="Times New Roman" w:hAnsi="Times New Roman" w:cs="Times New Roman"/>
                <w:sz w:val="20"/>
                <w:szCs w:val="20"/>
              </w:rPr>
              <w:t>A long-term strategy to encourage investment in the renovation of the national building stock</w:t>
            </w:r>
          </w:p>
          <w:p w14:paraId="6B3A419F" w14:textId="77777777" w:rsidR="00614438" w:rsidRPr="00AA7A53" w:rsidRDefault="00FA29EF" w:rsidP="00AA7A53">
            <w:pPr>
              <w:numPr>
                <w:ilvl w:val="0"/>
                <w:numId w:val="55"/>
              </w:numPr>
              <w:spacing w:after="0"/>
              <w:jc w:val="both"/>
              <w:rPr>
                <w:rFonts w:ascii="Times New Roman" w:hAnsi="Times New Roman" w:cs="Times New Roman"/>
                <w:sz w:val="20"/>
                <w:szCs w:val="20"/>
              </w:rPr>
            </w:pPr>
            <w:r w:rsidRPr="00AA7A53">
              <w:rPr>
                <w:rFonts w:ascii="Times New Roman" w:hAnsi="Times New Roman" w:cs="Times New Roman"/>
                <w:sz w:val="20"/>
                <w:szCs w:val="20"/>
              </w:rPr>
              <w:t>the law and by-laws regulating the energy efficiency of buildings</w:t>
            </w:r>
          </w:p>
        </w:tc>
        <w:tc>
          <w:tcPr>
            <w:tcW w:w="222" w:type="dxa"/>
            <w:vAlign w:val="center"/>
            <w:hideMark/>
          </w:tcPr>
          <w:p w14:paraId="34F46B6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E916DF6" w14:textId="77777777" w:rsidTr="00C95E6F">
        <w:trPr>
          <w:trHeight w:val="315"/>
        </w:trPr>
        <w:tc>
          <w:tcPr>
            <w:tcW w:w="3283" w:type="dxa"/>
            <w:tcBorders>
              <w:top w:val="nil"/>
              <w:left w:val="single" w:sz="8" w:space="0" w:color="auto"/>
              <w:bottom w:val="single" w:sz="8" w:space="0" w:color="auto"/>
              <w:right w:val="single" w:sz="8" w:space="0" w:color="auto"/>
            </w:tcBorders>
            <w:shd w:val="clear" w:color="auto" w:fill="244062"/>
            <w:vAlign w:val="center"/>
            <w:hideMark/>
          </w:tcPr>
          <w:p w14:paraId="1C18DDC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75" w:type="dxa"/>
            <w:gridSpan w:val="3"/>
            <w:tcBorders>
              <w:top w:val="single" w:sz="8" w:space="0" w:color="auto"/>
              <w:left w:val="nil"/>
              <w:bottom w:val="single" w:sz="8" w:space="0" w:color="auto"/>
              <w:right w:val="single" w:sz="8" w:space="0" w:color="000000"/>
            </w:tcBorders>
            <w:vAlign w:val="center"/>
            <w:hideMark/>
          </w:tcPr>
          <w:p w14:paraId="0100A35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1,016 M€ (191 M€ for interventions in the building envelope and 825 M€ for heat pumps)</w:t>
            </w:r>
          </w:p>
        </w:tc>
        <w:tc>
          <w:tcPr>
            <w:tcW w:w="222" w:type="dxa"/>
            <w:vAlign w:val="center"/>
            <w:hideMark/>
          </w:tcPr>
          <w:p w14:paraId="1085F84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BA23C1E" w14:textId="77777777" w:rsidTr="00C95E6F">
        <w:trPr>
          <w:trHeight w:val="315"/>
        </w:trPr>
        <w:tc>
          <w:tcPr>
            <w:tcW w:w="3283" w:type="dxa"/>
            <w:tcBorders>
              <w:top w:val="nil"/>
              <w:left w:val="single" w:sz="8" w:space="0" w:color="auto"/>
              <w:bottom w:val="single" w:sz="8" w:space="0" w:color="auto"/>
              <w:right w:val="single" w:sz="8" w:space="0" w:color="auto"/>
            </w:tcBorders>
            <w:shd w:val="clear" w:color="auto" w:fill="244062"/>
            <w:vAlign w:val="center"/>
            <w:hideMark/>
          </w:tcPr>
          <w:p w14:paraId="2C34835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75" w:type="dxa"/>
            <w:gridSpan w:val="3"/>
            <w:tcBorders>
              <w:top w:val="single" w:sz="8" w:space="0" w:color="auto"/>
              <w:left w:val="nil"/>
              <w:bottom w:val="single" w:sz="8" w:space="0" w:color="auto"/>
              <w:right w:val="single" w:sz="8" w:space="0" w:color="000000"/>
            </w:tcBorders>
            <w:vAlign w:val="center"/>
            <w:hideMark/>
          </w:tcPr>
          <w:p w14:paraId="759FAAB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Possibility of application of ESCO model of financing.</w:t>
            </w:r>
          </w:p>
        </w:tc>
        <w:tc>
          <w:tcPr>
            <w:tcW w:w="222" w:type="dxa"/>
            <w:vAlign w:val="center"/>
            <w:hideMark/>
          </w:tcPr>
          <w:p w14:paraId="096465CE" w14:textId="77777777" w:rsidR="00614438" w:rsidRPr="00AA7A53" w:rsidRDefault="00614438" w:rsidP="00AA7A53">
            <w:pPr>
              <w:spacing w:after="0"/>
              <w:jc w:val="both"/>
              <w:rPr>
                <w:rFonts w:ascii="Times New Roman" w:hAnsi="Times New Roman" w:cs="Times New Roman"/>
                <w:sz w:val="20"/>
                <w:szCs w:val="20"/>
                <w:lang w:val="en-GB"/>
              </w:rPr>
            </w:pPr>
          </w:p>
        </w:tc>
      </w:tr>
    </w:tbl>
    <w:p w14:paraId="49E93226"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195"/>
        <w:gridCol w:w="1346"/>
        <w:gridCol w:w="920"/>
        <w:gridCol w:w="3997"/>
        <w:gridCol w:w="222"/>
      </w:tblGrid>
      <w:tr w:rsidR="00614438" w:rsidRPr="00AA7A53" w14:paraId="23663AF8" w14:textId="77777777" w:rsidTr="00614438">
        <w:trPr>
          <w:gridAfter w:val="1"/>
          <w:wAfter w:w="222" w:type="dxa"/>
          <w:trHeight w:val="780"/>
        </w:trPr>
        <w:tc>
          <w:tcPr>
            <w:tcW w:w="3195"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1235C15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346" w:type="dxa"/>
            <w:tcBorders>
              <w:top w:val="single" w:sz="8" w:space="0" w:color="auto"/>
              <w:left w:val="nil"/>
              <w:bottom w:val="single" w:sz="8" w:space="0" w:color="auto"/>
              <w:right w:val="single" w:sz="8" w:space="0" w:color="auto"/>
            </w:tcBorders>
            <w:shd w:val="clear" w:color="auto" w:fill="E7E6E6" w:themeFill="background2"/>
            <w:vAlign w:val="center"/>
            <w:hideMark/>
          </w:tcPr>
          <w:p w14:paraId="3346B87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PM_EE3</w:t>
            </w:r>
          </w:p>
        </w:tc>
        <w:tc>
          <w:tcPr>
            <w:tcW w:w="920" w:type="dxa"/>
            <w:tcBorders>
              <w:top w:val="single" w:sz="8" w:space="0" w:color="auto"/>
              <w:left w:val="nil"/>
              <w:bottom w:val="single" w:sz="8" w:space="0" w:color="auto"/>
              <w:right w:val="single" w:sz="8" w:space="0" w:color="auto"/>
            </w:tcBorders>
            <w:shd w:val="clear" w:color="auto" w:fill="244062"/>
            <w:vAlign w:val="center"/>
            <w:hideMark/>
          </w:tcPr>
          <w:p w14:paraId="3B1E835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3997" w:type="dxa"/>
            <w:tcBorders>
              <w:top w:val="single" w:sz="8" w:space="0" w:color="auto"/>
              <w:left w:val="nil"/>
              <w:bottom w:val="single" w:sz="8" w:space="0" w:color="auto"/>
              <w:right w:val="single" w:sz="8" w:space="0" w:color="auto"/>
            </w:tcBorders>
            <w:shd w:val="clear" w:color="auto" w:fill="E7E6E6" w:themeFill="background2"/>
            <w:vAlign w:val="center"/>
            <w:hideMark/>
          </w:tcPr>
          <w:p w14:paraId="1CA28F75" w14:textId="77777777" w:rsidR="00614438" w:rsidRPr="00AA7A53" w:rsidRDefault="00C95E6F"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Financial s</w:t>
            </w:r>
            <w:r w:rsidR="00614438" w:rsidRPr="00AA7A53">
              <w:rPr>
                <w:rFonts w:ascii="Times New Roman" w:hAnsi="Times New Roman" w:cs="Times New Roman"/>
                <w:sz w:val="20"/>
                <w:szCs w:val="20"/>
                <w:lang w:val="en-GB"/>
              </w:rPr>
              <w:t xml:space="preserve">upport </w:t>
            </w:r>
            <w:r w:rsidRPr="00AA7A53">
              <w:rPr>
                <w:rFonts w:ascii="Times New Roman" w:hAnsi="Times New Roman" w:cs="Times New Roman"/>
                <w:sz w:val="20"/>
                <w:szCs w:val="20"/>
                <w:lang w:val="en-GB"/>
              </w:rPr>
              <w:t xml:space="preserve">for </w:t>
            </w:r>
            <w:r w:rsidR="00614438" w:rsidRPr="00AA7A53">
              <w:rPr>
                <w:rFonts w:ascii="Times New Roman" w:hAnsi="Times New Roman" w:cs="Times New Roman"/>
                <w:sz w:val="20"/>
                <w:szCs w:val="20"/>
                <w:lang w:val="en-GB"/>
              </w:rPr>
              <w:t>the energy renovation of non-residential buildings (not public)</w:t>
            </w:r>
          </w:p>
        </w:tc>
      </w:tr>
      <w:tr w:rsidR="00614438" w:rsidRPr="00AA7A53" w14:paraId="0058A77A" w14:textId="77777777" w:rsidTr="00614438">
        <w:trPr>
          <w:gridAfter w:val="1"/>
          <w:wAfter w:w="222" w:type="dxa"/>
          <w:trHeight w:val="960"/>
        </w:trPr>
        <w:tc>
          <w:tcPr>
            <w:tcW w:w="3195" w:type="dxa"/>
            <w:tcBorders>
              <w:top w:val="nil"/>
              <w:left w:val="single" w:sz="8" w:space="0" w:color="auto"/>
              <w:bottom w:val="single" w:sz="8" w:space="0" w:color="auto"/>
              <w:right w:val="nil"/>
            </w:tcBorders>
            <w:shd w:val="clear" w:color="auto" w:fill="244062"/>
            <w:vAlign w:val="center"/>
            <w:hideMark/>
          </w:tcPr>
          <w:p w14:paraId="23F1102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63" w:type="dxa"/>
            <w:gridSpan w:val="3"/>
            <w:tcBorders>
              <w:top w:val="single" w:sz="8" w:space="0" w:color="auto"/>
              <w:left w:val="nil"/>
              <w:bottom w:val="single" w:sz="8" w:space="0" w:color="auto"/>
              <w:right w:val="single" w:sz="8" w:space="0" w:color="000000"/>
            </w:tcBorders>
            <w:vAlign w:val="center"/>
            <w:hideMark/>
          </w:tcPr>
          <w:p w14:paraId="7205ED7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2012/27/EU, as amended by Directive (EU) 2018/2002:</w:t>
            </w:r>
          </w:p>
          <w:p w14:paraId="68735EF1" w14:textId="77777777" w:rsidR="00614438" w:rsidRPr="00AA7A53" w:rsidRDefault="00614438" w:rsidP="00AA7A53">
            <w:pPr>
              <w:numPr>
                <w:ilvl w:val="0"/>
                <w:numId w:val="56"/>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2D0E41A8" w14:textId="77777777" w:rsidR="00614438" w:rsidRPr="00AA7A53" w:rsidRDefault="00614438" w:rsidP="00AA7A53">
            <w:pPr>
              <w:numPr>
                <w:ilvl w:val="0"/>
                <w:numId w:val="56"/>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4</w:t>
            </w:r>
          </w:p>
          <w:p w14:paraId="16F99869" w14:textId="77777777" w:rsidR="00614438" w:rsidRPr="00AA7A53" w:rsidRDefault="00614438" w:rsidP="00AA7A53">
            <w:pPr>
              <w:numPr>
                <w:ilvl w:val="0"/>
                <w:numId w:val="56"/>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tc>
      </w:tr>
      <w:tr w:rsidR="00614438" w:rsidRPr="00AA7A53" w14:paraId="346C58F0" w14:textId="77777777" w:rsidTr="00614438">
        <w:trPr>
          <w:gridAfter w:val="1"/>
          <w:wAfter w:w="222" w:type="dxa"/>
          <w:trHeight w:val="315"/>
        </w:trPr>
        <w:tc>
          <w:tcPr>
            <w:tcW w:w="3195" w:type="dxa"/>
            <w:tcBorders>
              <w:top w:val="nil"/>
              <w:left w:val="single" w:sz="8" w:space="0" w:color="auto"/>
              <w:bottom w:val="single" w:sz="8" w:space="0" w:color="auto"/>
              <w:right w:val="single" w:sz="8" w:space="0" w:color="auto"/>
            </w:tcBorders>
            <w:shd w:val="clear" w:color="auto" w:fill="244062"/>
            <w:vAlign w:val="center"/>
            <w:hideMark/>
          </w:tcPr>
          <w:p w14:paraId="641D90B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63" w:type="dxa"/>
            <w:gridSpan w:val="3"/>
            <w:tcBorders>
              <w:top w:val="single" w:sz="8" w:space="0" w:color="auto"/>
              <w:left w:val="nil"/>
              <w:bottom w:val="single" w:sz="8" w:space="0" w:color="auto"/>
              <w:right w:val="single" w:sz="8" w:space="0" w:color="000000"/>
            </w:tcBorders>
            <w:vAlign w:val="center"/>
            <w:hideMark/>
          </w:tcPr>
          <w:p w14:paraId="5D44B7EF" w14:textId="77777777" w:rsidR="00614438" w:rsidRPr="00AA7A53" w:rsidRDefault="00614438" w:rsidP="00AA7A53">
            <w:pPr>
              <w:numPr>
                <w:ilvl w:val="0"/>
                <w:numId w:val="50"/>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7,681 thousand m</w:t>
            </w:r>
            <w:r w:rsidRPr="00AA7A53">
              <w:rPr>
                <w:rFonts w:ascii="Times New Roman" w:hAnsi="Times New Roman" w:cs="Times New Roman"/>
                <w:sz w:val="20"/>
                <w:szCs w:val="20"/>
                <w:vertAlign w:val="superscript"/>
                <w:lang w:val="en-GB"/>
              </w:rPr>
              <w:t>2</w:t>
            </w:r>
            <w:r w:rsidRPr="00AA7A53">
              <w:rPr>
                <w:rFonts w:ascii="Times New Roman" w:hAnsi="Times New Roman" w:cs="Times New Roman"/>
                <w:sz w:val="20"/>
                <w:szCs w:val="20"/>
                <w:lang w:val="en-GB"/>
              </w:rPr>
              <w:t xml:space="preserve"> energy-renovated non-residential buildings (final energy savings 32 ktoe delivered by interventions in the building envelope)</w:t>
            </w:r>
          </w:p>
          <w:p w14:paraId="305127B0" w14:textId="77777777" w:rsidR="00614438" w:rsidRPr="00AA7A53" w:rsidRDefault="00614438" w:rsidP="00AA7A53">
            <w:pPr>
              <w:numPr>
                <w:ilvl w:val="0"/>
                <w:numId w:val="50"/>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3.8 GWth new capacity of heat pumps (final energy savings 25 ktoe)</w:t>
            </w:r>
          </w:p>
        </w:tc>
      </w:tr>
      <w:tr w:rsidR="00614438" w:rsidRPr="00AA7A53" w14:paraId="65F22B73" w14:textId="77777777" w:rsidTr="00614438">
        <w:trPr>
          <w:gridAfter w:val="1"/>
          <w:wAfter w:w="222" w:type="dxa"/>
          <w:trHeight w:val="2295"/>
        </w:trPr>
        <w:tc>
          <w:tcPr>
            <w:tcW w:w="3195" w:type="dxa"/>
            <w:tcBorders>
              <w:top w:val="nil"/>
              <w:left w:val="single" w:sz="8" w:space="0" w:color="auto"/>
              <w:bottom w:val="single" w:sz="8" w:space="0" w:color="auto"/>
              <w:right w:val="single" w:sz="8" w:space="0" w:color="auto"/>
            </w:tcBorders>
            <w:shd w:val="clear" w:color="auto" w:fill="244062"/>
            <w:vAlign w:val="center"/>
            <w:hideMark/>
          </w:tcPr>
          <w:p w14:paraId="3B9CCC6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63" w:type="dxa"/>
            <w:gridSpan w:val="3"/>
            <w:tcBorders>
              <w:top w:val="single" w:sz="8" w:space="0" w:color="auto"/>
              <w:left w:val="nil"/>
              <w:bottom w:val="single" w:sz="8" w:space="0" w:color="auto"/>
              <w:right w:val="single" w:sz="8" w:space="0" w:color="000000"/>
            </w:tcBorders>
            <w:vAlign w:val="center"/>
            <w:hideMark/>
          </w:tcPr>
          <w:p w14:paraId="095A3D6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PM_EE3 will foresee the provision of subsidies for the energy renovation of non-residential buildings, with the exemption of public buildings, emphasising on the reduction of the heating and cooling demand in the service sector. The design and provision of dedicated financial incentives will enable more extensive energy rehabilitation of non-residential buildings through cost-optimal interventions to improve the energy efficiency of buildings and technical systems with the highest potential for energy savings. Additional financial and fiscal measures will be initiated, such as the adoption of targeted tax deductions and the unhampered access to the required funds through credit lines, guarantees and soft-interest loans in the case that the contribution of the planned subsidies is not sufficient. Special focus will be given on the energy renovation of the buildings in the Just Transition areas.</w:t>
            </w:r>
          </w:p>
        </w:tc>
      </w:tr>
      <w:tr w:rsidR="00614438" w:rsidRPr="00AA7A53" w14:paraId="54DEF746" w14:textId="77777777" w:rsidTr="00614438">
        <w:trPr>
          <w:gridAfter w:val="1"/>
          <w:wAfter w:w="222" w:type="dxa"/>
          <w:trHeight w:val="315"/>
        </w:trPr>
        <w:tc>
          <w:tcPr>
            <w:tcW w:w="3195" w:type="dxa"/>
            <w:tcBorders>
              <w:top w:val="nil"/>
              <w:left w:val="single" w:sz="8" w:space="0" w:color="auto"/>
              <w:bottom w:val="single" w:sz="8" w:space="0" w:color="auto"/>
              <w:right w:val="single" w:sz="8" w:space="0" w:color="auto"/>
            </w:tcBorders>
            <w:shd w:val="clear" w:color="auto" w:fill="244062"/>
            <w:vAlign w:val="center"/>
            <w:hideMark/>
          </w:tcPr>
          <w:p w14:paraId="1679B9D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63" w:type="dxa"/>
            <w:gridSpan w:val="3"/>
            <w:tcBorders>
              <w:top w:val="single" w:sz="8" w:space="0" w:color="auto"/>
              <w:left w:val="nil"/>
              <w:bottom w:val="single" w:sz="8" w:space="0" w:color="auto"/>
              <w:right w:val="single" w:sz="8" w:space="0" w:color="000000"/>
            </w:tcBorders>
            <w:vAlign w:val="center"/>
            <w:hideMark/>
          </w:tcPr>
          <w:p w14:paraId="56DC1A0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3A067EBB" w14:textId="77777777" w:rsidTr="00614438">
        <w:trPr>
          <w:gridAfter w:val="1"/>
          <w:wAfter w:w="222" w:type="dxa"/>
          <w:trHeight w:val="315"/>
        </w:trPr>
        <w:tc>
          <w:tcPr>
            <w:tcW w:w="3195" w:type="dxa"/>
            <w:tcBorders>
              <w:top w:val="nil"/>
              <w:left w:val="single" w:sz="8" w:space="0" w:color="auto"/>
              <w:bottom w:val="single" w:sz="8" w:space="0" w:color="auto"/>
              <w:right w:val="single" w:sz="8" w:space="0" w:color="auto"/>
            </w:tcBorders>
            <w:shd w:val="clear" w:color="auto" w:fill="244062"/>
            <w:vAlign w:val="center"/>
            <w:hideMark/>
          </w:tcPr>
          <w:p w14:paraId="08C120E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63" w:type="dxa"/>
            <w:gridSpan w:val="3"/>
            <w:tcBorders>
              <w:top w:val="single" w:sz="8" w:space="0" w:color="auto"/>
              <w:left w:val="nil"/>
              <w:bottom w:val="single" w:sz="8" w:space="0" w:color="auto"/>
              <w:right w:val="single" w:sz="8" w:space="0" w:color="000000"/>
            </w:tcBorders>
            <w:vAlign w:val="center"/>
            <w:hideMark/>
          </w:tcPr>
          <w:p w14:paraId="7417398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574F81A3" w14:textId="77777777" w:rsidTr="00614438">
        <w:trPr>
          <w:gridAfter w:val="1"/>
          <w:wAfter w:w="222" w:type="dxa"/>
          <w:trHeight w:val="315"/>
        </w:trPr>
        <w:tc>
          <w:tcPr>
            <w:tcW w:w="3195" w:type="dxa"/>
            <w:tcBorders>
              <w:top w:val="nil"/>
              <w:left w:val="single" w:sz="8" w:space="0" w:color="auto"/>
              <w:bottom w:val="single" w:sz="8" w:space="0" w:color="auto"/>
              <w:right w:val="single" w:sz="8" w:space="0" w:color="auto"/>
            </w:tcBorders>
            <w:shd w:val="clear" w:color="auto" w:fill="244062"/>
            <w:vAlign w:val="center"/>
            <w:hideMark/>
          </w:tcPr>
          <w:p w14:paraId="2638967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63" w:type="dxa"/>
            <w:gridSpan w:val="3"/>
            <w:tcBorders>
              <w:top w:val="single" w:sz="8" w:space="0" w:color="auto"/>
              <w:left w:val="nil"/>
              <w:bottom w:val="single" w:sz="8" w:space="0" w:color="auto"/>
              <w:right w:val="single" w:sz="8" w:space="0" w:color="000000"/>
            </w:tcBorders>
            <w:vAlign w:val="center"/>
            <w:hideMark/>
          </w:tcPr>
          <w:p w14:paraId="63F208F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Commercial, industrial</w:t>
            </w:r>
          </w:p>
        </w:tc>
      </w:tr>
      <w:tr w:rsidR="00614438" w:rsidRPr="00AA7A53" w14:paraId="78CB6F7C" w14:textId="77777777" w:rsidTr="00614438">
        <w:trPr>
          <w:gridAfter w:val="1"/>
          <w:wAfter w:w="222" w:type="dxa"/>
          <w:trHeight w:val="315"/>
        </w:trPr>
        <w:tc>
          <w:tcPr>
            <w:tcW w:w="3195" w:type="dxa"/>
            <w:tcBorders>
              <w:top w:val="nil"/>
              <w:left w:val="single" w:sz="8" w:space="0" w:color="auto"/>
              <w:bottom w:val="single" w:sz="8" w:space="0" w:color="auto"/>
              <w:right w:val="single" w:sz="8" w:space="0" w:color="auto"/>
            </w:tcBorders>
            <w:shd w:val="clear" w:color="auto" w:fill="244062"/>
            <w:vAlign w:val="center"/>
            <w:hideMark/>
          </w:tcPr>
          <w:p w14:paraId="202D3F1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63" w:type="dxa"/>
            <w:gridSpan w:val="3"/>
            <w:tcBorders>
              <w:top w:val="single" w:sz="4" w:space="0" w:color="auto"/>
              <w:left w:val="single" w:sz="4" w:space="0" w:color="auto"/>
              <w:bottom w:val="nil"/>
              <w:right w:val="single" w:sz="4" w:space="0" w:color="auto"/>
            </w:tcBorders>
            <w:vAlign w:val="center"/>
            <w:hideMark/>
          </w:tcPr>
          <w:p w14:paraId="02DAB013"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p w14:paraId="1AA18466" w14:textId="77777777" w:rsidR="00C95E6F"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4160F913"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EE Directorate</w:t>
            </w:r>
          </w:p>
          <w:p w14:paraId="40402B57" w14:textId="77777777" w:rsidR="00614438" w:rsidRPr="00AA7A53" w:rsidRDefault="00C95E6F"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r w:rsidR="00614438" w:rsidRPr="00AA7A53">
              <w:rPr>
                <w:rFonts w:ascii="Times New Roman" w:hAnsi="Times New Roman" w:cs="Times New Roman"/>
                <w:sz w:val="20"/>
                <w:szCs w:val="20"/>
              </w:rPr>
              <w:t xml:space="preserve"> </w:t>
            </w:r>
          </w:p>
        </w:tc>
      </w:tr>
      <w:tr w:rsidR="00614438" w:rsidRPr="00AA7A53" w14:paraId="499D7466" w14:textId="77777777" w:rsidTr="00614438">
        <w:trPr>
          <w:gridAfter w:val="1"/>
          <w:wAfter w:w="222" w:type="dxa"/>
          <w:trHeight w:val="315"/>
        </w:trPr>
        <w:tc>
          <w:tcPr>
            <w:tcW w:w="3195" w:type="dxa"/>
            <w:tcBorders>
              <w:top w:val="nil"/>
              <w:left w:val="single" w:sz="8" w:space="0" w:color="auto"/>
              <w:bottom w:val="single" w:sz="8" w:space="0" w:color="auto"/>
              <w:right w:val="nil"/>
            </w:tcBorders>
            <w:shd w:val="clear" w:color="auto" w:fill="244062"/>
            <w:vAlign w:val="center"/>
            <w:hideMark/>
          </w:tcPr>
          <w:p w14:paraId="2F80E1C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63" w:type="dxa"/>
            <w:gridSpan w:val="3"/>
            <w:tcBorders>
              <w:top w:val="single" w:sz="4" w:space="0" w:color="auto"/>
              <w:left w:val="single" w:sz="4" w:space="0" w:color="auto"/>
              <w:bottom w:val="single" w:sz="4" w:space="0" w:color="auto"/>
              <w:right w:val="single" w:sz="4" w:space="0" w:color="auto"/>
            </w:tcBorders>
            <w:vAlign w:val="center"/>
            <w:hideMark/>
          </w:tcPr>
          <w:p w14:paraId="7E637C1E"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24CB6C1F" w14:textId="77777777" w:rsidTr="00614438">
        <w:trPr>
          <w:gridAfter w:val="1"/>
          <w:wAfter w:w="222" w:type="dxa"/>
          <w:trHeight w:val="315"/>
        </w:trPr>
        <w:tc>
          <w:tcPr>
            <w:tcW w:w="3195" w:type="dxa"/>
            <w:tcBorders>
              <w:top w:val="nil"/>
              <w:left w:val="single" w:sz="8" w:space="0" w:color="auto"/>
              <w:bottom w:val="single" w:sz="8" w:space="0" w:color="auto"/>
              <w:right w:val="nil"/>
            </w:tcBorders>
            <w:shd w:val="clear" w:color="auto" w:fill="244062"/>
            <w:vAlign w:val="center"/>
            <w:hideMark/>
          </w:tcPr>
          <w:p w14:paraId="38873D4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63" w:type="dxa"/>
            <w:gridSpan w:val="3"/>
            <w:tcBorders>
              <w:top w:val="single" w:sz="4" w:space="0" w:color="auto"/>
              <w:left w:val="single" w:sz="4" w:space="0" w:color="auto"/>
              <w:bottom w:val="single" w:sz="4" w:space="0" w:color="auto"/>
              <w:right w:val="single" w:sz="4" w:space="0" w:color="auto"/>
            </w:tcBorders>
            <w:vAlign w:val="center"/>
            <w:hideMark/>
          </w:tcPr>
          <w:p w14:paraId="3747A16B" w14:textId="77777777" w:rsidR="00614438" w:rsidRPr="00AA7A53" w:rsidRDefault="00614438" w:rsidP="00AA7A53">
            <w:pPr>
              <w:numPr>
                <w:ilvl w:val="0"/>
                <w:numId w:val="50"/>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Total surface area of energy renovated non-residential (non-public) buildings</w:t>
            </w:r>
          </w:p>
          <w:p w14:paraId="520855AB" w14:textId="77777777" w:rsidR="00614438" w:rsidRPr="00AA7A53" w:rsidRDefault="00614438" w:rsidP="00AA7A53">
            <w:pPr>
              <w:numPr>
                <w:ilvl w:val="0"/>
                <w:numId w:val="50"/>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Installed capacity of heat pumps</w:t>
            </w:r>
          </w:p>
        </w:tc>
      </w:tr>
      <w:tr w:rsidR="00614438" w:rsidRPr="00AA7A53" w14:paraId="53933308" w14:textId="77777777" w:rsidTr="00614438">
        <w:trPr>
          <w:gridAfter w:val="1"/>
          <w:wAfter w:w="222" w:type="dxa"/>
          <w:trHeight w:val="494"/>
        </w:trPr>
        <w:tc>
          <w:tcPr>
            <w:tcW w:w="3195" w:type="dxa"/>
            <w:tcBorders>
              <w:top w:val="nil"/>
              <w:left w:val="single" w:sz="8" w:space="0" w:color="auto"/>
              <w:bottom w:val="single" w:sz="8" w:space="0" w:color="auto"/>
              <w:right w:val="single" w:sz="8" w:space="0" w:color="auto"/>
            </w:tcBorders>
            <w:shd w:val="clear" w:color="auto" w:fill="244062"/>
            <w:vAlign w:val="center"/>
            <w:hideMark/>
          </w:tcPr>
          <w:p w14:paraId="2AFFA36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63" w:type="dxa"/>
            <w:gridSpan w:val="3"/>
            <w:tcBorders>
              <w:top w:val="single" w:sz="4" w:space="0" w:color="auto"/>
              <w:left w:val="nil"/>
              <w:bottom w:val="single" w:sz="8" w:space="0" w:color="auto"/>
              <w:right w:val="single" w:sz="8" w:space="0" w:color="000000"/>
            </w:tcBorders>
            <w:vAlign w:val="center"/>
            <w:hideMark/>
          </w:tcPr>
          <w:p w14:paraId="2C2D4EFC"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Decarbonisation (the delivered energy savings will decrease the consumed quantities of fossil fuels leading to the respective GHG emission reduction </w:t>
            </w:r>
            <w:r w:rsidR="00C95E6F"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utilised RES technologies will increase the RES share in heating and cooling)</w:t>
            </w:r>
          </w:p>
          <w:p w14:paraId="613BF0D6"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lastRenderedPageBreak/>
              <w:t>Energy Security (the delivered energy savings will decrease the consumed quantities of the imported fossil fuels reducing energy import dependency from third countries)</w:t>
            </w:r>
          </w:p>
        </w:tc>
      </w:tr>
      <w:tr w:rsidR="00614438" w:rsidRPr="00AA7A53" w14:paraId="6861BA24" w14:textId="77777777" w:rsidTr="00614438">
        <w:trPr>
          <w:gridAfter w:val="1"/>
          <w:wAfter w:w="222" w:type="dxa"/>
          <w:trHeight w:val="458"/>
        </w:trPr>
        <w:tc>
          <w:tcPr>
            <w:tcW w:w="3195" w:type="dxa"/>
            <w:vMerge w:val="restart"/>
            <w:tcBorders>
              <w:top w:val="nil"/>
              <w:left w:val="single" w:sz="8" w:space="0" w:color="auto"/>
              <w:bottom w:val="single" w:sz="8" w:space="0" w:color="000000"/>
              <w:right w:val="single" w:sz="8" w:space="0" w:color="auto"/>
            </w:tcBorders>
            <w:shd w:val="clear" w:color="auto" w:fill="244062"/>
            <w:vAlign w:val="center"/>
            <w:hideMark/>
          </w:tcPr>
          <w:p w14:paraId="5119AC5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Union policy which resulted in the implementation of the PaM</w:t>
            </w:r>
          </w:p>
        </w:tc>
        <w:tc>
          <w:tcPr>
            <w:tcW w:w="6263"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0F4ADA3" w14:textId="77777777" w:rsidR="00614438" w:rsidRPr="00AA7A53" w:rsidRDefault="00614438" w:rsidP="00AA7A53">
            <w:pPr>
              <w:numPr>
                <w:ilvl w:val="0"/>
                <w:numId w:val="57"/>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2010/31</w:t>
            </w:r>
          </w:p>
          <w:p w14:paraId="25B63CFA"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5B4E18D6"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p w14:paraId="5E1BB7A9"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2018/844</w:t>
            </w:r>
          </w:p>
        </w:tc>
      </w:tr>
      <w:tr w:rsidR="00614438" w:rsidRPr="00AA7A53" w14:paraId="1867DCE0"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082ED890"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836CBDB"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3937453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8FEBBD6" w14:textId="77777777" w:rsidTr="00614438">
        <w:trPr>
          <w:trHeight w:val="315"/>
        </w:trPr>
        <w:tc>
          <w:tcPr>
            <w:tcW w:w="0" w:type="auto"/>
            <w:vMerge/>
            <w:tcBorders>
              <w:top w:val="nil"/>
              <w:left w:val="single" w:sz="8" w:space="0" w:color="auto"/>
              <w:bottom w:val="single" w:sz="8" w:space="0" w:color="000000"/>
              <w:right w:val="single" w:sz="8" w:space="0" w:color="auto"/>
            </w:tcBorders>
            <w:vAlign w:val="center"/>
            <w:hideMark/>
          </w:tcPr>
          <w:p w14:paraId="63913B30"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5989B05"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5A7FEEF3"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22FFB019" w14:textId="77777777" w:rsidTr="00614438">
        <w:trPr>
          <w:trHeight w:val="563"/>
        </w:trPr>
        <w:tc>
          <w:tcPr>
            <w:tcW w:w="3195" w:type="dxa"/>
            <w:tcBorders>
              <w:top w:val="nil"/>
              <w:left w:val="single" w:sz="8" w:space="0" w:color="auto"/>
              <w:bottom w:val="single" w:sz="8" w:space="0" w:color="auto"/>
              <w:right w:val="single" w:sz="8" w:space="0" w:color="auto"/>
            </w:tcBorders>
            <w:shd w:val="clear" w:color="auto" w:fill="244062"/>
            <w:vAlign w:val="center"/>
            <w:hideMark/>
          </w:tcPr>
          <w:p w14:paraId="5F78FF9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63" w:type="dxa"/>
            <w:gridSpan w:val="3"/>
            <w:tcBorders>
              <w:top w:val="single" w:sz="8" w:space="0" w:color="auto"/>
              <w:left w:val="nil"/>
              <w:bottom w:val="single" w:sz="8" w:space="0" w:color="auto"/>
              <w:right w:val="single" w:sz="8" w:space="0" w:color="000000"/>
            </w:tcBorders>
            <w:vAlign w:val="center"/>
            <w:hideMark/>
          </w:tcPr>
          <w:p w14:paraId="3FF257FD" w14:textId="77777777" w:rsidR="00C95E6F" w:rsidRPr="00AA7A53" w:rsidRDefault="00C95E6F"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 Efficiency and Rational Use of Energy</w:t>
            </w:r>
          </w:p>
          <w:p w14:paraId="4F2662B8" w14:textId="77777777" w:rsidR="00C95E6F" w:rsidRPr="00AA7A53" w:rsidRDefault="00C95E6F"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A long-term strategy to encourage investment in the renovation of the national building stock</w:t>
            </w:r>
          </w:p>
          <w:p w14:paraId="0EA61692" w14:textId="77777777" w:rsidR="00C95E6F" w:rsidRPr="00AA7A53" w:rsidRDefault="00C95E6F"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the law and by-laws regulating the energy efficiency of buildings</w:t>
            </w:r>
          </w:p>
        </w:tc>
        <w:tc>
          <w:tcPr>
            <w:tcW w:w="222" w:type="dxa"/>
            <w:vAlign w:val="center"/>
            <w:hideMark/>
          </w:tcPr>
          <w:p w14:paraId="14BC9DD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992003B" w14:textId="77777777" w:rsidTr="00614438">
        <w:trPr>
          <w:trHeight w:val="315"/>
        </w:trPr>
        <w:tc>
          <w:tcPr>
            <w:tcW w:w="3195" w:type="dxa"/>
            <w:tcBorders>
              <w:top w:val="nil"/>
              <w:left w:val="single" w:sz="8" w:space="0" w:color="auto"/>
              <w:bottom w:val="single" w:sz="8" w:space="0" w:color="auto"/>
              <w:right w:val="single" w:sz="8" w:space="0" w:color="auto"/>
            </w:tcBorders>
            <w:shd w:val="clear" w:color="auto" w:fill="244062"/>
            <w:vAlign w:val="center"/>
            <w:hideMark/>
          </w:tcPr>
          <w:p w14:paraId="4613800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63" w:type="dxa"/>
            <w:gridSpan w:val="3"/>
            <w:tcBorders>
              <w:top w:val="single" w:sz="8" w:space="0" w:color="auto"/>
              <w:left w:val="nil"/>
              <w:bottom w:val="single" w:sz="8" w:space="0" w:color="auto"/>
              <w:right w:val="single" w:sz="8" w:space="0" w:color="000000"/>
            </w:tcBorders>
            <w:vAlign w:val="center"/>
            <w:hideMark/>
          </w:tcPr>
          <w:p w14:paraId="752286C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1,601 M€ (817 € for interventions in the building envelope and 783M€ for heat pumps)</w:t>
            </w:r>
          </w:p>
        </w:tc>
        <w:tc>
          <w:tcPr>
            <w:tcW w:w="222" w:type="dxa"/>
            <w:vAlign w:val="center"/>
            <w:hideMark/>
          </w:tcPr>
          <w:p w14:paraId="489A112E"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BC389A8" w14:textId="77777777" w:rsidTr="00614438">
        <w:trPr>
          <w:trHeight w:val="315"/>
        </w:trPr>
        <w:tc>
          <w:tcPr>
            <w:tcW w:w="3195" w:type="dxa"/>
            <w:tcBorders>
              <w:top w:val="nil"/>
              <w:left w:val="single" w:sz="8" w:space="0" w:color="auto"/>
              <w:bottom w:val="single" w:sz="8" w:space="0" w:color="auto"/>
              <w:right w:val="single" w:sz="8" w:space="0" w:color="auto"/>
            </w:tcBorders>
            <w:shd w:val="clear" w:color="auto" w:fill="244062"/>
            <w:vAlign w:val="center"/>
            <w:hideMark/>
          </w:tcPr>
          <w:p w14:paraId="511FAE3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63" w:type="dxa"/>
            <w:gridSpan w:val="3"/>
            <w:tcBorders>
              <w:top w:val="single" w:sz="8" w:space="0" w:color="auto"/>
              <w:left w:val="nil"/>
              <w:bottom w:val="single" w:sz="8" w:space="0" w:color="auto"/>
              <w:right w:val="single" w:sz="8" w:space="0" w:color="000000"/>
            </w:tcBorders>
            <w:vAlign w:val="center"/>
            <w:hideMark/>
          </w:tcPr>
          <w:p w14:paraId="476AC16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 Possibility of application of ESCO model of financing.</w:t>
            </w:r>
          </w:p>
        </w:tc>
        <w:tc>
          <w:tcPr>
            <w:tcW w:w="222" w:type="dxa"/>
            <w:vAlign w:val="center"/>
            <w:hideMark/>
          </w:tcPr>
          <w:p w14:paraId="658A7551" w14:textId="77777777" w:rsidR="00614438" w:rsidRPr="00AA7A53" w:rsidRDefault="00614438" w:rsidP="00AA7A53">
            <w:pPr>
              <w:spacing w:after="0"/>
              <w:jc w:val="both"/>
              <w:rPr>
                <w:rFonts w:ascii="Times New Roman" w:hAnsi="Times New Roman" w:cs="Times New Roman"/>
                <w:sz w:val="20"/>
                <w:szCs w:val="20"/>
                <w:lang w:val="en-GB"/>
              </w:rPr>
            </w:pPr>
          </w:p>
        </w:tc>
      </w:tr>
    </w:tbl>
    <w:p w14:paraId="6784B4B7"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26"/>
        <w:gridCol w:w="953"/>
        <w:gridCol w:w="945"/>
        <w:gridCol w:w="4234"/>
        <w:gridCol w:w="222"/>
      </w:tblGrid>
      <w:tr w:rsidR="00614438" w:rsidRPr="00AA7A53" w14:paraId="0627CB5F" w14:textId="77777777" w:rsidTr="00614438">
        <w:trPr>
          <w:gridAfter w:val="1"/>
          <w:wAfter w:w="222" w:type="dxa"/>
          <w:trHeight w:val="780"/>
        </w:trPr>
        <w:tc>
          <w:tcPr>
            <w:tcW w:w="3326"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6915C3A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53" w:type="dxa"/>
            <w:tcBorders>
              <w:top w:val="single" w:sz="8" w:space="0" w:color="auto"/>
              <w:left w:val="nil"/>
              <w:bottom w:val="single" w:sz="8" w:space="0" w:color="auto"/>
              <w:right w:val="single" w:sz="8" w:space="0" w:color="auto"/>
            </w:tcBorders>
            <w:shd w:val="clear" w:color="auto" w:fill="E7E6E6" w:themeFill="background2"/>
            <w:vAlign w:val="center"/>
            <w:hideMark/>
          </w:tcPr>
          <w:p w14:paraId="02FF71C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PM_EE4</w:t>
            </w:r>
          </w:p>
        </w:tc>
        <w:tc>
          <w:tcPr>
            <w:tcW w:w="945" w:type="dxa"/>
            <w:tcBorders>
              <w:top w:val="single" w:sz="8" w:space="0" w:color="auto"/>
              <w:left w:val="nil"/>
              <w:bottom w:val="single" w:sz="8" w:space="0" w:color="auto"/>
              <w:right w:val="single" w:sz="8" w:space="0" w:color="auto"/>
            </w:tcBorders>
            <w:shd w:val="clear" w:color="auto" w:fill="244062"/>
            <w:vAlign w:val="center"/>
            <w:hideMark/>
          </w:tcPr>
          <w:p w14:paraId="1CBBA04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34" w:type="dxa"/>
            <w:tcBorders>
              <w:top w:val="single" w:sz="8" w:space="0" w:color="auto"/>
              <w:left w:val="nil"/>
              <w:bottom w:val="single" w:sz="8" w:space="0" w:color="auto"/>
              <w:right w:val="single" w:sz="8" w:space="0" w:color="auto"/>
            </w:tcBorders>
            <w:shd w:val="clear" w:color="auto" w:fill="E7E6E6" w:themeFill="background2"/>
            <w:vAlign w:val="center"/>
            <w:hideMark/>
          </w:tcPr>
          <w:p w14:paraId="650183B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Completion of legislative framework in alignment with Directive 2018/844/EU and regulatory measures to promote nearly-zero energy buildings (nZEBs)</w:t>
            </w:r>
          </w:p>
        </w:tc>
      </w:tr>
      <w:tr w:rsidR="00614438" w:rsidRPr="00AA7A53" w14:paraId="56AF63AF" w14:textId="77777777" w:rsidTr="00614438">
        <w:trPr>
          <w:gridAfter w:val="1"/>
          <w:wAfter w:w="222" w:type="dxa"/>
          <w:trHeight w:val="443"/>
        </w:trPr>
        <w:tc>
          <w:tcPr>
            <w:tcW w:w="3326" w:type="dxa"/>
            <w:tcBorders>
              <w:top w:val="nil"/>
              <w:left w:val="single" w:sz="8" w:space="0" w:color="auto"/>
              <w:bottom w:val="single" w:sz="8" w:space="0" w:color="auto"/>
              <w:right w:val="nil"/>
            </w:tcBorders>
            <w:shd w:val="clear" w:color="auto" w:fill="244062"/>
            <w:vAlign w:val="center"/>
            <w:hideMark/>
          </w:tcPr>
          <w:p w14:paraId="3FB1A99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32" w:type="dxa"/>
            <w:gridSpan w:val="3"/>
            <w:tcBorders>
              <w:top w:val="single" w:sz="8" w:space="0" w:color="auto"/>
              <w:left w:val="nil"/>
              <w:bottom w:val="single" w:sz="8" w:space="0" w:color="auto"/>
              <w:right w:val="single" w:sz="8" w:space="0" w:color="000000"/>
            </w:tcBorders>
            <w:vAlign w:val="center"/>
            <w:hideMark/>
          </w:tcPr>
          <w:p w14:paraId="1DC3FAE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 as amended by Directive (EU) 2018/20</w:t>
            </w:r>
            <w:r w:rsidR="00357C83" w:rsidRPr="00AA7A53">
              <w:rPr>
                <w:rFonts w:ascii="Times New Roman" w:hAnsi="Times New Roman" w:cs="Times New Roman"/>
                <w:sz w:val="20"/>
                <w:szCs w:val="20"/>
                <w:lang w:val="en-GB"/>
              </w:rPr>
              <w:t>2</w:t>
            </w:r>
            <w:r w:rsidRPr="00AA7A53">
              <w:rPr>
                <w:rFonts w:ascii="Times New Roman" w:hAnsi="Times New Roman" w:cs="Times New Roman"/>
                <w:sz w:val="20"/>
                <w:szCs w:val="20"/>
                <w:lang w:val="en-GB"/>
              </w:rPr>
              <w:t>2:</w:t>
            </w:r>
          </w:p>
          <w:p w14:paraId="027CF265" w14:textId="77777777" w:rsidR="00614438" w:rsidRPr="00AA7A53" w:rsidRDefault="00614438" w:rsidP="00AA7A53">
            <w:pPr>
              <w:numPr>
                <w:ilvl w:val="0"/>
                <w:numId w:val="56"/>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0E6BBFF2" w14:textId="77777777" w:rsidR="00614438" w:rsidRPr="00AA7A53" w:rsidRDefault="00614438" w:rsidP="00AA7A53">
            <w:pPr>
              <w:numPr>
                <w:ilvl w:val="0"/>
                <w:numId w:val="56"/>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4</w:t>
            </w:r>
          </w:p>
        </w:tc>
      </w:tr>
      <w:tr w:rsidR="00614438" w:rsidRPr="00AA7A53" w14:paraId="0E0BF522" w14:textId="77777777" w:rsidTr="00614438">
        <w:trPr>
          <w:gridAfter w:val="1"/>
          <w:wAfter w:w="222" w:type="dxa"/>
          <w:trHeight w:val="315"/>
        </w:trPr>
        <w:tc>
          <w:tcPr>
            <w:tcW w:w="3326" w:type="dxa"/>
            <w:tcBorders>
              <w:top w:val="nil"/>
              <w:left w:val="single" w:sz="8" w:space="0" w:color="auto"/>
              <w:bottom w:val="single" w:sz="8" w:space="0" w:color="auto"/>
              <w:right w:val="single" w:sz="8" w:space="0" w:color="auto"/>
            </w:tcBorders>
            <w:shd w:val="clear" w:color="auto" w:fill="244062"/>
            <w:vAlign w:val="center"/>
            <w:hideMark/>
          </w:tcPr>
          <w:p w14:paraId="219006F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32" w:type="dxa"/>
            <w:gridSpan w:val="3"/>
            <w:tcBorders>
              <w:top w:val="single" w:sz="8" w:space="0" w:color="auto"/>
              <w:left w:val="nil"/>
              <w:bottom w:val="single" w:sz="8" w:space="0" w:color="auto"/>
              <w:right w:val="single" w:sz="8" w:space="0" w:color="000000"/>
            </w:tcBorders>
            <w:vAlign w:val="center"/>
            <w:hideMark/>
          </w:tcPr>
          <w:p w14:paraId="2D681C2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PM_EE1-PM_EE3</w:t>
            </w:r>
          </w:p>
        </w:tc>
      </w:tr>
      <w:tr w:rsidR="00614438" w:rsidRPr="00AA7A53" w14:paraId="33076B84" w14:textId="77777777" w:rsidTr="00614438">
        <w:trPr>
          <w:gridAfter w:val="1"/>
          <w:wAfter w:w="222" w:type="dxa"/>
          <w:trHeight w:val="2295"/>
        </w:trPr>
        <w:tc>
          <w:tcPr>
            <w:tcW w:w="3326" w:type="dxa"/>
            <w:tcBorders>
              <w:top w:val="nil"/>
              <w:left w:val="single" w:sz="8" w:space="0" w:color="auto"/>
              <w:bottom w:val="single" w:sz="8" w:space="0" w:color="auto"/>
              <w:right w:val="single" w:sz="8" w:space="0" w:color="auto"/>
            </w:tcBorders>
            <w:shd w:val="clear" w:color="auto" w:fill="244062"/>
            <w:vAlign w:val="center"/>
            <w:hideMark/>
          </w:tcPr>
          <w:p w14:paraId="7BC7D65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32" w:type="dxa"/>
            <w:gridSpan w:val="3"/>
            <w:tcBorders>
              <w:top w:val="single" w:sz="8" w:space="0" w:color="auto"/>
              <w:left w:val="nil"/>
              <w:bottom w:val="single" w:sz="8" w:space="0" w:color="auto"/>
              <w:right w:val="single" w:sz="8" w:space="0" w:color="000000"/>
            </w:tcBorders>
            <w:vAlign w:val="center"/>
            <w:hideMark/>
          </w:tcPr>
          <w:p w14:paraId="3C76C24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PM_EE4 will ensure the coherence and compliance of the legislative framework with the provision of the Directive (EU) 2018/844. The minimum requirements will be incorporated in the </w:t>
            </w:r>
            <w:r w:rsidR="00045FD6" w:rsidRPr="00AA7A53">
              <w:rPr>
                <w:rFonts w:ascii="Times New Roman" w:hAnsi="Times New Roman" w:cs="Times New Roman"/>
                <w:sz w:val="20"/>
                <w:szCs w:val="20"/>
                <w:lang w:val="en-GB"/>
              </w:rPr>
              <w:t>laws and by-laws</w:t>
            </w:r>
            <w:r w:rsidRPr="00AA7A53">
              <w:rPr>
                <w:rFonts w:ascii="Times New Roman" w:hAnsi="Times New Roman" w:cs="Times New Roman"/>
                <w:sz w:val="20"/>
                <w:szCs w:val="20"/>
                <w:lang w:val="en-GB"/>
              </w:rPr>
              <w:t xml:space="preserve"> </w:t>
            </w:r>
            <w:r w:rsidR="00045FD6" w:rsidRPr="00AA7A53">
              <w:rPr>
                <w:rFonts w:ascii="Times New Roman" w:hAnsi="Times New Roman" w:cs="Times New Roman"/>
                <w:sz w:val="20"/>
                <w:szCs w:val="20"/>
                <w:lang w:val="en-GB"/>
              </w:rPr>
              <w:t>regulating the</w:t>
            </w:r>
            <w:r w:rsidRPr="00AA7A53">
              <w:rPr>
                <w:rFonts w:ascii="Times New Roman" w:hAnsi="Times New Roman" w:cs="Times New Roman"/>
                <w:sz w:val="20"/>
                <w:szCs w:val="20"/>
                <w:lang w:val="en-GB"/>
              </w:rPr>
              <w:t xml:space="preserve"> Energy </w:t>
            </w:r>
            <w:r w:rsidR="00045FD6" w:rsidRPr="00AA7A53">
              <w:rPr>
                <w:rFonts w:ascii="Times New Roman" w:hAnsi="Times New Roman" w:cs="Times New Roman"/>
                <w:sz w:val="20"/>
                <w:szCs w:val="20"/>
                <w:lang w:val="en-GB"/>
              </w:rPr>
              <w:t>Performance</w:t>
            </w:r>
            <w:r w:rsidRPr="00AA7A53">
              <w:rPr>
                <w:rFonts w:ascii="Times New Roman" w:hAnsi="Times New Roman" w:cs="Times New Roman"/>
                <w:sz w:val="20"/>
                <w:szCs w:val="20"/>
                <w:lang w:val="en-GB"/>
              </w:rPr>
              <w:t xml:space="preserve"> of Buildings</w:t>
            </w:r>
            <w:r w:rsidR="00045FD6" w:rsidRPr="00AA7A53">
              <w:rPr>
                <w:rFonts w:ascii="Times New Roman" w:hAnsi="Times New Roman" w:cs="Times New Roman"/>
                <w:sz w:val="20"/>
                <w:szCs w:val="20"/>
                <w:lang w:val="en-GB"/>
              </w:rPr>
              <w:t>, thus</w:t>
            </w:r>
            <w:r w:rsidRPr="00AA7A53">
              <w:rPr>
                <w:rFonts w:ascii="Times New Roman" w:hAnsi="Times New Roman" w:cs="Times New Roman"/>
                <w:sz w:val="20"/>
                <w:szCs w:val="20"/>
                <w:lang w:val="en-GB"/>
              </w:rPr>
              <w:t xml:space="preserve"> increasing the number of nearly-zero energy buildings. The inspections of the heating and air-conditioning systems will be conducted according to the respective provisions adopted on the basis of the Law on Energy Efficiency and Rational Use of Energy. Moreover, the adoption of specific regulatory measures will be scrutinized through the examination of different alternatives such as, for example: i) where applicable, buildings </w:t>
            </w:r>
            <w:r w:rsidR="00045FD6" w:rsidRPr="00AA7A53">
              <w:rPr>
                <w:rFonts w:ascii="Times New Roman" w:hAnsi="Times New Roman" w:cs="Times New Roman"/>
                <w:sz w:val="20"/>
                <w:szCs w:val="20"/>
                <w:lang w:val="en-GB"/>
              </w:rPr>
              <w:t xml:space="preserve">that </w:t>
            </w:r>
            <w:r w:rsidRPr="00AA7A53">
              <w:rPr>
                <w:rFonts w:ascii="Times New Roman" w:hAnsi="Times New Roman" w:cs="Times New Roman"/>
                <w:sz w:val="20"/>
                <w:szCs w:val="20"/>
                <w:lang w:val="en-GB"/>
              </w:rPr>
              <w:t>hous</w:t>
            </w:r>
            <w:r w:rsidR="00045FD6" w:rsidRPr="00AA7A53">
              <w:rPr>
                <w:rFonts w:ascii="Times New Roman" w:hAnsi="Times New Roman" w:cs="Times New Roman"/>
                <w:sz w:val="20"/>
                <w:szCs w:val="20"/>
                <w:lang w:val="en-GB"/>
              </w:rPr>
              <w:t>e</w:t>
            </w:r>
            <w:r w:rsidRPr="00AA7A53">
              <w:rPr>
                <w:rFonts w:ascii="Times New Roman" w:hAnsi="Times New Roman" w:cs="Times New Roman"/>
                <w:sz w:val="20"/>
                <w:szCs w:val="20"/>
                <w:lang w:val="en-GB"/>
              </w:rPr>
              <w:t xml:space="preserve"> public authorities </w:t>
            </w:r>
            <w:r w:rsidR="00045FD6" w:rsidRPr="00AA7A53">
              <w:rPr>
                <w:rFonts w:ascii="Times New Roman" w:hAnsi="Times New Roman" w:cs="Times New Roman"/>
                <w:sz w:val="20"/>
                <w:szCs w:val="20"/>
                <w:lang w:val="en-GB"/>
              </w:rPr>
              <w:t>should</w:t>
            </w:r>
            <w:r w:rsidRPr="00AA7A53">
              <w:rPr>
                <w:rFonts w:ascii="Times New Roman" w:hAnsi="Times New Roman" w:cs="Times New Roman"/>
                <w:sz w:val="20"/>
                <w:szCs w:val="20"/>
                <w:lang w:val="en-GB"/>
              </w:rPr>
              <w:t xml:space="preserve"> be renovated to achieve the best possible energy class of the building energy performance certificate, ii) all new buildings or building units rented or purchased by central government bodies </w:t>
            </w:r>
            <w:r w:rsidR="00045FD6" w:rsidRPr="00AA7A53">
              <w:rPr>
                <w:rFonts w:ascii="Times New Roman" w:hAnsi="Times New Roman" w:cs="Times New Roman"/>
                <w:sz w:val="20"/>
                <w:szCs w:val="20"/>
                <w:lang w:val="en-GB"/>
              </w:rPr>
              <w:t>should</w:t>
            </w:r>
            <w:r w:rsidRPr="00AA7A53">
              <w:rPr>
                <w:rFonts w:ascii="Times New Roman" w:hAnsi="Times New Roman" w:cs="Times New Roman"/>
                <w:sz w:val="20"/>
                <w:szCs w:val="20"/>
                <w:lang w:val="en-GB"/>
              </w:rPr>
              <w:t xml:space="preserve"> be nearly-zero energy buildings, taking into the account the availability and the rental price of such buildings at the market and iii) the mandatory installation of specific technologies in new buildings (such as heat pumps, solar thermal system) and those undergoing major renovation as defined in Directive 2010/31/EU.</w:t>
            </w:r>
          </w:p>
        </w:tc>
      </w:tr>
      <w:tr w:rsidR="00614438" w:rsidRPr="00AA7A53" w14:paraId="29DFC698" w14:textId="77777777" w:rsidTr="00614438">
        <w:trPr>
          <w:gridAfter w:val="1"/>
          <w:wAfter w:w="222" w:type="dxa"/>
          <w:trHeight w:val="315"/>
        </w:trPr>
        <w:tc>
          <w:tcPr>
            <w:tcW w:w="3326" w:type="dxa"/>
            <w:tcBorders>
              <w:top w:val="nil"/>
              <w:left w:val="single" w:sz="8" w:space="0" w:color="auto"/>
              <w:bottom w:val="single" w:sz="8" w:space="0" w:color="auto"/>
              <w:right w:val="single" w:sz="8" w:space="0" w:color="auto"/>
            </w:tcBorders>
            <w:shd w:val="clear" w:color="auto" w:fill="244062"/>
            <w:vAlign w:val="center"/>
            <w:hideMark/>
          </w:tcPr>
          <w:p w14:paraId="3EB4855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32" w:type="dxa"/>
            <w:gridSpan w:val="3"/>
            <w:tcBorders>
              <w:top w:val="single" w:sz="8" w:space="0" w:color="auto"/>
              <w:left w:val="nil"/>
              <w:bottom w:val="single" w:sz="8" w:space="0" w:color="auto"/>
              <w:right w:val="single" w:sz="8" w:space="0" w:color="000000"/>
            </w:tcBorders>
            <w:vAlign w:val="center"/>
            <w:hideMark/>
          </w:tcPr>
          <w:p w14:paraId="2E6D1588" w14:textId="77777777" w:rsidR="00614438" w:rsidRPr="00AA7A53" w:rsidRDefault="00357C83"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2027-2030</w:t>
            </w:r>
          </w:p>
        </w:tc>
      </w:tr>
      <w:tr w:rsidR="00614438" w:rsidRPr="00AA7A53" w14:paraId="4E64363B" w14:textId="77777777" w:rsidTr="00614438">
        <w:trPr>
          <w:gridAfter w:val="1"/>
          <w:wAfter w:w="222" w:type="dxa"/>
          <w:trHeight w:val="315"/>
        </w:trPr>
        <w:tc>
          <w:tcPr>
            <w:tcW w:w="3326" w:type="dxa"/>
            <w:tcBorders>
              <w:top w:val="nil"/>
              <w:left w:val="single" w:sz="8" w:space="0" w:color="auto"/>
              <w:bottom w:val="single" w:sz="8" w:space="0" w:color="auto"/>
              <w:right w:val="single" w:sz="8" w:space="0" w:color="auto"/>
            </w:tcBorders>
            <w:shd w:val="clear" w:color="auto" w:fill="244062"/>
            <w:vAlign w:val="center"/>
            <w:hideMark/>
          </w:tcPr>
          <w:p w14:paraId="08D273F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32" w:type="dxa"/>
            <w:gridSpan w:val="3"/>
            <w:tcBorders>
              <w:top w:val="single" w:sz="8" w:space="0" w:color="auto"/>
              <w:left w:val="nil"/>
              <w:bottom w:val="single" w:sz="8" w:space="0" w:color="auto"/>
              <w:right w:val="single" w:sz="8" w:space="0" w:color="000000"/>
            </w:tcBorders>
            <w:vAlign w:val="center"/>
            <w:hideMark/>
          </w:tcPr>
          <w:p w14:paraId="0CB672F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53F0CDD5" w14:textId="77777777" w:rsidTr="00614438">
        <w:trPr>
          <w:gridAfter w:val="1"/>
          <w:wAfter w:w="222" w:type="dxa"/>
          <w:trHeight w:val="315"/>
        </w:trPr>
        <w:tc>
          <w:tcPr>
            <w:tcW w:w="3326" w:type="dxa"/>
            <w:tcBorders>
              <w:top w:val="nil"/>
              <w:left w:val="single" w:sz="8" w:space="0" w:color="auto"/>
              <w:bottom w:val="single" w:sz="8" w:space="0" w:color="auto"/>
              <w:right w:val="single" w:sz="8" w:space="0" w:color="auto"/>
            </w:tcBorders>
            <w:shd w:val="clear" w:color="auto" w:fill="244062"/>
            <w:vAlign w:val="center"/>
            <w:hideMark/>
          </w:tcPr>
          <w:p w14:paraId="7581557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32" w:type="dxa"/>
            <w:gridSpan w:val="3"/>
            <w:tcBorders>
              <w:top w:val="single" w:sz="8" w:space="0" w:color="auto"/>
              <w:left w:val="nil"/>
              <w:bottom w:val="single" w:sz="8" w:space="0" w:color="auto"/>
              <w:right w:val="single" w:sz="8" w:space="0" w:color="000000"/>
            </w:tcBorders>
            <w:vAlign w:val="center"/>
            <w:hideMark/>
          </w:tcPr>
          <w:p w14:paraId="7DB9975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Residential, public, commercial</w:t>
            </w:r>
          </w:p>
        </w:tc>
      </w:tr>
      <w:tr w:rsidR="00614438" w:rsidRPr="00AA7A53" w14:paraId="2E982C24" w14:textId="77777777" w:rsidTr="00614438">
        <w:trPr>
          <w:gridAfter w:val="1"/>
          <w:wAfter w:w="222" w:type="dxa"/>
          <w:trHeight w:val="315"/>
        </w:trPr>
        <w:tc>
          <w:tcPr>
            <w:tcW w:w="3326" w:type="dxa"/>
            <w:tcBorders>
              <w:top w:val="nil"/>
              <w:left w:val="single" w:sz="8" w:space="0" w:color="auto"/>
              <w:bottom w:val="single" w:sz="8" w:space="0" w:color="auto"/>
              <w:right w:val="single" w:sz="8" w:space="0" w:color="auto"/>
            </w:tcBorders>
            <w:shd w:val="clear" w:color="auto" w:fill="244062"/>
            <w:vAlign w:val="center"/>
            <w:hideMark/>
          </w:tcPr>
          <w:p w14:paraId="581558B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32" w:type="dxa"/>
            <w:gridSpan w:val="3"/>
            <w:tcBorders>
              <w:top w:val="single" w:sz="8" w:space="0" w:color="auto"/>
              <w:left w:val="nil"/>
              <w:bottom w:val="single" w:sz="8" w:space="0" w:color="auto"/>
              <w:right w:val="single" w:sz="8" w:space="0" w:color="000000"/>
            </w:tcBorders>
            <w:vAlign w:val="center"/>
            <w:hideMark/>
          </w:tcPr>
          <w:p w14:paraId="45FA4E3C"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tc>
      </w:tr>
      <w:tr w:rsidR="00614438" w:rsidRPr="00AA7A53" w14:paraId="223033BB" w14:textId="77777777" w:rsidTr="00614438">
        <w:trPr>
          <w:gridAfter w:val="1"/>
          <w:wAfter w:w="222" w:type="dxa"/>
          <w:trHeight w:val="315"/>
        </w:trPr>
        <w:tc>
          <w:tcPr>
            <w:tcW w:w="3326" w:type="dxa"/>
            <w:tcBorders>
              <w:top w:val="nil"/>
              <w:left w:val="single" w:sz="8" w:space="0" w:color="auto"/>
              <w:bottom w:val="single" w:sz="8" w:space="0" w:color="auto"/>
              <w:right w:val="nil"/>
            </w:tcBorders>
            <w:shd w:val="clear" w:color="auto" w:fill="244062"/>
            <w:vAlign w:val="center"/>
            <w:hideMark/>
          </w:tcPr>
          <w:p w14:paraId="1EE21A7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32" w:type="dxa"/>
            <w:gridSpan w:val="3"/>
            <w:tcBorders>
              <w:top w:val="single" w:sz="8" w:space="0" w:color="auto"/>
              <w:left w:val="nil"/>
              <w:bottom w:val="single" w:sz="8" w:space="0" w:color="auto"/>
              <w:right w:val="single" w:sz="8" w:space="0" w:color="000000"/>
            </w:tcBorders>
            <w:vAlign w:val="center"/>
            <w:hideMark/>
          </w:tcPr>
          <w:p w14:paraId="631E730A"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59D3EA13" w14:textId="77777777" w:rsidTr="00614438">
        <w:trPr>
          <w:gridAfter w:val="1"/>
          <w:wAfter w:w="222" w:type="dxa"/>
          <w:trHeight w:val="315"/>
        </w:trPr>
        <w:tc>
          <w:tcPr>
            <w:tcW w:w="3326" w:type="dxa"/>
            <w:tcBorders>
              <w:top w:val="nil"/>
              <w:left w:val="single" w:sz="8" w:space="0" w:color="auto"/>
              <w:bottom w:val="single" w:sz="8" w:space="0" w:color="auto"/>
              <w:right w:val="nil"/>
            </w:tcBorders>
            <w:shd w:val="clear" w:color="auto" w:fill="244062"/>
            <w:vAlign w:val="center"/>
            <w:hideMark/>
          </w:tcPr>
          <w:p w14:paraId="2E3D526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32" w:type="dxa"/>
            <w:gridSpan w:val="3"/>
            <w:tcBorders>
              <w:top w:val="single" w:sz="8" w:space="0" w:color="auto"/>
              <w:left w:val="nil"/>
              <w:bottom w:val="single" w:sz="8" w:space="0" w:color="auto"/>
              <w:right w:val="single" w:sz="8" w:space="0" w:color="000000"/>
            </w:tcBorders>
            <w:vAlign w:val="center"/>
            <w:hideMark/>
          </w:tcPr>
          <w:p w14:paraId="018EAEC8"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Developed legislative and regulatory framework</w:t>
            </w:r>
          </w:p>
        </w:tc>
      </w:tr>
      <w:tr w:rsidR="00614438" w:rsidRPr="00AA7A53" w14:paraId="623A10D7" w14:textId="77777777" w:rsidTr="00614438">
        <w:trPr>
          <w:gridAfter w:val="1"/>
          <w:wAfter w:w="222" w:type="dxa"/>
          <w:trHeight w:val="345"/>
        </w:trPr>
        <w:tc>
          <w:tcPr>
            <w:tcW w:w="3326" w:type="dxa"/>
            <w:tcBorders>
              <w:top w:val="nil"/>
              <w:left w:val="single" w:sz="8" w:space="0" w:color="auto"/>
              <w:bottom w:val="single" w:sz="8" w:space="0" w:color="auto"/>
              <w:right w:val="single" w:sz="8" w:space="0" w:color="auto"/>
            </w:tcBorders>
            <w:shd w:val="clear" w:color="auto" w:fill="244062"/>
            <w:vAlign w:val="center"/>
            <w:hideMark/>
          </w:tcPr>
          <w:p w14:paraId="31C7B65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32" w:type="dxa"/>
            <w:gridSpan w:val="3"/>
            <w:tcBorders>
              <w:top w:val="single" w:sz="8" w:space="0" w:color="auto"/>
              <w:left w:val="nil"/>
              <w:bottom w:val="single" w:sz="8" w:space="0" w:color="auto"/>
              <w:right w:val="single" w:sz="8" w:space="0" w:color="000000"/>
            </w:tcBorders>
            <w:vAlign w:val="center"/>
            <w:hideMark/>
          </w:tcPr>
          <w:p w14:paraId="55AA1771" w14:textId="77777777" w:rsidR="00614438" w:rsidRPr="00AA7A53" w:rsidRDefault="00614438" w:rsidP="00AA7A53">
            <w:pPr>
              <w:numPr>
                <w:ilvl w:val="0"/>
                <w:numId w:val="58"/>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 leading to the respective GHG emission reduction &amp; the utilised RES technologies will increase the RES share in heating and cooling)</w:t>
            </w:r>
          </w:p>
          <w:p w14:paraId="795237F8" w14:textId="77777777" w:rsidR="00614438" w:rsidRPr="00AA7A53" w:rsidRDefault="00614438" w:rsidP="00AA7A53">
            <w:pPr>
              <w:numPr>
                <w:ilvl w:val="0"/>
                <w:numId w:val="58"/>
              </w:numPr>
              <w:spacing w:after="0"/>
              <w:jc w:val="both"/>
              <w:rPr>
                <w:rFonts w:ascii="Times New Roman" w:hAnsi="Times New Roman" w:cs="Times New Roman"/>
                <w:sz w:val="20"/>
                <w:szCs w:val="20"/>
              </w:rPr>
            </w:pPr>
            <w:r w:rsidRPr="00AA7A53">
              <w:rPr>
                <w:rFonts w:ascii="Times New Roman" w:hAnsi="Times New Roman" w:cs="Times New Roman"/>
                <w:sz w:val="20"/>
                <w:szCs w:val="20"/>
              </w:rPr>
              <w:lastRenderedPageBreak/>
              <w:t>Energy Security (the delivered energy savings will decrease the consumed quantities of the imported fossil fuels reducing energy import dependency from third countries)</w:t>
            </w:r>
          </w:p>
        </w:tc>
      </w:tr>
      <w:tr w:rsidR="00614438" w:rsidRPr="00AA7A53" w14:paraId="41F60850" w14:textId="77777777" w:rsidTr="00614438">
        <w:trPr>
          <w:gridAfter w:val="1"/>
          <w:wAfter w:w="222" w:type="dxa"/>
          <w:trHeight w:val="458"/>
        </w:trPr>
        <w:tc>
          <w:tcPr>
            <w:tcW w:w="3326" w:type="dxa"/>
            <w:vMerge w:val="restart"/>
            <w:tcBorders>
              <w:top w:val="nil"/>
              <w:left w:val="single" w:sz="8" w:space="0" w:color="auto"/>
              <w:bottom w:val="single" w:sz="8" w:space="0" w:color="000000"/>
              <w:right w:val="single" w:sz="8" w:space="0" w:color="auto"/>
            </w:tcBorders>
            <w:shd w:val="clear" w:color="auto" w:fill="244062"/>
            <w:vAlign w:val="center"/>
            <w:hideMark/>
          </w:tcPr>
          <w:p w14:paraId="68A4E9B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Union policy which resulted in the implementation of the PaM</w:t>
            </w:r>
          </w:p>
        </w:tc>
        <w:tc>
          <w:tcPr>
            <w:tcW w:w="6132"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9A7C524" w14:textId="77777777" w:rsidR="00614438" w:rsidRPr="00AA7A53" w:rsidRDefault="00614438" w:rsidP="00AA7A53">
            <w:pPr>
              <w:numPr>
                <w:ilvl w:val="0"/>
                <w:numId w:val="59"/>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2010/31</w:t>
            </w:r>
          </w:p>
          <w:p w14:paraId="5442A282" w14:textId="77777777" w:rsidR="00614438" w:rsidRPr="00AA7A53" w:rsidRDefault="00614438" w:rsidP="00AA7A53">
            <w:pPr>
              <w:numPr>
                <w:ilvl w:val="0"/>
                <w:numId w:val="58"/>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1B614A6B" w14:textId="77777777" w:rsidR="00614438" w:rsidRPr="00AA7A53" w:rsidRDefault="00614438" w:rsidP="00AA7A53">
            <w:pPr>
              <w:numPr>
                <w:ilvl w:val="0"/>
                <w:numId w:val="58"/>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p w14:paraId="7E70A1A4" w14:textId="77777777" w:rsidR="00614438" w:rsidRPr="00AA7A53" w:rsidRDefault="00614438" w:rsidP="00AA7A53">
            <w:pPr>
              <w:numPr>
                <w:ilvl w:val="0"/>
                <w:numId w:val="58"/>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2018/844</w:t>
            </w:r>
          </w:p>
        </w:tc>
      </w:tr>
      <w:tr w:rsidR="00614438" w:rsidRPr="00AA7A53" w14:paraId="519209B0"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16A9C918"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A946401"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79CD3C5F"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A99FCE5"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6A8A8478"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F08E022"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728B71CF"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302E9BED" w14:textId="77777777" w:rsidTr="00614438">
        <w:trPr>
          <w:trHeight w:val="563"/>
        </w:trPr>
        <w:tc>
          <w:tcPr>
            <w:tcW w:w="3326" w:type="dxa"/>
            <w:tcBorders>
              <w:top w:val="nil"/>
              <w:left w:val="single" w:sz="8" w:space="0" w:color="auto"/>
              <w:bottom w:val="single" w:sz="8" w:space="0" w:color="auto"/>
              <w:right w:val="single" w:sz="8" w:space="0" w:color="auto"/>
            </w:tcBorders>
            <w:shd w:val="clear" w:color="auto" w:fill="244062"/>
            <w:vAlign w:val="center"/>
            <w:hideMark/>
          </w:tcPr>
          <w:p w14:paraId="3087D03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32" w:type="dxa"/>
            <w:gridSpan w:val="3"/>
            <w:tcBorders>
              <w:top w:val="single" w:sz="8" w:space="0" w:color="auto"/>
              <w:left w:val="nil"/>
              <w:bottom w:val="single" w:sz="8" w:space="0" w:color="auto"/>
              <w:right w:val="single" w:sz="8" w:space="0" w:color="000000"/>
            </w:tcBorders>
            <w:vAlign w:val="center"/>
            <w:hideMark/>
          </w:tcPr>
          <w:p w14:paraId="654B541F" w14:textId="77777777" w:rsidR="00D62FC1" w:rsidRPr="00AA7A53" w:rsidRDefault="00D62FC1" w:rsidP="00AA7A53">
            <w:pPr>
              <w:numPr>
                <w:ilvl w:val="0"/>
                <w:numId w:val="58"/>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 Efficiency and Rational Use of Energy</w:t>
            </w:r>
          </w:p>
          <w:p w14:paraId="15E7256C" w14:textId="77777777" w:rsidR="00D62FC1" w:rsidRPr="00AA7A53" w:rsidRDefault="00D62FC1" w:rsidP="00AA7A53">
            <w:pPr>
              <w:numPr>
                <w:ilvl w:val="0"/>
                <w:numId w:val="58"/>
              </w:numPr>
              <w:spacing w:after="0"/>
              <w:jc w:val="both"/>
              <w:rPr>
                <w:rFonts w:ascii="Times New Roman" w:hAnsi="Times New Roman" w:cs="Times New Roman"/>
                <w:sz w:val="20"/>
                <w:szCs w:val="20"/>
              </w:rPr>
            </w:pPr>
            <w:r w:rsidRPr="00AA7A53">
              <w:rPr>
                <w:rFonts w:ascii="Times New Roman" w:hAnsi="Times New Roman" w:cs="Times New Roman"/>
                <w:sz w:val="20"/>
                <w:szCs w:val="20"/>
              </w:rPr>
              <w:t>A long-term strategy to encourage investment in the renovation of the national building stock</w:t>
            </w:r>
          </w:p>
          <w:p w14:paraId="5F9352E2" w14:textId="77777777" w:rsidR="00D62FC1" w:rsidRPr="00AA7A53" w:rsidRDefault="00D62FC1" w:rsidP="00AA7A53">
            <w:pPr>
              <w:numPr>
                <w:ilvl w:val="0"/>
                <w:numId w:val="58"/>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Planning and Construction</w:t>
            </w:r>
          </w:p>
          <w:p w14:paraId="31DFA036" w14:textId="77777777" w:rsidR="00D62FC1" w:rsidRPr="00AA7A53" w:rsidRDefault="00D62FC1" w:rsidP="00AA7A53">
            <w:pPr>
              <w:numPr>
                <w:ilvl w:val="0"/>
                <w:numId w:val="58"/>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the law and by-laws regulating the energy efficiency of buildings </w:t>
            </w:r>
          </w:p>
        </w:tc>
        <w:tc>
          <w:tcPr>
            <w:tcW w:w="222" w:type="dxa"/>
            <w:vAlign w:val="center"/>
            <w:hideMark/>
          </w:tcPr>
          <w:p w14:paraId="6B1217F9"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27B1762" w14:textId="77777777" w:rsidTr="00614438">
        <w:trPr>
          <w:trHeight w:val="315"/>
        </w:trPr>
        <w:tc>
          <w:tcPr>
            <w:tcW w:w="3326" w:type="dxa"/>
            <w:tcBorders>
              <w:top w:val="nil"/>
              <w:left w:val="single" w:sz="8" w:space="0" w:color="auto"/>
              <w:bottom w:val="single" w:sz="8" w:space="0" w:color="auto"/>
              <w:right w:val="single" w:sz="8" w:space="0" w:color="auto"/>
            </w:tcBorders>
            <w:shd w:val="clear" w:color="auto" w:fill="244062"/>
            <w:vAlign w:val="center"/>
            <w:hideMark/>
          </w:tcPr>
          <w:p w14:paraId="07209F4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32" w:type="dxa"/>
            <w:gridSpan w:val="3"/>
            <w:tcBorders>
              <w:top w:val="single" w:sz="8" w:space="0" w:color="auto"/>
              <w:left w:val="nil"/>
              <w:bottom w:val="single" w:sz="8" w:space="0" w:color="auto"/>
              <w:right w:val="single" w:sz="8" w:space="0" w:color="000000"/>
            </w:tcBorders>
            <w:vAlign w:val="center"/>
            <w:hideMark/>
          </w:tcPr>
          <w:p w14:paraId="098C1C6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Be integrated into PM_EE1, PM_EE2 and PM_EE3</w:t>
            </w:r>
          </w:p>
        </w:tc>
        <w:tc>
          <w:tcPr>
            <w:tcW w:w="222" w:type="dxa"/>
            <w:vAlign w:val="center"/>
            <w:hideMark/>
          </w:tcPr>
          <w:p w14:paraId="5F2A3D36"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E20C6EC" w14:textId="77777777" w:rsidTr="00614438">
        <w:trPr>
          <w:trHeight w:val="315"/>
        </w:trPr>
        <w:tc>
          <w:tcPr>
            <w:tcW w:w="3326" w:type="dxa"/>
            <w:tcBorders>
              <w:top w:val="nil"/>
              <w:left w:val="single" w:sz="8" w:space="0" w:color="auto"/>
              <w:bottom w:val="single" w:sz="8" w:space="0" w:color="auto"/>
              <w:right w:val="single" w:sz="8" w:space="0" w:color="auto"/>
            </w:tcBorders>
            <w:shd w:val="clear" w:color="auto" w:fill="244062"/>
            <w:vAlign w:val="center"/>
            <w:hideMark/>
          </w:tcPr>
          <w:p w14:paraId="773CF17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32" w:type="dxa"/>
            <w:gridSpan w:val="3"/>
            <w:tcBorders>
              <w:top w:val="single" w:sz="8" w:space="0" w:color="auto"/>
              <w:left w:val="nil"/>
              <w:bottom w:val="single" w:sz="8" w:space="0" w:color="auto"/>
              <w:right w:val="single" w:sz="8" w:space="0" w:color="000000"/>
            </w:tcBorders>
            <w:vAlign w:val="center"/>
            <w:hideMark/>
          </w:tcPr>
          <w:p w14:paraId="7808BE4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02792F86" w14:textId="77777777" w:rsidR="00614438" w:rsidRPr="00AA7A53" w:rsidRDefault="00614438" w:rsidP="00AA7A53">
            <w:pPr>
              <w:spacing w:after="0"/>
              <w:jc w:val="both"/>
              <w:rPr>
                <w:rFonts w:ascii="Times New Roman" w:hAnsi="Times New Roman" w:cs="Times New Roman"/>
                <w:sz w:val="20"/>
                <w:szCs w:val="20"/>
                <w:lang w:val="en-GB"/>
              </w:rPr>
            </w:pPr>
          </w:p>
        </w:tc>
      </w:tr>
    </w:tbl>
    <w:p w14:paraId="4A7C4220"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26"/>
        <w:gridCol w:w="953"/>
        <w:gridCol w:w="945"/>
        <w:gridCol w:w="4234"/>
        <w:gridCol w:w="222"/>
      </w:tblGrid>
      <w:tr w:rsidR="00614438" w:rsidRPr="00AA7A53" w14:paraId="14817A1B" w14:textId="77777777" w:rsidTr="00614438">
        <w:trPr>
          <w:trHeight w:val="780"/>
        </w:trPr>
        <w:tc>
          <w:tcPr>
            <w:tcW w:w="3326"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1C018FE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53" w:type="dxa"/>
            <w:tcBorders>
              <w:top w:val="single" w:sz="8" w:space="0" w:color="auto"/>
              <w:left w:val="nil"/>
              <w:bottom w:val="single" w:sz="8" w:space="0" w:color="auto"/>
              <w:right w:val="single" w:sz="8" w:space="0" w:color="auto"/>
            </w:tcBorders>
            <w:shd w:val="clear" w:color="auto" w:fill="E7E6E6" w:themeFill="background2"/>
            <w:vAlign w:val="center"/>
            <w:hideMark/>
          </w:tcPr>
          <w:p w14:paraId="02F984C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PM_EE5</w:t>
            </w:r>
          </w:p>
        </w:tc>
        <w:tc>
          <w:tcPr>
            <w:tcW w:w="945" w:type="dxa"/>
            <w:tcBorders>
              <w:top w:val="single" w:sz="8" w:space="0" w:color="auto"/>
              <w:left w:val="nil"/>
              <w:bottom w:val="single" w:sz="8" w:space="0" w:color="auto"/>
              <w:right w:val="single" w:sz="8" w:space="0" w:color="auto"/>
            </w:tcBorders>
            <w:shd w:val="clear" w:color="auto" w:fill="244062"/>
            <w:vAlign w:val="center"/>
            <w:hideMark/>
          </w:tcPr>
          <w:p w14:paraId="3968930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34" w:type="dxa"/>
            <w:gridSpan w:val="2"/>
            <w:tcBorders>
              <w:top w:val="single" w:sz="8" w:space="0" w:color="auto"/>
              <w:left w:val="nil"/>
              <w:bottom w:val="single" w:sz="8" w:space="0" w:color="auto"/>
              <w:right w:val="single" w:sz="8" w:space="0" w:color="auto"/>
            </w:tcBorders>
            <w:shd w:val="clear" w:color="auto" w:fill="E7E6E6" w:themeFill="background2"/>
            <w:vAlign w:val="center"/>
            <w:hideMark/>
          </w:tcPr>
          <w:p w14:paraId="7BDE26B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Financial support for the construction and energy renovation of buildings exceeding minimum energy requirements</w:t>
            </w:r>
          </w:p>
        </w:tc>
      </w:tr>
      <w:tr w:rsidR="00614438" w:rsidRPr="00AA7A53" w14:paraId="6145F221" w14:textId="77777777" w:rsidTr="00614438">
        <w:trPr>
          <w:gridAfter w:val="1"/>
          <w:wAfter w:w="222" w:type="dxa"/>
          <w:trHeight w:val="960"/>
        </w:trPr>
        <w:tc>
          <w:tcPr>
            <w:tcW w:w="3326" w:type="dxa"/>
            <w:tcBorders>
              <w:top w:val="nil"/>
              <w:left w:val="single" w:sz="8" w:space="0" w:color="auto"/>
              <w:bottom w:val="single" w:sz="8" w:space="0" w:color="auto"/>
              <w:right w:val="nil"/>
            </w:tcBorders>
            <w:shd w:val="clear" w:color="auto" w:fill="244062"/>
            <w:vAlign w:val="center"/>
            <w:hideMark/>
          </w:tcPr>
          <w:p w14:paraId="4636161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32" w:type="dxa"/>
            <w:gridSpan w:val="3"/>
            <w:tcBorders>
              <w:top w:val="single" w:sz="8" w:space="0" w:color="auto"/>
              <w:left w:val="nil"/>
              <w:bottom w:val="single" w:sz="8" w:space="0" w:color="auto"/>
              <w:right w:val="single" w:sz="8" w:space="0" w:color="000000"/>
            </w:tcBorders>
            <w:vAlign w:val="center"/>
            <w:hideMark/>
          </w:tcPr>
          <w:p w14:paraId="23F9E6E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2012/27/EU, as amended by Directive (EU) 2018/2002:</w:t>
            </w:r>
          </w:p>
          <w:p w14:paraId="451C7D31" w14:textId="77777777" w:rsidR="00614438" w:rsidRPr="00AA7A53" w:rsidRDefault="00614438" w:rsidP="00AA7A53">
            <w:pPr>
              <w:numPr>
                <w:ilvl w:val="0"/>
                <w:numId w:val="60"/>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70FBA700" w14:textId="77777777" w:rsidR="00614438" w:rsidRPr="00AA7A53" w:rsidRDefault="00614438" w:rsidP="00AA7A53">
            <w:pPr>
              <w:numPr>
                <w:ilvl w:val="0"/>
                <w:numId w:val="60"/>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4</w:t>
            </w:r>
          </w:p>
          <w:p w14:paraId="0142A1EA" w14:textId="77777777" w:rsidR="00614438" w:rsidRPr="00AA7A53" w:rsidRDefault="00614438" w:rsidP="00AA7A53">
            <w:pPr>
              <w:numPr>
                <w:ilvl w:val="0"/>
                <w:numId w:val="60"/>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5</w:t>
            </w:r>
          </w:p>
          <w:p w14:paraId="744A4BAC" w14:textId="77777777" w:rsidR="00614438" w:rsidRPr="00AA7A53" w:rsidRDefault="00614438" w:rsidP="00AA7A53">
            <w:pPr>
              <w:numPr>
                <w:ilvl w:val="0"/>
                <w:numId w:val="60"/>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tc>
      </w:tr>
      <w:tr w:rsidR="00614438" w:rsidRPr="00AA7A53" w14:paraId="5A9AC647" w14:textId="77777777" w:rsidTr="00614438">
        <w:trPr>
          <w:gridAfter w:val="1"/>
          <w:wAfter w:w="222" w:type="dxa"/>
          <w:trHeight w:val="315"/>
        </w:trPr>
        <w:tc>
          <w:tcPr>
            <w:tcW w:w="3326" w:type="dxa"/>
            <w:tcBorders>
              <w:top w:val="nil"/>
              <w:left w:val="single" w:sz="8" w:space="0" w:color="auto"/>
              <w:bottom w:val="single" w:sz="8" w:space="0" w:color="auto"/>
              <w:right w:val="single" w:sz="8" w:space="0" w:color="auto"/>
            </w:tcBorders>
            <w:shd w:val="clear" w:color="auto" w:fill="244062"/>
            <w:vAlign w:val="center"/>
            <w:hideMark/>
          </w:tcPr>
          <w:p w14:paraId="5366CFE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32" w:type="dxa"/>
            <w:gridSpan w:val="3"/>
            <w:tcBorders>
              <w:top w:val="single" w:sz="8" w:space="0" w:color="auto"/>
              <w:left w:val="nil"/>
              <w:bottom w:val="single" w:sz="8" w:space="0" w:color="auto"/>
              <w:right w:val="single" w:sz="8" w:space="0" w:color="000000"/>
            </w:tcBorders>
            <w:vAlign w:val="center"/>
            <w:hideMark/>
          </w:tcPr>
          <w:p w14:paraId="2A42AAA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PM_EE1-PM_EE3</w:t>
            </w:r>
          </w:p>
        </w:tc>
      </w:tr>
      <w:tr w:rsidR="00614438" w:rsidRPr="00AA7A53" w14:paraId="5614EDC9" w14:textId="77777777" w:rsidTr="00614438">
        <w:trPr>
          <w:gridAfter w:val="1"/>
          <w:wAfter w:w="222" w:type="dxa"/>
          <w:trHeight w:val="1924"/>
        </w:trPr>
        <w:tc>
          <w:tcPr>
            <w:tcW w:w="3326" w:type="dxa"/>
            <w:tcBorders>
              <w:top w:val="nil"/>
              <w:left w:val="single" w:sz="8" w:space="0" w:color="auto"/>
              <w:bottom w:val="single" w:sz="8" w:space="0" w:color="auto"/>
              <w:right w:val="single" w:sz="8" w:space="0" w:color="auto"/>
            </w:tcBorders>
            <w:shd w:val="clear" w:color="auto" w:fill="244062"/>
            <w:vAlign w:val="center"/>
            <w:hideMark/>
          </w:tcPr>
          <w:p w14:paraId="7EB56F4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32" w:type="dxa"/>
            <w:gridSpan w:val="3"/>
            <w:tcBorders>
              <w:top w:val="single" w:sz="8" w:space="0" w:color="auto"/>
              <w:left w:val="nil"/>
              <w:bottom w:val="single" w:sz="8" w:space="0" w:color="auto"/>
              <w:right w:val="single" w:sz="8" w:space="0" w:color="000000"/>
            </w:tcBorders>
            <w:vAlign w:val="center"/>
            <w:hideMark/>
          </w:tcPr>
          <w:p w14:paraId="117BD131" w14:textId="6D3FD186"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PM_EE5 will foster the </w:t>
            </w:r>
            <w:r w:rsidR="00554D76" w:rsidRPr="00AA7A53">
              <w:rPr>
                <w:rFonts w:ascii="Times New Roman" w:hAnsi="Times New Roman" w:cs="Times New Roman"/>
                <w:sz w:val="20"/>
                <w:szCs w:val="20"/>
                <w:lang w:val="en-GB"/>
              </w:rPr>
              <w:t>implementations</w:t>
            </w:r>
            <w:r w:rsidRPr="00AA7A53">
              <w:rPr>
                <w:rFonts w:ascii="Times New Roman" w:hAnsi="Times New Roman" w:cs="Times New Roman"/>
                <w:sz w:val="20"/>
                <w:szCs w:val="20"/>
                <w:lang w:val="en-GB"/>
              </w:rPr>
              <w:t xml:space="preserve"> of energy efficiency interventions providing incentives </w:t>
            </w:r>
            <w:r w:rsidR="00045FD6" w:rsidRPr="00AA7A53">
              <w:rPr>
                <w:rFonts w:ascii="Times New Roman" w:hAnsi="Times New Roman" w:cs="Times New Roman"/>
                <w:sz w:val="20"/>
                <w:szCs w:val="20"/>
                <w:lang w:val="en-GB"/>
              </w:rPr>
              <w:t xml:space="preserve">for new buildings and energy renovated residential and non-residential buildings, </w:t>
            </w:r>
            <w:r w:rsidRPr="00AA7A53">
              <w:rPr>
                <w:rFonts w:ascii="Times New Roman" w:hAnsi="Times New Roman" w:cs="Times New Roman"/>
                <w:sz w:val="20"/>
                <w:szCs w:val="20"/>
                <w:lang w:val="en-GB"/>
              </w:rPr>
              <w:t xml:space="preserve">so as to exceed energy requirements beyond the minimum ones </w:t>
            </w:r>
            <w:r w:rsidR="00045FD6" w:rsidRPr="00AA7A53">
              <w:rPr>
                <w:rFonts w:ascii="Times New Roman" w:hAnsi="Times New Roman" w:cs="Times New Roman"/>
                <w:sz w:val="20"/>
                <w:szCs w:val="20"/>
                <w:lang w:val="en-GB"/>
              </w:rPr>
              <w:t>by introducing</w:t>
            </w:r>
            <w:r w:rsidRPr="00AA7A53">
              <w:rPr>
                <w:rFonts w:ascii="Times New Roman" w:hAnsi="Times New Roman" w:cs="Times New Roman"/>
                <w:sz w:val="20"/>
                <w:szCs w:val="20"/>
                <w:lang w:val="en-GB"/>
              </w:rPr>
              <w:t xml:space="preserve"> regulatory measures (such as the increase of the allowed building area with higher energy performance than the minimum ones and the obligation to examine at the stage of preparing a building permit design the use of high-efficiency alternative energy and heat supply systems) and additional fiscal and financial measures. It should be noted that the measure can </w:t>
            </w:r>
            <w:r w:rsidR="00045FD6" w:rsidRPr="00AA7A53">
              <w:rPr>
                <w:rFonts w:ascii="Times New Roman" w:hAnsi="Times New Roman" w:cs="Times New Roman"/>
                <w:sz w:val="20"/>
                <w:szCs w:val="20"/>
                <w:lang w:val="en-GB"/>
              </w:rPr>
              <w:t>also encompass</w:t>
            </w:r>
            <w:r w:rsidRPr="00AA7A53">
              <w:rPr>
                <w:rFonts w:ascii="Times New Roman" w:hAnsi="Times New Roman" w:cs="Times New Roman"/>
                <w:sz w:val="20"/>
                <w:szCs w:val="20"/>
                <w:lang w:val="en-GB"/>
              </w:rPr>
              <w:t xml:space="preserve"> the promotion of passive buildings. Dedicated pilot projects will be designed in the beginning in order to ensure the readiness of the involved professionals. It should be noted that the potential use of low-carbon construction materials will be examined facilitating the transformation of the buildings into zero-emission buildings for their whole life-cycle.</w:t>
            </w:r>
          </w:p>
        </w:tc>
      </w:tr>
      <w:tr w:rsidR="00614438" w:rsidRPr="00AA7A53" w14:paraId="0F56B0AE" w14:textId="77777777" w:rsidTr="00614438">
        <w:trPr>
          <w:gridAfter w:val="1"/>
          <w:wAfter w:w="222" w:type="dxa"/>
          <w:trHeight w:val="315"/>
        </w:trPr>
        <w:tc>
          <w:tcPr>
            <w:tcW w:w="3326" w:type="dxa"/>
            <w:tcBorders>
              <w:top w:val="nil"/>
              <w:left w:val="single" w:sz="8" w:space="0" w:color="auto"/>
              <w:bottom w:val="single" w:sz="8" w:space="0" w:color="auto"/>
              <w:right w:val="single" w:sz="8" w:space="0" w:color="auto"/>
            </w:tcBorders>
            <w:shd w:val="clear" w:color="auto" w:fill="244062"/>
            <w:vAlign w:val="center"/>
            <w:hideMark/>
          </w:tcPr>
          <w:p w14:paraId="7BF31F9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32" w:type="dxa"/>
            <w:gridSpan w:val="3"/>
            <w:tcBorders>
              <w:top w:val="single" w:sz="8" w:space="0" w:color="auto"/>
              <w:left w:val="nil"/>
              <w:bottom w:val="single" w:sz="8" w:space="0" w:color="auto"/>
              <w:right w:val="single" w:sz="8" w:space="0" w:color="000000"/>
            </w:tcBorders>
            <w:vAlign w:val="center"/>
            <w:hideMark/>
          </w:tcPr>
          <w:p w14:paraId="390EFEE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D62FC1" w:rsidRPr="00AA7A53">
              <w:rPr>
                <w:rFonts w:ascii="Times New Roman" w:hAnsi="Times New Roman" w:cs="Times New Roman"/>
                <w:sz w:val="20"/>
                <w:szCs w:val="20"/>
                <w:lang w:val="en-GB"/>
              </w:rPr>
              <w:t>8</w:t>
            </w:r>
            <w:r w:rsidRPr="00AA7A53">
              <w:rPr>
                <w:rFonts w:ascii="Times New Roman" w:hAnsi="Times New Roman" w:cs="Times New Roman"/>
                <w:sz w:val="20"/>
                <w:szCs w:val="20"/>
                <w:lang w:val="en-GB"/>
              </w:rPr>
              <w:t>-2030</w:t>
            </w:r>
          </w:p>
        </w:tc>
      </w:tr>
      <w:tr w:rsidR="00614438" w:rsidRPr="00AA7A53" w14:paraId="626F31C2" w14:textId="77777777" w:rsidTr="00614438">
        <w:trPr>
          <w:gridAfter w:val="1"/>
          <w:wAfter w:w="222" w:type="dxa"/>
          <w:trHeight w:val="315"/>
        </w:trPr>
        <w:tc>
          <w:tcPr>
            <w:tcW w:w="3326" w:type="dxa"/>
            <w:tcBorders>
              <w:top w:val="nil"/>
              <w:left w:val="single" w:sz="8" w:space="0" w:color="auto"/>
              <w:bottom w:val="single" w:sz="8" w:space="0" w:color="auto"/>
              <w:right w:val="single" w:sz="8" w:space="0" w:color="auto"/>
            </w:tcBorders>
            <w:shd w:val="clear" w:color="auto" w:fill="244062"/>
            <w:vAlign w:val="center"/>
            <w:hideMark/>
          </w:tcPr>
          <w:p w14:paraId="0BC4A9E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32" w:type="dxa"/>
            <w:gridSpan w:val="3"/>
            <w:tcBorders>
              <w:top w:val="single" w:sz="8" w:space="0" w:color="auto"/>
              <w:left w:val="nil"/>
              <w:bottom w:val="single" w:sz="8" w:space="0" w:color="auto"/>
              <w:right w:val="single" w:sz="8" w:space="0" w:color="000000"/>
            </w:tcBorders>
            <w:vAlign w:val="center"/>
            <w:hideMark/>
          </w:tcPr>
          <w:p w14:paraId="12B5C5B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37F3A4F1" w14:textId="77777777" w:rsidTr="00614438">
        <w:trPr>
          <w:gridAfter w:val="1"/>
          <w:wAfter w:w="222" w:type="dxa"/>
          <w:trHeight w:val="315"/>
        </w:trPr>
        <w:tc>
          <w:tcPr>
            <w:tcW w:w="3326" w:type="dxa"/>
            <w:tcBorders>
              <w:top w:val="nil"/>
              <w:left w:val="single" w:sz="8" w:space="0" w:color="auto"/>
              <w:bottom w:val="single" w:sz="8" w:space="0" w:color="auto"/>
              <w:right w:val="single" w:sz="8" w:space="0" w:color="auto"/>
            </w:tcBorders>
            <w:shd w:val="clear" w:color="auto" w:fill="244062"/>
            <w:vAlign w:val="center"/>
            <w:hideMark/>
          </w:tcPr>
          <w:p w14:paraId="5ED4BA5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32" w:type="dxa"/>
            <w:gridSpan w:val="3"/>
            <w:tcBorders>
              <w:top w:val="single" w:sz="8" w:space="0" w:color="auto"/>
              <w:left w:val="nil"/>
              <w:bottom w:val="single" w:sz="8" w:space="0" w:color="auto"/>
              <w:right w:val="single" w:sz="8" w:space="0" w:color="000000"/>
            </w:tcBorders>
            <w:vAlign w:val="center"/>
            <w:hideMark/>
          </w:tcPr>
          <w:p w14:paraId="21FE684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Residential, public, commercial</w:t>
            </w:r>
          </w:p>
        </w:tc>
      </w:tr>
      <w:tr w:rsidR="00614438" w:rsidRPr="00AA7A53" w14:paraId="1F6D398A" w14:textId="77777777" w:rsidTr="00614438">
        <w:trPr>
          <w:gridAfter w:val="1"/>
          <w:wAfter w:w="222" w:type="dxa"/>
          <w:trHeight w:val="315"/>
        </w:trPr>
        <w:tc>
          <w:tcPr>
            <w:tcW w:w="3326" w:type="dxa"/>
            <w:tcBorders>
              <w:top w:val="nil"/>
              <w:left w:val="single" w:sz="8" w:space="0" w:color="auto"/>
              <w:bottom w:val="single" w:sz="8" w:space="0" w:color="auto"/>
              <w:right w:val="single" w:sz="8" w:space="0" w:color="auto"/>
            </w:tcBorders>
            <w:shd w:val="clear" w:color="auto" w:fill="244062"/>
            <w:vAlign w:val="center"/>
            <w:hideMark/>
          </w:tcPr>
          <w:p w14:paraId="190B850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32" w:type="dxa"/>
            <w:gridSpan w:val="3"/>
            <w:tcBorders>
              <w:top w:val="single" w:sz="8" w:space="0" w:color="auto"/>
              <w:left w:val="nil"/>
              <w:bottom w:val="single" w:sz="8" w:space="0" w:color="auto"/>
              <w:right w:val="single" w:sz="8" w:space="0" w:color="000000"/>
            </w:tcBorders>
            <w:vAlign w:val="center"/>
            <w:hideMark/>
          </w:tcPr>
          <w:p w14:paraId="69FAF7FE"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p w14:paraId="5C08A9AF" w14:textId="77777777" w:rsidR="00D62FC1"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53627351"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EE Directorate</w:t>
            </w:r>
          </w:p>
          <w:p w14:paraId="02EED4FA" w14:textId="77777777" w:rsidR="00614438" w:rsidRPr="00AA7A53" w:rsidRDefault="00D62FC1"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w:t>
            </w:r>
            <w:r w:rsidR="00045FD6" w:rsidRPr="00AA7A53">
              <w:rPr>
                <w:rFonts w:ascii="Times New Roman" w:hAnsi="Times New Roman" w:cs="Times New Roman"/>
                <w:sz w:val="20"/>
                <w:szCs w:val="20"/>
              </w:rPr>
              <w:t>e</w:t>
            </w:r>
          </w:p>
        </w:tc>
      </w:tr>
      <w:tr w:rsidR="00614438" w:rsidRPr="00AA7A53" w14:paraId="6A47F9CB" w14:textId="77777777" w:rsidTr="00614438">
        <w:trPr>
          <w:gridAfter w:val="1"/>
          <w:wAfter w:w="222" w:type="dxa"/>
          <w:trHeight w:val="315"/>
        </w:trPr>
        <w:tc>
          <w:tcPr>
            <w:tcW w:w="3326" w:type="dxa"/>
            <w:tcBorders>
              <w:top w:val="nil"/>
              <w:left w:val="single" w:sz="8" w:space="0" w:color="auto"/>
              <w:bottom w:val="single" w:sz="8" w:space="0" w:color="auto"/>
              <w:right w:val="nil"/>
            </w:tcBorders>
            <w:shd w:val="clear" w:color="auto" w:fill="244062"/>
            <w:vAlign w:val="center"/>
            <w:hideMark/>
          </w:tcPr>
          <w:p w14:paraId="3C4517E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32" w:type="dxa"/>
            <w:gridSpan w:val="3"/>
            <w:tcBorders>
              <w:top w:val="single" w:sz="8" w:space="0" w:color="auto"/>
              <w:left w:val="nil"/>
              <w:bottom w:val="single" w:sz="8" w:space="0" w:color="auto"/>
              <w:right w:val="single" w:sz="8" w:space="0" w:color="000000"/>
            </w:tcBorders>
            <w:vAlign w:val="center"/>
            <w:hideMark/>
          </w:tcPr>
          <w:p w14:paraId="41B22526"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7D82174F" w14:textId="77777777" w:rsidTr="00614438">
        <w:trPr>
          <w:gridAfter w:val="1"/>
          <w:wAfter w:w="222" w:type="dxa"/>
          <w:trHeight w:val="315"/>
        </w:trPr>
        <w:tc>
          <w:tcPr>
            <w:tcW w:w="3326" w:type="dxa"/>
            <w:tcBorders>
              <w:top w:val="nil"/>
              <w:left w:val="single" w:sz="8" w:space="0" w:color="auto"/>
              <w:bottom w:val="single" w:sz="8" w:space="0" w:color="auto"/>
              <w:right w:val="nil"/>
            </w:tcBorders>
            <w:shd w:val="clear" w:color="auto" w:fill="244062"/>
            <w:vAlign w:val="center"/>
            <w:hideMark/>
          </w:tcPr>
          <w:p w14:paraId="6646DC8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32" w:type="dxa"/>
            <w:gridSpan w:val="3"/>
            <w:tcBorders>
              <w:top w:val="single" w:sz="8" w:space="0" w:color="auto"/>
              <w:left w:val="nil"/>
              <w:bottom w:val="single" w:sz="8" w:space="0" w:color="auto"/>
              <w:right w:val="single" w:sz="8" w:space="0" w:color="000000"/>
            </w:tcBorders>
            <w:vAlign w:val="center"/>
            <w:hideMark/>
          </w:tcPr>
          <w:p w14:paraId="47870394" w14:textId="77777777" w:rsidR="00614438" w:rsidRPr="00AA7A53" w:rsidRDefault="00614438" w:rsidP="00AA7A53">
            <w:pPr>
              <w:numPr>
                <w:ilvl w:val="0"/>
                <w:numId w:val="50"/>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Total surface area of energy renovated buildings exceeding minimum energy requirements</w:t>
            </w:r>
          </w:p>
          <w:p w14:paraId="21A12B1F" w14:textId="77777777" w:rsidR="00614438" w:rsidRPr="00AA7A53" w:rsidRDefault="00614438" w:rsidP="00AA7A53">
            <w:pPr>
              <w:numPr>
                <w:ilvl w:val="0"/>
                <w:numId w:val="50"/>
              </w:numPr>
              <w:spacing w:after="0"/>
              <w:jc w:val="both"/>
              <w:rPr>
                <w:rFonts w:ascii="Times New Roman" w:hAnsi="Times New Roman" w:cs="Times New Roman"/>
                <w:sz w:val="20"/>
                <w:szCs w:val="20"/>
              </w:rPr>
            </w:pPr>
            <w:r w:rsidRPr="00AA7A53">
              <w:rPr>
                <w:rFonts w:ascii="Times New Roman" w:hAnsi="Times New Roman" w:cs="Times New Roman"/>
                <w:sz w:val="20"/>
                <w:szCs w:val="20"/>
              </w:rPr>
              <w:t>Total surface area of new buildings exceeding minimum energy requirements</w:t>
            </w:r>
          </w:p>
          <w:p w14:paraId="3EFFFC62" w14:textId="77777777" w:rsidR="00614438" w:rsidRPr="00AA7A53" w:rsidRDefault="00614438" w:rsidP="00AA7A53">
            <w:pPr>
              <w:numPr>
                <w:ilvl w:val="0"/>
                <w:numId w:val="50"/>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Installed capacity of heat pumps</w:t>
            </w:r>
          </w:p>
        </w:tc>
      </w:tr>
      <w:tr w:rsidR="00614438" w:rsidRPr="00AA7A53" w14:paraId="00C3D013" w14:textId="77777777" w:rsidTr="00614438">
        <w:trPr>
          <w:gridAfter w:val="1"/>
          <w:wAfter w:w="222" w:type="dxa"/>
          <w:trHeight w:val="415"/>
        </w:trPr>
        <w:tc>
          <w:tcPr>
            <w:tcW w:w="3326" w:type="dxa"/>
            <w:tcBorders>
              <w:top w:val="nil"/>
              <w:left w:val="single" w:sz="8" w:space="0" w:color="auto"/>
              <w:bottom w:val="single" w:sz="8" w:space="0" w:color="auto"/>
              <w:right w:val="single" w:sz="8" w:space="0" w:color="auto"/>
            </w:tcBorders>
            <w:shd w:val="clear" w:color="auto" w:fill="244062"/>
            <w:vAlign w:val="center"/>
            <w:hideMark/>
          </w:tcPr>
          <w:p w14:paraId="02C53E7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32" w:type="dxa"/>
            <w:gridSpan w:val="3"/>
            <w:tcBorders>
              <w:top w:val="single" w:sz="8" w:space="0" w:color="auto"/>
              <w:left w:val="nil"/>
              <w:bottom w:val="single" w:sz="8" w:space="0" w:color="auto"/>
              <w:right w:val="single" w:sz="8" w:space="0" w:color="000000"/>
            </w:tcBorders>
            <w:vAlign w:val="center"/>
            <w:hideMark/>
          </w:tcPr>
          <w:p w14:paraId="63FB26F0" w14:textId="77777777" w:rsidR="00614438" w:rsidRPr="00AA7A53" w:rsidRDefault="00614438" w:rsidP="00AA7A53">
            <w:pPr>
              <w:numPr>
                <w:ilvl w:val="0"/>
                <w:numId w:val="61"/>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Decarbonisation (the delivered energy savings will decrease the consumed quantities of fossil fuels leading to the respective GHG </w:t>
            </w:r>
            <w:r w:rsidRPr="00AA7A53">
              <w:rPr>
                <w:rFonts w:ascii="Times New Roman" w:hAnsi="Times New Roman" w:cs="Times New Roman"/>
                <w:sz w:val="20"/>
                <w:szCs w:val="20"/>
              </w:rPr>
              <w:lastRenderedPageBreak/>
              <w:t xml:space="preserve">emission reduction </w:t>
            </w:r>
            <w:r w:rsidR="00D62FC1"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utilised RES technologies will increase the RES share in heating and cooling)</w:t>
            </w:r>
          </w:p>
          <w:p w14:paraId="3511A3C0" w14:textId="77777777" w:rsidR="00614438" w:rsidRPr="00AA7A53" w:rsidRDefault="00614438" w:rsidP="00AA7A53">
            <w:pPr>
              <w:numPr>
                <w:ilvl w:val="0"/>
                <w:numId w:val="61"/>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559B9EC7" w14:textId="77777777" w:rsidTr="00614438">
        <w:trPr>
          <w:gridAfter w:val="1"/>
          <w:wAfter w:w="222" w:type="dxa"/>
          <w:trHeight w:val="458"/>
        </w:trPr>
        <w:tc>
          <w:tcPr>
            <w:tcW w:w="3326" w:type="dxa"/>
            <w:vMerge w:val="restart"/>
            <w:tcBorders>
              <w:top w:val="nil"/>
              <w:left w:val="single" w:sz="8" w:space="0" w:color="auto"/>
              <w:bottom w:val="single" w:sz="8" w:space="0" w:color="000000"/>
              <w:right w:val="single" w:sz="8" w:space="0" w:color="auto"/>
            </w:tcBorders>
            <w:shd w:val="clear" w:color="auto" w:fill="244062"/>
            <w:vAlign w:val="center"/>
            <w:hideMark/>
          </w:tcPr>
          <w:p w14:paraId="73121BC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Union policy which resulted in the implementation of the PaM</w:t>
            </w:r>
          </w:p>
        </w:tc>
        <w:tc>
          <w:tcPr>
            <w:tcW w:w="6132"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8C087F3" w14:textId="77777777" w:rsidR="00614438" w:rsidRPr="00AA7A53" w:rsidRDefault="00614438" w:rsidP="00AA7A53">
            <w:pPr>
              <w:numPr>
                <w:ilvl w:val="0"/>
                <w:numId w:val="61"/>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2010/31</w:t>
            </w:r>
          </w:p>
          <w:p w14:paraId="2D2C2E73" w14:textId="77777777" w:rsidR="00614438" w:rsidRPr="00AA7A53" w:rsidRDefault="00614438" w:rsidP="00AA7A53">
            <w:pPr>
              <w:numPr>
                <w:ilvl w:val="0"/>
                <w:numId w:val="61"/>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12FEBBF6" w14:textId="77777777" w:rsidR="00614438" w:rsidRPr="00AA7A53" w:rsidRDefault="00614438" w:rsidP="00AA7A53">
            <w:pPr>
              <w:numPr>
                <w:ilvl w:val="0"/>
                <w:numId w:val="61"/>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p w14:paraId="517D7919" w14:textId="77777777" w:rsidR="00614438" w:rsidRPr="00AA7A53" w:rsidRDefault="00614438" w:rsidP="00AA7A53">
            <w:pPr>
              <w:numPr>
                <w:ilvl w:val="0"/>
                <w:numId w:val="61"/>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2018/844</w:t>
            </w:r>
          </w:p>
        </w:tc>
      </w:tr>
      <w:tr w:rsidR="00614438" w:rsidRPr="00AA7A53" w14:paraId="414A6A65"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4E272B4F"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FB54892"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78ADDED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9501E5B"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5EE07670"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42C870B"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1B45A177"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50933A24" w14:textId="77777777" w:rsidTr="00614438">
        <w:trPr>
          <w:trHeight w:val="780"/>
        </w:trPr>
        <w:tc>
          <w:tcPr>
            <w:tcW w:w="3326" w:type="dxa"/>
            <w:tcBorders>
              <w:top w:val="nil"/>
              <w:left w:val="single" w:sz="8" w:space="0" w:color="auto"/>
              <w:bottom w:val="single" w:sz="8" w:space="0" w:color="auto"/>
              <w:right w:val="single" w:sz="8" w:space="0" w:color="auto"/>
            </w:tcBorders>
            <w:shd w:val="clear" w:color="auto" w:fill="244062"/>
            <w:vAlign w:val="center"/>
            <w:hideMark/>
          </w:tcPr>
          <w:p w14:paraId="71A977E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32" w:type="dxa"/>
            <w:gridSpan w:val="3"/>
            <w:tcBorders>
              <w:top w:val="single" w:sz="8" w:space="0" w:color="auto"/>
              <w:left w:val="nil"/>
              <w:bottom w:val="single" w:sz="8" w:space="0" w:color="auto"/>
              <w:right w:val="single" w:sz="8" w:space="0" w:color="000000"/>
            </w:tcBorders>
            <w:vAlign w:val="center"/>
            <w:hideMark/>
          </w:tcPr>
          <w:p w14:paraId="0D68BF05" w14:textId="77777777" w:rsidR="00614438" w:rsidRPr="00AA7A53" w:rsidRDefault="00614438" w:rsidP="00AA7A53">
            <w:pPr>
              <w:numPr>
                <w:ilvl w:val="0"/>
                <w:numId w:val="61"/>
              </w:numPr>
              <w:spacing w:after="0"/>
              <w:jc w:val="both"/>
              <w:rPr>
                <w:rFonts w:ascii="Times New Roman" w:hAnsi="Times New Roman" w:cs="Times New Roman"/>
                <w:sz w:val="20"/>
                <w:szCs w:val="20"/>
              </w:rPr>
            </w:pPr>
            <w:r w:rsidRPr="00AA7A53">
              <w:rPr>
                <w:rFonts w:ascii="Times New Roman" w:hAnsi="Times New Roman" w:cs="Times New Roman"/>
                <w:sz w:val="20"/>
                <w:szCs w:val="20"/>
              </w:rPr>
              <w:t>Lack of national definition of nearly zero energy buildings (NZEBs)</w:t>
            </w:r>
          </w:p>
          <w:p w14:paraId="0674D300" w14:textId="77777777" w:rsidR="00614438" w:rsidRPr="00AA7A53" w:rsidRDefault="00614438" w:rsidP="00AA7A53">
            <w:pPr>
              <w:numPr>
                <w:ilvl w:val="0"/>
                <w:numId w:val="61"/>
              </w:numPr>
              <w:spacing w:after="0"/>
              <w:jc w:val="both"/>
              <w:rPr>
                <w:rFonts w:ascii="Times New Roman" w:hAnsi="Times New Roman" w:cs="Times New Roman"/>
                <w:sz w:val="20"/>
                <w:szCs w:val="20"/>
              </w:rPr>
            </w:pPr>
            <w:r w:rsidRPr="00AA7A53">
              <w:rPr>
                <w:rFonts w:ascii="Times New Roman" w:hAnsi="Times New Roman" w:cs="Times New Roman"/>
                <w:sz w:val="20"/>
                <w:szCs w:val="20"/>
              </w:rPr>
              <w:t>Notification under the Article 5 of the Directive (EU) 2012/27 on Energy Efficiency</w:t>
            </w:r>
          </w:p>
          <w:p w14:paraId="4ACF529C" w14:textId="77777777" w:rsidR="00614438" w:rsidRPr="00AA7A53" w:rsidRDefault="00614438" w:rsidP="00AA7A53">
            <w:pPr>
              <w:numPr>
                <w:ilvl w:val="0"/>
                <w:numId w:val="61"/>
              </w:numPr>
              <w:spacing w:after="0"/>
              <w:jc w:val="both"/>
              <w:rPr>
                <w:rFonts w:ascii="Times New Roman" w:hAnsi="Times New Roman" w:cs="Times New Roman"/>
                <w:sz w:val="20"/>
                <w:szCs w:val="20"/>
              </w:rPr>
            </w:pPr>
            <w:r w:rsidRPr="00AA7A53">
              <w:rPr>
                <w:rFonts w:ascii="Times New Roman" w:hAnsi="Times New Roman" w:cs="Times New Roman"/>
                <w:sz w:val="20"/>
                <w:szCs w:val="20"/>
              </w:rPr>
              <w:t>Exemplary role of public bodies’ buildings</w:t>
            </w:r>
          </w:p>
        </w:tc>
        <w:tc>
          <w:tcPr>
            <w:tcW w:w="222" w:type="dxa"/>
            <w:vAlign w:val="center"/>
            <w:hideMark/>
          </w:tcPr>
          <w:p w14:paraId="0EA0F993"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1752DF1" w14:textId="77777777" w:rsidTr="00614438">
        <w:trPr>
          <w:trHeight w:val="315"/>
        </w:trPr>
        <w:tc>
          <w:tcPr>
            <w:tcW w:w="3326" w:type="dxa"/>
            <w:tcBorders>
              <w:top w:val="nil"/>
              <w:left w:val="single" w:sz="8" w:space="0" w:color="auto"/>
              <w:bottom w:val="single" w:sz="8" w:space="0" w:color="auto"/>
              <w:right w:val="single" w:sz="8" w:space="0" w:color="auto"/>
            </w:tcBorders>
            <w:shd w:val="clear" w:color="auto" w:fill="244062"/>
            <w:vAlign w:val="center"/>
            <w:hideMark/>
          </w:tcPr>
          <w:p w14:paraId="3B2A6AB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32" w:type="dxa"/>
            <w:gridSpan w:val="3"/>
            <w:tcBorders>
              <w:top w:val="single" w:sz="8" w:space="0" w:color="auto"/>
              <w:left w:val="nil"/>
              <w:bottom w:val="single" w:sz="8" w:space="0" w:color="auto"/>
              <w:right w:val="single" w:sz="8" w:space="0" w:color="000000"/>
            </w:tcBorders>
            <w:vAlign w:val="center"/>
            <w:hideMark/>
          </w:tcPr>
          <w:p w14:paraId="654BEC8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Be integrated into PM_EE1, PM_EE2 and PM_EE3</w:t>
            </w:r>
          </w:p>
        </w:tc>
        <w:tc>
          <w:tcPr>
            <w:tcW w:w="222" w:type="dxa"/>
            <w:vAlign w:val="center"/>
            <w:hideMark/>
          </w:tcPr>
          <w:p w14:paraId="2CBEDEC6"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8F772F9" w14:textId="77777777" w:rsidTr="00614438">
        <w:trPr>
          <w:trHeight w:val="315"/>
        </w:trPr>
        <w:tc>
          <w:tcPr>
            <w:tcW w:w="3326" w:type="dxa"/>
            <w:tcBorders>
              <w:top w:val="nil"/>
              <w:left w:val="single" w:sz="8" w:space="0" w:color="auto"/>
              <w:bottom w:val="single" w:sz="8" w:space="0" w:color="auto"/>
              <w:right w:val="single" w:sz="8" w:space="0" w:color="auto"/>
            </w:tcBorders>
            <w:shd w:val="clear" w:color="auto" w:fill="244062"/>
            <w:vAlign w:val="center"/>
            <w:hideMark/>
          </w:tcPr>
          <w:p w14:paraId="7770527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32" w:type="dxa"/>
            <w:gridSpan w:val="3"/>
            <w:tcBorders>
              <w:top w:val="single" w:sz="8" w:space="0" w:color="auto"/>
              <w:left w:val="nil"/>
              <w:bottom w:val="single" w:sz="8" w:space="0" w:color="auto"/>
              <w:right w:val="single" w:sz="8" w:space="0" w:color="000000"/>
            </w:tcBorders>
            <w:vAlign w:val="center"/>
            <w:hideMark/>
          </w:tcPr>
          <w:p w14:paraId="2B195A6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06AD147B" w14:textId="77777777" w:rsidR="00614438" w:rsidRPr="00AA7A53" w:rsidRDefault="00614438" w:rsidP="00AA7A53">
            <w:pPr>
              <w:spacing w:after="0"/>
              <w:jc w:val="both"/>
              <w:rPr>
                <w:rFonts w:ascii="Times New Roman" w:hAnsi="Times New Roman" w:cs="Times New Roman"/>
                <w:sz w:val="20"/>
                <w:szCs w:val="20"/>
                <w:lang w:val="en-GB"/>
              </w:rPr>
            </w:pPr>
          </w:p>
        </w:tc>
      </w:tr>
    </w:tbl>
    <w:p w14:paraId="08028E75"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28"/>
        <w:gridCol w:w="954"/>
        <w:gridCol w:w="945"/>
        <w:gridCol w:w="4231"/>
        <w:gridCol w:w="222"/>
      </w:tblGrid>
      <w:tr w:rsidR="00614438" w:rsidRPr="00AA7A53" w14:paraId="3526ACAA" w14:textId="77777777" w:rsidTr="00614438">
        <w:trPr>
          <w:gridAfter w:val="1"/>
          <w:wAfter w:w="222" w:type="dxa"/>
          <w:trHeight w:val="780"/>
        </w:trPr>
        <w:tc>
          <w:tcPr>
            <w:tcW w:w="3328"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651FC35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54" w:type="dxa"/>
            <w:tcBorders>
              <w:top w:val="single" w:sz="8" w:space="0" w:color="auto"/>
              <w:left w:val="nil"/>
              <w:bottom w:val="single" w:sz="8" w:space="0" w:color="auto"/>
              <w:right w:val="single" w:sz="8" w:space="0" w:color="auto"/>
            </w:tcBorders>
            <w:shd w:val="clear" w:color="auto" w:fill="E7E6E6" w:themeFill="background2"/>
            <w:vAlign w:val="center"/>
            <w:hideMark/>
          </w:tcPr>
          <w:p w14:paraId="0E96D51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PM_EE6</w:t>
            </w:r>
          </w:p>
        </w:tc>
        <w:tc>
          <w:tcPr>
            <w:tcW w:w="945" w:type="dxa"/>
            <w:tcBorders>
              <w:top w:val="single" w:sz="8" w:space="0" w:color="auto"/>
              <w:left w:val="nil"/>
              <w:bottom w:val="single" w:sz="8" w:space="0" w:color="auto"/>
              <w:right w:val="single" w:sz="8" w:space="0" w:color="auto"/>
            </w:tcBorders>
            <w:shd w:val="clear" w:color="auto" w:fill="244062"/>
            <w:vAlign w:val="center"/>
            <w:hideMark/>
          </w:tcPr>
          <w:p w14:paraId="4B79114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31" w:type="dxa"/>
            <w:tcBorders>
              <w:top w:val="single" w:sz="8" w:space="0" w:color="auto"/>
              <w:left w:val="nil"/>
              <w:bottom w:val="single" w:sz="8" w:space="0" w:color="auto"/>
              <w:right w:val="single" w:sz="8" w:space="0" w:color="auto"/>
            </w:tcBorders>
            <w:shd w:val="clear" w:color="auto" w:fill="E7E6E6" w:themeFill="background2"/>
            <w:vAlign w:val="center"/>
            <w:hideMark/>
          </w:tcPr>
          <w:p w14:paraId="7E9855F6" w14:textId="77777777" w:rsidR="00045FD6" w:rsidRPr="00AA7A53" w:rsidRDefault="00045FD6" w:rsidP="00AA7A53">
            <w:pPr>
              <w:spacing w:after="0"/>
              <w:jc w:val="both"/>
              <w:rPr>
                <w:rFonts w:ascii="Times New Roman" w:hAnsi="Times New Roman" w:cs="Times New Roman"/>
                <w:sz w:val="20"/>
                <w:szCs w:val="20"/>
                <w:highlight w:val="yellow"/>
                <w:lang w:val="en-GB"/>
              </w:rPr>
            </w:pPr>
            <w:r w:rsidRPr="00AA7A53">
              <w:rPr>
                <w:rFonts w:ascii="Times New Roman" w:hAnsi="Times New Roman" w:cs="Times New Roman"/>
                <w:sz w:val="20"/>
                <w:szCs w:val="20"/>
                <w:lang w:val="en-GB"/>
              </w:rPr>
              <w:t>Installation of solar thermal systems in new buildings and in buildings undergoing extensive energy renovation</w:t>
            </w:r>
          </w:p>
        </w:tc>
      </w:tr>
      <w:tr w:rsidR="00614438" w:rsidRPr="00AA7A53" w14:paraId="424A6CC3" w14:textId="77777777" w:rsidTr="00614438">
        <w:trPr>
          <w:gridAfter w:val="1"/>
          <w:wAfter w:w="222" w:type="dxa"/>
          <w:trHeight w:val="960"/>
        </w:trPr>
        <w:tc>
          <w:tcPr>
            <w:tcW w:w="3328" w:type="dxa"/>
            <w:tcBorders>
              <w:top w:val="nil"/>
              <w:left w:val="single" w:sz="8" w:space="0" w:color="auto"/>
              <w:bottom w:val="single" w:sz="8" w:space="0" w:color="auto"/>
              <w:right w:val="nil"/>
            </w:tcBorders>
            <w:shd w:val="clear" w:color="auto" w:fill="244062"/>
            <w:vAlign w:val="center"/>
            <w:hideMark/>
          </w:tcPr>
          <w:p w14:paraId="27BAB79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30" w:type="dxa"/>
            <w:gridSpan w:val="3"/>
            <w:tcBorders>
              <w:top w:val="single" w:sz="8" w:space="0" w:color="auto"/>
              <w:left w:val="nil"/>
              <w:bottom w:val="single" w:sz="8" w:space="0" w:color="auto"/>
              <w:right w:val="single" w:sz="8" w:space="0" w:color="000000"/>
            </w:tcBorders>
            <w:vAlign w:val="center"/>
            <w:hideMark/>
          </w:tcPr>
          <w:p w14:paraId="41231BA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2012/27/EU, as amended by Directive (EU) 2018/2002:</w:t>
            </w:r>
          </w:p>
          <w:p w14:paraId="7AE823FD" w14:textId="77777777" w:rsidR="00614438" w:rsidRPr="00AA7A53" w:rsidRDefault="00614438" w:rsidP="00AA7A53">
            <w:pPr>
              <w:numPr>
                <w:ilvl w:val="0"/>
                <w:numId w:val="62"/>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36B990B4" w14:textId="77777777" w:rsidR="00614438" w:rsidRPr="00AA7A53" w:rsidRDefault="00614438" w:rsidP="00AA7A53">
            <w:pPr>
              <w:numPr>
                <w:ilvl w:val="0"/>
                <w:numId w:val="62"/>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4</w:t>
            </w:r>
          </w:p>
          <w:p w14:paraId="07F12388" w14:textId="77777777" w:rsidR="00614438" w:rsidRPr="00AA7A53" w:rsidRDefault="00614438" w:rsidP="00AA7A53">
            <w:pPr>
              <w:numPr>
                <w:ilvl w:val="0"/>
                <w:numId w:val="62"/>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5</w:t>
            </w:r>
          </w:p>
          <w:p w14:paraId="48ECDF97" w14:textId="77777777" w:rsidR="00614438" w:rsidRPr="00AA7A53" w:rsidRDefault="00614438" w:rsidP="00AA7A53">
            <w:pPr>
              <w:numPr>
                <w:ilvl w:val="0"/>
                <w:numId w:val="62"/>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tc>
      </w:tr>
      <w:tr w:rsidR="00614438" w:rsidRPr="00AA7A53" w14:paraId="5C2BF240"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3C3B449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30" w:type="dxa"/>
            <w:gridSpan w:val="3"/>
            <w:tcBorders>
              <w:top w:val="single" w:sz="8" w:space="0" w:color="auto"/>
              <w:left w:val="nil"/>
              <w:bottom w:val="single" w:sz="8" w:space="0" w:color="auto"/>
              <w:right w:val="single" w:sz="8" w:space="0" w:color="000000"/>
            </w:tcBorders>
            <w:vAlign w:val="center"/>
            <w:hideMark/>
          </w:tcPr>
          <w:p w14:paraId="48C22C5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1.8 GW capacity of solar thermal systems (primary energy savings 41 ktoe)</w:t>
            </w:r>
          </w:p>
        </w:tc>
      </w:tr>
      <w:tr w:rsidR="00614438" w:rsidRPr="00AA7A53" w14:paraId="28624BB9" w14:textId="77777777" w:rsidTr="00614438">
        <w:trPr>
          <w:gridAfter w:val="1"/>
          <w:wAfter w:w="222" w:type="dxa"/>
          <w:trHeight w:val="712"/>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1CF969A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30" w:type="dxa"/>
            <w:gridSpan w:val="3"/>
            <w:tcBorders>
              <w:top w:val="single" w:sz="8" w:space="0" w:color="auto"/>
              <w:left w:val="nil"/>
              <w:bottom w:val="single" w:sz="8" w:space="0" w:color="auto"/>
              <w:right w:val="single" w:sz="8" w:space="0" w:color="000000"/>
            </w:tcBorders>
            <w:vAlign w:val="center"/>
            <w:hideMark/>
          </w:tcPr>
          <w:p w14:paraId="2755F9F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PM_EE6 will facilitate the installation of solar thermal systems in new buildings and those undergoing major renovation, as defined in Directive 2010/31/EU, facilitating simultaneously the further deployment of renewable energy. The planned measure will </w:t>
            </w:r>
            <w:r w:rsidR="00045FD6" w:rsidRPr="00AA7A53">
              <w:rPr>
                <w:rFonts w:ascii="Times New Roman" w:hAnsi="Times New Roman" w:cs="Times New Roman"/>
                <w:sz w:val="20"/>
                <w:szCs w:val="20"/>
                <w:lang w:val="en-GB"/>
              </w:rPr>
              <w:t xml:space="preserve">also </w:t>
            </w:r>
            <w:r w:rsidRPr="00AA7A53">
              <w:rPr>
                <w:rFonts w:ascii="Times New Roman" w:hAnsi="Times New Roman" w:cs="Times New Roman"/>
                <w:sz w:val="20"/>
                <w:szCs w:val="20"/>
                <w:lang w:val="en-GB"/>
              </w:rPr>
              <w:t xml:space="preserve">be used </w:t>
            </w:r>
            <w:r w:rsidR="00045FD6" w:rsidRPr="00AA7A53">
              <w:rPr>
                <w:rFonts w:ascii="Times New Roman" w:hAnsi="Times New Roman" w:cs="Times New Roman"/>
                <w:sz w:val="20"/>
                <w:szCs w:val="20"/>
                <w:lang w:val="en-GB"/>
              </w:rPr>
              <w:t>to combat energy poverty</w:t>
            </w:r>
            <w:r w:rsidRPr="00AA7A53">
              <w:rPr>
                <w:rFonts w:ascii="Times New Roman" w:hAnsi="Times New Roman" w:cs="Times New Roman"/>
                <w:sz w:val="20"/>
                <w:szCs w:val="20"/>
                <w:lang w:val="en-GB"/>
              </w:rPr>
              <w:t>.</w:t>
            </w:r>
          </w:p>
        </w:tc>
      </w:tr>
      <w:tr w:rsidR="00614438" w:rsidRPr="00AA7A53" w14:paraId="6D3AE125"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5DFFC26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30" w:type="dxa"/>
            <w:gridSpan w:val="3"/>
            <w:tcBorders>
              <w:top w:val="single" w:sz="8" w:space="0" w:color="auto"/>
              <w:left w:val="nil"/>
              <w:bottom w:val="single" w:sz="8" w:space="0" w:color="auto"/>
              <w:right w:val="single" w:sz="8" w:space="0" w:color="000000"/>
            </w:tcBorders>
            <w:vAlign w:val="center"/>
            <w:hideMark/>
          </w:tcPr>
          <w:p w14:paraId="37D1231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045FD6" w:rsidRPr="00AA7A53">
              <w:rPr>
                <w:rFonts w:ascii="Times New Roman" w:hAnsi="Times New Roman" w:cs="Times New Roman"/>
                <w:sz w:val="20"/>
                <w:szCs w:val="20"/>
                <w:lang w:val="en-GB"/>
              </w:rPr>
              <w:t>7</w:t>
            </w:r>
            <w:r w:rsidRPr="00AA7A53">
              <w:rPr>
                <w:rFonts w:ascii="Times New Roman" w:hAnsi="Times New Roman" w:cs="Times New Roman"/>
                <w:sz w:val="20"/>
                <w:szCs w:val="20"/>
                <w:lang w:val="en-GB"/>
              </w:rPr>
              <w:t>-2030</w:t>
            </w:r>
          </w:p>
        </w:tc>
      </w:tr>
      <w:tr w:rsidR="00614438" w:rsidRPr="00AA7A53" w14:paraId="76207A89"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06DC3B7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30" w:type="dxa"/>
            <w:gridSpan w:val="3"/>
            <w:tcBorders>
              <w:top w:val="single" w:sz="8" w:space="0" w:color="auto"/>
              <w:left w:val="nil"/>
              <w:bottom w:val="single" w:sz="8" w:space="0" w:color="auto"/>
              <w:right w:val="single" w:sz="8" w:space="0" w:color="000000"/>
            </w:tcBorders>
            <w:vAlign w:val="center"/>
            <w:hideMark/>
          </w:tcPr>
          <w:p w14:paraId="49E1CA73" w14:textId="77777777" w:rsidR="00614438" w:rsidRPr="00AA7A53" w:rsidRDefault="00045FD6"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02201978"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5709D50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30" w:type="dxa"/>
            <w:gridSpan w:val="3"/>
            <w:tcBorders>
              <w:top w:val="single" w:sz="8" w:space="0" w:color="auto"/>
              <w:left w:val="nil"/>
              <w:bottom w:val="single" w:sz="8" w:space="0" w:color="auto"/>
              <w:right w:val="single" w:sz="8" w:space="0" w:color="000000"/>
            </w:tcBorders>
            <w:vAlign w:val="center"/>
            <w:hideMark/>
          </w:tcPr>
          <w:p w14:paraId="2F3E3FB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Residential, public, commercial</w:t>
            </w:r>
          </w:p>
        </w:tc>
      </w:tr>
      <w:tr w:rsidR="00614438" w:rsidRPr="00AA7A53" w14:paraId="67BFD292" w14:textId="77777777" w:rsidTr="00614438">
        <w:trPr>
          <w:gridAfter w:val="1"/>
          <w:wAfter w:w="222" w:type="dxa"/>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247DC1F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30" w:type="dxa"/>
            <w:gridSpan w:val="3"/>
            <w:tcBorders>
              <w:top w:val="single" w:sz="8" w:space="0" w:color="auto"/>
              <w:left w:val="nil"/>
              <w:bottom w:val="single" w:sz="8" w:space="0" w:color="auto"/>
              <w:right w:val="single" w:sz="8" w:space="0" w:color="000000"/>
            </w:tcBorders>
            <w:vAlign w:val="center"/>
            <w:hideMark/>
          </w:tcPr>
          <w:p w14:paraId="07873BD7" w14:textId="77777777" w:rsidR="00045FD6"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6A0F4B12"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 EE Directorate</w:t>
            </w:r>
          </w:p>
        </w:tc>
      </w:tr>
      <w:tr w:rsidR="00614438" w:rsidRPr="00AA7A53" w14:paraId="1D610FF6" w14:textId="77777777" w:rsidTr="00614438">
        <w:trPr>
          <w:gridAfter w:val="1"/>
          <w:wAfter w:w="222" w:type="dxa"/>
          <w:trHeight w:val="315"/>
        </w:trPr>
        <w:tc>
          <w:tcPr>
            <w:tcW w:w="3328" w:type="dxa"/>
            <w:tcBorders>
              <w:top w:val="nil"/>
              <w:left w:val="single" w:sz="8" w:space="0" w:color="auto"/>
              <w:bottom w:val="single" w:sz="8" w:space="0" w:color="auto"/>
              <w:right w:val="nil"/>
            </w:tcBorders>
            <w:shd w:val="clear" w:color="auto" w:fill="244062"/>
            <w:vAlign w:val="center"/>
            <w:hideMark/>
          </w:tcPr>
          <w:p w14:paraId="44FE0D7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30" w:type="dxa"/>
            <w:gridSpan w:val="3"/>
            <w:tcBorders>
              <w:top w:val="single" w:sz="8" w:space="0" w:color="auto"/>
              <w:left w:val="nil"/>
              <w:bottom w:val="single" w:sz="8" w:space="0" w:color="auto"/>
              <w:right w:val="single" w:sz="8" w:space="0" w:color="000000"/>
            </w:tcBorders>
            <w:vAlign w:val="center"/>
            <w:hideMark/>
          </w:tcPr>
          <w:p w14:paraId="61588E89"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3FF9C38C" w14:textId="77777777" w:rsidTr="00614438">
        <w:trPr>
          <w:gridAfter w:val="1"/>
          <w:wAfter w:w="222" w:type="dxa"/>
          <w:trHeight w:val="315"/>
        </w:trPr>
        <w:tc>
          <w:tcPr>
            <w:tcW w:w="3328" w:type="dxa"/>
            <w:tcBorders>
              <w:top w:val="nil"/>
              <w:left w:val="single" w:sz="8" w:space="0" w:color="auto"/>
              <w:bottom w:val="single" w:sz="8" w:space="0" w:color="auto"/>
              <w:right w:val="nil"/>
            </w:tcBorders>
            <w:shd w:val="clear" w:color="auto" w:fill="244062"/>
            <w:vAlign w:val="center"/>
            <w:hideMark/>
          </w:tcPr>
          <w:p w14:paraId="2FAE235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30" w:type="dxa"/>
            <w:gridSpan w:val="3"/>
            <w:tcBorders>
              <w:top w:val="single" w:sz="8" w:space="0" w:color="auto"/>
              <w:left w:val="nil"/>
              <w:bottom w:val="single" w:sz="8" w:space="0" w:color="auto"/>
              <w:right w:val="single" w:sz="8" w:space="0" w:color="000000"/>
            </w:tcBorders>
            <w:vAlign w:val="center"/>
            <w:hideMark/>
          </w:tcPr>
          <w:p w14:paraId="468D90D3"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Installed capacity of solar thermal systems</w:t>
            </w:r>
          </w:p>
        </w:tc>
      </w:tr>
      <w:tr w:rsidR="00614438" w:rsidRPr="00AA7A53" w14:paraId="44370915" w14:textId="77777777" w:rsidTr="00614438">
        <w:trPr>
          <w:gridAfter w:val="1"/>
          <w:wAfter w:w="222" w:type="dxa"/>
          <w:trHeight w:val="35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6BCFA3F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30" w:type="dxa"/>
            <w:gridSpan w:val="3"/>
            <w:tcBorders>
              <w:top w:val="single" w:sz="8" w:space="0" w:color="auto"/>
              <w:left w:val="nil"/>
              <w:bottom w:val="single" w:sz="8" w:space="0" w:color="auto"/>
              <w:right w:val="single" w:sz="8" w:space="0" w:color="000000"/>
            </w:tcBorders>
            <w:vAlign w:val="center"/>
            <w:hideMark/>
          </w:tcPr>
          <w:p w14:paraId="17D2B106" w14:textId="77777777" w:rsidR="00614438" w:rsidRPr="00AA7A53" w:rsidRDefault="00614438" w:rsidP="00AA7A53">
            <w:pPr>
              <w:numPr>
                <w:ilvl w:val="0"/>
                <w:numId w:val="63"/>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 leading to the respective GHG emission reduction &amp; the utilised RES technologies will increase the RES share in heating and cooling)</w:t>
            </w:r>
          </w:p>
          <w:p w14:paraId="08DDE8C2" w14:textId="77777777" w:rsidR="00614438" w:rsidRPr="00AA7A53" w:rsidRDefault="00614438" w:rsidP="00AA7A53">
            <w:pPr>
              <w:numPr>
                <w:ilvl w:val="0"/>
                <w:numId w:val="63"/>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0008DB0A" w14:textId="77777777" w:rsidTr="00614438">
        <w:trPr>
          <w:gridAfter w:val="1"/>
          <w:wAfter w:w="222" w:type="dxa"/>
          <w:trHeight w:val="458"/>
        </w:trPr>
        <w:tc>
          <w:tcPr>
            <w:tcW w:w="3328" w:type="dxa"/>
            <w:vMerge w:val="restart"/>
            <w:tcBorders>
              <w:top w:val="nil"/>
              <w:left w:val="single" w:sz="8" w:space="0" w:color="auto"/>
              <w:bottom w:val="single" w:sz="8" w:space="0" w:color="000000"/>
              <w:right w:val="single" w:sz="8" w:space="0" w:color="auto"/>
            </w:tcBorders>
            <w:shd w:val="clear" w:color="auto" w:fill="244062"/>
            <w:vAlign w:val="center"/>
            <w:hideMark/>
          </w:tcPr>
          <w:p w14:paraId="0E6443B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3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786C28F" w14:textId="77777777" w:rsidR="00614438" w:rsidRPr="00AA7A53" w:rsidRDefault="00614438" w:rsidP="00AA7A53">
            <w:pPr>
              <w:numPr>
                <w:ilvl w:val="0"/>
                <w:numId w:val="64"/>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2010/31</w:t>
            </w:r>
          </w:p>
          <w:p w14:paraId="47E2C430" w14:textId="77777777" w:rsidR="00614438" w:rsidRPr="00AA7A53" w:rsidRDefault="00614438" w:rsidP="00AA7A53">
            <w:pPr>
              <w:numPr>
                <w:ilvl w:val="0"/>
                <w:numId w:val="63"/>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618D2FEA" w14:textId="77777777" w:rsidR="00614438" w:rsidRPr="00AA7A53" w:rsidRDefault="00614438" w:rsidP="00AA7A53">
            <w:pPr>
              <w:numPr>
                <w:ilvl w:val="0"/>
                <w:numId w:val="63"/>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p w14:paraId="007412FB" w14:textId="77777777" w:rsidR="00614438" w:rsidRPr="00AA7A53" w:rsidRDefault="00614438" w:rsidP="00AA7A53">
            <w:pPr>
              <w:numPr>
                <w:ilvl w:val="0"/>
                <w:numId w:val="63"/>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2018/844</w:t>
            </w:r>
          </w:p>
        </w:tc>
      </w:tr>
      <w:tr w:rsidR="00614438" w:rsidRPr="00AA7A53" w14:paraId="7667D8B1"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6EC7B66B"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EAE1D84"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78AF414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BF7A056"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08F0FC69"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00FF03C"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1E7FE818"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231CB373" w14:textId="77777777" w:rsidTr="00614438">
        <w:trPr>
          <w:trHeight w:val="421"/>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55CEBEE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30" w:type="dxa"/>
            <w:gridSpan w:val="3"/>
            <w:tcBorders>
              <w:top w:val="single" w:sz="8" w:space="0" w:color="auto"/>
              <w:left w:val="nil"/>
              <w:bottom w:val="single" w:sz="8" w:space="0" w:color="auto"/>
              <w:right w:val="single" w:sz="8" w:space="0" w:color="000000"/>
            </w:tcBorders>
            <w:vAlign w:val="center"/>
            <w:hideMark/>
          </w:tcPr>
          <w:p w14:paraId="777DD46A"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vAlign w:val="center"/>
            <w:hideMark/>
          </w:tcPr>
          <w:p w14:paraId="314AF16D"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053641DC" w14:textId="77777777" w:rsidTr="00614438">
        <w:trPr>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1F1CF5E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30" w:type="dxa"/>
            <w:gridSpan w:val="3"/>
            <w:tcBorders>
              <w:top w:val="single" w:sz="8" w:space="0" w:color="auto"/>
              <w:left w:val="nil"/>
              <w:bottom w:val="single" w:sz="8" w:space="0" w:color="auto"/>
              <w:right w:val="single" w:sz="8" w:space="0" w:color="000000"/>
            </w:tcBorders>
            <w:vAlign w:val="center"/>
            <w:hideMark/>
          </w:tcPr>
          <w:p w14:paraId="35118DE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637 M€</w:t>
            </w:r>
          </w:p>
        </w:tc>
        <w:tc>
          <w:tcPr>
            <w:tcW w:w="222" w:type="dxa"/>
            <w:vAlign w:val="center"/>
            <w:hideMark/>
          </w:tcPr>
          <w:p w14:paraId="7D7ED17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CCC5F53" w14:textId="77777777" w:rsidTr="00614438">
        <w:trPr>
          <w:trHeight w:val="315"/>
        </w:trPr>
        <w:tc>
          <w:tcPr>
            <w:tcW w:w="3328" w:type="dxa"/>
            <w:tcBorders>
              <w:top w:val="nil"/>
              <w:left w:val="single" w:sz="8" w:space="0" w:color="auto"/>
              <w:bottom w:val="single" w:sz="8" w:space="0" w:color="auto"/>
              <w:right w:val="single" w:sz="8" w:space="0" w:color="auto"/>
            </w:tcBorders>
            <w:shd w:val="clear" w:color="auto" w:fill="244062"/>
            <w:vAlign w:val="center"/>
            <w:hideMark/>
          </w:tcPr>
          <w:p w14:paraId="0D894BF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Financing source(s)</w:t>
            </w:r>
          </w:p>
        </w:tc>
        <w:tc>
          <w:tcPr>
            <w:tcW w:w="6130" w:type="dxa"/>
            <w:gridSpan w:val="3"/>
            <w:tcBorders>
              <w:top w:val="single" w:sz="8" w:space="0" w:color="auto"/>
              <w:left w:val="nil"/>
              <w:bottom w:val="single" w:sz="8" w:space="0" w:color="auto"/>
              <w:right w:val="single" w:sz="8" w:space="0" w:color="000000"/>
            </w:tcBorders>
            <w:vAlign w:val="center"/>
            <w:hideMark/>
          </w:tcPr>
          <w:p w14:paraId="67353C8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005F8DB7" w14:textId="77777777" w:rsidR="00614438" w:rsidRPr="00AA7A53" w:rsidRDefault="00614438" w:rsidP="00AA7A53">
            <w:pPr>
              <w:spacing w:after="0"/>
              <w:jc w:val="both"/>
              <w:rPr>
                <w:rFonts w:ascii="Times New Roman" w:hAnsi="Times New Roman" w:cs="Times New Roman"/>
                <w:sz w:val="20"/>
                <w:szCs w:val="20"/>
                <w:lang w:val="en-GB"/>
              </w:rPr>
            </w:pPr>
          </w:p>
        </w:tc>
      </w:tr>
    </w:tbl>
    <w:p w14:paraId="7771D5AE"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27"/>
        <w:gridCol w:w="953"/>
        <w:gridCol w:w="945"/>
        <w:gridCol w:w="4233"/>
        <w:gridCol w:w="222"/>
      </w:tblGrid>
      <w:tr w:rsidR="00614438" w:rsidRPr="00AA7A53" w14:paraId="27CA43B9" w14:textId="77777777" w:rsidTr="00614438">
        <w:trPr>
          <w:gridAfter w:val="1"/>
          <w:wAfter w:w="222" w:type="dxa"/>
          <w:trHeight w:val="780"/>
        </w:trPr>
        <w:tc>
          <w:tcPr>
            <w:tcW w:w="332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651F7D6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53" w:type="dxa"/>
            <w:tcBorders>
              <w:top w:val="single" w:sz="8" w:space="0" w:color="auto"/>
              <w:left w:val="nil"/>
              <w:bottom w:val="single" w:sz="8" w:space="0" w:color="auto"/>
              <w:right w:val="single" w:sz="8" w:space="0" w:color="auto"/>
            </w:tcBorders>
            <w:shd w:val="clear" w:color="auto" w:fill="E7E6E6" w:themeFill="background2"/>
            <w:vAlign w:val="center"/>
            <w:hideMark/>
          </w:tcPr>
          <w:p w14:paraId="041AC8B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PM_EE7</w:t>
            </w:r>
          </w:p>
        </w:tc>
        <w:tc>
          <w:tcPr>
            <w:tcW w:w="945" w:type="dxa"/>
            <w:tcBorders>
              <w:top w:val="single" w:sz="8" w:space="0" w:color="auto"/>
              <w:left w:val="nil"/>
              <w:bottom w:val="single" w:sz="8" w:space="0" w:color="auto"/>
              <w:right w:val="single" w:sz="8" w:space="0" w:color="auto"/>
            </w:tcBorders>
            <w:shd w:val="clear" w:color="auto" w:fill="244062"/>
            <w:vAlign w:val="center"/>
            <w:hideMark/>
          </w:tcPr>
          <w:p w14:paraId="1293B8D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33" w:type="dxa"/>
            <w:tcBorders>
              <w:top w:val="single" w:sz="8" w:space="0" w:color="auto"/>
              <w:left w:val="nil"/>
              <w:bottom w:val="single" w:sz="8" w:space="0" w:color="auto"/>
              <w:right w:val="single" w:sz="8" w:space="0" w:color="auto"/>
            </w:tcBorders>
            <w:shd w:val="clear" w:color="auto" w:fill="E7E6E6" w:themeFill="background2"/>
            <w:vAlign w:val="center"/>
            <w:hideMark/>
          </w:tcPr>
          <w:p w14:paraId="482753E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Enhancing the role of the energy performance certificates</w:t>
            </w:r>
            <w:r w:rsidR="00045FD6" w:rsidRPr="00AA7A53">
              <w:rPr>
                <w:rFonts w:ascii="Times New Roman" w:hAnsi="Times New Roman" w:cs="Times New Roman"/>
                <w:sz w:val="20"/>
                <w:szCs w:val="20"/>
                <w:lang w:val="en-GB"/>
              </w:rPr>
              <w:t xml:space="preserve"> for buildings</w:t>
            </w:r>
          </w:p>
        </w:tc>
      </w:tr>
      <w:tr w:rsidR="00614438" w:rsidRPr="00AA7A53" w14:paraId="0D0BDB49" w14:textId="77777777" w:rsidTr="00614438">
        <w:trPr>
          <w:gridAfter w:val="1"/>
          <w:wAfter w:w="222" w:type="dxa"/>
          <w:trHeight w:val="960"/>
        </w:trPr>
        <w:tc>
          <w:tcPr>
            <w:tcW w:w="3327" w:type="dxa"/>
            <w:tcBorders>
              <w:top w:val="nil"/>
              <w:left w:val="single" w:sz="8" w:space="0" w:color="auto"/>
              <w:bottom w:val="single" w:sz="8" w:space="0" w:color="auto"/>
              <w:right w:val="nil"/>
            </w:tcBorders>
            <w:shd w:val="clear" w:color="auto" w:fill="244062"/>
            <w:vAlign w:val="center"/>
            <w:hideMark/>
          </w:tcPr>
          <w:p w14:paraId="1594C74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31" w:type="dxa"/>
            <w:gridSpan w:val="3"/>
            <w:tcBorders>
              <w:top w:val="single" w:sz="8" w:space="0" w:color="auto"/>
              <w:left w:val="nil"/>
              <w:bottom w:val="single" w:sz="8" w:space="0" w:color="auto"/>
              <w:right w:val="single" w:sz="8" w:space="0" w:color="000000"/>
            </w:tcBorders>
            <w:vAlign w:val="center"/>
            <w:hideMark/>
          </w:tcPr>
          <w:p w14:paraId="07ADDC0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2012/27/EU, as amended by Directive (EU) 2018/2002:</w:t>
            </w:r>
          </w:p>
          <w:p w14:paraId="33DF3F07" w14:textId="77777777" w:rsidR="00614438" w:rsidRPr="00AA7A53" w:rsidRDefault="00614438" w:rsidP="00AA7A53">
            <w:pPr>
              <w:numPr>
                <w:ilvl w:val="0"/>
                <w:numId w:val="65"/>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1681CFC1" w14:textId="77777777" w:rsidR="00614438" w:rsidRPr="00AA7A53" w:rsidRDefault="00614438" w:rsidP="00AA7A53">
            <w:pPr>
              <w:numPr>
                <w:ilvl w:val="0"/>
                <w:numId w:val="65"/>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4</w:t>
            </w:r>
          </w:p>
        </w:tc>
      </w:tr>
      <w:tr w:rsidR="00614438" w:rsidRPr="00AA7A53" w14:paraId="78F7A811"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1AE82D8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31" w:type="dxa"/>
            <w:gridSpan w:val="3"/>
            <w:tcBorders>
              <w:top w:val="single" w:sz="8" w:space="0" w:color="auto"/>
              <w:left w:val="nil"/>
              <w:bottom w:val="single" w:sz="8" w:space="0" w:color="auto"/>
              <w:right w:val="single" w:sz="8" w:space="0" w:color="000000"/>
            </w:tcBorders>
            <w:vAlign w:val="center"/>
            <w:hideMark/>
          </w:tcPr>
          <w:p w14:paraId="58275BC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PM_EE1-PM_EE3</w:t>
            </w:r>
          </w:p>
        </w:tc>
      </w:tr>
      <w:tr w:rsidR="00614438" w:rsidRPr="00AA7A53" w14:paraId="0EF23AC8" w14:textId="77777777" w:rsidTr="00614438">
        <w:trPr>
          <w:gridAfter w:val="1"/>
          <w:wAfter w:w="222" w:type="dxa"/>
          <w:trHeight w:val="1311"/>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4FF793C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31" w:type="dxa"/>
            <w:gridSpan w:val="3"/>
            <w:tcBorders>
              <w:top w:val="single" w:sz="8" w:space="0" w:color="auto"/>
              <w:left w:val="nil"/>
              <w:bottom w:val="single" w:sz="8" w:space="0" w:color="auto"/>
              <w:right w:val="single" w:sz="8" w:space="0" w:color="000000"/>
            </w:tcBorders>
            <w:vAlign w:val="center"/>
            <w:hideMark/>
          </w:tcPr>
          <w:p w14:paraId="67ED200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The role of energy performance certificates of buildings will be improved, </w:t>
            </w:r>
            <w:r w:rsidR="00DD51B2" w:rsidRPr="00AA7A53">
              <w:rPr>
                <w:rFonts w:ascii="Times New Roman" w:hAnsi="Times New Roman" w:cs="Times New Roman"/>
                <w:sz w:val="20"/>
                <w:szCs w:val="20"/>
                <w:lang w:val="en-GB"/>
              </w:rPr>
              <w:t>and</w:t>
            </w:r>
            <w:r w:rsidRPr="00AA7A53">
              <w:rPr>
                <w:rFonts w:ascii="Times New Roman" w:hAnsi="Times New Roman" w:cs="Times New Roman"/>
                <w:sz w:val="20"/>
                <w:szCs w:val="20"/>
                <w:lang w:val="en-GB"/>
              </w:rPr>
              <w:t xml:space="preserve"> they will be accompanied by the renovation passports providing recommendation for the most cost-effective energy rehabilitation measures. The main objective of the measure is both to ensure the full compliance with the provisions of the revised Directive 2018/844/EU and to facilitate the identification and implementation of the most cost-effective interventions. The renovation passports will </w:t>
            </w:r>
            <w:r w:rsidR="00DD51B2" w:rsidRPr="00AA7A53">
              <w:rPr>
                <w:rFonts w:ascii="Times New Roman" w:hAnsi="Times New Roman" w:cs="Times New Roman"/>
                <w:sz w:val="20"/>
                <w:szCs w:val="20"/>
                <w:lang w:val="en-GB"/>
              </w:rPr>
              <w:t>list</w:t>
            </w:r>
            <w:r w:rsidRPr="00AA7A53">
              <w:rPr>
                <w:rFonts w:ascii="Times New Roman" w:hAnsi="Times New Roman" w:cs="Times New Roman"/>
                <w:sz w:val="20"/>
                <w:szCs w:val="20"/>
                <w:lang w:val="en-GB"/>
              </w:rPr>
              <w:t xml:space="preserve"> </w:t>
            </w:r>
            <w:r w:rsidR="00DD51B2" w:rsidRPr="00AA7A53">
              <w:rPr>
                <w:rFonts w:ascii="Times New Roman" w:hAnsi="Times New Roman" w:cs="Times New Roman"/>
                <w:sz w:val="20"/>
                <w:szCs w:val="20"/>
                <w:lang w:val="en-GB"/>
              </w:rPr>
              <w:t>the</w:t>
            </w:r>
            <w:r w:rsidRPr="00AA7A53">
              <w:rPr>
                <w:rFonts w:ascii="Times New Roman" w:hAnsi="Times New Roman" w:cs="Times New Roman"/>
                <w:sz w:val="20"/>
                <w:szCs w:val="20"/>
                <w:lang w:val="en-GB"/>
              </w:rPr>
              <w:t xml:space="preserve"> sequence of renovation steps so as to transform the building into a </w:t>
            </w:r>
            <w:r w:rsidR="00DD51B2" w:rsidRPr="00AA7A53">
              <w:rPr>
                <w:rFonts w:ascii="Times New Roman" w:hAnsi="Times New Roman" w:cs="Times New Roman"/>
                <w:sz w:val="20"/>
                <w:szCs w:val="20"/>
                <w:lang w:val="en-GB"/>
              </w:rPr>
              <w:t>near-</w:t>
            </w:r>
            <w:r w:rsidRPr="00AA7A53">
              <w:rPr>
                <w:rFonts w:ascii="Times New Roman" w:hAnsi="Times New Roman" w:cs="Times New Roman"/>
                <w:sz w:val="20"/>
                <w:szCs w:val="20"/>
                <w:lang w:val="en-GB"/>
              </w:rPr>
              <w:t>zero</w:t>
            </w:r>
            <w:r w:rsidR="00DD51B2"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emission building, </w:t>
            </w:r>
            <w:r w:rsidR="00DD51B2" w:rsidRPr="00AA7A53">
              <w:rPr>
                <w:rFonts w:ascii="Times New Roman" w:hAnsi="Times New Roman" w:cs="Times New Roman"/>
                <w:sz w:val="20"/>
                <w:szCs w:val="20"/>
                <w:lang w:val="en-GB"/>
              </w:rPr>
              <w:t xml:space="preserve">to </w:t>
            </w:r>
            <w:r w:rsidRPr="00AA7A53">
              <w:rPr>
                <w:rFonts w:ascii="Times New Roman" w:hAnsi="Times New Roman" w:cs="Times New Roman"/>
                <w:sz w:val="20"/>
                <w:szCs w:val="20"/>
                <w:lang w:val="en-GB"/>
              </w:rPr>
              <w:t xml:space="preserve">estimate the expected benefits in terms of energy savings, </w:t>
            </w:r>
            <w:r w:rsidR="00DD51B2" w:rsidRPr="00AA7A53">
              <w:rPr>
                <w:rFonts w:ascii="Times New Roman" w:hAnsi="Times New Roman" w:cs="Times New Roman"/>
                <w:sz w:val="20"/>
                <w:szCs w:val="20"/>
                <w:lang w:val="en-GB"/>
              </w:rPr>
              <w:t xml:space="preserve">to </w:t>
            </w:r>
            <w:r w:rsidRPr="00AA7A53">
              <w:rPr>
                <w:rFonts w:ascii="Times New Roman" w:hAnsi="Times New Roman" w:cs="Times New Roman"/>
                <w:sz w:val="20"/>
                <w:szCs w:val="20"/>
                <w:lang w:val="en-GB"/>
              </w:rPr>
              <w:t>sav</w:t>
            </w:r>
            <w:r w:rsidR="00DD51B2" w:rsidRPr="00AA7A53">
              <w:rPr>
                <w:rFonts w:ascii="Times New Roman" w:hAnsi="Times New Roman" w:cs="Times New Roman"/>
                <w:sz w:val="20"/>
                <w:szCs w:val="20"/>
                <w:lang w:val="en-GB"/>
              </w:rPr>
              <w:t>e</w:t>
            </w:r>
            <w:r w:rsidRPr="00AA7A53">
              <w:rPr>
                <w:rFonts w:ascii="Times New Roman" w:hAnsi="Times New Roman" w:cs="Times New Roman"/>
                <w:sz w:val="20"/>
                <w:szCs w:val="20"/>
                <w:lang w:val="en-GB"/>
              </w:rPr>
              <w:t xml:space="preserve"> on energy bills and operational greenhouse emission reductions</w:t>
            </w:r>
            <w:r w:rsidR="00DD51B2"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as well as wider benefits related to health and comfort </w:t>
            </w:r>
            <w:r w:rsidR="00DD51B2" w:rsidRPr="00AA7A53">
              <w:rPr>
                <w:rFonts w:ascii="Times New Roman" w:hAnsi="Times New Roman" w:cs="Times New Roman"/>
                <w:sz w:val="20"/>
                <w:szCs w:val="20"/>
                <w:lang w:val="en-GB"/>
              </w:rPr>
              <w:t xml:space="preserve">level </w:t>
            </w:r>
            <w:r w:rsidRPr="00AA7A53">
              <w:rPr>
                <w:rFonts w:ascii="Times New Roman" w:hAnsi="Times New Roman" w:cs="Times New Roman"/>
                <w:sz w:val="20"/>
                <w:szCs w:val="20"/>
                <w:lang w:val="en-GB"/>
              </w:rPr>
              <w:t xml:space="preserve">and the improved adaptive capacity of the building to climate change and </w:t>
            </w:r>
            <w:r w:rsidR="00DD51B2" w:rsidRPr="00AA7A53">
              <w:rPr>
                <w:rFonts w:ascii="Times New Roman" w:hAnsi="Times New Roman" w:cs="Times New Roman"/>
                <w:sz w:val="20"/>
                <w:szCs w:val="20"/>
                <w:lang w:val="en-GB"/>
              </w:rPr>
              <w:t xml:space="preserve">they will </w:t>
            </w:r>
            <w:r w:rsidRPr="00AA7A53">
              <w:rPr>
                <w:rFonts w:ascii="Times New Roman" w:hAnsi="Times New Roman" w:cs="Times New Roman"/>
                <w:sz w:val="20"/>
                <w:szCs w:val="20"/>
                <w:lang w:val="en-GB"/>
              </w:rPr>
              <w:t>contain information about potential financial and technical support. Moreover, the existing system for the permanent monitoring and control of the energy performance of buildings certificates will be improved covering also the issued renovation passports.</w:t>
            </w:r>
          </w:p>
        </w:tc>
      </w:tr>
      <w:tr w:rsidR="00614438" w:rsidRPr="00AA7A53" w14:paraId="74E44EEC"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7DC5D1C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31" w:type="dxa"/>
            <w:gridSpan w:val="3"/>
            <w:tcBorders>
              <w:top w:val="single" w:sz="8" w:space="0" w:color="auto"/>
              <w:left w:val="nil"/>
              <w:bottom w:val="single" w:sz="8" w:space="0" w:color="auto"/>
              <w:right w:val="single" w:sz="8" w:space="0" w:color="000000"/>
            </w:tcBorders>
            <w:vAlign w:val="center"/>
            <w:hideMark/>
          </w:tcPr>
          <w:p w14:paraId="290D0E2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2026</w:t>
            </w:r>
          </w:p>
        </w:tc>
      </w:tr>
      <w:tr w:rsidR="00614438" w:rsidRPr="00AA7A53" w14:paraId="7AD82BC8"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75B4976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31" w:type="dxa"/>
            <w:gridSpan w:val="3"/>
            <w:tcBorders>
              <w:top w:val="single" w:sz="8" w:space="0" w:color="auto"/>
              <w:left w:val="nil"/>
              <w:bottom w:val="single" w:sz="8" w:space="0" w:color="auto"/>
              <w:right w:val="single" w:sz="8" w:space="0" w:color="000000"/>
            </w:tcBorders>
            <w:vAlign w:val="center"/>
            <w:hideMark/>
          </w:tcPr>
          <w:p w14:paraId="2C20A14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174CF586"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521495A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31" w:type="dxa"/>
            <w:gridSpan w:val="3"/>
            <w:tcBorders>
              <w:top w:val="single" w:sz="8" w:space="0" w:color="auto"/>
              <w:left w:val="nil"/>
              <w:bottom w:val="single" w:sz="8" w:space="0" w:color="auto"/>
              <w:right w:val="single" w:sz="8" w:space="0" w:color="000000"/>
            </w:tcBorders>
            <w:vAlign w:val="center"/>
            <w:hideMark/>
          </w:tcPr>
          <w:p w14:paraId="7ABF487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Residential, public, commercial</w:t>
            </w:r>
          </w:p>
        </w:tc>
      </w:tr>
      <w:tr w:rsidR="00614438" w:rsidRPr="00AA7A53" w14:paraId="43B30A0F" w14:textId="77777777" w:rsidTr="00614438">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7E73D0F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31" w:type="dxa"/>
            <w:gridSpan w:val="3"/>
            <w:tcBorders>
              <w:top w:val="single" w:sz="8" w:space="0" w:color="auto"/>
              <w:left w:val="nil"/>
              <w:bottom w:val="single" w:sz="8" w:space="0" w:color="auto"/>
              <w:right w:val="single" w:sz="8" w:space="0" w:color="000000"/>
            </w:tcBorders>
            <w:vAlign w:val="center"/>
            <w:hideMark/>
          </w:tcPr>
          <w:p w14:paraId="3C23C7C1"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tc>
      </w:tr>
      <w:tr w:rsidR="00614438" w:rsidRPr="00AA7A53" w14:paraId="479A5DB6" w14:textId="77777777" w:rsidTr="00614438">
        <w:trPr>
          <w:gridAfter w:val="1"/>
          <w:wAfter w:w="222" w:type="dxa"/>
          <w:trHeight w:val="315"/>
        </w:trPr>
        <w:tc>
          <w:tcPr>
            <w:tcW w:w="3327" w:type="dxa"/>
            <w:tcBorders>
              <w:top w:val="nil"/>
              <w:left w:val="single" w:sz="8" w:space="0" w:color="auto"/>
              <w:bottom w:val="single" w:sz="8" w:space="0" w:color="auto"/>
              <w:right w:val="nil"/>
            </w:tcBorders>
            <w:shd w:val="clear" w:color="auto" w:fill="244062"/>
            <w:vAlign w:val="center"/>
            <w:hideMark/>
          </w:tcPr>
          <w:p w14:paraId="4695BE3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31" w:type="dxa"/>
            <w:gridSpan w:val="3"/>
            <w:tcBorders>
              <w:top w:val="single" w:sz="8" w:space="0" w:color="auto"/>
              <w:left w:val="nil"/>
              <w:bottom w:val="single" w:sz="8" w:space="0" w:color="auto"/>
              <w:right w:val="single" w:sz="8" w:space="0" w:color="000000"/>
            </w:tcBorders>
            <w:vAlign w:val="center"/>
            <w:hideMark/>
          </w:tcPr>
          <w:p w14:paraId="79AEF282"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4964E1DD" w14:textId="77777777" w:rsidTr="00614438">
        <w:trPr>
          <w:gridAfter w:val="1"/>
          <w:wAfter w:w="222" w:type="dxa"/>
          <w:trHeight w:val="315"/>
        </w:trPr>
        <w:tc>
          <w:tcPr>
            <w:tcW w:w="3327" w:type="dxa"/>
            <w:tcBorders>
              <w:top w:val="nil"/>
              <w:left w:val="single" w:sz="8" w:space="0" w:color="auto"/>
              <w:bottom w:val="single" w:sz="8" w:space="0" w:color="auto"/>
              <w:right w:val="nil"/>
            </w:tcBorders>
            <w:shd w:val="clear" w:color="auto" w:fill="244062"/>
            <w:vAlign w:val="center"/>
            <w:hideMark/>
          </w:tcPr>
          <w:p w14:paraId="0809EBF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31" w:type="dxa"/>
            <w:gridSpan w:val="3"/>
            <w:tcBorders>
              <w:top w:val="single" w:sz="8" w:space="0" w:color="auto"/>
              <w:left w:val="nil"/>
              <w:bottom w:val="single" w:sz="8" w:space="0" w:color="auto"/>
              <w:right w:val="single" w:sz="8" w:space="0" w:color="000000"/>
            </w:tcBorders>
            <w:vAlign w:val="center"/>
            <w:hideMark/>
          </w:tcPr>
          <w:p w14:paraId="7FADCB80"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Developed legislative and regulatory framework</w:t>
            </w:r>
          </w:p>
        </w:tc>
      </w:tr>
      <w:tr w:rsidR="00614438" w:rsidRPr="00AA7A53" w14:paraId="03E52E8E" w14:textId="77777777" w:rsidTr="00614438">
        <w:trPr>
          <w:gridAfter w:val="1"/>
          <w:wAfter w:w="222" w:type="dxa"/>
          <w:trHeight w:val="429"/>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3E39B89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31" w:type="dxa"/>
            <w:gridSpan w:val="3"/>
            <w:tcBorders>
              <w:top w:val="single" w:sz="8" w:space="0" w:color="auto"/>
              <w:left w:val="nil"/>
              <w:bottom w:val="single" w:sz="8" w:space="0" w:color="auto"/>
              <w:right w:val="single" w:sz="8" w:space="0" w:color="000000"/>
            </w:tcBorders>
            <w:vAlign w:val="center"/>
            <w:hideMark/>
          </w:tcPr>
          <w:p w14:paraId="476A9859" w14:textId="77777777" w:rsidR="00614438" w:rsidRPr="00AA7A53" w:rsidRDefault="00614438" w:rsidP="00AA7A53">
            <w:pPr>
              <w:numPr>
                <w:ilvl w:val="0"/>
                <w:numId w:val="66"/>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Decarbonisation (the delivered energy savings will decrease the consumed quantities of fossil fuels leading to the respective GHG emission reduction </w:t>
            </w:r>
            <w:r w:rsidR="00DD51B2"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utilised RES technologies will increase the RES share in heating and cooling)</w:t>
            </w:r>
          </w:p>
          <w:p w14:paraId="5F6369F8" w14:textId="77777777" w:rsidR="00614438" w:rsidRPr="00AA7A53" w:rsidRDefault="00614438" w:rsidP="00AA7A53">
            <w:pPr>
              <w:numPr>
                <w:ilvl w:val="0"/>
                <w:numId w:val="66"/>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05B58340" w14:textId="77777777" w:rsidTr="00614438">
        <w:trPr>
          <w:gridAfter w:val="1"/>
          <w:wAfter w:w="222" w:type="dxa"/>
          <w:trHeight w:val="458"/>
        </w:trPr>
        <w:tc>
          <w:tcPr>
            <w:tcW w:w="3327" w:type="dxa"/>
            <w:vMerge w:val="restart"/>
            <w:tcBorders>
              <w:top w:val="nil"/>
              <w:left w:val="single" w:sz="8" w:space="0" w:color="auto"/>
              <w:bottom w:val="single" w:sz="8" w:space="0" w:color="000000"/>
              <w:right w:val="single" w:sz="8" w:space="0" w:color="auto"/>
            </w:tcBorders>
            <w:shd w:val="clear" w:color="auto" w:fill="244062"/>
            <w:vAlign w:val="center"/>
            <w:hideMark/>
          </w:tcPr>
          <w:p w14:paraId="0A37C0C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3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7EC2954" w14:textId="77777777" w:rsidR="00614438" w:rsidRPr="00AA7A53" w:rsidRDefault="00614438" w:rsidP="00AA7A53">
            <w:pPr>
              <w:numPr>
                <w:ilvl w:val="0"/>
                <w:numId w:val="64"/>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2010/31</w:t>
            </w:r>
          </w:p>
          <w:p w14:paraId="59FA3F79" w14:textId="77777777" w:rsidR="00614438" w:rsidRPr="00AA7A53" w:rsidRDefault="00614438" w:rsidP="00AA7A53">
            <w:pPr>
              <w:numPr>
                <w:ilvl w:val="0"/>
                <w:numId w:val="67"/>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7061FB7E" w14:textId="77777777" w:rsidR="00614438" w:rsidRPr="00AA7A53" w:rsidRDefault="00614438" w:rsidP="00AA7A53">
            <w:pPr>
              <w:numPr>
                <w:ilvl w:val="0"/>
                <w:numId w:val="67"/>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p w14:paraId="79F9F83F" w14:textId="77777777" w:rsidR="00614438" w:rsidRPr="00AA7A53" w:rsidRDefault="00614438" w:rsidP="00AA7A53">
            <w:pPr>
              <w:numPr>
                <w:ilvl w:val="0"/>
                <w:numId w:val="67"/>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2018/844</w:t>
            </w:r>
          </w:p>
        </w:tc>
      </w:tr>
      <w:tr w:rsidR="00614438" w:rsidRPr="00AA7A53" w14:paraId="285C2CF9"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1F78D331"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94AC754"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44CDDB2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845C3E6"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733617D5"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D3D3C3D"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313CE5B9"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0F922735" w14:textId="77777777" w:rsidTr="00614438">
        <w:trPr>
          <w:trHeight w:val="463"/>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7779124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31" w:type="dxa"/>
            <w:gridSpan w:val="3"/>
            <w:tcBorders>
              <w:top w:val="single" w:sz="8" w:space="0" w:color="auto"/>
              <w:left w:val="nil"/>
              <w:bottom w:val="single" w:sz="8" w:space="0" w:color="auto"/>
              <w:right w:val="single" w:sz="8" w:space="0" w:color="000000"/>
            </w:tcBorders>
            <w:vAlign w:val="center"/>
            <w:hideMark/>
          </w:tcPr>
          <w:p w14:paraId="7ABF8283" w14:textId="77777777" w:rsidR="00614438" w:rsidRPr="00AA7A53" w:rsidRDefault="00614438" w:rsidP="00AA7A53">
            <w:pPr>
              <w:numPr>
                <w:ilvl w:val="0"/>
                <w:numId w:val="68"/>
              </w:numPr>
              <w:spacing w:after="0"/>
              <w:jc w:val="both"/>
              <w:rPr>
                <w:rFonts w:ascii="Times New Roman" w:hAnsi="Times New Roman" w:cs="Times New Roman"/>
                <w:sz w:val="20"/>
                <w:szCs w:val="20"/>
              </w:rPr>
            </w:pPr>
            <w:r w:rsidRPr="00AA7A53">
              <w:rPr>
                <w:rFonts w:ascii="Times New Roman" w:hAnsi="Times New Roman" w:cs="Times New Roman"/>
                <w:sz w:val="20"/>
                <w:szCs w:val="20"/>
              </w:rPr>
              <w:t>Long</w:t>
            </w:r>
            <w:r w:rsidR="00DD51B2" w:rsidRPr="00AA7A53">
              <w:rPr>
                <w:rFonts w:ascii="Times New Roman" w:hAnsi="Times New Roman" w:cs="Times New Roman"/>
                <w:sz w:val="20"/>
                <w:szCs w:val="20"/>
              </w:rPr>
              <w:t>-</w:t>
            </w:r>
            <w:r w:rsidRPr="00AA7A53">
              <w:rPr>
                <w:rFonts w:ascii="Times New Roman" w:hAnsi="Times New Roman" w:cs="Times New Roman"/>
                <w:sz w:val="20"/>
                <w:szCs w:val="20"/>
              </w:rPr>
              <w:t>Term Renovation Strategy</w:t>
            </w:r>
            <w:r w:rsidR="00DD51B2" w:rsidRPr="00AA7A53">
              <w:rPr>
                <w:rFonts w:ascii="Times New Roman" w:hAnsi="Times New Roman" w:cs="Times New Roman"/>
                <w:sz w:val="20"/>
                <w:szCs w:val="20"/>
              </w:rPr>
              <w:t xml:space="preserve"> to encourage investment in the renovation of the national building stock</w:t>
            </w:r>
          </w:p>
          <w:p w14:paraId="1FFECF82"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Planning and Construction</w:t>
            </w:r>
          </w:p>
          <w:p w14:paraId="0D6B61B5" w14:textId="77777777" w:rsidR="00614438" w:rsidRPr="00AA7A53" w:rsidRDefault="00DD51B2" w:rsidP="00AA7A53">
            <w:pPr>
              <w:numPr>
                <w:ilvl w:val="0"/>
                <w:numId w:val="68"/>
              </w:numPr>
              <w:spacing w:after="0"/>
              <w:jc w:val="both"/>
              <w:rPr>
                <w:rFonts w:ascii="Times New Roman" w:hAnsi="Times New Roman" w:cs="Times New Roman"/>
                <w:sz w:val="20"/>
                <w:szCs w:val="20"/>
              </w:rPr>
            </w:pPr>
            <w:r w:rsidRPr="00AA7A53">
              <w:rPr>
                <w:rFonts w:ascii="Times New Roman" w:hAnsi="Times New Roman" w:cs="Times New Roman"/>
                <w:sz w:val="20"/>
                <w:szCs w:val="20"/>
              </w:rPr>
              <w:t>By-laws regulating the energy efficiency of</w:t>
            </w:r>
            <w:r w:rsidR="00614438" w:rsidRPr="00AA7A53">
              <w:rPr>
                <w:rFonts w:ascii="Times New Roman" w:hAnsi="Times New Roman" w:cs="Times New Roman"/>
                <w:sz w:val="20"/>
                <w:szCs w:val="20"/>
              </w:rPr>
              <w:t xml:space="preserve"> buildings</w:t>
            </w:r>
          </w:p>
        </w:tc>
        <w:tc>
          <w:tcPr>
            <w:tcW w:w="222" w:type="dxa"/>
            <w:vAlign w:val="center"/>
            <w:hideMark/>
          </w:tcPr>
          <w:p w14:paraId="6B90080F"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0822306" w14:textId="77777777" w:rsidTr="00614438">
        <w:trPr>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74F6C43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31" w:type="dxa"/>
            <w:gridSpan w:val="3"/>
            <w:tcBorders>
              <w:top w:val="single" w:sz="8" w:space="0" w:color="auto"/>
              <w:left w:val="nil"/>
              <w:bottom w:val="single" w:sz="8" w:space="0" w:color="auto"/>
              <w:right w:val="single" w:sz="8" w:space="0" w:color="000000"/>
            </w:tcBorders>
            <w:vAlign w:val="center"/>
            <w:hideMark/>
          </w:tcPr>
          <w:p w14:paraId="39D15E8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Be integrated into PM_EE1, PM_EE2 and PM_EE3</w:t>
            </w:r>
          </w:p>
        </w:tc>
        <w:tc>
          <w:tcPr>
            <w:tcW w:w="222" w:type="dxa"/>
            <w:vAlign w:val="center"/>
            <w:hideMark/>
          </w:tcPr>
          <w:p w14:paraId="3024028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3A2507B" w14:textId="77777777" w:rsidTr="00614438">
        <w:trPr>
          <w:trHeight w:val="315"/>
        </w:trPr>
        <w:tc>
          <w:tcPr>
            <w:tcW w:w="3327" w:type="dxa"/>
            <w:tcBorders>
              <w:top w:val="nil"/>
              <w:left w:val="single" w:sz="8" w:space="0" w:color="auto"/>
              <w:bottom w:val="single" w:sz="8" w:space="0" w:color="auto"/>
              <w:right w:val="single" w:sz="8" w:space="0" w:color="auto"/>
            </w:tcBorders>
            <w:shd w:val="clear" w:color="auto" w:fill="244062"/>
            <w:vAlign w:val="center"/>
            <w:hideMark/>
          </w:tcPr>
          <w:p w14:paraId="4B86948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31" w:type="dxa"/>
            <w:gridSpan w:val="3"/>
            <w:tcBorders>
              <w:top w:val="single" w:sz="8" w:space="0" w:color="auto"/>
              <w:left w:val="nil"/>
              <w:bottom w:val="single" w:sz="8" w:space="0" w:color="auto"/>
              <w:right w:val="single" w:sz="8" w:space="0" w:color="000000"/>
            </w:tcBorders>
            <w:vAlign w:val="center"/>
            <w:hideMark/>
          </w:tcPr>
          <w:p w14:paraId="04FD599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06638998" w14:textId="77777777" w:rsidR="00614438" w:rsidRPr="00AA7A53" w:rsidRDefault="00614438" w:rsidP="00AA7A53">
            <w:pPr>
              <w:spacing w:after="0"/>
              <w:jc w:val="both"/>
              <w:rPr>
                <w:rFonts w:ascii="Times New Roman" w:hAnsi="Times New Roman" w:cs="Times New Roman"/>
                <w:sz w:val="20"/>
                <w:szCs w:val="20"/>
                <w:lang w:val="en-GB"/>
              </w:rPr>
            </w:pPr>
          </w:p>
        </w:tc>
      </w:tr>
    </w:tbl>
    <w:p w14:paraId="74F6445D"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29"/>
        <w:gridCol w:w="953"/>
        <w:gridCol w:w="945"/>
        <w:gridCol w:w="4231"/>
        <w:gridCol w:w="222"/>
      </w:tblGrid>
      <w:tr w:rsidR="00614438" w:rsidRPr="00AA7A53" w14:paraId="2F5A536E" w14:textId="77777777" w:rsidTr="00614438">
        <w:trPr>
          <w:gridAfter w:val="1"/>
          <w:wAfter w:w="222" w:type="dxa"/>
          <w:trHeight w:val="780"/>
        </w:trPr>
        <w:tc>
          <w:tcPr>
            <w:tcW w:w="3329"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6A9A12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53" w:type="dxa"/>
            <w:tcBorders>
              <w:top w:val="single" w:sz="8" w:space="0" w:color="auto"/>
              <w:left w:val="nil"/>
              <w:bottom w:val="single" w:sz="8" w:space="0" w:color="auto"/>
              <w:right w:val="single" w:sz="8" w:space="0" w:color="auto"/>
            </w:tcBorders>
            <w:shd w:val="clear" w:color="auto" w:fill="E7E6E6" w:themeFill="background2"/>
            <w:vAlign w:val="center"/>
            <w:hideMark/>
          </w:tcPr>
          <w:p w14:paraId="5497B79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PM_EE8</w:t>
            </w:r>
          </w:p>
        </w:tc>
        <w:tc>
          <w:tcPr>
            <w:tcW w:w="945" w:type="dxa"/>
            <w:tcBorders>
              <w:top w:val="single" w:sz="8" w:space="0" w:color="auto"/>
              <w:left w:val="nil"/>
              <w:bottom w:val="single" w:sz="8" w:space="0" w:color="auto"/>
              <w:right w:val="single" w:sz="8" w:space="0" w:color="auto"/>
            </w:tcBorders>
            <w:shd w:val="clear" w:color="auto" w:fill="244062"/>
            <w:vAlign w:val="center"/>
            <w:hideMark/>
          </w:tcPr>
          <w:p w14:paraId="5B6A3F8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31" w:type="dxa"/>
            <w:tcBorders>
              <w:top w:val="single" w:sz="8" w:space="0" w:color="auto"/>
              <w:left w:val="nil"/>
              <w:bottom w:val="single" w:sz="8" w:space="0" w:color="auto"/>
              <w:right w:val="single" w:sz="8" w:space="0" w:color="auto"/>
            </w:tcBorders>
            <w:shd w:val="clear" w:color="auto" w:fill="E7E6E6" w:themeFill="background2"/>
            <w:vAlign w:val="center"/>
            <w:hideMark/>
          </w:tcPr>
          <w:p w14:paraId="161499B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Overcoming split incentive barrier</w:t>
            </w:r>
          </w:p>
        </w:tc>
      </w:tr>
      <w:tr w:rsidR="00614438" w:rsidRPr="00AA7A53" w14:paraId="6CAD2AF1" w14:textId="77777777" w:rsidTr="00614438">
        <w:trPr>
          <w:gridAfter w:val="1"/>
          <w:wAfter w:w="222" w:type="dxa"/>
          <w:trHeight w:val="513"/>
        </w:trPr>
        <w:tc>
          <w:tcPr>
            <w:tcW w:w="3329" w:type="dxa"/>
            <w:tcBorders>
              <w:top w:val="nil"/>
              <w:left w:val="single" w:sz="8" w:space="0" w:color="auto"/>
              <w:bottom w:val="single" w:sz="8" w:space="0" w:color="auto"/>
              <w:right w:val="nil"/>
            </w:tcBorders>
            <w:shd w:val="clear" w:color="auto" w:fill="244062"/>
            <w:vAlign w:val="center"/>
            <w:hideMark/>
          </w:tcPr>
          <w:p w14:paraId="373F7B2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 xml:space="preserve">Main objective: </w:t>
            </w:r>
          </w:p>
        </w:tc>
        <w:tc>
          <w:tcPr>
            <w:tcW w:w="6129" w:type="dxa"/>
            <w:gridSpan w:val="3"/>
            <w:tcBorders>
              <w:top w:val="single" w:sz="8" w:space="0" w:color="auto"/>
              <w:left w:val="nil"/>
              <w:bottom w:val="single" w:sz="8" w:space="0" w:color="auto"/>
              <w:right w:val="single" w:sz="8" w:space="0" w:color="000000"/>
            </w:tcBorders>
            <w:vAlign w:val="center"/>
            <w:hideMark/>
          </w:tcPr>
          <w:p w14:paraId="196458F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2012/27/EU, as amended by Directive (EU) 2018/2002:</w:t>
            </w:r>
          </w:p>
          <w:p w14:paraId="39B6C93D" w14:textId="77777777" w:rsidR="00614438" w:rsidRPr="00AA7A53" w:rsidRDefault="00614438" w:rsidP="00AA7A53">
            <w:pPr>
              <w:numPr>
                <w:ilvl w:val="0"/>
                <w:numId w:val="68"/>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3452EF25" w14:textId="77777777" w:rsidR="00614438" w:rsidRPr="00AA7A53" w:rsidRDefault="00614438" w:rsidP="00AA7A53">
            <w:pPr>
              <w:numPr>
                <w:ilvl w:val="0"/>
                <w:numId w:val="68"/>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tc>
      </w:tr>
      <w:tr w:rsidR="00614438" w:rsidRPr="00AA7A53" w14:paraId="41CFD0EA"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4A554AD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29" w:type="dxa"/>
            <w:gridSpan w:val="3"/>
            <w:tcBorders>
              <w:top w:val="single" w:sz="8" w:space="0" w:color="auto"/>
              <w:left w:val="nil"/>
              <w:bottom w:val="single" w:sz="8" w:space="0" w:color="auto"/>
              <w:right w:val="single" w:sz="8" w:space="0" w:color="000000"/>
            </w:tcBorders>
            <w:vAlign w:val="center"/>
            <w:hideMark/>
          </w:tcPr>
          <w:p w14:paraId="452544D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PM_EE1-PM_EE3</w:t>
            </w:r>
          </w:p>
        </w:tc>
      </w:tr>
      <w:tr w:rsidR="00614438" w:rsidRPr="00AA7A53" w14:paraId="0F726BC9" w14:textId="77777777" w:rsidTr="00614438">
        <w:trPr>
          <w:gridAfter w:val="1"/>
          <w:wAfter w:w="222" w:type="dxa"/>
          <w:trHeight w:val="429"/>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5C8E79C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29" w:type="dxa"/>
            <w:gridSpan w:val="3"/>
            <w:tcBorders>
              <w:top w:val="single" w:sz="8" w:space="0" w:color="auto"/>
              <w:left w:val="nil"/>
              <w:bottom w:val="single" w:sz="8" w:space="0" w:color="auto"/>
              <w:right w:val="single" w:sz="8" w:space="0" w:color="000000"/>
            </w:tcBorders>
            <w:vAlign w:val="center"/>
            <w:hideMark/>
          </w:tcPr>
          <w:p w14:paraId="60E36A5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PM_EE8 will remove the potential regulatory and non-regulatory barriers to energy efficiency, without prejudice to the basic principles of the property and tenancy law regarding the split of incentives between the owner and the tenant of a building or among owners. It will be ensured that the involved parties will not be deterred from making efficiency-improving investments </w:t>
            </w:r>
            <w:r w:rsidR="002D5291"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that they would otherwise have made</w:t>
            </w:r>
            <w:r w:rsidR="002D5291"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due to the fact that they will not individually obtain the full benefits or by the absence of rules for dividing the costs and benefits between them. </w:t>
            </w:r>
            <w:bookmarkStart w:id="146" w:name="_Hlk135396602"/>
            <w:r w:rsidRPr="00AA7A53">
              <w:rPr>
                <w:rFonts w:ascii="Times New Roman" w:hAnsi="Times New Roman" w:cs="Times New Roman"/>
                <w:sz w:val="20"/>
                <w:szCs w:val="20"/>
                <w:lang w:val="en-GB"/>
              </w:rPr>
              <w:t>A targeted study will be commissioned in order to identify and assess the potential barriers proposing policy recommendations.</w:t>
            </w:r>
            <w:bookmarkEnd w:id="146"/>
            <w:r w:rsidRPr="00AA7A53">
              <w:rPr>
                <w:rFonts w:ascii="Times New Roman" w:hAnsi="Times New Roman" w:cs="Times New Roman"/>
                <w:sz w:val="20"/>
                <w:szCs w:val="20"/>
                <w:lang w:val="en-GB"/>
              </w:rPr>
              <w:t xml:space="preserve"> Moreover, the decision-making processes in multi-owner properties will be simplified. Such measures to remove barriers may include providing incentives, repealing or amending legal or regulatory provisions, or adopting guidelines and interpretative communications, or simplifying administrative procedures.</w:t>
            </w:r>
          </w:p>
        </w:tc>
      </w:tr>
      <w:tr w:rsidR="00614438" w:rsidRPr="00AA7A53" w14:paraId="52616335"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339DC70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29" w:type="dxa"/>
            <w:gridSpan w:val="3"/>
            <w:tcBorders>
              <w:top w:val="single" w:sz="8" w:space="0" w:color="auto"/>
              <w:left w:val="nil"/>
              <w:bottom w:val="single" w:sz="8" w:space="0" w:color="auto"/>
              <w:right w:val="single" w:sz="8" w:space="0" w:color="000000"/>
            </w:tcBorders>
            <w:vAlign w:val="center"/>
            <w:hideMark/>
          </w:tcPr>
          <w:p w14:paraId="46E821B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2025-2026</w:t>
            </w:r>
          </w:p>
        </w:tc>
      </w:tr>
      <w:tr w:rsidR="00614438" w:rsidRPr="00AA7A53" w14:paraId="02A98DE2"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7D27D54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29" w:type="dxa"/>
            <w:gridSpan w:val="3"/>
            <w:tcBorders>
              <w:top w:val="single" w:sz="8" w:space="0" w:color="auto"/>
              <w:left w:val="nil"/>
              <w:bottom w:val="single" w:sz="8" w:space="0" w:color="auto"/>
              <w:right w:val="single" w:sz="8" w:space="0" w:color="000000"/>
            </w:tcBorders>
            <w:vAlign w:val="center"/>
            <w:hideMark/>
          </w:tcPr>
          <w:p w14:paraId="7C2DC34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4D264E92"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3DB4B9C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29" w:type="dxa"/>
            <w:gridSpan w:val="3"/>
            <w:tcBorders>
              <w:top w:val="single" w:sz="8" w:space="0" w:color="auto"/>
              <w:left w:val="nil"/>
              <w:bottom w:val="single" w:sz="8" w:space="0" w:color="auto"/>
              <w:right w:val="single" w:sz="8" w:space="0" w:color="000000"/>
            </w:tcBorders>
            <w:vAlign w:val="center"/>
            <w:hideMark/>
          </w:tcPr>
          <w:p w14:paraId="59487E6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Residential, commercial</w:t>
            </w:r>
            <w:r w:rsidR="002D5291" w:rsidRPr="00AA7A53">
              <w:rPr>
                <w:rFonts w:ascii="Times New Roman" w:hAnsi="Times New Roman" w:cs="Times New Roman"/>
                <w:sz w:val="20"/>
                <w:szCs w:val="20"/>
                <w:lang w:val="en-GB"/>
              </w:rPr>
              <w:t xml:space="preserve"> and public sector</w:t>
            </w:r>
          </w:p>
        </w:tc>
      </w:tr>
      <w:tr w:rsidR="00614438" w:rsidRPr="00AA7A53" w14:paraId="06B13463" w14:textId="77777777" w:rsidTr="00614438">
        <w:trPr>
          <w:gridAfter w:val="1"/>
          <w:wAfter w:w="222" w:type="dxa"/>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51A11B5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29" w:type="dxa"/>
            <w:gridSpan w:val="3"/>
            <w:tcBorders>
              <w:top w:val="single" w:sz="8" w:space="0" w:color="auto"/>
              <w:left w:val="nil"/>
              <w:bottom w:val="single" w:sz="8" w:space="0" w:color="auto"/>
              <w:right w:val="single" w:sz="8" w:space="0" w:color="000000"/>
            </w:tcBorders>
            <w:vAlign w:val="center"/>
            <w:hideMark/>
          </w:tcPr>
          <w:p w14:paraId="2CA3C74E"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p w14:paraId="2221D33B"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628293D7" w14:textId="77777777" w:rsidTr="00614438">
        <w:trPr>
          <w:gridAfter w:val="1"/>
          <w:wAfter w:w="222" w:type="dxa"/>
          <w:trHeight w:val="315"/>
        </w:trPr>
        <w:tc>
          <w:tcPr>
            <w:tcW w:w="3329" w:type="dxa"/>
            <w:tcBorders>
              <w:top w:val="nil"/>
              <w:left w:val="single" w:sz="8" w:space="0" w:color="auto"/>
              <w:bottom w:val="single" w:sz="8" w:space="0" w:color="auto"/>
              <w:right w:val="nil"/>
            </w:tcBorders>
            <w:shd w:val="clear" w:color="auto" w:fill="244062"/>
            <w:vAlign w:val="center"/>
            <w:hideMark/>
          </w:tcPr>
          <w:p w14:paraId="5733650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29" w:type="dxa"/>
            <w:gridSpan w:val="3"/>
            <w:tcBorders>
              <w:top w:val="single" w:sz="8" w:space="0" w:color="auto"/>
              <w:left w:val="nil"/>
              <w:bottom w:val="single" w:sz="8" w:space="0" w:color="auto"/>
              <w:right w:val="single" w:sz="8" w:space="0" w:color="000000"/>
            </w:tcBorders>
            <w:vAlign w:val="center"/>
            <w:hideMark/>
          </w:tcPr>
          <w:p w14:paraId="69B86834"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4367FD19" w14:textId="77777777" w:rsidTr="00614438">
        <w:trPr>
          <w:gridAfter w:val="1"/>
          <w:wAfter w:w="222" w:type="dxa"/>
          <w:trHeight w:val="315"/>
        </w:trPr>
        <w:tc>
          <w:tcPr>
            <w:tcW w:w="3329" w:type="dxa"/>
            <w:tcBorders>
              <w:top w:val="nil"/>
              <w:left w:val="single" w:sz="8" w:space="0" w:color="auto"/>
              <w:bottom w:val="single" w:sz="8" w:space="0" w:color="auto"/>
              <w:right w:val="nil"/>
            </w:tcBorders>
            <w:shd w:val="clear" w:color="auto" w:fill="244062"/>
            <w:vAlign w:val="center"/>
            <w:hideMark/>
          </w:tcPr>
          <w:p w14:paraId="466E901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29" w:type="dxa"/>
            <w:gridSpan w:val="3"/>
            <w:tcBorders>
              <w:top w:val="single" w:sz="8" w:space="0" w:color="auto"/>
              <w:left w:val="nil"/>
              <w:bottom w:val="single" w:sz="8" w:space="0" w:color="auto"/>
              <w:right w:val="single" w:sz="8" w:space="0" w:color="000000"/>
            </w:tcBorders>
            <w:vAlign w:val="center"/>
            <w:hideMark/>
          </w:tcPr>
          <w:p w14:paraId="1A9AE5A0" w14:textId="77777777" w:rsidR="00614438" w:rsidRPr="00AA7A53" w:rsidRDefault="00614438" w:rsidP="00AA7A53">
            <w:pPr>
              <w:numPr>
                <w:ilvl w:val="0"/>
                <w:numId w:val="50"/>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Developed legislative and regulatory framework</w:t>
            </w:r>
          </w:p>
        </w:tc>
      </w:tr>
      <w:tr w:rsidR="00614438" w:rsidRPr="00AA7A53" w14:paraId="0CA7679C" w14:textId="77777777" w:rsidTr="00614438">
        <w:trPr>
          <w:gridAfter w:val="1"/>
          <w:wAfter w:w="222" w:type="dxa"/>
          <w:trHeight w:val="433"/>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076576F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29" w:type="dxa"/>
            <w:gridSpan w:val="3"/>
            <w:tcBorders>
              <w:top w:val="single" w:sz="8" w:space="0" w:color="auto"/>
              <w:left w:val="nil"/>
              <w:bottom w:val="single" w:sz="8" w:space="0" w:color="auto"/>
              <w:right w:val="single" w:sz="8" w:space="0" w:color="000000"/>
            </w:tcBorders>
            <w:vAlign w:val="center"/>
            <w:hideMark/>
          </w:tcPr>
          <w:p w14:paraId="5A925F49" w14:textId="77777777" w:rsidR="00614438" w:rsidRPr="00AA7A53" w:rsidRDefault="00614438" w:rsidP="00AA7A53">
            <w:pPr>
              <w:numPr>
                <w:ilvl w:val="0"/>
                <w:numId w:val="69"/>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Decarbonisation (the delivered energy savings will decrease the consumed quantities of fossil fuels leading to the respective GHG emission reduction </w:t>
            </w:r>
            <w:r w:rsidR="002D5291"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utilised RES technologies will increase the RES share in heating and cooling)</w:t>
            </w:r>
          </w:p>
          <w:p w14:paraId="3C5E6722" w14:textId="77777777" w:rsidR="00614438" w:rsidRPr="00AA7A53" w:rsidRDefault="00614438" w:rsidP="00AA7A53">
            <w:pPr>
              <w:numPr>
                <w:ilvl w:val="0"/>
                <w:numId w:val="69"/>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14918B5E" w14:textId="77777777" w:rsidTr="00614438">
        <w:trPr>
          <w:gridAfter w:val="1"/>
          <w:wAfter w:w="222" w:type="dxa"/>
          <w:trHeight w:val="458"/>
        </w:trPr>
        <w:tc>
          <w:tcPr>
            <w:tcW w:w="3329" w:type="dxa"/>
            <w:vMerge w:val="restart"/>
            <w:tcBorders>
              <w:top w:val="nil"/>
              <w:left w:val="single" w:sz="8" w:space="0" w:color="auto"/>
              <w:bottom w:val="single" w:sz="8" w:space="0" w:color="000000"/>
              <w:right w:val="single" w:sz="8" w:space="0" w:color="auto"/>
            </w:tcBorders>
            <w:shd w:val="clear" w:color="auto" w:fill="244062"/>
            <w:vAlign w:val="center"/>
            <w:hideMark/>
          </w:tcPr>
          <w:p w14:paraId="0D3E808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29"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1D46426" w14:textId="77777777" w:rsidR="00614438" w:rsidRPr="00AA7A53" w:rsidRDefault="00614438" w:rsidP="00AA7A53">
            <w:pPr>
              <w:numPr>
                <w:ilvl w:val="0"/>
                <w:numId w:val="7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3C12E1BE" w14:textId="77777777" w:rsidR="00614438" w:rsidRPr="00AA7A53" w:rsidRDefault="00614438" w:rsidP="00AA7A53">
            <w:pPr>
              <w:numPr>
                <w:ilvl w:val="0"/>
                <w:numId w:val="7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p w14:paraId="3B6B0AFE" w14:textId="77777777" w:rsidR="002D5291" w:rsidRPr="00AA7A53" w:rsidRDefault="002D5291" w:rsidP="00AA7A53">
            <w:pPr>
              <w:numPr>
                <w:ilvl w:val="0"/>
                <w:numId w:val="7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2018/844</w:t>
            </w:r>
          </w:p>
        </w:tc>
      </w:tr>
      <w:tr w:rsidR="00614438" w:rsidRPr="00AA7A53" w14:paraId="025EF3B0"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2E9C4780"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C6FD5BD"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29677E2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4B2D8FA"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0FB75ACB"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822C58A"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3900F48F"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421D7F71" w14:textId="77777777" w:rsidTr="00614438">
        <w:trPr>
          <w:trHeight w:val="421"/>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0C3AF68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29" w:type="dxa"/>
            <w:gridSpan w:val="3"/>
            <w:tcBorders>
              <w:top w:val="single" w:sz="8" w:space="0" w:color="auto"/>
              <w:left w:val="nil"/>
              <w:bottom w:val="single" w:sz="8" w:space="0" w:color="auto"/>
              <w:right w:val="single" w:sz="8" w:space="0" w:color="000000"/>
            </w:tcBorders>
            <w:vAlign w:val="center"/>
            <w:hideMark/>
          </w:tcPr>
          <w:p w14:paraId="4D0FFDFE" w14:textId="77777777" w:rsidR="00614438" w:rsidRPr="00AA7A53" w:rsidRDefault="00614438" w:rsidP="00AA7A53">
            <w:pPr>
              <w:numPr>
                <w:ilvl w:val="0"/>
                <w:numId w:val="71"/>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Housing and Building Maintenance</w:t>
            </w:r>
          </w:p>
          <w:p w14:paraId="798FE385" w14:textId="77777777" w:rsidR="002D5291" w:rsidRPr="00AA7A53" w:rsidRDefault="00614438" w:rsidP="00AA7A53">
            <w:pPr>
              <w:numPr>
                <w:ilvl w:val="0"/>
                <w:numId w:val="68"/>
              </w:numPr>
              <w:spacing w:after="0"/>
              <w:jc w:val="both"/>
              <w:rPr>
                <w:rFonts w:ascii="Times New Roman" w:hAnsi="Times New Roman" w:cs="Times New Roman"/>
                <w:sz w:val="20"/>
                <w:szCs w:val="20"/>
              </w:rPr>
            </w:pPr>
            <w:r w:rsidRPr="00AA7A53">
              <w:rPr>
                <w:rFonts w:ascii="Times New Roman" w:hAnsi="Times New Roman" w:cs="Times New Roman"/>
                <w:sz w:val="20"/>
                <w:szCs w:val="20"/>
              </w:rPr>
              <w:t>Long Term Renovation Strategy</w:t>
            </w:r>
            <w:r w:rsidR="002D5291" w:rsidRPr="00AA7A53">
              <w:rPr>
                <w:rFonts w:ascii="Times New Roman" w:hAnsi="Times New Roman" w:cs="Times New Roman"/>
                <w:sz w:val="20"/>
                <w:szCs w:val="20"/>
              </w:rPr>
              <w:t xml:space="preserve"> to encourage investment in the renovation of the national building stock</w:t>
            </w:r>
          </w:p>
          <w:p w14:paraId="201854E3" w14:textId="77777777" w:rsidR="00614438" w:rsidRPr="00AA7A53" w:rsidRDefault="002D5291"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Law and By-laws regulating the energy efficiency of buildings</w:t>
            </w:r>
          </w:p>
        </w:tc>
        <w:tc>
          <w:tcPr>
            <w:tcW w:w="222" w:type="dxa"/>
            <w:vAlign w:val="center"/>
            <w:hideMark/>
          </w:tcPr>
          <w:p w14:paraId="607D4DC6"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731AE50" w14:textId="77777777" w:rsidTr="00614438">
        <w:trPr>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00AEFC1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29" w:type="dxa"/>
            <w:gridSpan w:val="3"/>
            <w:tcBorders>
              <w:top w:val="single" w:sz="8" w:space="0" w:color="auto"/>
              <w:left w:val="nil"/>
              <w:bottom w:val="single" w:sz="8" w:space="0" w:color="auto"/>
              <w:right w:val="single" w:sz="8" w:space="0" w:color="000000"/>
            </w:tcBorders>
            <w:vAlign w:val="center"/>
            <w:hideMark/>
          </w:tcPr>
          <w:p w14:paraId="54093F9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Be integrated into PM_EE1, PM_EE2 and PM_EE3</w:t>
            </w:r>
          </w:p>
        </w:tc>
        <w:tc>
          <w:tcPr>
            <w:tcW w:w="222" w:type="dxa"/>
            <w:vAlign w:val="center"/>
            <w:hideMark/>
          </w:tcPr>
          <w:p w14:paraId="01D86F47"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2E63E21" w14:textId="77777777" w:rsidTr="00614438">
        <w:trPr>
          <w:trHeight w:val="315"/>
        </w:trPr>
        <w:tc>
          <w:tcPr>
            <w:tcW w:w="3329" w:type="dxa"/>
            <w:tcBorders>
              <w:top w:val="nil"/>
              <w:left w:val="single" w:sz="8" w:space="0" w:color="auto"/>
              <w:bottom w:val="single" w:sz="8" w:space="0" w:color="auto"/>
              <w:right w:val="single" w:sz="8" w:space="0" w:color="auto"/>
            </w:tcBorders>
            <w:shd w:val="clear" w:color="auto" w:fill="244062"/>
            <w:vAlign w:val="center"/>
            <w:hideMark/>
          </w:tcPr>
          <w:p w14:paraId="77F923C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29" w:type="dxa"/>
            <w:gridSpan w:val="3"/>
            <w:tcBorders>
              <w:top w:val="single" w:sz="8" w:space="0" w:color="auto"/>
              <w:left w:val="nil"/>
              <w:bottom w:val="single" w:sz="8" w:space="0" w:color="auto"/>
              <w:right w:val="single" w:sz="8" w:space="0" w:color="000000"/>
            </w:tcBorders>
            <w:vAlign w:val="center"/>
            <w:hideMark/>
          </w:tcPr>
          <w:p w14:paraId="2BDD9B2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6F95DA57" w14:textId="77777777" w:rsidR="00614438" w:rsidRPr="00AA7A53" w:rsidRDefault="00614438" w:rsidP="00AA7A53">
            <w:pPr>
              <w:spacing w:after="0"/>
              <w:jc w:val="both"/>
              <w:rPr>
                <w:rFonts w:ascii="Times New Roman" w:hAnsi="Times New Roman" w:cs="Times New Roman"/>
                <w:sz w:val="20"/>
                <w:szCs w:val="20"/>
                <w:lang w:val="en-GB"/>
              </w:rPr>
            </w:pPr>
          </w:p>
        </w:tc>
      </w:tr>
    </w:tbl>
    <w:p w14:paraId="35EA6203" w14:textId="77777777" w:rsidR="002D5291" w:rsidRPr="00AA7A53" w:rsidRDefault="002D5291" w:rsidP="00AA7A53">
      <w:pPr>
        <w:spacing w:after="0"/>
        <w:ind w:left="480"/>
        <w:jc w:val="both"/>
        <w:rPr>
          <w:rFonts w:ascii="Times New Roman" w:hAnsi="Times New Roman" w:cs="Times New Roman"/>
          <w:sz w:val="20"/>
          <w:szCs w:val="20"/>
          <w:lang w:val="en-GB"/>
        </w:rPr>
      </w:pPr>
    </w:p>
    <w:p w14:paraId="7BBEE7C0" w14:textId="77777777" w:rsidR="00614438" w:rsidRPr="00614438" w:rsidRDefault="002D5291" w:rsidP="002D5291">
      <w:pPr>
        <w:ind w:left="480"/>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3.2.3 </w:t>
      </w:r>
      <w:r w:rsidR="00614438" w:rsidRPr="00614438">
        <w:rPr>
          <w:rFonts w:ascii="Times New Roman" w:hAnsi="Times New Roman" w:cs="Times New Roman"/>
          <w:sz w:val="24"/>
          <w:szCs w:val="24"/>
          <w:lang w:val="en-GB"/>
        </w:rPr>
        <w:t>Description of policy and measures to promote energy services in the public sector and measures to remove regulatory and non-regulatory barriers that impede the uptake of energy performance contracting and other energy efficiency service models</w:t>
      </w:r>
    </w:p>
    <w:p w14:paraId="65CDA8B5" w14:textId="77777777" w:rsidR="00614438" w:rsidRPr="00614438" w:rsidRDefault="00614438" w:rsidP="002D5291">
      <w:pPr>
        <w:ind w:firstLine="48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A holistic framework will be established for the promotion of energy services </w:t>
      </w:r>
      <w:r w:rsidR="002D5291">
        <w:rPr>
          <w:rFonts w:ascii="Times New Roman" w:hAnsi="Times New Roman" w:cs="Times New Roman"/>
          <w:sz w:val="24"/>
          <w:szCs w:val="24"/>
          <w:lang w:val="en-GB"/>
        </w:rPr>
        <w:t>with emphasis</w:t>
      </w:r>
      <w:r w:rsidRPr="00614438">
        <w:rPr>
          <w:rFonts w:ascii="Times New Roman" w:hAnsi="Times New Roman" w:cs="Times New Roman"/>
          <w:sz w:val="24"/>
          <w:szCs w:val="24"/>
          <w:lang w:val="en-GB"/>
        </w:rPr>
        <w:t xml:space="preserve"> on the removal of potential barriers. The existing standard contracts will be promoted along with guidelines, which will </w:t>
      </w:r>
      <w:r w:rsidR="002D5291">
        <w:rPr>
          <w:rFonts w:ascii="Times New Roman" w:hAnsi="Times New Roman" w:cs="Times New Roman"/>
          <w:sz w:val="24"/>
          <w:szCs w:val="24"/>
          <w:lang w:val="en-GB"/>
        </w:rPr>
        <w:t>allow th</w:t>
      </w:r>
      <w:r w:rsidRPr="00614438">
        <w:rPr>
          <w:rFonts w:ascii="Times New Roman" w:hAnsi="Times New Roman" w:cs="Times New Roman"/>
          <w:sz w:val="24"/>
          <w:szCs w:val="24"/>
          <w:lang w:val="en-GB"/>
        </w:rPr>
        <w:t>e developed</w:t>
      </w:r>
      <w:r w:rsidR="002D5291">
        <w:rPr>
          <w:rFonts w:ascii="Times New Roman" w:hAnsi="Times New Roman" w:cs="Times New Roman"/>
          <w:sz w:val="24"/>
          <w:szCs w:val="24"/>
          <w:lang w:val="en-GB"/>
        </w:rPr>
        <w:t xml:space="preserve"> and implementation </w:t>
      </w:r>
      <w:r w:rsidRPr="00614438">
        <w:rPr>
          <w:rFonts w:ascii="Times New Roman" w:hAnsi="Times New Roman" w:cs="Times New Roman"/>
          <w:sz w:val="24"/>
          <w:szCs w:val="24"/>
          <w:lang w:val="en-GB"/>
        </w:rPr>
        <w:t>of energy efficiency projects through Energy Performance Contracts.</w:t>
      </w:r>
    </w:p>
    <w:p w14:paraId="1DCE209E" w14:textId="77777777" w:rsidR="00614438" w:rsidRPr="00614438" w:rsidRDefault="00614438" w:rsidP="002D5291">
      <w:pPr>
        <w:ind w:firstLine="48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Targeted pilot projects will be designed for the renovation of the public buildings and the upgrade of the street-lighting through energy performance contracts</w:t>
      </w:r>
      <w:r w:rsidR="002D5291">
        <w:rPr>
          <w:rFonts w:ascii="Times New Roman" w:hAnsi="Times New Roman" w:cs="Times New Roman"/>
          <w:sz w:val="24"/>
          <w:szCs w:val="24"/>
          <w:lang w:val="en-GB"/>
        </w:rPr>
        <w:t>, which will also be done in</w:t>
      </w:r>
      <w:r w:rsidRPr="00614438">
        <w:rPr>
          <w:rFonts w:ascii="Times New Roman" w:hAnsi="Times New Roman" w:cs="Times New Roman"/>
          <w:sz w:val="24"/>
          <w:szCs w:val="24"/>
          <w:lang w:val="en-GB"/>
        </w:rPr>
        <w:t xml:space="preserve"> order to create the required conditions for the promotion of energy services in </w:t>
      </w:r>
      <w:r w:rsidR="002D5291">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public sector. The compliance with the public procurement procedures will ha</w:t>
      </w:r>
      <w:r w:rsidR="002D5291">
        <w:rPr>
          <w:rFonts w:ascii="Times New Roman" w:hAnsi="Times New Roman" w:cs="Times New Roman"/>
          <w:sz w:val="24"/>
          <w:szCs w:val="24"/>
          <w:lang w:val="en-GB"/>
        </w:rPr>
        <w:t>ve</w:t>
      </w:r>
      <w:r w:rsidRPr="00614438">
        <w:rPr>
          <w:rFonts w:ascii="Times New Roman" w:hAnsi="Times New Roman" w:cs="Times New Roman"/>
          <w:sz w:val="24"/>
          <w:szCs w:val="24"/>
          <w:lang w:val="en-GB"/>
        </w:rPr>
        <w:t xml:space="preserve"> be ensured according to the provisions of the Law on EE and Rational Use of Energy</w:t>
      </w:r>
      <w:r w:rsidR="002D5291">
        <w:rPr>
          <w:rFonts w:ascii="Times New Roman" w:hAnsi="Times New Roman" w:cs="Times New Roman"/>
          <w:sz w:val="24"/>
          <w:szCs w:val="24"/>
          <w:lang w:val="en-GB"/>
        </w:rPr>
        <w:t>, thus</w:t>
      </w:r>
      <w:r w:rsidRPr="00614438">
        <w:rPr>
          <w:rFonts w:ascii="Times New Roman" w:hAnsi="Times New Roman" w:cs="Times New Roman"/>
          <w:sz w:val="24"/>
          <w:szCs w:val="24"/>
          <w:lang w:val="en-GB"/>
        </w:rPr>
        <w:t xml:space="preserve"> incorporating the contract</w:t>
      </w:r>
      <w:r w:rsidR="002D5291">
        <w:rPr>
          <w:rFonts w:ascii="Times New Roman" w:hAnsi="Times New Roman" w:cs="Times New Roman"/>
          <w:sz w:val="24"/>
          <w:szCs w:val="24"/>
          <w:lang w:val="en-GB"/>
        </w:rPr>
        <w:t xml:space="preserve"> form</w:t>
      </w:r>
      <w:r w:rsidRPr="00614438">
        <w:rPr>
          <w:rFonts w:ascii="Times New Roman" w:hAnsi="Times New Roman" w:cs="Times New Roman"/>
          <w:sz w:val="24"/>
          <w:szCs w:val="24"/>
          <w:lang w:val="en-GB"/>
        </w:rPr>
        <w:t>s and the formulated guidelines</w:t>
      </w:r>
      <w:r w:rsidR="002D5291">
        <w:rPr>
          <w:rFonts w:ascii="Times New Roman" w:hAnsi="Times New Roman" w:cs="Times New Roman"/>
          <w:sz w:val="24"/>
          <w:szCs w:val="24"/>
          <w:lang w:val="en-GB"/>
        </w:rPr>
        <w:t>, which will</w:t>
      </w:r>
      <w:r w:rsidRPr="00614438">
        <w:rPr>
          <w:rFonts w:ascii="Times New Roman" w:hAnsi="Times New Roman" w:cs="Times New Roman"/>
          <w:sz w:val="24"/>
          <w:szCs w:val="24"/>
          <w:lang w:val="en-GB"/>
        </w:rPr>
        <w:t xml:space="preserve"> facilitate the implementation of the planned programs.</w:t>
      </w:r>
    </w:p>
    <w:p w14:paraId="07C6005A" w14:textId="77777777" w:rsidR="00614438" w:rsidRPr="00614438" w:rsidRDefault="00614438" w:rsidP="00396166">
      <w:pPr>
        <w:ind w:firstLine="48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Moreover, targeted financing programs will be initiated in specific final energy consumption sectors, such as industrial and commercial sectors</w:t>
      </w:r>
      <w:r w:rsidR="00D03A23">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taking into consideration the results of the pilot projects. Additional financing instruments will be applied, such as the provision of low-interest loans or guarantees to energy saving service providers in order to facilitate the smooth access to financing and the implementation of energy efficiency projects in the tertiary and industrial sectors.</w:t>
      </w:r>
    </w:p>
    <w:p w14:paraId="520843F4" w14:textId="77777777" w:rsidR="00614438" w:rsidRPr="00AA7A53" w:rsidRDefault="00614438" w:rsidP="00AA7A53">
      <w:pPr>
        <w:spacing w:after="0"/>
        <w:ind w:firstLine="480"/>
        <w:jc w:val="both"/>
        <w:rPr>
          <w:rFonts w:ascii="Times New Roman" w:hAnsi="Times New Roman" w:cs="Times New Roman"/>
          <w:sz w:val="20"/>
          <w:szCs w:val="20"/>
          <w:u w:val="single"/>
          <w:lang w:val="en-GB"/>
        </w:rPr>
      </w:pPr>
      <w:r w:rsidRPr="00614438">
        <w:rPr>
          <w:rFonts w:ascii="Times New Roman" w:hAnsi="Times New Roman" w:cs="Times New Roman"/>
          <w:sz w:val="24"/>
          <w:szCs w:val="24"/>
          <w:lang w:val="en-GB"/>
        </w:rPr>
        <w:t>Finally, different authorities will be appointed for monitoring the legislation on energy performance contracts</w:t>
      </w:r>
      <w:r w:rsidR="00D03A23">
        <w:rPr>
          <w:rFonts w:ascii="Times New Roman" w:hAnsi="Times New Roman" w:cs="Times New Roman"/>
          <w:sz w:val="24"/>
          <w:szCs w:val="24"/>
          <w:lang w:val="en-GB"/>
        </w:rPr>
        <w:t>, that way</w:t>
      </w:r>
      <w:r w:rsidRPr="00614438">
        <w:rPr>
          <w:rFonts w:ascii="Times New Roman" w:hAnsi="Times New Roman" w:cs="Times New Roman"/>
          <w:sz w:val="24"/>
          <w:szCs w:val="24"/>
          <w:lang w:val="en-GB"/>
        </w:rPr>
        <w:t xml:space="preserve"> ensuring the eradication of potential market barriers, undertaking the role of an independent mechanism, such as an ombudsman</w:t>
      </w:r>
      <w:r w:rsidR="00D03A23">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for the efficient handling of complaints and out-of-court settlement of disputes </w:t>
      </w:r>
      <w:r w:rsidR="00D03A23">
        <w:rPr>
          <w:rFonts w:ascii="Times New Roman" w:hAnsi="Times New Roman" w:cs="Times New Roman"/>
          <w:sz w:val="24"/>
          <w:szCs w:val="24"/>
          <w:lang w:val="en-GB"/>
        </w:rPr>
        <w:t xml:space="preserve">that </w:t>
      </w:r>
      <w:r w:rsidRPr="00614438">
        <w:rPr>
          <w:rFonts w:ascii="Times New Roman" w:hAnsi="Times New Roman" w:cs="Times New Roman"/>
          <w:sz w:val="24"/>
          <w:szCs w:val="24"/>
          <w:lang w:val="en-GB"/>
        </w:rPr>
        <w:t>aris</w:t>
      </w:r>
      <w:r w:rsidR="00D03A23">
        <w:rPr>
          <w:rFonts w:ascii="Times New Roman" w:hAnsi="Times New Roman" w:cs="Times New Roman"/>
          <w:sz w:val="24"/>
          <w:szCs w:val="24"/>
          <w:lang w:val="en-GB"/>
        </w:rPr>
        <w:t>e</w:t>
      </w:r>
      <w:r w:rsidRPr="00614438">
        <w:rPr>
          <w:rFonts w:ascii="Times New Roman" w:hAnsi="Times New Roman" w:cs="Times New Roman"/>
          <w:sz w:val="24"/>
          <w:szCs w:val="24"/>
          <w:lang w:val="en-GB"/>
        </w:rPr>
        <w:t xml:space="preserve"> from energy service contracts and undertaking the role of an independent market intermediary in order to stimulate the market development on the demand and supply sides according to the provisions of the EED.</w:t>
      </w:r>
    </w:p>
    <w:tbl>
      <w:tblPr>
        <w:tblW w:w="9680" w:type="dxa"/>
        <w:tblLook w:val="04A0" w:firstRow="1" w:lastRow="0" w:firstColumn="1" w:lastColumn="0" w:noHBand="0" w:noVBand="1"/>
      </w:tblPr>
      <w:tblGrid>
        <w:gridCol w:w="3293"/>
        <w:gridCol w:w="1050"/>
        <w:gridCol w:w="939"/>
        <w:gridCol w:w="4176"/>
        <w:gridCol w:w="222"/>
      </w:tblGrid>
      <w:tr w:rsidR="00614438" w:rsidRPr="00AA7A53" w14:paraId="65ADDD0A" w14:textId="77777777" w:rsidTr="00614438">
        <w:trPr>
          <w:gridAfter w:val="1"/>
          <w:wAfter w:w="222" w:type="dxa"/>
          <w:trHeight w:val="780"/>
        </w:trPr>
        <w:tc>
          <w:tcPr>
            <w:tcW w:w="3315"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223B78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4F440E8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PM_EE26</w:t>
            </w:r>
          </w:p>
        </w:tc>
        <w:tc>
          <w:tcPr>
            <w:tcW w:w="943" w:type="dxa"/>
            <w:tcBorders>
              <w:top w:val="single" w:sz="8" w:space="0" w:color="auto"/>
              <w:left w:val="nil"/>
              <w:bottom w:val="single" w:sz="8" w:space="0" w:color="auto"/>
              <w:right w:val="single" w:sz="8" w:space="0" w:color="auto"/>
            </w:tcBorders>
            <w:shd w:val="clear" w:color="auto" w:fill="244062"/>
            <w:vAlign w:val="center"/>
            <w:hideMark/>
          </w:tcPr>
          <w:p w14:paraId="00EF41F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75C3700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energy services and energy performance contracts through targeted financing programs</w:t>
            </w:r>
          </w:p>
        </w:tc>
      </w:tr>
      <w:tr w:rsidR="00614438" w:rsidRPr="00AA7A53" w14:paraId="3F8E2955" w14:textId="77777777" w:rsidTr="00614438">
        <w:trPr>
          <w:gridAfter w:val="1"/>
          <w:wAfter w:w="222" w:type="dxa"/>
          <w:trHeight w:val="550"/>
        </w:trPr>
        <w:tc>
          <w:tcPr>
            <w:tcW w:w="3315" w:type="dxa"/>
            <w:tcBorders>
              <w:top w:val="nil"/>
              <w:left w:val="single" w:sz="8" w:space="0" w:color="auto"/>
              <w:bottom w:val="single" w:sz="8" w:space="0" w:color="auto"/>
              <w:right w:val="nil"/>
            </w:tcBorders>
            <w:shd w:val="clear" w:color="auto" w:fill="244062"/>
            <w:vAlign w:val="center"/>
            <w:hideMark/>
          </w:tcPr>
          <w:p w14:paraId="5A05B0D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43" w:type="dxa"/>
            <w:gridSpan w:val="3"/>
            <w:tcBorders>
              <w:top w:val="single" w:sz="8" w:space="0" w:color="auto"/>
              <w:left w:val="nil"/>
              <w:bottom w:val="single" w:sz="8" w:space="0" w:color="auto"/>
              <w:right w:val="single" w:sz="8" w:space="0" w:color="000000"/>
            </w:tcBorders>
            <w:vAlign w:val="center"/>
            <w:hideMark/>
          </w:tcPr>
          <w:p w14:paraId="275EB4C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2012/27/EU, as amended by Directive (EU) 2018/2002:</w:t>
            </w:r>
          </w:p>
          <w:p w14:paraId="774ADDE2" w14:textId="77777777" w:rsidR="00614438" w:rsidRPr="00AA7A53" w:rsidRDefault="00614438" w:rsidP="00AA7A53">
            <w:pPr>
              <w:numPr>
                <w:ilvl w:val="0"/>
                <w:numId w:val="72"/>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0E2F16E6" w14:textId="77777777" w:rsidR="00614438" w:rsidRPr="00AA7A53" w:rsidRDefault="00614438" w:rsidP="00AA7A53">
            <w:pPr>
              <w:numPr>
                <w:ilvl w:val="0"/>
                <w:numId w:val="72"/>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tc>
      </w:tr>
      <w:tr w:rsidR="00614438" w:rsidRPr="00AA7A53" w14:paraId="62CB8991"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4BD4690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43" w:type="dxa"/>
            <w:gridSpan w:val="3"/>
            <w:tcBorders>
              <w:top w:val="single" w:sz="8" w:space="0" w:color="auto"/>
              <w:left w:val="nil"/>
              <w:bottom w:val="single" w:sz="8" w:space="0" w:color="auto"/>
              <w:right w:val="single" w:sz="8" w:space="0" w:color="000000"/>
            </w:tcBorders>
            <w:vAlign w:val="center"/>
            <w:hideMark/>
          </w:tcPr>
          <w:p w14:paraId="2ECF53B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all final energy consumption measures</w:t>
            </w:r>
          </w:p>
        </w:tc>
      </w:tr>
      <w:tr w:rsidR="00614438" w:rsidRPr="00AA7A53" w14:paraId="7F868AA4" w14:textId="77777777" w:rsidTr="00614438">
        <w:trPr>
          <w:gridAfter w:val="1"/>
          <w:wAfter w:w="222" w:type="dxa"/>
          <w:trHeight w:val="229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356963B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3" w:type="dxa"/>
            <w:gridSpan w:val="3"/>
            <w:tcBorders>
              <w:top w:val="single" w:sz="8" w:space="0" w:color="auto"/>
              <w:left w:val="nil"/>
              <w:bottom w:val="single" w:sz="8" w:space="0" w:color="auto"/>
              <w:right w:val="single" w:sz="8" w:space="0" w:color="000000"/>
            </w:tcBorders>
            <w:vAlign w:val="center"/>
            <w:hideMark/>
          </w:tcPr>
          <w:p w14:paraId="2722DD0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PM_EE26 will promote energy services through targeted financing programs in specific final energy consumption sectors. Specifically, energy efficiency projects will be implemented through energy performance contracts in industrial and commercial</w:t>
            </w:r>
            <w:r w:rsidR="00D03A23" w:rsidRPr="00AA7A53">
              <w:rPr>
                <w:rFonts w:ascii="Times New Roman" w:hAnsi="Times New Roman" w:cs="Times New Roman"/>
                <w:sz w:val="20"/>
                <w:szCs w:val="20"/>
                <w:lang w:val="en-GB"/>
              </w:rPr>
              <w:t xml:space="preserve"> sector</w:t>
            </w:r>
            <w:r w:rsidRPr="00AA7A53">
              <w:rPr>
                <w:rFonts w:ascii="Times New Roman" w:hAnsi="Times New Roman" w:cs="Times New Roman"/>
                <w:sz w:val="20"/>
                <w:szCs w:val="20"/>
                <w:lang w:val="en-GB"/>
              </w:rPr>
              <w:t>. Consequently, specialized financing mechanisms will be applied, such as the provision of low-interest loans or guarantees to energy service providers in order to facilitate the smooth access to financing. Moreover, targeted pilot projects will be designed for the renovation of the public buildings for which the application of agreement models prescribed by the Law on Energy Efficiency and Rational Use of Energy is mandatory</w:t>
            </w:r>
            <w:r w:rsidR="00D03A23"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w:t>
            </w:r>
            <w:r w:rsidR="00D03A23" w:rsidRPr="00AA7A53">
              <w:rPr>
                <w:rFonts w:ascii="Times New Roman" w:hAnsi="Times New Roman" w:cs="Times New Roman"/>
                <w:sz w:val="20"/>
                <w:szCs w:val="20"/>
                <w:lang w:val="en-GB"/>
              </w:rPr>
              <w:t>with the aim</w:t>
            </w:r>
            <w:r w:rsidRPr="00AA7A53">
              <w:rPr>
                <w:rFonts w:ascii="Times New Roman" w:hAnsi="Times New Roman" w:cs="Times New Roman"/>
                <w:sz w:val="20"/>
                <w:szCs w:val="20"/>
                <w:lang w:val="en-GB"/>
              </w:rPr>
              <w:t xml:space="preserve"> to create the required conditions for the promotion of energy services in </w:t>
            </w:r>
            <w:r w:rsidR="00D03A23" w:rsidRPr="00AA7A53">
              <w:rPr>
                <w:rFonts w:ascii="Times New Roman" w:hAnsi="Times New Roman" w:cs="Times New Roman"/>
                <w:sz w:val="20"/>
                <w:szCs w:val="20"/>
                <w:lang w:val="en-GB"/>
              </w:rPr>
              <w:t xml:space="preserve">the </w:t>
            </w:r>
            <w:r w:rsidRPr="00AA7A53">
              <w:rPr>
                <w:rFonts w:ascii="Times New Roman" w:hAnsi="Times New Roman" w:cs="Times New Roman"/>
                <w:sz w:val="20"/>
                <w:szCs w:val="20"/>
                <w:lang w:val="en-GB"/>
              </w:rPr>
              <w:t>public sector. Finally, the energy upgrade of the street lighting can be achieved also through the provision of energy services.</w:t>
            </w:r>
          </w:p>
        </w:tc>
      </w:tr>
      <w:tr w:rsidR="00614438" w:rsidRPr="00AA7A53" w14:paraId="7FAC4F7B"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6781B6C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3" w:type="dxa"/>
            <w:gridSpan w:val="3"/>
            <w:tcBorders>
              <w:top w:val="single" w:sz="8" w:space="0" w:color="auto"/>
              <w:left w:val="nil"/>
              <w:bottom w:val="single" w:sz="8" w:space="0" w:color="auto"/>
              <w:right w:val="single" w:sz="8" w:space="0" w:color="000000"/>
            </w:tcBorders>
            <w:vAlign w:val="center"/>
            <w:hideMark/>
          </w:tcPr>
          <w:p w14:paraId="764CE9A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51A13899"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10721B4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3" w:type="dxa"/>
            <w:gridSpan w:val="3"/>
            <w:tcBorders>
              <w:top w:val="single" w:sz="8" w:space="0" w:color="auto"/>
              <w:left w:val="nil"/>
              <w:bottom w:val="single" w:sz="8" w:space="0" w:color="auto"/>
              <w:right w:val="single" w:sz="8" w:space="0" w:color="000000"/>
            </w:tcBorders>
            <w:vAlign w:val="center"/>
            <w:hideMark/>
          </w:tcPr>
          <w:p w14:paraId="048DDE9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36ABDFC3"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3105151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3" w:type="dxa"/>
            <w:gridSpan w:val="3"/>
            <w:tcBorders>
              <w:top w:val="single" w:sz="8" w:space="0" w:color="auto"/>
              <w:left w:val="nil"/>
              <w:bottom w:val="single" w:sz="8" w:space="0" w:color="auto"/>
              <w:right w:val="single" w:sz="8" w:space="0" w:color="000000"/>
            </w:tcBorders>
            <w:vAlign w:val="center"/>
            <w:hideMark/>
          </w:tcPr>
          <w:p w14:paraId="2B0695C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Public, commercial, industrial</w:t>
            </w:r>
          </w:p>
        </w:tc>
      </w:tr>
      <w:tr w:rsidR="00614438" w:rsidRPr="00AA7A53" w14:paraId="768B1772"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7AB3FCB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3" w:type="dxa"/>
            <w:gridSpan w:val="3"/>
            <w:tcBorders>
              <w:top w:val="single" w:sz="8" w:space="0" w:color="auto"/>
              <w:left w:val="nil"/>
              <w:bottom w:val="single" w:sz="8" w:space="0" w:color="auto"/>
              <w:right w:val="single" w:sz="8" w:space="0" w:color="000000"/>
            </w:tcBorders>
            <w:vAlign w:val="center"/>
            <w:hideMark/>
          </w:tcPr>
          <w:p w14:paraId="65F350F2" w14:textId="77777777" w:rsidR="00D03A23" w:rsidRPr="00AA7A53" w:rsidRDefault="00614438" w:rsidP="00AA7A53">
            <w:pPr>
              <w:numPr>
                <w:ilvl w:val="0"/>
                <w:numId w:val="73"/>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42754AFA" w14:textId="77777777" w:rsidR="00614438" w:rsidRPr="00AA7A53" w:rsidRDefault="00614438" w:rsidP="00AA7A53">
            <w:pPr>
              <w:numPr>
                <w:ilvl w:val="0"/>
                <w:numId w:val="73"/>
              </w:numPr>
              <w:spacing w:after="0"/>
              <w:jc w:val="both"/>
              <w:rPr>
                <w:rFonts w:ascii="Times New Roman" w:hAnsi="Times New Roman" w:cs="Times New Roman"/>
                <w:sz w:val="20"/>
                <w:szCs w:val="20"/>
              </w:rPr>
            </w:pPr>
            <w:r w:rsidRPr="00AA7A53">
              <w:rPr>
                <w:rFonts w:ascii="Times New Roman" w:hAnsi="Times New Roman" w:cs="Times New Roman"/>
                <w:sz w:val="20"/>
                <w:szCs w:val="20"/>
              </w:rPr>
              <w:t>EE Directorate</w:t>
            </w:r>
          </w:p>
          <w:p w14:paraId="28CA245A" w14:textId="77777777" w:rsidR="00614438" w:rsidRPr="00AA7A53" w:rsidRDefault="00614438" w:rsidP="00AA7A53">
            <w:pPr>
              <w:numPr>
                <w:ilvl w:val="0"/>
                <w:numId w:val="73"/>
              </w:numPr>
              <w:spacing w:after="0"/>
              <w:jc w:val="both"/>
              <w:rPr>
                <w:rFonts w:ascii="Times New Roman" w:hAnsi="Times New Roman" w:cs="Times New Roman"/>
                <w:sz w:val="20"/>
                <w:szCs w:val="20"/>
              </w:rPr>
            </w:pPr>
            <w:r w:rsidRPr="00AA7A53">
              <w:rPr>
                <w:rFonts w:ascii="Times New Roman" w:hAnsi="Times New Roman" w:cs="Times New Roman"/>
                <w:sz w:val="20"/>
                <w:szCs w:val="20"/>
              </w:rPr>
              <w:t>Serbian Chamber of Commerce</w:t>
            </w:r>
            <w:r w:rsidR="00754CA6" w:rsidRPr="00AA7A53">
              <w:rPr>
                <w:rFonts w:ascii="Times New Roman" w:hAnsi="Times New Roman" w:cs="Times New Roman"/>
                <w:sz w:val="20"/>
                <w:szCs w:val="20"/>
              </w:rPr>
              <w:t xml:space="preserve"> and Industry</w:t>
            </w:r>
          </w:p>
          <w:p w14:paraId="6DE147C4" w14:textId="77777777" w:rsidR="00614438" w:rsidRPr="00AA7A53" w:rsidRDefault="00614438" w:rsidP="00AA7A53">
            <w:pPr>
              <w:numPr>
                <w:ilvl w:val="0"/>
                <w:numId w:val="73"/>
              </w:numPr>
              <w:spacing w:after="0"/>
              <w:jc w:val="both"/>
              <w:rPr>
                <w:rFonts w:ascii="Times New Roman" w:hAnsi="Times New Roman" w:cs="Times New Roman"/>
                <w:sz w:val="20"/>
                <w:szCs w:val="20"/>
              </w:rPr>
            </w:pPr>
            <w:r w:rsidRPr="00AA7A53">
              <w:rPr>
                <w:rFonts w:ascii="Times New Roman" w:hAnsi="Times New Roman" w:cs="Times New Roman"/>
                <w:sz w:val="20"/>
                <w:szCs w:val="20"/>
              </w:rPr>
              <w:t>Public private partnership commission</w:t>
            </w:r>
          </w:p>
        </w:tc>
      </w:tr>
      <w:tr w:rsidR="00614438" w:rsidRPr="00AA7A53" w14:paraId="4DE2BFFC" w14:textId="77777777" w:rsidTr="00614438">
        <w:trPr>
          <w:gridAfter w:val="1"/>
          <w:wAfter w:w="222" w:type="dxa"/>
          <w:trHeight w:val="315"/>
        </w:trPr>
        <w:tc>
          <w:tcPr>
            <w:tcW w:w="3315" w:type="dxa"/>
            <w:tcBorders>
              <w:top w:val="nil"/>
              <w:left w:val="single" w:sz="8" w:space="0" w:color="auto"/>
              <w:bottom w:val="single" w:sz="8" w:space="0" w:color="auto"/>
              <w:right w:val="nil"/>
            </w:tcBorders>
            <w:shd w:val="clear" w:color="auto" w:fill="244062"/>
            <w:vAlign w:val="center"/>
            <w:hideMark/>
          </w:tcPr>
          <w:p w14:paraId="510F6A5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3" w:type="dxa"/>
            <w:gridSpan w:val="3"/>
            <w:tcBorders>
              <w:top w:val="single" w:sz="8" w:space="0" w:color="auto"/>
              <w:left w:val="nil"/>
              <w:bottom w:val="single" w:sz="8" w:space="0" w:color="auto"/>
              <w:right w:val="single" w:sz="8" w:space="0" w:color="000000"/>
            </w:tcBorders>
            <w:vAlign w:val="center"/>
            <w:hideMark/>
          </w:tcPr>
          <w:p w14:paraId="576EBA02" w14:textId="77777777" w:rsidR="00614438" w:rsidRPr="00AA7A53" w:rsidRDefault="00614438" w:rsidP="00AA7A53">
            <w:pPr>
              <w:numPr>
                <w:ilvl w:val="0"/>
                <w:numId w:val="73"/>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2DD22282" w14:textId="77777777" w:rsidTr="00614438">
        <w:trPr>
          <w:gridAfter w:val="1"/>
          <w:wAfter w:w="222" w:type="dxa"/>
          <w:trHeight w:val="315"/>
        </w:trPr>
        <w:tc>
          <w:tcPr>
            <w:tcW w:w="3315" w:type="dxa"/>
            <w:tcBorders>
              <w:top w:val="nil"/>
              <w:left w:val="single" w:sz="8" w:space="0" w:color="auto"/>
              <w:bottom w:val="single" w:sz="8" w:space="0" w:color="auto"/>
              <w:right w:val="nil"/>
            </w:tcBorders>
            <w:shd w:val="clear" w:color="auto" w:fill="244062"/>
            <w:vAlign w:val="center"/>
            <w:hideMark/>
          </w:tcPr>
          <w:p w14:paraId="0EEBF78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3" w:type="dxa"/>
            <w:gridSpan w:val="3"/>
            <w:tcBorders>
              <w:top w:val="single" w:sz="8" w:space="0" w:color="auto"/>
              <w:left w:val="nil"/>
              <w:bottom w:val="single" w:sz="8" w:space="0" w:color="auto"/>
              <w:right w:val="single" w:sz="8" w:space="0" w:color="000000"/>
            </w:tcBorders>
            <w:vAlign w:val="center"/>
            <w:hideMark/>
          </w:tcPr>
          <w:p w14:paraId="0D8476E7" w14:textId="77777777" w:rsidR="00614438" w:rsidRPr="00AA7A53" w:rsidRDefault="00614438" w:rsidP="00AA7A53">
            <w:pPr>
              <w:numPr>
                <w:ilvl w:val="0"/>
                <w:numId w:val="73"/>
              </w:numPr>
              <w:spacing w:after="0"/>
              <w:jc w:val="both"/>
              <w:rPr>
                <w:rFonts w:ascii="Times New Roman" w:hAnsi="Times New Roman" w:cs="Times New Roman"/>
                <w:sz w:val="20"/>
                <w:szCs w:val="20"/>
              </w:rPr>
            </w:pPr>
            <w:r w:rsidRPr="00AA7A53">
              <w:rPr>
                <w:rFonts w:ascii="Times New Roman" w:hAnsi="Times New Roman" w:cs="Times New Roman"/>
                <w:sz w:val="20"/>
                <w:szCs w:val="20"/>
              </w:rPr>
              <w:t>Number of energy service contracts</w:t>
            </w:r>
          </w:p>
        </w:tc>
      </w:tr>
      <w:tr w:rsidR="00614438" w:rsidRPr="00AA7A53" w14:paraId="3D10CF8F" w14:textId="77777777" w:rsidTr="00614438">
        <w:trPr>
          <w:gridAfter w:val="1"/>
          <w:wAfter w:w="222" w:type="dxa"/>
          <w:trHeight w:val="273"/>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71829D9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3" w:type="dxa"/>
            <w:gridSpan w:val="3"/>
            <w:tcBorders>
              <w:top w:val="single" w:sz="8" w:space="0" w:color="auto"/>
              <w:left w:val="nil"/>
              <w:bottom w:val="single" w:sz="8" w:space="0" w:color="auto"/>
              <w:right w:val="single" w:sz="8" w:space="0" w:color="000000"/>
            </w:tcBorders>
            <w:vAlign w:val="center"/>
            <w:hideMark/>
          </w:tcPr>
          <w:p w14:paraId="3AE52EFB" w14:textId="77777777" w:rsidR="00614438" w:rsidRPr="00AA7A53" w:rsidRDefault="00614438" w:rsidP="00AA7A53">
            <w:pPr>
              <w:numPr>
                <w:ilvl w:val="0"/>
                <w:numId w:val="73"/>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Decarbonisation (the delivered energy savings will decrease the consumed quantities of fossil fuels leading to the respective GHG </w:t>
            </w:r>
            <w:r w:rsidRPr="00AA7A53">
              <w:rPr>
                <w:rFonts w:ascii="Times New Roman" w:hAnsi="Times New Roman" w:cs="Times New Roman"/>
                <w:sz w:val="20"/>
                <w:szCs w:val="20"/>
              </w:rPr>
              <w:lastRenderedPageBreak/>
              <w:t xml:space="preserve">emission reduction </w:t>
            </w:r>
            <w:r w:rsidR="00D03A23"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utilised RES technologies will increase the RES share in heating and cooling)</w:t>
            </w:r>
          </w:p>
          <w:p w14:paraId="05482DC7" w14:textId="77777777" w:rsidR="00614438" w:rsidRPr="00AA7A53" w:rsidRDefault="00614438" w:rsidP="00AA7A53">
            <w:pPr>
              <w:numPr>
                <w:ilvl w:val="0"/>
                <w:numId w:val="73"/>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3650A8A0" w14:textId="77777777" w:rsidTr="00614438">
        <w:trPr>
          <w:gridAfter w:val="1"/>
          <w:wAfter w:w="222" w:type="dxa"/>
          <w:trHeight w:val="458"/>
        </w:trPr>
        <w:tc>
          <w:tcPr>
            <w:tcW w:w="3315" w:type="dxa"/>
            <w:vMerge w:val="restart"/>
            <w:tcBorders>
              <w:top w:val="nil"/>
              <w:left w:val="single" w:sz="8" w:space="0" w:color="auto"/>
              <w:bottom w:val="single" w:sz="8" w:space="0" w:color="000000"/>
              <w:right w:val="single" w:sz="8" w:space="0" w:color="auto"/>
            </w:tcBorders>
            <w:shd w:val="clear" w:color="auto" w:fill="244062"/>
            <w:vAlign w:val="center"/>
            <w:hideMark/>
          </w:tcPr>
          <w:p w14:paraId="48F7777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Union policy which resulted in the implementation of the PaM</w:t>
            </w:r>
          </w:p>
        </w:tc>
        <w:tc>
          <w:tcPr>
            <w:tcW w:w="6143"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8AFEEBE" w14:textId="77777777" w:rsidR="00614438" w:rsidRPr="00AA7A53" w:rsidRDefault="00614438" w:rsidP="00AA7A53">
            <w:pPr>
              <w:numPr>
                <w:ilvl w:val="0"/>
                <w:numId w:val="73"/>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7066E449" w14:textId="77777777" w:rsidR="00614438" w:rsidRPr="00AA7A53" w:rsidRDefault="00614438" w:rsidP="00AA7A53">
            <w:pPr>
              <w:numPr>
                <w:ilvl w:val="0"/>
                <w:numId w:val="73"/>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0D6FDD70"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4F61CF60"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65D7A20"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7B231F2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1FC1E28"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178ECE4F"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C8D5E27"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3661D383"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6BF6B878" w14:textId="77777777" w:rsidTr="00614438">
        <w:trPr>
          <w:trHeight w:val="307"/>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201DCF0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3" w:type="dxa"/>
            <w:gridSpan w:val="3"/>
            <w:tcBorders>
              <w:top w:val="single" w:sz="8" w:space="0" w:color="auto"/>
              <w:left w:val="nil"/>
              <w:bottom w:val="single" w:sz="8" w:space="0" w:color="auto"/>
              <w:right w:val="single" w:sz="8" w:space="0" w:color="000000"/>
            </w:tcBorders>
            <w:vAlign w:val="center"/>
            <w:hideMark/>
          </w:tcPr>
          <w:p w14:paraId="329B3779" w14:textId="77777777" w:rsidR="00614438" w:rsidRPr="00AA7A53" w:rsidRDefault="00614438" w:rsidP="00AA7A53">
            <w:pPr>
              <w:numPr>
                <w:ilvl w:val="0"/>
                <w:numId w:val="73"/>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 Efficiency and Rational Use of Energy</w:t>
            </w:r>
          </w:p>
        </w:tc>
        <w:tc>
          <w:tcPr>
            <w:tcW w:w="222" w:type="dxa"/>
            <w:vAlign w:val="center"/>
            <w:hideMark/>
          </w:tcPr>
          <w:p w14:paraId="07ABFC32"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6815AE4" w14:textId="77777777" w:rsidTr="00614438">
        <w:trPr>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730FB72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3" w:type="dxa"/>
            <w:gridSpan w:val="3"/>
            <w:tcBorders>
              <w:top w:val="single" w:sz="8" w:space="0" w:color="auto"/>
              <w:left w:val="nil"/>
              <w:bottom w:val="single" w:sz="8" w:space="0" w:color="auto"/>
              <w:right w:val="single" w:sz="8" w:space="0" w:color="000000"/>
            </w:tcBorders>
            <w:vAlign w:val="center"/>
            <w:hideMark/>
          </w:tcPr>
          <w:p w14:paraId="3CF2FC4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Budget incorporated into all final energy consumption measures</w:t>
            </w:r>
          </w:p>
        </w:tc>
        <w:tc>
          <w:tcPr>
            <w:tcW w:w="222" w:type="dxa"/>
            <w:vAlign w:val="center"/>
            <w:hideMark/>
          </w:tcPr>
          <w:p w14:paraId="50C451C2"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0B53B52" w14:textId="77777777" w:rsidTr="00614438">
        <w:trPr>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7B88A76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3" w:type="dxa"/>
            <w:gridSpan w:val="3"/>
            <w:tcBorders>
              <w:top w:val="single" w:sz="8" w:space="0" w:color="auto"/>
              <w:left w:val="nil"/>
              <w:bottom w:val="single" w:sz="8" w:space="0" w:color="auto"/>
              <w:right w:val="single" w:sz="8" w:space="0" w:color="000000"/>
            </w:tcBorders>
            <w:vAlign w:val="center"/>
            <w:hideMark/>
          </w:tcPr>
          <w:p w14:paraId="448A2A2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0380D698" w14:textId="77777777" w:rsidR="00614438" w:rsidRPr="00AA7A53" w:rsidRDefault="00614438" w:rsidP="00AA7A53">
            <w:pPr>
              <w:spacing w:after="0"/>
              <w:jc w:val="both"/>
              <w:rPr>
                <w:rFonts w:ascii="Times New Roman" w:hAnsi="Times New Roman" w:cs="Times New Roman"/>
                <w:sz w:val="20"/>
                <w:szCs w:val="20"/>
                <w:lang w:val="en-GB"/>
              </w:rPr>
            </w:pPr>
          </w:p>
        </w:tc>
      </w:tr>
    </w:tbl>
    <w:p w14:paraId="43B171CF"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88"/>
        <w:gridCol w:w="1050"/>
        <w:gridCol w:w="939"/>
        <w:gridCol w:w="4181"/>
        <w:gridCol w:w="222"/>
      </w:tblGrid>
      <w:tr w:rsidR="00614438" w:rsidRPr="00AA7A53" w14:paraId="148545EE" w14:textId="77777777" w:rsidTr="00614438">
        <w:trPr>
          <w:gridAfter w:val="1"/>
          <w:wAfter w:w="222" w:type="dxa"/>
          <w:trHeight w:val="780"/>
        </w:trPr>
        <w:tc>
          <w:tcPr>
            <w:tcW w:w="3311"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0967F4C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742769A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PM_EE27</w:t>
            </w:r>
          </w:p>
        </w:tc>
        <w:tc>
          <w:tcPr>
            <w:tcW w:w="943" w:type="dxa"/>
            <w:tcBorders>
              <w:top w:val="single" w:sz="8" w:space="0" w:color="auto"/>
              <w:left w:val="nil"/>
              <w:bottom w:val="single" w:sz="8" w:space="0" w:color="auto"/>
              <w:right w:val="single" w:sz="8" w:space="0" w:color="auto"/>
            </w:tcBorders>
            <w:shd w:val="clear" w:color="auto" w:fill="244062"/>
            <w:vAlign w:val="center"/>
            <w:hideMark/>
          </w:tcPr>
          <w:p w14:paraId="270C742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8" w:type="dxa"/>
            <w:tcBorders>
              <w:top w:val="single" w:sz="8" w:space="0" w:color="auto"/>
              <w:left w:val="nil"/>
              <w:bottom w:val="single" w:sz="8" w:space="0" w:color="auto"/>
              <w:right w:val="single" w:sz="8" w:space="0" w:color="auto"/>
            </w:tcBorders>
            <w:shd w:val="clear" w:color="auto" w:fill="E7E6E6" w:themeFill="background2"/>
            <w:vAlign w:val="center"/>
            <w:hideMark/>
          </w:tcPr>
          <w:p w14:paraId="23D098D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energy services and energy services contracts through supplementary activities</w:t>
            </w:r>
          </w:p>
        </w:tc>
      </w:tr>
      <w:tr w:rsidR="00614438" w:rsidRPr="00AA7A53" w14:paraId="14424934" w14:textId="77777777" w:rsidTr="00614438">
        <w:trPr>
          <w:gridAfter w:val="1"/>
          <w:wAfter w:w="222" w:type="dxa"/>
          <w:trHeight w:val="496"/>
        </w:trPr>
        <w:tc>
          <w:tcPr>
            <w:tcW w:w="3311" w:type="dxa"/>
            <w:tcBorders>
              <w:top w:val="nil"/>
              <w:left w:val="single" w:sz="8" w:space="0" w:color="auto"/>
              <w:bottom w:val="single" w:sz="8" w:space="0" w:color="auto"/>
              <w:right w:val="nil"/>
            </w:tcBorders>
            <w:shd w:val="clear" w:color="auto" w:fill="244062"/>
            <w:vAlign w:val="center"/>
            <w:hideMark/>
          </w:tcPr>
          <w:p w14:paraId="57D887A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47" w:type="dxa"/>
            <w:gridSpan w:val="3"/>
            <w:tcBorders>
              <w:top w:val="single" w:sz="8" w:space="0" w:color="auto"/>
              <w:left w:val="nil"/>
              <w:bottom w:val="single" w:sz="8" w:space="0" w:color="auto"/>
              <w:right w:val="single" w:sz="8" w:space="0" w:color="000000"/>
            </w:tcBorders>
            <w:vAlign w:val="center"/>
            <w:hideMark/>
          </w:tcPr>
          <w:p w14:paraId="28D9542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 as amended by Directive (EU) 2018/2002:</w:t>
            </w:r>
          </w:p>
          <w:p w14:paraId="347F573B" w14:textId="77777777" w:rsidR="00614438" w:rsidRPr="00AA7A53" w:rsidRDefault="00614438" w:rsidP="00AA7A53">
            <w:pPr>
              <w:numPr>
                <w:ilvl w:val="0"/>
                <w:numId w:val="73"/>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tc>
      </w:tr>
      <w:tr w:rsidR="00614438" w:rsidRPr="00AA7A53" w14:paraId="258890A8" w14:textId="77777777" w:rsidTr="00614438">
        <w:trPr>
          <w:gridAfter w:val="1"/>
          <w:wAfter w:w="222"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4DFF106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47" w:type="dxa"/>
            <w:gridSpan w:val="3"/>
            <w:tcBorders>
              <w:top w:val="single" w:sz="8" w:space="0" w:color="auto"/>
              <w:left w:val="nil"/>
              <w:bottom w:val="single" w:sz="8" w:space="0" w:color="auto"/>
              <w:right w:val="single" w:sz="8" w:space="0" w:color="000000"/>
            </w:tcBorders>
            <w:vAlign w:val="center"/>
            <w:hideMark/>
          </w:tcPr>
          <w:p w14:paraId="4D25285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PM_EE1-PM_EE3</w:t>
            </w:r>
          </w:p>
        </w:tc>
      </w:tr>
      <w:tr w:rsidR="00614438" w:rsidRPr="00AA7A53" w14:paraId="365094C1" w14:textId="77777777" w:rsidTr="00614438">
        <w:trPr>
          <w:gridAfter w:val="1"/>
          <w:wAfter w:w="222" w:type="dxa"/>
          <w:trHeight w:val="287"/>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03223FB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7" w:type="dxa"/>
            <w:gridSpan w:val="3"/>
            <w:tcBorders>
              <w:top w:val="single" w:sz="8" w:space="0" w:color="auto"/>
              <w:left w:val="nil"/>
              <w:bottom w:val="single" w:sz="8" w:space="0" w:color="auto"/>
              <w:right w:val="single" w:sz="8" w:space="0" w:color="000000"/>
            </w:tcBorders>
            <w:vAlign w:val="center"/>
            <w:hideMark/>
          </w:tcPr>
          <w:p w14:paraId="53F342A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PM_EE27 will create a holistic framework for the promotion of energy services removing the potential barriers. Firstly, the existing standard contracts will be promoted, while targeted guidelines will be developed in order to facilitate the design and implementation of energy efficiency projects through Energy </w:t>
            </w:r>
            <w:r w:rsidR="00D03A23" w:rsidRPr="00AA7A53">
              <w:rPr>
                <w:rFonts w:ascii="Times New Roman" w:hAnsi="Times New Roman" w:cs="Times New Roman"/>
                <w:sz w:val="20"/>
                <w:szCs w:val="20"/>
                <w:lang w:val="en-GB"/>
              </w:rPr>
              <w:t>Service</w:t>
            </w:r>
            <w:r w:rsidRPr="00AA7A53">
              <w:rPr>
                <w:rFonts w:ascii="Times New Roman" w:hAnsi="Times New Roman" w:cs="Times New Roman"/>
                <w:sz w:val="20"/>
                <w:szCs w:val="20"/>
                <w:lang w:val="en-GB"/>
              </w:rPr>
              <w:t xml:space="preserve"> Contracts.</w:t>
            </w:r>
            <w:r w:rsidR="00D03A23" w:rsidRPr="00AA7A53">
              <w:rPr>
                <w:rFonts w:ascii="Times New Roman" w:hAnsi="Times New Roman" w:cs="Times New Roman"/>
                <w:sz w:val="20"/>
                <w:szCs w:val="20"/>
                <w:lang w:val="en-GB"/>
              </w:rPr>
              <w:t xml:space="preserve"> </w:t>
            </w:r>
            <w:r w:rsidRPr="00AA7A53">
              <w:rPr>
                <w:rFonts w:ascii="Times New Roman" w:hAnsi="Times New Roman" w:cs="Times New Roman"/>
                <w:sz w:val="20"/>
                <w:szCs w:val="20"/>
                <w:lang w:val="en-GB"/>
              </w:rPr>
              <w:t>The implementation of the new rulebook on contract models and the rulebook on minimum requirements for buildings applying the contract on efficient energy supply will be fostered according to the provisions of Articles 43-47 of the Law on Energy Efficiency and Rational Use of Energy.</w:t>
            </w:r>
            <w:r w:rsidR="004F3776" w:rsidRPr="00AA7A53">
              <w:rPr>
                <w:rFonts w:ascii="Times New Roman" w:hAnsi="Times New Roman" w:cs="Times New Roman"/>
                <w:sz w:val="20"/>
                <w:szCs w:val="20"/>
                <w:lang w:val="en-GB"/>
              </w:rPr>
              <w:t xml:space="preserve"> </w:t>
            </w:r>
            <w:r w:rsidRPr="00AA7A53">
              <w:rPr>
                <w:rFonts w:ascii="Times New Roman" w:hAnsi="Times New Roman" w:cs="Times New Roman"/>
                <w:sz w:val="20"/>
                <w:szCs w:val="20"/>
                <w:lang w:val="en-GB"/>
              </w:rPr>
              <w:t xml:space="preserve">The </w:t>
            </w:r>
            <w:r w:rsidR="004F3776" w:rsidRPr="00AA7A53">
              <w:rPr>
                <w:rFonts w:ascii="Times New Roman" w:hAnsi="Times New Roman" w:cs="Times New Roman"/>
                <w:sz w:val="20"/>
                <w:szCs w:val="20"/>
                <w:lang w:val="en-GB"/>
              </w:rPr>
              <w:t>implementation</w:t>
            </w:r>
            <w:r w:rsidRPr="00AA7A53">
              <w:rPr>
                <w:rFonts w:ascii="Times New Roman" w:hAnsi="Times New Roman" w:cs="Times New Roman"/>
                <w:sz w:val="20"/>
                <w:szCs w:val="20"/>
                <w:lang w:val="en-GB"/>
              </w:rPr>
              <w:t xml:space="preserve"> of technical training programmes and the provision of technical assistance will familiarize the involved parties leading to successful case studies. The existing public procurement procedures will be applied, while the existing legislative framework will be improved so as to become more effective. Finally, different authorities will be appointed for i) monitoring the legislation on energy performance contracts</w:t>
            </w:r>
            <w:r w:rsidR="004F3776"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ensuring the eradication of potential market barriers, ii) undertaking the role of an independent mechanism, such as an ombudsman for the efficient handling of complaints and out-of-court settlement of disputes arising from energy service contracts and iii) undertaking the role of an independent market intermediary in order to stimulate the market development on the demand and supply sides.</w:t>
            </w:r>
          </w:p>
        </w:tc>
      </w:tr>
      <w:tr w:rsidR="00614438" w:rsidRPr="00AA7A53" w14:paraId="01865FCD" w14:textId="77777777" w:rsidTr="00614438">
        <w:trPr>
          <w:gridAfter w:val="1"/>
          <w:wAfter w:w="222"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4C676E4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7" w:type="dxa"/>
            <w:gridSpan w:val="3"/>
            <w:tcBorders>
              <w:top w:val="single" w:sz="8" w:space="0" w:color="auto"/>
              <w:left w:val="nil"/>
              <w:bottom w:val="single" w:sz="8" w:space="0" w:color="auto"/>
              <w:right w:val="single" w:sz="8" w:space="0" w:color="000000"/>
            </w:tcBorders>
            <w:vAlign w:val="center"/>
            <w:hideMark/>
          </w:tcPr>
          <w:p w14:paraId="36FF770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2025-2026</w:t>
            </w:r>
          </w:p>
        </w:tc>
      </w:tr>
      <w:tr w:rsidR="00614438" w:rsidRPr="00AA7A53" w14:paraId="7EF776EB" w14:textId="77777777" w:rsidTr="00614438">
        <w:trPr>
          <w:gridAfter w:val="1"/>
          <w:wAfter w:w="222"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1B15F28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7" w:type="dxa"/>
            <w:gridSpan w:val="3"/>
            <w:tcBorders>
              <w:top w:val="single" w:sz="8" w:space="0" w:color="auto"/>
              <w:left w:val="nil"/>
              <w:bottom w:val="single" w:sz="8" w:space="0" w:color="auto"/>
              <w:right w:val="single" w:sz="8" w:space="0" w:color="000000"/>
            </w:tcBorders>
            <w:vAlign w:val="center"/>
            <w:hideMark/>
          </w:tcPr>
          <w:p w14:paraId="3406ABB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75BEB29C" w14:textId="77777777" w:rsidTr="00614438">
        <w:trPr>
          <w:gridAfter w:val="1"/>
          <w:wAfter w:w="222"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769A043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7" w:type="dxa"/>
            <w:gridSpan w:val="3"/>
            <w:tcBorders>
              <w:top w:val="single" w:sz="8" w:space="0" w:color="auto"/>
              <w:left w:val="nil"/>
              <w:bottom w:val="single" w:sz="8" w:space="0" w:color="auto"/>
              <w:right w:val="single" w:sz="8" w:space="0" w:color="000000"/>
            </w:tcBorders>
            <w:vAlign w:val="center"/>
            <w:hideMark/>
          </w:tcPr>
          <w:p w14:paraId="0DA1080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Public, commercial, industrial</w:t>
            </w:r>
          </w:p>
        </w:tc>
      </w:tr>
      <w:tr w:rsidR="00614438" w:rsidRPr="00AA7A53" w14:paraId="5B0012C0" w14:textId="77777777" w:rsidTr="00614438">
        <w:trPr>
          <w:gridAfter w:val="1"/>
          <w:wAfter w:w="222"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2FD70D5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7" w:type="dxa"/>
            <w:gridSpan w:val="3"/>
            <w:tcBorders>
              <w:top w:val="single" w:sz="8" w:space="0" w:color="auto"/>
              <w:left w:val="nil"/>
              <w:bottom w:val="single" w:sz="8" w:space="0" w:color="auto"/>
              <w:right w:val="single" w:sz="8" w:space="0" w:color="000000"/>
            </w:tcBorders>
            <w:vAlign w:val="center"/>
            <w:hideMark/>
          </w:tcPr>
          <w:p w14:paraId="6827E0C7" w14:textId="77777777" w:rsidR="004F3776" w:rsidRPr="00AA7A53" w:rsidRDefault="00614438" w:rsidP="00AA7A53">
            <w:pPr>
              <w:numPr>
                <w:ilvl w:val="0"/>
                <w:numId w:val="74"/>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5CE71D24" w14:textId="77777777" w:rsidR="00614438" w:rsidRPr="00AA7A53" w:rsidRDefault="00614438" w:rsidP="00AA7A53">
            <w:pPr>
              <w:numPr>
                <w:ilvl w:val="0"/>
                <w:numId w:val="74"/>
              </w:numPr>
              <w:spacing w:after="0"/>
              <w:jc w:val="both"/>
              <w:rPr>
                <w:rFonts w:ascii="Times New Roman" w:hAnsi="Times New Roman" w:cs="Times New Roman"/>
                <w:sz w:val="20"/>
                <w:szCs w:val="20"/>
              </w:rPr>
            </w:pPr>
            <w:r w:rsidRPr="00AA7A53">
              <w:rPr>
                <w:rFonts w:ascii="Times New Roman" w:hAnsi="Times New Roman" w:cs="Times New Roman"/>
                <w:sz w:val="20"/>
                <w:szCs w:val="20"/>
              </w:rPr>
              <w:t>EE Directorate</w:t>
            </w:r>
          </w:p>
          <w:p w14:paraId="2955C8AB" w14:textId="77777777" w:rsidR="00614438" w:rsidRPr="00AA7A53" w:rsidRDefault="00614438" w:rsidP="00AA7A53">
            <w:pPr>
              <w:numPr>
                <w:ilvl w:val="0"/>
                <w:numId w:val="74"/>
              </w:numPr>
              <w:spacing w:after="0"/>
              <w:jc w:val="both"/>
              <w:rPr>
                <w:rFonts w:ascii="Times New Roman" w:hAnsi="Times New Roman" w:cs="Times New Roman"/>
                <w:sz w:val="20"/>
                <w:szCs w:val="20"/>
              </w:rPr>
            </w:pPr>
            <w:r w:rsidRPr="00AA7A53">
              <w:rPr>
                <w:rFonts w:ascii="Times New Roman" w:hAnsi="Times New Roman" w:cs="Times New Roman"/>
                <w:sz w:val="20"/>
                <w:szCs w:val="20"/>
              </w:rPr>
              <w:t>Public</w:t>
            </w:r>
            <w:r w:rsidR="004F3776" w:rsidRPr="00AA7A53">
              <w:rPr>
                <w:rFonts w:ascii="Times New Roman" w:hAnsi="Times New Roman" w:cs="Times New Roman"/>
                <w:sz w:val="20"/>
                <w:szCs w:val="20"/>
              </w:rPr>
              <w:t>-</w:t>
            </w:r>
            <w:r w:rsidRPr="00AA7A53">
              <w:rPr>
                <w:rFonts w:ascii="Times New Roman" w:hAnsi="Times New Roman" w:cs="Times New Roman"/>
                <w:sz w:val="20"/>
                <w:szCs w:val="20"/>
              </w:rPr>
              <w:t xml:space="preserve">private partnership commission </w:t>
            </w:r>
          </w:p>
        </w:tc>
      </w:tr>
      <w:tr w:rsidR="00614438" w:rsidRPr="00AA7A53" w14:paraId="1FF47C3F" w14:textId="77777777" w:rsidTr="00614438">
        <w:trPr>
          <w:gridAfter w:val="1"/>
          <w:wAfter w:w="222" w:type="dxa"/>
          <w:trHeight w:val="315"/>
        </w:trPr>
        <w:tc>
          <w:tcPr>
            <w:tcW w:w="3311" w:type="dxa"/>
            <w:tcBorders>
              <w:top w:val="nil"/>
              <w:left w:val="single" w:sz="8" w:space="0" w:color="auto"/>
              <w:bottom w:val="single" w:sz="8" w:space="0" w:color="auto"/>
              <w:right w:val="nil"/>
            </w:tcBorders>
            <w:shd w:val="clear" w:color="auto" w:fill="244062"/>
            <w:vAlign w:val="center"/>
            <w:hideMark/>
          </w:tcPr>
          <w:p w14:paraId="2CDC264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7" w:type="dxa"/>
            <w:gridSpan w:val="3"/>
            <w:tcBorders>
              <w:top w:val="single" w:sz="8" w:space="0" w:color="auto"/>
              <w:left w:val="nil"/>
              <w:bottom w:val="single" w:sz="8" w:space="0" w:color="auto"/>
              <w:right w:val="single" w:sz="8" w:space="0" w:color="000000"/>
            </w:tcBorders>
            <w:vAlign w:val="center"/>
            <w:hideMark/>
          </w:tcPr>
          <w:p w14:paraId="14B5DD38" w14:textId="77777777" w:rsidR="00614438" w:rsidRPr="00AA7A53" w:rsidRDefault="00614438" w:rsidP="00AA7A53">
            <w:pPr>
              <w:numPr>
                <w:ilvl w:val="0"/>
                <w:numId w:val="74"/>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3DC7D9EA" w14:textId="77777777" w:rsidTr="00614438">
        <w:trPr>
          <w:gridAfter w:val="1"/>
          <w:wAfter w:w="222" w:type="dxa"/>
          <w:trHeight w:val="315"/>
        </w:trPr>
        <w:tc>
          <w:tcPr>
            <w:tcW w:w="3311" w:type="dxa"/>
            <w:tcBorders>
              <w:top w:val="nil"/>
              <w:left w:val="single" w:sz="8" w:space="0" w:color="auto"/>
              <w:bottom w:val="single" w:sz="8" w:space="0" w:color="auto"/>
              <w:right w:val="nil"/>
            </w:tcBorders>
            <w:shd w:val="clear" w:color="auto" w:fill="244062"/>
            <w:vAlign w:val="center"/>
            <w:hideMark/>
          </w:tcPr>
          <w:p w14:paraId="014F3AA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7" w:type="dxa"/>
            <w:gridSpan w:val="3"/>
            <w:tcBorders>
              <w:top w:val="single" w:sz="8" w:space="0" w:color="auto"/>
              <w:left w:val="nil"/>
              <w:bottom w:val="single" w:sz="8" w:space="0" w:color="auto"/>
              <w:right w:val="single" w:sz="8" w:space="0" w:color="000000"/>
            </w:tcBorders>
            <w:vAlign w:val="center"/>
            <w:hideMark/>
          </w:tcPr>
          <w:p w14:paraId="5788FFBD" w14:textId="77777777" w:rsidR="00614438" w:rsidRPr="00AA7A53" w:rsidRDefault="00614438" w:rsidP="00AA7A53">
            <w:pPr>
              <w:numPr>
                <w:ilvl w:val="0"/>
                <w:numId w:val="74"/>
              </w:numPr>
              <w:spacing w:after="0"/>
              <w:jc w:val="both"/>
              <w:rPr>
                <w:rFonts w:ascii="Times New Roman" w:hAnsi="Times New Roman" w:cs="Times New Roman"/>
                <w:sz w:val="20"/>
                <w:szCs w:val="20"/>
              </w:rPr>
            </w:pPr>
            <w:r w:rsidRPr="00AA7A53">
              <w:rPr>
                <w:rFonts w:ascii="Times New Roman" w:hAnsi="Times New Roman" w:cs="Times New Roman"/>
                <w:sz w:val="20"/>
                <w:szCs w:val="20"/>
              </w:rPr>
              <w:t>Number of energy services contracts</w:t>
            </w:r>
          </w:p>
        </w:tc>
      </w:tr>
      <w:tr w:rsidR="00614438" w:rsidRPr="00AA7A53" w14:paraId="36E21583" w14:textId="77777777" w:rsidTr="00614438">
        <w:trPr>
          <w:gridAfter w:val="1"/>
          <w:wAfter w:w="222" w:type="dxa"/>
          <w:trHeight w:val="257"/>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36FFCCA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7" w:type="dxa"/>
            <w:gridSpan w:val="3"/>
            <w:tcBorders>
              <w:top w:val="single" w:sz="8" w:space="0" w:color="auto"/>
              <w:left w:val="nil"/>
              <w:bottom w:val="single" w:sz="8" w:space="0" w:color="auto"/>
              <w:right w:val="single" w:sz="8" w:space="0" w:color="000000"/>
            </w:tcBorders>
            <w:vAlign w:val="center"/>
            <w:hideMark/>
          </w:tcPr>
          <w:p w14:paraId="0E5B4364" w14:textId="77777777" w:rsidR="00614438" w:rsidRPr="00AA7A53" w:rsidRDefault="00614438" w:rsidP="00AA7A53">
            <w:pPr>
              <w:numPr>
                <w:ilvl w:val="0"/>
                <w:numId w:val="73"/>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Decarbonisation (the delivered energy savings will decrease the consumed quantities of fossil fuels leading to the respective GHG emission reduction </w:t>
            </w:r>
            <w:r w:rsidR="004F3776"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utilised RES technologies will increase the RES share in heating and cooling)</w:t>
            </w:r>
          </w:p>
          <w:p w14:paraId="5E351E8E" w14:textId="77777777" w:rsidR="00614438" w:rsidRPr="00AA7A53" w:rsidRDefault="00614438" w:rsidP="00AA7A53">
            <w:pPr>
              <w:numPr>
                <w:ilvl w:val="0"/>
                <w:numId w:val="73"/>
              </w:numPr>
              <w:spacing w:after="0"/>
              <w:jc w:val="both"/>
              <w:rPr>
                <w:rFonts w:ascii="Times New Roman" w:hAnsi="Times New Roman" w:cs="Times New Roman"/>
                <w:sz w:val="20"/>
                <w:szCs w:val="20"/>
              </w:rPr>
            </w:pPr>
            <w:r w:rsidRPr="00AA7A53">
              <w:rPr>
                <w:rFonts w:ascii="Times New Roman" w:hAnsi="Times New Roman" w:cs="Times New Roman"/>
                <w:sz w:val="20"/>
                <w:szCs w:val="20"/>
              </w:rPr>
              <w:lastRenderedPageBreak/>
              <w:t>Energy Security (the delivered energy savings will decrease the consumed quantities of the imported fossil fuels reducing energy import dependency from third countries)</w:t>
            </w:r>
          </w:p>
        </w:tc>
      </w:tr>
      <w:tr w:rsidR="00614438" w:rsidRPr="00AA7A53" w14:paraId="1A17630F" w14:textId="77777777" w:rsidTr="00614438">
        <w:trPr>
          <w:gridAfter w:val="1"/>
          <w:wAfter w:w="222" w:type="dxa"/>
          <w:trHeight w:val="458"/>
        </w:trPr>
        <w:tc>
          <w:tcPr>
            <w:tcW w:w="3311" w:type="dxa"/>
            <w:vMerge w:val="restart"/>
            <w:tcBorders>
              <w:top w:val="nil"/>
              <w:left w:val="single" w:sz="8" w:space="0" w:color="auto"/>
              <w:bottom w:val="single" w:sz="8" w:space="0" w:color="000000"/>
              <w:right w:val="single" w:sz="8" w:space="0" w:color="auto"/>
            </w:tcBorders>
            <w:shd w:val="clear" w:color="auto" w:fill="244062"/>
            <w:vAlign w:val="center"/>
            <w:hideMark/>
          </w:tcPr>
          <w:p w14:paraId="1A6019F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Union policy which resulted in the implementation of the PaM</w:t>
            </w:r>
          </w:p>
        </w:tc>
        <w:tc>
          <w:tcPr>
            <w:tcW w:w="6147"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3D09DE6" w14:textId="77777777" w:rsidR="00614438" w:rsidRPr="00AA7A53" w:rsidRDefault="00614438" w:rsidP="00AA7A53">
            <w:pPr>
              <w:numPr>
                <w:ilvl w:val="0"/>
                <w:numId w:val="73"/>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25466EDA" w14:textId="77777777" w:rsidR="00614438" w:rsidRPr="00AA7A53" w:rsidRDefault="00614438" w:rsidP="00AA7A53">
            <w:pPr>
              <w:numPr>
                <w:ilvl w:val="0"/>
                <w:numId w:val="73"/>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549329F7"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0E400354"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8CC6EEE"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65C869E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FA07DC8"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2CBDD647"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9D22AB4"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5EBCE4C0"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5CA6D828" w14:textId="77777777" w:rsidTr="00614438">
        <w:trPr>
          <w:trHeight w:val="30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1B0627F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7" w:type="dxa"/>
            <w:gridSpan w:val="3"/>
            <w:tcBorders>
              <w:top w:val="single" w:sz="8" w:space="0" w:color="auto"/>
              <w:left w:val="nil"/>
              <w:bottom w:val="single" w:sz="8" w:space="0" w:color="auto"/>
              <w:right w:val="single" w:sz="8" w:space="0" w:color="000000"/>
            </w:tcBorders>
            <w:vAlign w:val="center"/>
            <w:hideMark/>
          </w:tcPr>
          <w:p w14:paraId="56370A90" w14:textId="77777777" w:rsidR="00614438" w:rsidRPr="00AA7A53" w:rsidRDefault="00614438" w:rsidP="00AA7A53">
            <w:pPr>
              <w:numPr>
                <w:ilvl w:val="0"/>
                <w:numId w:val="73"/>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 Efficiency and Rational Use of Energy</w:t>
            </w:r>
          </w:p>
        </w:tc>
        <w:tc>
          <w:tcPr>
            <w:tcW w:w="222" w:type="dxa"/>
            <w:vAlign w:val="center"/>
            <w:hideMark/>
          </w:tcPr>
          <w:p w14:paraId="189D112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D53F2E6" w14:textId="77777777" w:rsidTr="00614438">
        <w:trPr>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07BF671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7" w:type="dxa"/>
            <w:gridSpan w:val="3"/>
            <w:tcBorders>
              <w:top w:val="single" w:sz="8" w:space="0" w:color="auto"/>
              <w:left w:val="nil"/>
              <w:bottom w:val="single" w:sz="8" w:space="0" w:color="auto"/>
              <w:right w:val="single" w:sz="8" w:space="0" w:color="000000"/>
            </w:tcBorders>
            <w:vAlign w:val="center"/>
            <w:hideMark/>
          </w:tcPr>
          <w:p w14:paraId="54E216FF" w14:textId="77777777" w:rsidR="00614438" w:rsidRPr="00AA7A53" w:rsidRDefault="004F3776"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Will b</w:t>
            </w:r>
            <w:r w:rsidR="00614438" w:rsidRPr="00AA7A53">
              <w:rPr>
                <w:rFonts w:ascii="Times New Roman" w:hAnsi="Times New Roman" w:cs="Times New Roman"/>
                <w:sz w:val="20"/>
                <w:szCs w:val="20"/>
                <w:lang w:val="en-GB"/>
              </w:rPr>
              <w:t>e integrated into PM_EE1, PM_EE2 and PM_EE3</w:t>
            </w:r>
          </w:p>
        </w:tc>
        <w:tc>
          <w:tcPr>
            <w:tcW w:w="222" w:type="dxa"/>
            <w:vAlign w:val="center"/>
            <w:hideMark/>
          </w:tcPr>
          <w:p w14:paraId="00991F57"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3B6B00D" w14:textId="77777777" w:rsidTr="00614438">
        <w:trPr>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689A0E1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7" w:type="dxa"/>
            <w:gridSpan w:val="3"/>
            <w:tcBorders>
              <w:top w:val="single" w:sz="8" w:space="0" w:color="auto"/>
              <w:left w:val="nil"/>
              <w:bottom w:val="single" w:sz="8" w:space="0" w:color="auto"/>
              <w:right w:val="single" w:sz="8" w:space="0" w:color="000000"/>
            </w:tcBorders>
            <w:vAlign w:val="center"/>
            <w:hideMark/>
          </w:tcPr>
          <w:p w14:paraId="791A5D1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222" w:type="dxa"/>
            <w:vAlign w:val="center"/>
            <w:hideMark/>
          </w:tcPr>
          <w:p w14:paraId="0372BC83" w14:textId="77777777" w:rsidR="00614438" w:rsidRPr="00AA7A53" w:rsidRDefault="00614438" w:rsidP="00AA7A53">
            <w:pPr>
              <w:spacing w:after="0"/>
              <w:jc w:val="both"/>
              <w:rPr>
                <w:rFonts w:ascii="Times New Roman" w:hAnsi="Times New Roman" w:cs="Times New Roman"/>
                <w:sz w:val="20"/>
                <w:szCs w:val="20"/>
                <w:lang w:val="en-GB"/>
              </w:rPr>
            </w:pPr>
          </w:p>
        </w:tc>
      </w:tr>
    </w:tbl>
    <w:p w14:paraId="728CC0FB" w14:textId="77777777" w:rsidR="00614438" w:rsidRPr="00614438" w:rsidRDefault="00614438" w:rsidP="00614438">
      <w:pPr>
        <w:jc w:val="both"/>
        <w:rPr>
          <w:rFonts w:ascii="Times New Roman" w:hAnsi="Times New Roman" w:cs="Times New Roman"/>
          <w:sz w:val="24"/>
          <w:szCs w:val="24"/>
          <w:lang w:val="en-GB"/>
        </w:rPr>
      </w:pPr>
    </w:p>
    <w:p w14:paraId="1CD44A5B" w14:textId="77777777" w:rsidR="00614438" w:rsidRPr="00614438" w:rsidRDefault="004F3776" w:rsidP="004F3776">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3.2.4 </w:t>
      </w:r>
      <w:r w:rsidR="00614438" w:rsidRPr="00614438">
        <w:rPr>
          <w:rFonts w:ascii="Times New Roman" w:hAnsi="Times New Roman" w:cs="Times New Roman"/>
          <w:sz w:val="24"/>
          <w:szCs w:val="24"/>
          <w:lang w:val="en-GB"/>
        </w:rPr>
        <w:t>Other planned policies, measures and programmes to achieve the indicative national energy efficiency target for 2030</w:t>
      </w:r>
      <w:r>
        <w:rPr>
          <w:rFonts w:ascii="Times New Roman" w:hAnsi="Times New Roman" w:cs="Times New Roman"/>
          <w:sz w:val="24"/>
          <w:szCs w:val="24"/>
          <w:lang w:val="en-GB"/>
        </w:rPr>
        <w:t>,</w:t>
      </w:r>
      <w:r w:rsidR="00614438" w:rsidRPr="00614438">
        <w:rPr>
          <w:rFonts w:ascii="Times New Roman" w:hAnsi="Times New Roman" w:cs="Times New Roman"/>
          <w:sz w:val="24"/>
          <w:szCs w:val="24"/>
          <w:lang w:val="en-GB"/>
        </w:rPr>
        <w:t xml:space="preserve"> as well as other objectives presented in</w:t>
      </w:r>
      <w:r>
        <w:rPr>
          <w:rFonts w:ascii="Times New Roman" w:hAnsi="Times New Roman" w:cs="Times New Roman"/>
          <w:sz w:val="24"/>
          <w:szCs w:val="24"/>
          <w:lang w:val="en-GB"/>
        </w:rPr>
        <w:t xml:space="preserve"> section</w:t>
      </w:r>
      <w:r w:rsidR="00614438" w:rsidRPr="00614438">
        <w:rPr>
          <w:rFonts w:ascii="Times New Roman" w:hAnsi="Times New Roman" w:cs="Times New Roman"/>
          <w:sz w:val="24"/>
          <w:szCs w:val="24"/>
          <w:lang w:val="en-GB"/>
        </w:rPr>
        <w:t xml:space="preserve"> 2.2</w:t>
      </w:r>
    </w:p>
    <w:p w14:paraId="17355190" w14:textId="77777777" w:rsidR="00614438" w:rsidRPr="004F3776" w:rsidRDefault="004F3776" w:rsidP="004F3776">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3.2.4.1 </w:t>
      </w:r>
      <w:r w:rsidR="00614438" w:rsidRPr="004F3776">
        <w:rPr>
          <w:rFonts w:ascii="Times New Roman" w:hAnsi="Times New Roman" w:cs="Times New Roman"/>
          <w:sz w:val="24"/>
          <w:szCs w:val="24"/>
          <w:lang w:val="en-GB"/>
        </w:rPr>
        <w:t>Transport sector</w:t>
      </w:r>
    </w:p>
    <w:p w14:paraId="7386C63E" w14:textId="77777777" w:rsidR="00614438" w:rsidRPr="00614438" w:rsidRDefault="00614438" w:rsidP="004F377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promotion of energy efficient vehicles through the provision of specific tax advantages will be the main instrument for increasing the energy efficiency in </w:t>
      </w:r>
      <w:r w:rsidR="00D25175">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transport sector. In </w:t>
      </w:r>
      <w:r w:rsidR="00D25175">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case that the fiscal measures are not sufficient to the fulfilment of the established targets, financial incentives will be provided to end-users so as to foster considerably the replacement of the conventional vehicles with new energy efficient ones. Furthermore, stricter minimum requirements will be imposed regarding the applied emission standards in imported used passenger cars</w:t>
      </w:r>
      <w:r w:rsidR="00D25175">
        <w:rPr>
          <w:rFonts w:ascii="Times New Roman" w:hAnsi="Times New Roman" w:cs="Times New Roman"/>
          <w:sz w:val="24"/>
          <w:szCs w:val="24"/>
          <w:lang w:val="en-GB"/>
        </w:rPr>
        <w:t>, in that way</w:t>
      </w:r>
      <w:r w:rsidRPr="00614438">
        <w:rPr>
          <w:rFonts w:ascii="Times New Roman" w:hAnsi="Times New Roman" w:cs="Times New Roman"/>
          <w:sz w:val="24"/>
          <w:szCs w:val="24"/>
          <w:lang w:val="en-GB"/>
        </w:rPr>
        <w:t xml:space="preserve"> ensuring the achievement of acceptable energy efficiency levels compared to the new </w:t>
      </w:r>
      <w:r w:rsidR="00D25175">
        <w:rPr>
          <w:rFonts w:ascii="Times New Roman" w:hAnsi="Times New Roman" w:cs="Times New Roman"/>
          <w:sz w:val="24"/>
          <w:szCs w:val="24"/>
          <w:lang w:val="en-GB"/>
        </w:rPr>
        <w:t xml:space="preserve">using </w:t>
      </w:r>
      <w:r w:rsidRPr="00614438">
        <w:rPr>
          <w:rFonts w:ascii="Times New Roman" w:hAnsi="Times New Roman" w:cs="Times New Roman"/>
          <w:sz w:val="24"/>
          <w:szCs w:val="24"/>
          <w:lang w:val="en-GB"/>
        </w:rPr>
        <w:t xml:space="preserve">energy efficient </w:t>
      </w:r>
      <w:r w:rsidR="00D25175">
        <w:rPr>
          <w:rFonts w:ascii="Times New Roman" w:hAnsi="Times New Roman" w:cs="Times New Roman"/>
          <w:sz w:val="24"/>
          <w:szCs w:val="24"/>
          <w:lang w:val="en-GB"/>
        </w:rPr>
        <w:t>fuels</w:t>
      </w:r>
      <w:r w:rsidRPr="00614438">
        <w:rPr>
          <w:rFonts w:ascii="Times New Roman" w:hAnsi="Times New Roman" w:cs="Times New Roman"/>
          <w:sz w:val="24"/>
          <w:szCs w:val="24"/>
          <w:lang w:val="en-GB"/>
        </w:rPr>
        <w:t>.</w:t>
      </w:r>
    </w:p>
    <w:p w14:paraId="14703CED" w14:textId="77777777" w:rsidR="00614438" w:rsidRPr="00614438" w:rsidRDefault="00614438" w:rsidP="00D4746D">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Priority will be given on the promotion of energy efficiency of the freight transport with initiatives, such as the replacement of the vehicle fleets and the facilitation of the modal shift to other means of transport. To this direction, a holistic framework will be developed for the promotion of modal shift both for passenger and freight transport</w:t>
      </w:r>
      <w:r w:rsidR="008D5C06">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w:t>
      </w:r>
      <w:r w:rsidR="008D5C06">
        <w:rPr>
          <w:rFonts w:ascii="Times New Roman" w:hAnsi="Times New Roman" w:cs="Times New Roman"/>
          <w:sz w:val="24"/>
          <w:szCs w:val="24"/>
          <w:lang w:val="en-GB"/>
        </w:rPr>
        <w:t xml:space="preserve">which will </w:t>
      </w:r>
      <w:r w:rsidRPr="00614438">
        <w:rPr>
          <w:rFonts w:ascii="Times New Roman" w:hAnsi="Times New Roman" w:cs="Times New Roman"/>
          <w:sz w:val="24"/>
          <w:szCs w:val="24"/>
          <w:lang w:val="en-GB"/>
        </w:rPr>
        <w:t>enabl</w:t>
      </w:r>
      <w:r w:rsidR="008D5C06">
        <w:rPr>
          <w:rFonts w:ascii="Times New Roman" w:hAnsi="Times New Roman" w:cs="Times New Roman"/>
          <w:sz w:val="24"/>
          <w:szCs w:val="24"/>
          <w:lang w:val="en-GB"/>
        </w:rPr>
        <w:t>e</w:t>
      </w:r>
      <w:r w:rsidRPr="00614438">
        <w:rPr>
          <w:rFonts w:ascii="Times New Roman" w:hAnsi="Times New Roman" w:cs="Times New Roman"/>
          <w:sz w:val="24"/>
          <w:szCs w:val="24"/>
          <w:lang w:val="en-GB"/>
        </w:rPr>
        <w:t xml:space="preserve"> ‘Mobility as a Service’ (MaaS)</w:t>
      </w:r>
      <w:r w:rsidR="008D5C06">
        <w:rPr>
          <w:rFonts w:ascii="Times New Roman" w:hAnsi="Times New Roman" w:cs="Times New Roman"/>
          <w:sz w:val="24"/>
          <w:szCs w:val="24"/>
          <w:lang w:val="en-GB"/>
        </w:rPr>
        <w:t>, using</w:t>
      </w:r>
      <w:r w:rsidRPr="00614438">
        <w:rPr>
          <w:rFonts w:ascii="Times New Roman" w:hAnsi="Times New Roman" w:cs="Times New Roman"/>
          <w:sz w:val="24"/>
          <w:szCs w:val="24"/>
          <w:lang w:val="en-GB"/>
        </w:rPr>
        <w:t xml:space="preserve"> the available data, the information and communication technologies and artificial intelligence for smarter mobility.</w:t>
      </w:r>
    </w:p>
    <w:p w14:paraId="30DE0213" w14:textId="77777777" w:rsidR="00614438" w:rsidRPr="00614438" w:rsidRDefault="00614438" w:rsidP="008D5C0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Furthermore, the promotion of alternative fuels will be supported with the development of the required infrastructure for all the promoted types of alternative fuels maximizing the synergies with the policy measures, which have been integrated into the RES dimension. It should be noted that emphasis will be </w:t>
      </w:r>
      <w:r w:rsidR="00026E20">
        <w:rPr>
          <w:rFonts w:ascii="Times New Roman" w:hAnsi="Times New Roman" w:cs="Times New Roman"/>
          <w:sz w:val="24"/>
          <w:szCs w:val="24"/>
          <w:lang w:val="en-GB"/>
        </w:rPr>
        <w:t>places</w:t>
      </w:r>
      <w:r w:rsidRPr="00614438">
        <w:rPr>
          <w:rFonts w:ascii="Times New Roman" w:hAnsi="Times New Roman" w:cs="Times New Roman"/>
          <w:sz w:val="24"/>
          <w:szCs w:val="24"/>
          <w:lang w:val="en-GB"/>
        </w:rPr>
        <w:t xml:space="preserve"> on the targeted deployment of electromobility so as to attain the target in regards the penetration of electric vehicles.</w:t>
      </w:r>
    </w:p>
    <w:p w14:paraId="500272A9" w14:textId="77777777" w:rsidR="00614438" w:rsidRPr="00614438" w:rsidRDefault="00614438" w:rsidP="00026E20">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continuous enhancement and extension of the relative infrastructure for public transport will be ensured, while the exemplary role of the public sector will be reinforced with dedicated measures, such as </w:t>
      </w:r>
      <w:r w:rsidR="000610A8">
        <w:rPr>
          <w:rFonts w:ascii="Times New Roman" w:hAnsi="Times New Roman" w:cs="Times New Roman"/>
          <w:sz w:val="24"/>
          <w:szCs w:val="24"/>
          <w:lang w:val="en-GB"/>
        </w:rPr>
        <w:t xml:space="preserve">the setting </w:t>
      </w:r>
      <w:r w:rsidRPr="00614438">
        <w:rPr>
          <w:rFonts w:ascii="Times New Roman" w:hAnsi="Times New Roman" w:cs="Times New Roman"/>
          <w:sz w:val="24"/>
          <w:szCs w:val="24"/>
          <w:lang w:val="en-GB"/>
        </w:rPr>
        <w:t>of a compulsory quota of vehicles with higher energy efficiency in public agencies and organisations by setting higher energy efficiency limits.</w:t>
      </w:r>
    </w:p>
    <w:p w14:paraId="08F59C7B" w14:textId="77777777" w:rsidR="00614438" w:rsidRPr="00614438" w:rsidRDefault="00614438" w:rsidP="000610A8">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development of sustainable regional or municipal mobility plans will facilitate the implementation of the above-mentioned measures at </w:t>
      </w:r>
      <w:r w:rsidR="000610A8">
        <w:rPr>
          <w:rFonts w:ascii="Times New Roman" w:hAnsi="Times New Roman" w:cs="Times New Roman"/>
          <w:sz w:val="24"/>
          <w:szCs w:val="24"/>
          <w:lang w:val="en-GB"/>
        </w:rPr>
        <w:t xml:space="preserve">a </w:t>
      </w:r>
      <w:r w:rsidRPr="00614438">
        <w:rPr>
          <w:rFonts w:ascii="Times New Roman" w:hAnsi="Times New Roman" w:cs="Times New Roman"/>
          <w:sz w:val="24"/>
          <w:szCs w:val="24"/>
          <w:lang w:val="en-GB"/>
        </w:rPr>
        <w:t xml:space="preserve">local and regional level, while </w:t>
      </w:r>
      <w:r w:rsidR="000610A8">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existing various measures for the promotion of energy efficient tyres for all types of vehicles will be continued, such as the promotion of energy efficient tyres and lubricants, the regular technical inspections of vehicles in compliance with specific quality requirements, the promotion of fuel additives, the establishment of a framework for fuel labelling and fuel quality monitoring.</w:t>
      </w:r>
    </w:p>
    <w:p w14:paraId="5180E16A" w14:textId="77777777" w:rsidR="00614438" w:rsidRPr="00AA7A53" w:rsidRDefault="00614438" w:rsidP="00AA7A53">
      <w:pPr>
        <w:spacing w:after="0"/>
        <w:ind w:firstLine="720"/>
        <w:jc w:val="both"/>
        <w:rPr>
          <w:rFonts w:ascii="Times New Roman" w:hAnsi="Times New Roman" w:cs="Times New Roman"/>
          <w:sz w:val="20"/>
          <w:szCs w:val="20"/>
          <w:lang w:val="en-GB"/>
        </w:rPr>
      </w:pPr>
      <w:r w:rsidRPr="00614438">
        <w:rPr>
          <w:rFonts w:ascii="Times New Roman" w:hAnsi="Times New Roman" w:cs="Times New Roman"/>
          <w:sz w:val="24"/>
          <w:szCs w:val="24"/>
          <w:lang w:val="en-GB"/>
        </w:rPr>
        <w:lastRenderedPageBreak/>
        <w:t>Finally, targeted measures will be implemented aiming at the promotion of energy efficiency in inland waterways and rail transport</w:t>
      </w:r>
      <w:r w:rsidR="00440624">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both for the freight and passenger transport</w:t>
      </w:r>
      <w:r w:rsidR="00440624">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through the provision of either financial, fiscal or regulatory measures.</w:t>
      </w:r>
    </w:p>
    <w:tbl>
      <w:tblPr>
        <w:tblW w:w="9680" w:type="dxa"/>
        <w:tblLook w:val="04A0" w:firstRow="1" w:lastRow="0" w:firstColumn="1" w:lastColumn="0" w:noHBand="0" w:noVBand="1"/>
      </w:tblPr>
      <w:tblGrid>
        <w:gridCol w:w="3296"/>
        <w:gridCol w:w="1050"/>
        <w:gridCol w:w="940"/>
        <w:gridCol w:w="4172"/>
        <w:gridCol w:w="222"/>
      </w:tblGrid>
      <w:tr w:rsidR="00614438" w:rsidRPr="00AA7A53" w14:paraId="208817EB" w14:textId="77777777" w:rsidTr="00614438">
        <w:trPr>
          <w:gridAfter w:val="1"/>
          <w:wAfter w:w="222" w:type="dxa"/>
          <w:trHeight w:val="780"/>
        </w:trPr>
        <w:tc>
          <w:tcPr>
            <w:tcW w:w="331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58548B5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3E71FDF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PM_EE10</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3628CE8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1" w:type="dxa"/>
            <w:tcBorders>
              <w:top w:val="single" w:sz="8" w:space="0" w:color="auto"/>
              <w:left w:val="nil"/>
              <w:bottom w:val="single" w:sz="8" w:space="0" w:color="auto"/>
              <w:right w:val="single" w:sz="8" w:space="0" w:color="auto"/>
            </w:tcBorders>
            <w:shd w:val="clear" w:color="auto" w:fill="E7E6E6" w:themeFill="background2"/>
            <w:vAlign w:val="center"/>
            <w:hideMark/>
          </w:tcPr>
          <w:p w14:paraId="5687530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energy efficient passenger and light-duty vehicles</w:t>
            </w:r>
          </w:p>
        </w:tc>
      </w:tr>
      <w:tr w:rsidR="00614438" w:rsidRPr="00AA7A53" w14:paraId="200D1F4F" w14:textId="77777777" w:rsidTr="00614438">
        <w:trPr>
          <w:gridAfter w:val="1"/>
          <w:wAfter w:w="222" w:type="dxa"/>
          <w:trHeight w:val="658"/>
        </w:trPr>
        <w:tc>
          <w:tcPr>
            <w:tcW w:w="3317" w:type="dxa"/>
            <w:tcBorders>
              <w:top w:val="nil"/>
              <w:left w:val="single" w:sz="8" w:space="0" w:color="auto"/>
              <w:bottom w:val="single" w:sz="8" w:space="0" w:color="auto"/>
              <w:right w:val="nil"/>
            </w:tcBorders>
            <w:shd w:val="clear" w:color="auto" w:fill="244062"/>
            <w:vAlign w:val="center"/>
            <w:hideMark/>
          </w:tcPr>
          <w:p w14:paraId="200A61F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41" w:type="dxa"/>
            <w:gridSpan w:val="3"/>
            <w:tcBorders>
              <w:top w:val="single" w:sz="8" w:space="0" w:color="auto"/>
              <w:left w:val="nil"/>
              <w:bottom w:val="single" w:sz="8" w:space="0" w:color="auto"/>
              <w:right w:val="single" w:sz="8" w:space="0" w:color="000000"/>
            </w:tcBorders>
            <w:vAlign w:val="center"/>
            <w:hideMark/>
          </w:tcPr>
          <w:p w14:paraId="495C5702" w14:textId="5CEF0574"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 as amended by Directive (EU) 2018/2002</w:t>
            </w:r>
            <w:r w:rsidR="00440624" w:rsidRPr="00AA7A53">
              <w:rPr>
                <w:rFonts w:ascii="Times New Roman" w:hAnsi="Times New Roman" w:cs="Times New Roman"/>
                <w:sz w:val="20"/>
                <w:szCs w:val="20"/>
                <w:lang w:val="en-GB"/>
              </w:rPr>
              <w:t>/EU</w:t>
            </w:r>
            <w:r w:rsidRPr="00AA7A53">
              <w:rPr>
                <w:rFonts w:ascii="Times New Roman" w:hAnsi="Times New Roman" w:cs="Times New Roman"/>
                <w:sz w:val="20"/>
                <w:szCs w:val="20"/>
                <w:lang w:val="en-GB"/>
              </w:rPr>
              <w:t>:</w:t>
            </w:r>
          </w:p>
          <w:p w14:paraId="7682B640" w14:textId="77777777" w:rsidR="00614438" w:rsidRPr="00AA7A53" w:rsidRDefault="00614438" w:rsidP="00AA7A53">
            <w:pPr>
              <w:numPr>
                <w:ilvl w:val="0"/>
                <w:numId w:val="75"/>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0F969CE1" w14:textId="77777777" w:rsidR="00614438" w:rsidRPr="00AA7A53" w:rsidRDefault="00614438" w:rsidP="00AA7A53">
            <w:pPr>
              <w:numPr>
                <w:ilvl w:val="0"/>
                <w:numId w:val="75"/>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tc>
      </w:tr>
      <w:tr w:rsidR="00614438" w:rsidRPr="00AA7A53" w14:paraId="4B187D93"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3276DCB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41" w:type="dxa"/>
            <w:gridSpan w:val="3"/>
            <w:tcBorders>
              <w:top w:val="single" w:sz="8" w:space="0" w:color="auto"/>
              <w:left w:val="nil"/>
              <w:bottom w:val="single" w:sz="8" w:space="0" w:color="auto"/>
              <w:right w:val="single" w:sz="8" w:space="0" w:color="000000"/>
            </w:tcBorders>
            <w:vAlign w:val="center"/>
            <w:hideMark/>
          </w:tcPr>
          <w:p w14:paraId="14FD0E4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102.1 thousand gasoline and hybrid passenger vehicles (final energy savings 5</w:t>
            </w:r>
            <w:r w:rsidR="00440624"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 xml:space="preserve"> ktoe)</w:t>
            </w:r>
          </w:p>
        </w:tc>
      </w:tr>
      <w:tr w:rsidR="00614438" w:rsidRPr="00AA7A53" w14:paraId="404B0D4C" w14:textId="77777777" w:rsidTr="00614438">
        <w:trPr>
          <w:gridAfter w:val="1"/>
          <w:wAfter w:w="222" w:type="dxa"/>
          <w:trHeight w:val="868"/>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05963F7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1" w:type="dxa"/>
            <w:gridSpan w:val="3"/>
            <w:tcBorders>
              <w:top w:val="single" w:sz="8" w:space="0" w:color="auto"/>
              <w:left w:val="nil"/>
              <w:bottom w:val="single" w:sz="8" w:space="0" w:color="auto"/>
              <w:right w:val="single" w:sz="8" w:space="0" w:color="000000"/>
            </w:tcBorders>
            <w:vAlign w:val="center"/>
            <w:hideMark/>
          </w:tcPr>
          <w:p w14:paraId="700D10D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PM_EE10 will </w:t>
            </w:r>
            <w:r w:rsidR="00A57679" w:rsidRPr="00AA7A53">
              <w:rPr>
                <w:rFonts w:ascii="Times New Roman" w:hAnsi="Times New Roman" w:cs="Times New Roman"/>
                <w:sz w:val="20"/>
                <w:szCs w:val="20"/>
                <w:lang w:val="en-GB"/>
              </w:rPr>
              <w:t xml:space="preserve">be </w:t>
            </w:r>
            <w:r w:rsidRPr="00AA7A53">
              <w:rPr>
                <w:rFonts w:ascii="Times New Roman" w:hAnsi="Times New Roman" w:cs="Times New Roman"/>
                <w:sz w:val="20"/>
                <w:szCs w:val="20"/>
                <w:lang w:val="en-GB"/>
              </w:rPr>
              <w:t>target</w:t>
            </w:r>
            <w:r w:rsidR="00A57679" w:rsidRPr="00AA7A53">
              <w:rPr>
                <w:rFonts w:ascii="Times New Roman" w:hAnsi="Times New Roman" w:cs="Times New Roman"/>
                <w:sz w:val="20"/>
                <w:szCs w:val="20"/>
                <w:lang w:val="en-GB"/>
              </w:rPr>
              <w:t>ed</w:t>
            </w:r>
            <w:r w:rsidRPr="00AA7A53">
              <w:rPr>
                <w:rFonts w:ascii="Times New Roman" w:hAnsi="Times New Roman" w:cs="Times New Roman"/>
                <w:sz w:val="20"/>
                <w:szCs w:val="20"/>
                <w:lang w:val="en-GB"/>
              </w:rPr>
              <w:t xml:space="preserve"> </w:t>
            </w:r>
            <w:r w:rsidR="00A57679" w:rsidRPr="00AA7A53">
              <w:rPr>
                <w:rFonts w:ascii="Times New Roman" w:hAnsi="Times New Roman" w:cs="Times New Roman"/>
                <w:sz w:val="20"/>
                <w:szCs w:val="20"/>
                <w:lang w:val="en-GB"/>
              </w:rPr>
              <w:t>a</w:t>
            </w:r>
            <w:r w:rsidRPr="00AA7A53">
              <w:rPr>
                <w:rFonts w:ascii="Times New Roman" w:hAnsi="Times New Roman" w:cs="Times New Roman"/>
                <w:sz w:val="20"/>
                <w:szCs w:val="20"/>
                <w:lang w:val="en-GB"/>
              </w:rPr>
              <w:t xml:space="preserve">t the promotion of energy efficiency in transport sector through the compliance with the Regulation (EU) 2019/631 </w:t>
            </w:r>
            <w:r w:rsidR="00A57679" w:rsidRPr="00AA7A53">
              <w:rPr>
                <w:rFonts w:ascii="Times New Roman" w:hAnsi="Times New Roman" w:cs="Times New Roman"/>
                <w:sz w:val="20"/>
                <w:szCs w:val="20"/>
                <w:lang w:val="en-GB"/>
              </w:rPr>
              <w:t xml:space="preserve">which </w:t>
            </w:r>
            <w:r w:rsidRPr="00AA7A53">
              <w:rPr>
                <w:rFonts w:ascii="Times New Roman" w:hAnsi="Times New Roman" w:cs="Times New Roman"/>
                <w:sz w:val="20"/>
                <w:szCs w:val="20"/>
                <w:lang w:val="en-GB"/>
              </w:rPr>
              <w:t>set</w:t>
            </w:r>
            <w:r w:rsidR="00A57679" w:rsidRPr="00AA7A53">
              <w:rPr>
                <w:rFonts w:ascii="Times New Roman" w:hAnsi="Times New Roman" w:cs="Times New Roman"/>
                <w:sz w:val="20"/>
                <w:szCs w:val="20"/>
                <w:lang w:val="en-GB"/>
              </w:rPr>
              <w:t>s</w:t>
            </w:r>
            <w:r w:rsidRPr="00AA7A53">
              <w:rPr>
                <w:rFonts w:ascii="Times New Roman" w:hAnsi="Times New Roman" w:cs="Times New Roman"/>
                <w:sz w:val="20"/>
                <w:szCs w:val="20"/>
                <w:lang w:val="en-GB"/>
              </w:rPr>
              <w:t xml:space="preserve"> emission performance standards for new passenger cars and new light commercial vehicles. Moreover, the promotion of energy efficient vehicles will </w:t>
            </w:r>
            <w:r w:rsidR="00A57679" w:rsidRPr="00AA7A53">
              <w:rPr>
                <w:rFonts w:ascii="Times New Roman" w:hAnsi="Times New Roman" w:cs="Times New Roman"/>
                <w:sz w:val="20"/>
                <w:szCs w:val="20"/>
                <w:lang w:val="en-GB"/>
              </w:rPr>
              <w:t xml:space="preserve">also </w:t>
            </w:r>
            <w:r w:rsidRPr="00AA7A53">
              <w:rPr>
                <w:rFonts w:ascii="Times New Roman" w:hAnsi="Times New Roman" w:cs="Times New Roman"/>
                <w:sz w:val="20"/>
                <w:szCs w:val="20"/>
                <w:lang w:val="en-GB"/>
              </w:rPr>
              <w:t xml:space="preserve">be achieved through the provision of specific tax advantages for </w:t>
            </w:r>
            <w:r w:rsidR="00A57679" w:rsidRPr="00AA7A53">
              <w:rPr>
                <w:rFonts w:ascii="Times New Roman" w:hAnsi="Times New Roman" w:cs="Times New Roman"/>
                <w:sz w:val="20"/>
                <w:szCs w:val="20"/>
                <w:lang w:val="en-GB"/>
              </w:rPr>
              <w:t>the stimulation of</w:t>
            </w:r>
            <w:r w:rsidRPr="00AA7A53">
              <w:rPr>
                <w:rFonts w:ascii="Times New Roman" w:hAnsi="Times New Roman" w:cs="Times New Roman"/>
                <w:sz w:val="20"/>
                <w:szCs w:val="20"/>
                <w:lang w:val="en-GB"/>
              </w:rPr>
              <w:t xml:space="preserve"> purchas</w:t>
            </w:r>
            <w:r w:rsidR="00A57679" w:rsidRPr="00AA7A53">
              <w:rPr>
                <w:rFonts w:ascii="Times New Roman" w:hAnsi="Times New Roman" w:cs="Times New Roman"/>
                <w:sz w:val="20"/>
                <w:szCs w:val="20"/>
                <w:lang w:val="en-GB"/>
              </w:rPr>
              <w:t>ing</w:t>
            </w:r>
            <w:r w:rsidRPr="00AA7A53">
              <w:rPr>
                <w:rFonts w:ascii="Times New Roman" w:hAnsi="Times New Roman" w:cs="Times New Roman"/>
                <w:sz w:val="20"/>
                <w:szCs w:val="20"/>
                <w:lang w:val="en-GB"/>
              </w:rPr>
              <w:t xml:space="preserve"> energy efficient vehicles</w:t>
            </w:r>
            <w:r w:rsidR="00A57679"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including the vehicles that consume alternative fuels. The taxation framework of the transport sector will be streamlined</w:t>
            </w:r>
            <w:r w:rsidR="00A57679" w:rsidRPr="00AA7A53">
              <w:rPr>
                <w:rFonts w:ascii="Times New Roman" w:hAnsi="Times New Roman" w:cs="Times New Roman"/>
                <w:sz w:val="20"/>
                <w:szCs w:val="20"/>
                <w:lang w:val="en-GB"/>
              </w:rPr>
              <w:t xml:space="preserve"> by</w:t>
            </w:r>
            <w:r w:rsidRPr="00AA7A53">
              <w:rPr>
                <w:rFonts w:ascii="Times New Roman" w:hAnsi="Times New Roman" w:cs="Times New Roman"/>
                <w:sz w:val="20"/>
                <w:szCs w:val="20"/>
                <w:lang w:val="en-GB"/>
              </w:rPr>
              <w:t xml:space="preserve"> selecting the most effective forms of tax in order to balance the total cost of ownership and </w:t>
            </w:r>
            <w:r w:rsidR="00A57679" w:rsidRPr="00AA7A53">
              <w:rPr>
                <w:rFonts w:ascii="Times New Roman" w:hAnsi="Times New Roman" w:cs="Times New Roman"/>
                <w:sz w:val="20"/>
                <w:szCs w:val="20"/>
                <w:lang w:val="en-GB"/>
              </w:rPr>
              <w:t xml:space="preserve">to </w:t>
            </w:r>
            <w:r w:rsidRPr="00AA7A53">
              <w:rPr>
                <w:rFonts w:ascii="Times New Roman" w:hAnsi="Times New Roman" w:cs="Times New Roman"/>
                <w:sz w:val="20"/>
                <w:szCs w:val="20"/>
                <w:lang w:val="en-GB"/>
              </w:rPr>
              <w:t>promot</w:t>
            </w:r>
            <w:r w:rsidR="00A57679" w:rsidRPr="00AA7A53">
              <w:rPr>
                <w:rFonts w:ascii="Times New Roman" w:hAnsi="Times New Roman" w:cs="Times New Roman"/>
                <w:sz w:val="20"/>
                <w:szCs w:val="20"/>
                <w:lang w:val="en-GB"/>
              </w:rPr>
              <w:t>e</w:t>
            </w:r>
            <w:r w:rsidRPr="00AA7A53">
              <w:rPr>
                <w:rFonts w:ascii="Times New Roman" w:hAnsi="Times New Roman" w:cs="Times New Roman"/>
                <w:sz w:val="20"/>
                <w:szCs w:val="20"/>
                <w:lang w:val="en-GB"/>
              </w:rPr>
              <w:t xml:space="preserve"> the energy efficiency of vehicles and the use of low-emission fuels. The most effective form of taxation will be </w:t>
            </w:r>
            <w:r w:rsidR="00A57679" w:rsidRPr="00AA7A53">
              <w:rPr>
                <w:rFonts w:ascii="Times New Roman" w:hAnsi="Times New Roman" w:cs="Times New Roman"/>
                <w:sz w:val="20"/>
                <w:szCs w:val="20"/>
                <w:lang w:val="en-GB"/>
              </w:rPr>
              <w:t xml:space="preserve">selected based on the </w:t>
            </w:r>
            <w:r w:rsidRPr="00AA7A53">
              <w:rPr>
                <w:rFonts w:ascii="Times New Roman" w:hAnsi="Times New Roman" w:cs="Times New Roman"/>
                <w:sz w:val="20"/>
                <w:szCs w:val="20"/>
                <w:lang w:val="en-GB"/>
              </w:rPr>
              <w:t>result</w:t>
            </w:r>
            <w:r w:rsidR="00A57679" w:rsidRPr="00AA7A53">
              <w:rPr>
                <w:rFonts w:ascii="Times New Roman" w:hAnsi="Times New Roman" w:cs="Times New Roman"/>
                <w:sz w:val="20"/>
                <w:szCs w:val="20"/>
                <w:lang w:val="en-GB"/>
              </w:rPr>
              <w:t>s of</w:t>
            </w:r>
            <w:r w:rsidRPr="00AA7A53">
              <w:rPr>
                <w:rFonts w:ascii="Times New Roman" w:hAnsi="Times New Roman" w:cs="Times New Roman"/>
                <w:sz w:val="20"/>
                <w:szCs w:val="20"/>
                <w:lang w:val="en-GB"/>
              </w:rPr>
              <w:t xml:space="preserve"> the assessment of various types, such as the introduction of vehicle excise duty based on </w:t>
            </w:r>
            <w:r w:rsidR="00A57679" w:rsidRPr="00AA7A53">
              <w:rPr>
                <w:rFonts w:ascii="Times New Roman" w:hAnsi="Times New Roman" w:cs="Times New Roman"/>
                <w:sz w:val="20"/>
                <w:szCs w:val="20"/>
              </w:rPr>
              <w:t>CО</w:t>
            </w:r>
            <w:r w:rsidR="00A57679" w:rsidRPr="00AA7A53">
              <w:rPr>
                <w:rFonts w:ascii="Times New Roman" w:hAnsi="Times New Roman" w:cs="Times New Roman"/>
                <w:sz w:val="20"/>
                <w:szCs w:val="20"/>
                <w:vertAlign w:val="subscript"/>
              </w:rPr>
              <w:t>2</w:t>
            </w:r>
            <w:r w:rsidR="00A57679" w:rsidRPr="00AA7A53">
              <w:rPr>
                <w:rFonts w:ascii="Times New Roman" w:hAnsi="Times New Roman" w:cs="Times New Roman"/>
                <w:sz w:val="20"/>
                <w:szCs w:val="20"/>
                <w:lang w:val="en-GB"/>
              </w:rPr>
              <w:t xml:space="preserve"> e</w:t>
            </w:r>
            <w:r w:rsidRPr="00AA7A53">
              <w:rPr>
                <w:rFonts w:ascii="Times New Roman" w:hAnsi="Times New Roman" w:cs="Times New Roman"/>
                <w:sz w:val="20"/>
                <w:szCs w:val="20"/>
                <w:lang w:val="en-GB"/>
              </w:rPr>
              <w:t>missions, the vehicle circulation tax, the excise tax on road transport fuels exceeding the minimum levels as required in Directive 2003/96/EC, the establishment of road charges for heavy-duty vehicles etc.</w:t>
            </w:r>
          </w:p>
        </w:tc>
      </w:tr>
      <w:tr w:rsidR="00614438" w:rsidRPr="00AA7A53" w14:paraId="50E8FFC4"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1A4A01B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1" w:type="dxa"/>
            <w:gridSpan w:val="3"/>
            <w:tcBorders>
              <w:top w:val="single" w:sz="8" w:space="0" w:color="auto"/>
              <w:left w:val="nil"/>
              <w:bottom w:val="single" w:sz="8" w:space="0" w:color="auto"/>
              <w:right w:val="single" w:sz="8" w:space="0" w:color="000000"/>
            </w:tcBorders>
            <w:vAlign w:val="center"/>
            <w:hideMark/>
          </w:tcPr>
          <w:p w14:paraId="242F980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25E6C570"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15A8E24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1" w:type="dxa"/>
            <w:gridSpan w:val="3"/>
            <w:tcBorders>
              <w:top w:val="single" w:sz="8" w:space="0" w:color="auto"/>
              <w:left w:val="nil"/>
              <w:bottom w:val="single" w:sz="8" w:space="0" w:color="auto"/>
              <w:right w:val="single" w:sz="8" w:space="0" w:color="000000"/>
            </w:tcBorders>
            <w:vAlign w:val="center"/>
            <w:hideMark/>
          </w:tcPr>
          <w:p w14:paraId="0AFCF8F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3FE9706C"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213120A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1" w:type="dxa"/>
            <w:gridSpan w:val="3"/>
            <w:tcBorders>
              <w:top w:val="single" w:sz="8" w:space="0" w:color="auto"/>
              <w:left w:val="nil"/>
              <w:bottom w:val="single" w:sz="8" w:space="0" w:color="auto"/>
              <w:right w:val="single" w:sz="8" w:space="0" w:color="000000"/>
            </w:tcBorders>
            <w:vAlign w:val="center"/>
            <w:hideMark/>
          </w:tcPr>
          <w:p w14:paraId="74BE344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Transport</w:t>
            </w:r>
          </w:p>
        </w:tc>
      </w:tr>
      <w:tr w:rsidR="00614438" w:rsidRPr="00AA7A53" w14:paraId="4792AF3A"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798AC23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5B498FCC"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301E5A74"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environmental protection</w:t>
            </w:r>
          </w:p>
          <w:p w14:paraId="1780E9B6"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tc>
      </w:tr>
      <w:tr w:rsidR="00614438" w:rsidRPr="00AA7A53" w14:paraId="7B66A194"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6159222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33811DF2"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 </w:t>
            </w:r>
          </w:p>
        </w:tc>
      </w:tr>
      <w:tr w:rsidR="00614438" w:rsidRPr="00AA7A53" w14:paraId="0AF98741"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2B51B4B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1" w:type="dxa"/>
            <w:gridSpan w:val="3"/>
            <w:tcBorders>
              <w:top w:val="single" w:sz="8" w:space="0" w:color="auto"/>
              <w:left w:val="nil"/>
              <w:bottom w:val="single" w:sz="8" w:space="0" w:color="auto"/>
              <w:right w:val="single" w:sz="8" w:space="0" w:color="000000"/>
            </w:tcBorders>
            <w:vAlign w:val="center"/>
            <w:hideMark/>
          </w:tcPr>
          <w:p w14:paraId="788E6D06"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Number of energy efficient vehicles</w:t>
            </w:r>
          </w:p>
        </w:tc>
      </w:tr>
      <w:tr w:rsidR="00614438" w:rsidRPr="00AA7A53" w14:paraId="7D7E1172" w14:textId="77777777" w:rsidTr="00614438">
        <w:trPr>
          <w:gridAfter w:val="1"/>
          <w:wAfter w:w="222" w:type="dxa"/>
          <w:trHeight w:val="492"/>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21C676B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1" w:type="dxa"/>
            <w:gridSpan w:val="3"/>
            <w:tcBorders>
              <w:top w:val="single" w:sz="8" w:space="0" w:color="auto"/>
              <w:left w:val="nil"/>
              <w:bottom w:val="single" w:sz="8" w:space="0" w:color="auto"/>
              <w:right w:val="single" w:sz="8" w:space="0" w:color="000000"/>
            </w:tcBorders>
            <w:vAlign w:val="center"/>
            <w:hideMark/>
          </w:tcPr>
          <w:p w14:paraId="55C45956" w14:textId="77777777" w:rsidR="00614438" w:rsidRPr="00AA7A53" w:rsidRDefault="00614438" w:rsidP="00AA7A53">
            <w:pPr>
              <w:numPr>
                <w:ilvl w:val="0"/>
                <w:numId w:val="77"/>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 leading to the respective GHG emission reduction)</w:t>
            </w:r>
          </w:p>
          <w:p w14:paraId="68A42DCD" w14:textId="77777777" w:rsidR="00614438" w:rsidRPr="00AA7A53" w:rsidRDefault="00614438" w:rsidP="00AA7A53">
            <w:pPr>
              <w:numPr>
                <w:ilvl w:val="0"/>
                <w:numId w:val="77"/>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3ABCE5B9" w14:textId="77777777" w:rsidTr="00614438">
        <w:trPr>
          <w:gridAfter w:val="1"/>
          <w:wAfter w:w="222" w:type="dxa"/>
          <w:trHeight w:val="458"/>
        </w:trPr>
        <w:tc>
          <w:tcPr>
            <w:tcW w:w="3317" w:type="dxa"/>
            <w:vMerge w:val="restart"/>
            <w:tcBorders>
              <w:top w:val="nil"/>
              <w:left w:val="single" w:sz="8" w:space="0" w:color="auto"/>
              <w:bottom w:val="single" w:sz="8" w:space="0" w:color="000000"/>
              <w:right w:val="single" w:sz="8" w:space="0" w:color="auto"/>
            </w:tcBorders>
            <w:shd w:val="clear" w:color="auto" w:fill="244062"/>
            <w:vAlign w:val="center"/>
            <w:hideMark/>
          </w:tcPr>
          <w:p w14:paraId="68704BE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71CE91C" w14:textId="77777777" w:rsidR="00614438" w:rsidRPr="00AA7A53" w:rsidRDefault="00614438" w:rsidP="00AA7A53">
            <w:pPr>
              <w:numPr>
                <w:ilvl w:val="0"/>
                <w:numId w:val="77"/>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6B27AB3D" w14:textId="77777777" w:rsidR="00614438" w:rsidRPr="00AA7A53" w:rsidRDefault="00614438" w:rsidP="00AA7A53">
            <w:pPr>
              <w:numPr>
                <w:ilvl w:val="0"/>
                <w:numId w:val="77"/>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p w14:paraId="6BE13BB8" w14:textId="77777777" w:rsidR="00614438" w:rsidRPr="00AA7A53" w:rsidRDefault="00614438" w:rsidP="00AA7A53">
            <w:pPr>
              <w:numPr>
                <w:ilvl w:val="0"/>
                <w:numId w:val="77"/>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2019/631</w:t>
            </w:r>
          </w:p>
        </w:tc>
      </w:tr>
      <w:tr w:rsidR="00614438" w:rsidRPr="00AA7A53" w14:paraId="41C41D4B"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7BC5C8FD"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DBC897E"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74F3A31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EA0B2E3"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1BA496CC"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439CDB4"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089531B5"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214056BF" w14:textId="77777777" w:rsidTr="00614438">
        <w:trPr>
          <w:trHeight w:val="244"/>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55FB88E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1" w:type="dxa"/>
            <w:gridSpan w:val="3"/>
            <w:tcBorders>
              <w:top w:val="single" w:sz="8" w:space="0" w:color="auto"/>
              <w:left w:val="nil"/>
              <w:bottom w:val="single" w:sz="8" w:space="0" w:color="auto"/>
              <w:right w:val="single" w:sz="8" w:space="0" w:color="000000"/>
            </w:tcBorders>
            <w:vAlign w:val="center"/>
            <w:hideMark/>
          </w:tcPr>
          <w:p w14:paraId="2DBFE8FA" w14:textId="77777777" w:rsidR="00614438" w:rsidRPr="00AA7A53" w:rsidRDefault="00614438" w:rsidP="00AA7A53">
            <w:pPr>
              <w:numPr>
                <w:ilvl w:val="0"/>
                <w:numId w:val="77"/>
              </w:numPr>
              <w:spacing w:after="0"/>
              <w:jc w:val="both"/>
              <w:rPr>
                <w:rFonts w:ascii="Times New Roman" w:hAnsi="Times New Roman" w:cs="Times New Roman"/>
                <w:sz w:val="20"/>
                <w:szCs w:val="20"/>
              </w:rPr>
            </w:pPr>
          </w:p>
        </w:tc>
        <w:tc>
          <w:tcPr>
            <w:tcW w:w="222" w:type="dxa"/>
            <w:vAlign w:val="center"/>
            <w:hideMark/>
          </w:tcPr>
          <w:p w14:paraId="3659773E"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41FD531"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3C4CB35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1" w:type="dxa"/>
            <w:gridSpan w:val="3"/>
            <w:tcBorders>
              <w:top w:val="single" w:sz="8" w:space="0" w:color="auto"/>
              <w:left w:val="nil"/>
              <w:bottom w:val="single" w:sz="8" w:space="0" w:color="auto"/>
              <w:right w:val="single" w:sz="8" w:space="0" w:color="000000"/>
            </w:tcBorders>
            <w:vAlign w:val="center"/>
            <w:hideMark/>
          </w:tcPr>
          <w:p w14:paraId="6588847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3.803 B€</w:t>
            </w:r>
          </w:p>
        </w:tc>
        <w:tc>
          <w:tcPr>
            <w:tcW w:w="222" w:type="dxa"/>
            <w:vAlign w:val="center"/>
            <w:hideMark/>
          </w:tcPr>
          <w:p w14:paraId="414EB919"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096FB2A"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54427BD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1" w:type="dxa"/>
            <w:gridSpan w:val="3"/>
            <w:tcBorders>
              <w:top w:val="single" w:sz="8" w:space="0" w:color="auto"/>
              <w:left w:val="nil"/>
              <w:bottom w:val="single" w:sz="8" w:space="0" w:color="auto"/>
              <w:right w:val="single" w:sz="8" w:space="0" w:color="000000"/>
            </w:tcBorders>
            <w:vAlign w:val="center"/>
            <w:hideMark/>
          </w:tcPr>
          <w:p w14:paraId="1596969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own funds</w:t>
            </w:r>
          </w:p>
        </w:tc>
        <w:tc>
          <w:tcPr>
            <w:tcW w:w="222" w:type="dxa"/>
            <w:vAlign w:val="center"/>
            <w:hideMark/>
          </w:tcPr>
          <w:p w14:paraId="4D1B04E1" w14:textId="77777777" w:rsidR="00614438" w:rsidRPr="00AA7A53" w:rsidRDefault="00614438" w:rsidP="00AA7A53">
            <w:pPr>
              <w:spacing w:after="0"/>
              <w:jc w:val="both"/>
              <w:rPr>
                <w:rFonts w:ascii="Times New Roman" w:hAnsi="Times New Roman" w:cs="Times New Roman"/>
                <w:sz w:val="20"/>
                <w:szCs w:val="20"/>
                <w:lang w:val="en-GB"/>
              </w:rPr>
            </w:pPr>
          </w:p>
        </w:tc>
      </w:tr>
    </w:tbl>
    <w:p w14:paraId="5B2E426A"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99"/>
        <w:gridCol w:w="1042"/>
        <w:gridCol w:w="941"/>
        <w:gridCol w:w="4176"/>
        <w:gridCol w:w="222"/>
      </w:tblGrid>
      <w:tr w:rsidR="00614438" w:rsidRPr="00AA7A53" w14:paraId="10BA7E3B" w14:textId="77777777" w:rsidTr="00614438">
        <w:trPr>
          <w:gridAfter w:val="1"/>
          <w:wAfter w:w="222" w:type="dxa"/>
          <w:trHeight w:val="780"/>
        </w:trPr>
        <w:tc>
          <w:tcPr>
            <w:tcW w:w="3318"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18B6B34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Policy measure code:</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34086B4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PM_EE11</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4209783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0" w:type="dxa"/>
            <w:tcBorders>
              <w:top w:val="single" w:sz="8" w:space="0" w:color="auto"/>
              <w:left w:val="nil"/>
              <w:bottom w:val="single" w:sz="8" w:space="0" w:color="auto"/>
              <w:right w:val="single" w:sz="8" w:space="0" w:color="auto"/>
            </w:tcBorders>
            <w:shd w:val="clear" w:color="auto" w:fill="E7E6E6" w:themeFill="background2"/>
            <w:vAlign w:val="center"/>
            <w:hideMark/>
          </w:tcPr>
          <w:p w14:paraId="00567B0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Ensuring the energy efficiency in imported used passenger cars</w:t>
            </w:r>
          </w:p>
        </w:tc>
      </w:tr>
      <w:tr w:rsidR="00614438" w:rsidRPr="00AA7A53" w14:paraId="5AF423FE" w14:textId="77777777" w:rsidTr="00614438">
        <w:trPr>
          <w:gridAfter w:val="1"/>
          <w:wAfter w:w="222" w:type="dxa"/>
          <w:trHeight w:val="435"/>
        </w:trPr>
        <w:tc>
          <w:tcPr>
            <w:tcW w:w="3318" w:type="dxa"/>
            <w:tcBorders>
              <w:top w:val="nil"/>
              <w:left w:val="single" w:sz="8" w:space="0" w:color="auto"/>
              <w:bottom w:val="single" w:sz="8" w:space="0" w:color="auto"/>
              <w:right w:val="nil"/>
            </w:tcBorders>
            <w:shd w:val="clear" w:color="auto" w:fill="244062"/>
            <w:vAlign w:val="center"/>
            <w:hideMark/>
          </w:tcPr>
          <w:p w14:paraId="5D896A3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Main objective:</w:t>
            </w:r>
          </w:p>
        </w:tc>
        <w:tc>
          <w:tcPr>
            <w:tcW w:w="6140" w:type="dxa"/>
            <w:gridSpan w:val="3"/>
            <w:tcBorders>
              <w:top w:val="single" w:sz="8" w:space="0" w:color="auto"/>
              <w:left w:val="nil"/>
              <w:bottom w:val="single" w:sz="8" w:space="0" w:color="auto"/>
              <w:right w:val="single" w:sz="8" w:space="0" w:color="000000"/>
            </w:tcBorders>
            <w:vAlign w:val="center"/>
            <w:hideMark/>
          </w:tcPr>
          <w:p w14:paraId="7BBD6EF8" w14:textId="42364D75"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 as amended by Directive (EU) 2018/2002:</w:t>
            </w:r>
          </w:p>
          <w:p w14:paraId="2D571715" w14:textId="77777777" w:rsidR="00614438" w:rsidRPr="00AA7A53" w:rsidRDefault="00614438" w:rsidP="00AA7A53">
            <w:pPr>
              <w:numPr>
                <w:ilvl w:val="0"/>
                <w:numId w:val="78"/>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011D4531" w14:textId="77777777" w:rsidR="00614438" w:rsidRPr="00AA7A53" w:rsidRDefault="00614438" w:rsidP="00AA7A53">
            <w:pPr>
              <w:numPr>
                <w:ilvl w:val="0"/>
                <w:numId w:val="78"/>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tc>
      </w:tr>
      <w:tr w:rsidR="00614438" w:rsidRPr="00AA7A53" w14:paraId="4AFA5216" w14:textId="77777777" w:rsidTr="00614438">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6315B42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Quantified objective:</w:t>
            </w:r>
          </w:p>
        </w:tc>
        <w:tc>
          <w:tcPr>
            <w:tcW w:w="6140" w:type="dxa"/>
            <w:gridSpan w:val="3"/>
            <w:tcBorders>
              <w:top w:val="single" w:sz="8" w:space="0" w:color="auto"/>
              <w:left w:val="nil"/>
              <w:bottom w:val="single" w:sz="8" w:space="0" w:color="auto"/>
              <w:right w:val="single" w:sz="8" w:space="0" w:color="000000"/>
            </w:tcBorders>
            <w:vAlign w:val="center"/>
            <w:hideMark/>
          </w:tcPr>
          <w:p w14:paraId="52ACD1D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PM_EE10, PM_EE12 and PM_EE14</w:t>
            </w:r>
          </w:p>
        </w:tc>
      </w:tr>
      <w:tr w:rsidR="00614438" w:rsidRPr="00AA7A53" w14:paraId="2500828C" w14:textId="77777777" w:rsidTr="00614438">
        <w:trPr>
          <w:gridAfter w:val="1"/>
          <w:wAfter w:w="222" w:type="dxa"/>
          <w:trHeight w:val="712"/>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002BE5F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0" w:type="dxa"/>
            <w:gridSpan w:val="3"/>
            <w:tcBorders>
              <w:top w:val="single" w:sz="8" w:space="0" w:color="auto"/>
              <w:left w:val="nil"/>
              <w:bottom w:val="single" w:sz="8" w:space="0" w:color="auto"/>
              <w:right w:val="single" w:sz="8" w:space="0" w:color="000000"/>
            </w:tcBorders>
            <w:vAlign w:val="center"/>
            <w:hideMark/>
          </w:tcPr>
          <w:p w14:paraId="2F21212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PM_EE11 will impose stricter minimum requirements regarding the applied emission standards in imported passenger </w:t>
            </w:r>
            <w:r w:rsidR="00A57679" w:rsidRPr="00AA7A53">
              <w:rPr>
                <w:rFonts w:ascii="Times New Roman" w:hAnsi="Times New Roman" w:cs="Times New Roman"/>
                <w:sz w:val="20"/>
                <w:szCs w:val="20"/>
                <w:lang w:val="en-GB"/>
              </w:rPr>
              <w:t xml:space="preserve">second-hand </w:t>
            </w:r>
            <w:r w:rsidRPr="00AA7A53">
              <w:rPr>
                <w:rFonts w:ascii="Times New Roman" w:hAnsi="Times New Roman" w:cs="Times New Roman"/>
                <w:sz w:val="20"/>
                <w:szCs w:val="20"/>
                <w:lang w:val="en-GB"/>
              </w:rPr>
              <w:t>cars, ensuring the achievement of acceptable energy efficiency levels compared to the new energy efficient one.</w:t>
            </w:r>
          </w:p>
        </w:tc>
      </w:tr>
      <w:tr w:rsidR="00614438" w:rsidRPr="00AA7A53" w14:paraId="4204548E" w14:textId="77777777" w:rsidTr="00614438">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1F9D066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0" w:type="dxa"/>
            <w:gridSpan w:val="3"/>
            <w:tcBorders>
              <w:top w:val="single" w:sz="8" w:space="0" w:color="auto"/>
              <w:left w:val="nil"/>
              <w:bottom w:val="single" w:sz="8" w:space="0" w:color="auto"/>
              <w:right w:val="single" w:sz="8" w:space="0" w:color="000000"/>
            </w:tcBorders>
            <w:vAlign w:val="center"/>
            <w:hideMark/>
          </w:tcPr>
          <w:p w14:paraId="660AA90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04E1021C" w14:textId="77777777" w:rsidTr="00614438">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3B2C969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0" w:type="dxa"/>
            <w:gridSpan w:val="3"/>
            <w:tcBorders>
              <w:top w:val="single" w:sz="8" w:space="0" w:color="auto"/>
              <w:left w:val="nil"/>
              <w:bottom w:val="single" w:sz="8" w:space="0" w:color="auto"/>
              <w:right w:val="single" w:sz="8" w:space="0" w:color="000000"/>
            </w:tcBorders>
            <w:vAlign w:val="center"/>
            <w:hideMark/>
          </w:tcPr>
          <w:p w14:paraId="3899F1E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0D2B6771" w14:textId="77777777" w:rsidTr="00614438">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471A969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0" w:type="dxa"/>
            <w:gridSpan w:val="3"/>
            <w:tcBorders>
              <w:top w:val="single" w:sz="8" w:space="0" w:color="auto"/>
              <w:left w:val="nil"/>
              <w:bottom w:val="single" w:sz="8" w:space="0" w:color="auto"/>
              <w:right w:val="single" w:sz="8" w:space="0" w:color="000000"/>
            </w:tcBorders>
            <w:vAlign w:val="center"/>
            <w:hideMark/>
          </w:tcPr>
          <w:p w14:paraId="620FA4A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Transport</w:t>
            </w:r>
          </w:p>
        </w:tc>
      </w:tr>
      <w:tr w:rsidR="00614438" w:rsidRPr="00AA7A53" w14:paraId="4B92ACC4" w14:textId="77777777" w:rsidTr="00614438">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552C214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0" w:type="dxa"/>
            <w:gridSpan w:val="3"/>
            <w:tcBorders>
              <w:top w:val="single" w:sz="8" w:space="0" w:color="auto"/>
              <w:left w:val="nil"/>
              <w:bottom w:val="single" w:sz="8" w:space="0" w:color="auto"/>
              <w:right w:val="single" w:sz="8" w:space="0" w:color="000000"/>
            </w:tcBorders>
            <w:vAlign w:val="center"/>
            <w:hideMark/>
          </w:tcPr>
          <w:p w14:paraId="1906A393"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2EBE0A02"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Ministry </w:t>
            </w:r>
            <w:r w:rsidR="00A57679" w:rsidRPr="00AA7A53">
              <w:rPr>
                <w:rFonts w:ascii="Times New Roman" w:hAnsi="Times New Roman" w:cs="Times New Roman"/>
                <w:sz w:val="20"/>
                <w:szCs w:val="20"/>
              </w:rPr>
              <w:t>o</w:t>
            </w:r>
            <w:r w:rsidRPr="00AA7A53">
              <w:rPr>
                <w:rFonts w:ascii="Times New Roman" w:hAnsi="Times New Roman" w:cs="Times New Roman"/>
                <w:sz w:val="20"/>
                <w:szCs w:val="20"/>
              </w:rPr>
              <w:t>f interior and foreign trade</w:t>
            </w:r>
          </w:p>
        </w:tc>
      </w:tr>
      <w:tr w:rsidR="00614438" w:rsidRPr="00AA7A53" w14:paraId="50A73335" w14:textId="77777777" w:rsidTr="00614438">
        <w:trPr>
          <w:gridAfter w:val="1"/>
          <w:wAfter w:w="222" w:type="dxa"/>
          <w:trHeight w:val="315"/>
        </w:trPr>
        <w:tc>
          <w:tcPr>
            <w:tcW w:w="3318" w:type="dxa"/>
            <w:tcBorders>
              <w:top w:val="nil"/>
              <w:left w:val="single" w:sz="8" w:space="0" w:color="auto"/>
              <w:bottom w:val="single" w:sz="8" w:space="0" w:color="auto"/>
              <w:right w:val="nil"/>
            </w:tcBorders>
            <w:shd w:val="clear" w:color="auto" w:fill="244062"/>
            <w:vAlign w:val="center"/>
            <w:hideMark/>
          </w:tcPr>
          <w:p w14:paraId="54FAC45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0" w:type="dxa"/>
            <w:gridSpan w:val="3"/>
            <w:tcBorders>
              <w:top w:val="single" w:sz="8" w:space="0" w:color="auto"/>
              <w:left w:val="nil"/>
              <w:bottom w:val="single" w:sz="8" w:space="0" w:color="auto"/>
              <w:right w:val="single" w:sz="8" w:space="0" w:color="000000"/>
            </w:tcBorders>
            <w:vAlign w:val="center"/>
            <w:hideMark/>
          </w:tcPr>
          <w:p w14:paraId="334A9E49"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3060F51A" w14:textId="77777777" w:rsidTr="00614438">
        <w:trPr>
          <w:gridAfter w:val="1"/>
          <w:wAfter w:w="222" w:type="dxa"/>
          <w:trHeight w:val="315"/>
        </w:trPr>
        <w:tc>
          <w:tcPr>
            <w:tcW w:w="3318" w:type="dxa"/>
            <w:tcBorders>
              <w:top w:val="nil"/>
              <w:left w:val="single" w:sz="8" w:space="0" w:color="auto"/>
              <w:bottom w:val="single" w:sz="8" w:space="0" w:color="auto"/>
              <w:right w:val="nil"/>
            </w:tcBorders>
            <w:shd w:val="clear" w:color="auto" w:fill="244062"/>
            <w:vAlign w:val="center"/>
            <w:hideMark/>
          </w:tcPr>
          <w:p w14:paraId="3964462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0" w:type="dxa"/>
            <w:gridSpan w:val="3"/>
            <w:tcBorders>
              <w:top w:val="single" w:sz="8" w:space="0" w:color="auto"/>
              <w:left w:val="nil"/>
              <w:bottom w:val="single" w:sz="8" w:space="0" w:color="auto"/>
              <w:right w:val="single" w:sz="8" w:space="0" w:color="000000"/>
            </w:tcBorders>
            <w:vAlign w:val="center"/>
            <w:hideMark/>
          </w:tcPr>
          <w:p w14:paraId="56E528F4"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Number of energy efficient vehicles</w:t>
            </w:r>
          </w:p>
        </w:tc>
      </w:tr>
      <w:tr w:rsidR="00614438" w:rsidRPr="00AA7A53" w14:paraId="1DE73408" w14:textId="77777777" w:rsidTr="00614438">
        <w:trPr>
          <w:gridAfter w:val="1"/>
          <w:wAfter w:w="222" w:type="dxa"/>
          <w:trHeight w:val="547"/>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12A7C5D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0" w:type="dxa"/>
            <w:gridSpan w:val="3"/>
            <w:tcBorders>
              <w:top w:val="single" w:sz="8" w:space="0" w:color="auto"/>
              <w:left w:val="nil"/>
              <w:bottom w:val="single" w:sz="8" w:space="0" w:color="auto"/>
              <w:right w:val="single" w:sz="8" w:space="0" w:color="000000"/>
            </w:tcBorders>
            <w:vAlign w:val="center"/>
            <w:hideMark/>
          </w:tcPr>
          <w:p w14:paraId="495D389F" w14:textId="77777777" w:rsidR="00614438" w:rsidRPr="00AA7A53" w:rsidRDefault="00614438" w:rsidP="00AA7A53">
            <w:pPr>
              <w:numPr>
                <w:ilvl w:val="0"/>
                <w:numId w:val="79"/>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 leading to the respective GHG emission reduction)</w:t>
            </w:r>
          </w:p>
          <w:p w14:paraId="1852071A" w14:textId="77777777" w:rsidR="00614438" w:rsidRPr="00AA7A53" w:rsidRDefault="00614438" w:rsidP="00AA7A53">
            <w:pPr>
              <w:numPr>
                <w:ilvl w:val="0"/>
                <w:numId w:val="79"/>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w:t>
            </w:r>
            <w:r w:rsidR="00A57679" w:rsidRPr="00AA7A53">
              <w:rPr>
                <w:rFonts w:ascii="Times New Roman" w:hAnsi="Times New Roman" w:cs="Times New Roman"/>
                <w:sz w:val="20"/>
                <w:szCs w:val="20"/>
              </w:rPr>
              <w:t>,</w:t>
            </w:r>
            <w:r w:rsidRPr="00AA7A53">
              <w:rPr>
                <w:rFonts w:ascii="Times New Roman" w:hAnsi="Times New Roman" w:cs="Times New Roman"/>
                <w:sz w:val="20"/>
                <w:szCs w:val="20"/>
              </w:rPr>
              <w:t xml:space="preserve"> reducing energy import dependency from third countries)</w:t>
            </w:r>
          </w:p>
        </w:tc>
      </w:tr>
      <w:tr w:rsidR="00614438" w:rsidRPr="00AA7A53" w14:paraId="2E1176C8" w14:textId="77777777" w:rsidTr="00614438">
        <w:trPr>
          <w:gridAfter w:val="1"/>
          <w:wAfter w:w="222" w:type="dxa"/>
          <w:trHeight w:val="458"/>
        </w:trPr>
        <w:tc>
          <w:tcPr>
            <w:tcW w:w="3318" w:type="dxa"/>
            <w:vMerge w:val="restart"/>
            <w:tcBorders>
              <w:top w:val="nil"/>
              <w:left w:val="single" w:sz="8" w:space="0" w:color="auto"/>
              <w:bottom w:val="single" w:sz="8" w:space="0" w:color="000000"/>
              <w:right w:val="single" w:sz="8" w:space="0" w:color="auto"/>
            </w:tcBorders>
            <w:shd w:val="clear" w:color="auto" w:fill="244062"/>
            <w:vAlign w:val="center"/>
            <w:hideMark/>
          </w:tcPr>
          <w:p w14:paraId="49C3EA9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C0BEBA9" w14:textId="77777777" w:rsidR="00614438" w:rsidRPr="00AA7A53" w:rsidRDefault="00614438" w:rsidP="00AA7A53">
            <w:pPr>
              <w:numPr>
                <w:ilvl w:val="0"/>
                <w:numId w:val="79"/>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2012/27</w:t>
            </w:r>
            <w:r w:rsidR="00A57679" w:rsidRPr="00AA7A53">
              <w:rPr>
                <w:rFonts w:ascii="Times New Roman" w:hAnsi="Times New Roman" w:cs="Times New Roman"/>
                <w:sz w:val="20"/>
                <w:szCs w:val="20"/>
              </w:rPr>
              <w:t>/EU</w:t>
            </w:r>
          </w:p>
          <w:p w14:paraId="705CAACD" w14:textId="77777777" w:rsidR="00614438" w:rsidRPr="00AA7A53" w:rsidRDefault="00614438" w:rsidP="00AA7A53">
            <w:pPr>
              <w:numPr>
                <w:ilvl w:val="0"/>
                <w:numId w:val="79"/>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2018/2002</w:t>
            </w:r>
            <w:r w:rsidR="00A57679" w:rsidRPr="00AA7A53">
              <w:rPr>
                <w:rFonts w:ascii="Times New Roman" w:hAnsi="Times New Roman" w:cs="Times New Roman"/>
                <w:sz w:val="20"/>
                <w:szCs w:val="20"/>
              </w:rPr>
              <w:t>/EU</w:t>
            </w:r>
          </w:p>
        </w:tc>
      </w:tr>
      <w:tr w:rsidR="00614438" w:rsidRPr="00AA7A53" w14:paraId="53BB61C4"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6F069751"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AE7F543"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5FB8E879"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F4E3FD8"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56A2870D"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423D850"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5E2E3FB1"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6F1796DA" w14:textId="77777777" w:rsidTr="00614438">
        <w:trPr>
          <w:trHeight w:val="443"/>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67F4137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0" w:type="dxa"/>
            <w:gridSpan w:val="3"/>
            <w:tcBorders>
              <w:top w:val="single" w:sz="8" w:space="0" w:color="auto"/>
              <w:left w:val="nil"/>
              <w:bottom w:val="single" w:sz="8" w:space="0" w:color="auto"/>
              <w:right w:val="single" w:sz="8" w:space="0" w:color="000000"/>
            </w:tcBorders>
            <w:vAlign w:val="center"/>
            <w:hideMark/>
          </w:tcPr>
          <w:p w14:paraId="199AA4F4" w14:textId="77777777" w:rsidR="00614438" w:rsidRPr="00AA7A53" w:rsidRDefault="00614438" w:rsidP="00AA7A53">
            <w:pPr>
              <w:spacing w:after="0"/>
              <w:jc w:val="both"/>
              <w:rPr>
                <w:rFonts w:ascii="Times New Roman" w:hAnsi="Times New Roman" w:cs="Times New Roman"/>
                <w:sz w:val="20"/>
                <w:szCs w:val="20"/>
              </w:rPr>
            </w:pPr>
          </w:p>
        </w:tc>
        <w:tc>
          <w:tcPr>
            <w:tcW w:w="222" w:type="dxa"/>
            <w:vAlign w:val="center"/>
            <w:hideMark/>
          </w:tcPr>
          <w:p w14:paraId="5CB6E26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705929E" w14:textId="77777777" w:rsidTr="00614438">
        <w:trPr>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77030D7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0" w:type="dxa"/>
            <w:gridSpan w:val="3"/>
            <w:tcBorders>
              <w:top w:val="single" w:sz="8" w:space="0" w:color="auto"/>
              <w:left w:val="nil"/>
              <w:bottom w:val="single" w:sz="8" w:space="0" w:color="auto"/>
              <w:right w:val="single" w:sz="8" w:space="0" w:color="000000"/>
            </w:tcBorders>
            <w:vAlign w:val="center"/>
            <w:hideMark/>
          </w:tcPr>
          <w:p w14:paraId="4B27D01D" w14:textId="77777777" w:rsidR="00614438" w:rsidRPr="00AA7A53" w:rsidRDefault="00A57679"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Will b</w:t>
            </w:r>
            <w:r w:rsidR="00614438" w:rsidRPr="00AA7A53">
              <w:rPr>
                <w:rFonts w:ascii="Times New Roman" w:hAnsi="Times New Roman" w:cs="Times New Roman"/>
                <w:sz w:val="20"/>
                <w:szCs w:val="20"/>
                <w:lang w:val="en-GB"/>
              </w:rPr>
              <w:t>e integrated into PM_EE10, PM_EE12 and PM_EE14</w:t>
            </w:r>
          </w:p>
        </w:tc>
        <w:tc>
          <w:tcPr>
            <w:tcW w:w="222" w:type="dxa"/>
            <w:vAlign w:val="center"/>
            <w:hideMark/>
          </w:tcPr>
          <w:p w14:paraId="5167D28F"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0B1DBC0" w14:textId="77777777" w:rsidTr="00614438">
        <w:trPr>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4BD662A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0" w:type="dxa"/>
            <w:gridSpan w:val="3"/>
            <w:tcBorders>
              <w:top w:val="single" w:sz="8" w:space="0" w:color="auto"/>
              <w:left w:val="nil"/>
              <w:bottom w:val="single" w:sz="8" w:space="0" w:color="auto"/>
              <w:right w:val="single" w:sz="8" w:space="0" w:color="000000"/>
            </w:tcBorders>
            <w:vAlign w:val="center"/>
            <w:hideMark/>
          </w:tcPr>
          <w:p w14:paraId="7A92B34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own funds</w:t>
            </w:r>
          </w:p>
        </w:tc>
        <w:tc>
          <w:tcPr>
            <w:tcW w:w="222" w:type="dxa"/>
            <w:vAlign w:val="center"/>
            <w:hideMark/>
          </w:tcPr>
          <w:p w14:paraId="68F456C6" w14:textId="77777777" w:rsidR="00614438" w:rsidRPr="00AA7A53" w:rsidRDefault="00614438" w:rsidP="00AA7A53">
            <w:pPr>
              <w:spacing w:after="0"/>
              <w:jc w:val="both"/>
              <w:rPr>
                <w:rFonts w:ascii="Times New Roman" w:hAnsi="Times New Roman" w:cs="Times New Roman"/>
                <w:sz w:val="20"/>
                <w:szCs w:val="20"/>
                <w:lang w:val="en-GB"/>
              </w:rPr>
            </w:pPr>
          </w:p>
        </w:tc>
      </w:tr>
    </w:tbl>
    <w:p w14:paraId="424804DB"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96"/>
        <w:gridCol w:w="1050"/>
        <w:gridCol w:w="940"/>
        <w:gridCol w:w="4172"/>
        <w:gridCol w:w="222"/>
      </w:tblGrid>
      <w:tr w:rsidR="00614438" w:rsidRPr="00AA7A53" w14:paraId="302456EF" w14:textId="77777777" w:rsidTr="00614438">
        <w:trPr>
          <w:gridAfter w:val="1"/>
          <w:wAfter w:w="222" w:type="dxa"/>
          <w:trHeight w:val="780"/>
        </w:trPr>
        <w:tc>
          <w:tcPr>
            <w:tcW w:w="331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5FEF109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Policy measure code:</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715B42C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PM_EE12</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551E67D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1" w:type="dxa"/>
            <w:tcBorders>
              <w:top w:val="single" w:sz="8" w:space="0" w:color="auto"/>
              <w:left w:val="nil"/>
              <w:bottom w:val="single" w:sz="8" w:space="0" w:color="auto"/>
              <w:right w:val="single" w:sz="8" w:space="0" w:color="auto"/>
            </w:tcBorders>
            <w:shd w:val="clear" w:color="auto" w:fill="E7E6E6" w:themeFill="background2"/>
            <w:vAlign w:val="center"/>
            <w:hideMark/>
          </w:tcPr>
          <w:p w14:paraId="0A81C9B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programs for the promotion of energy efficiency passenger vehicles</w:t>
            </w:r>
          </w:p>
        </w:tc>
      </w:tr>
      <w:tr w:rsidR="00614438" w:rsidRPr="00AA7A53" w14:paraId="6FEF4A49" w14:textId="77777777" w:rsidTr="00614438">
        <w:trPr>
          <w:gridAfter w:val="1"/>
          <w:wAfter w:w="222" w:type="dxa"/>
          <w:trHeight w:val="960"/>
        </w:trPr>
        <w:tc>
          <w:tcPr>
            <w:tcW w:w="3317" w:type="dxa"/>
            <w:tcBorders>
              <w:top w:val="nil"/>
              <w:left w:val="single" w:sz="8" w:space="0" w:color="auto"/>
              <w:bottom w:val="single" w:sz="8" w:space="0" w:color="auto"/>
              <w:right w:val="nil"/>
            </w:tcBorders>
            <w:shd w:val="clear" w:color="auto" w:fill="244062"/>
            <w:vAlign w:val="center"/>
            <w:hideMark/>
          </w:tcPr>
          <w:p w14:paraId="7D27E66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Main objective:</w:t>
            </w:r>
          </w:p>
        </w:tc>
        <w:tc>
          <w:tcPr>
            <w:tcW w:w="6141" w:type="dxa"/>
            <w:gridSpan w:val="3"/>
            <w:tcBorders>
              <w:top w:val="single" w:sz="8" w:space="0" w:color="auto"/>
              <w:left w:val="nil"/>
              <w:bottom w:val="single" w:sz="8" w:space="0" w:color="auto"/>
              <w:right w:val="single" w:sz="8" w:space="0" w:color="000000"/>
            </w:tcBorders>
            <w:vAlign w:val="center"/>
            <w:hideMark/>
          </w:tcPr>
          <w:p w14:paraId="7EBF574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 as amended by Directive (EU) 2018/2002:</w:t>
            </w:r>
          </w:p>
          <w:p w14:paraId="0D8553A2" w14:textId="77777777" w:rsidR="00614438" w:rsidRPr="00AA7A53" w:rsidRDefault="00614438" w:rsidP="00AA7A53">
            <w:pPr>
              <w:numPr>
                <w:ilvl w:val="0"/>
                <w:numId w:val="80"/>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4EE630E9" w14:textId="77777777" w:rsidR="00614438" w:rsidRPr="00AA7A53" w:rsidRDefault="00614438" w:rsidP="00AA7A53">
            <w:pPr>
              <w:numPr>
                <w:ilvl w:val="0"/>
                <w:numId w:val="80"/>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tc>
      </w:tr>
      <w:tr w:rsidR="00614438" w:rsidRPr="00AA7A53" w14:paraId="38D02CE6"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4A01C51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Quantified objective:</w:t>
            </w:r>
          </w:p>
        </w:tc>
        <w:tc>
          <w:tcPr>
            <w:tcW w:w="6141" w:type="dxa"/>
            <w:gridSpan w:val="3"/>
            <w:tcBorders>
              <w:top w:val="single" w:sz="8" w:space="0" w:color="auto"/>
              <w:left w:val="nil"/>
              <w:bottom w:val="single" w:sz="8" w:space="0" w:color="auto"/>
              <w:right w:val="single" w:sz="8" w:space="0" w:color="000000"/>
            </w:tcBorders>
            <w:vAlign w:val="center"/>
            <w:hideMark/>
          </w:tcPr>
          <w:p w14:paraId="40F2AC7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20.5 thousand electric vehicles (final energy savings 9 ktoe)</w:t>
            </w:r>
          </w:p>
        </w:tc>
      </w:tr>
      <w:tr w:rsidR="00614438" w:rsidRPr="00AA7A53" w14:paraId="78772CAB" w14:textId="77777777" w:rsidTr="00614438">
        <w:trPr>
          <w:gridAfter w:val="1"/>
          <w:wAfter w:w="222" w:type="dxa"/>
          <w:trHeight w:val="1201"/>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2557463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1" w:type="dxa"/>
            <w:gridSpan w:val="3"/>
            <w:tcBorders>
              <w:top w:val="single" w:sz="8" w:space="0" w:color="auto"/>
              <w:left w:val="nil"/>
              <w:bottom w:val="single" w:sz="8" w:space="0" w:color="auto"/>
              <w:right w:val="single" w:sz="8" w:space="0" w:color="000000"/>
            </w:tcBorders>
            <w:vAlign w:val="center"/>
            <w:hideMark/>
          </w:tcPr>
          <w:p w14:paraId="202CF9C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PM_EE12 will provide subsidies for the purchase of energy efficient passenger vehicles </w:t>
            </w:r>
            <w:r w:rsidR="004424FA" w:rsidRPr="00AA7A53">
              <w:rPr>
                <w:rFonts w:ascii="Times New Roman" w:hAnsi="Times New Roman" w:cs="Times New Roman"/>
                <w:sz w:val="20"/>
                <w:szCs w:val="20"/>
                <w:lang w:val="en-GB"/>
              </w:rPr>
              <w:t>in order</w:t>
            </w:r>
            <w:r w:rsidRPr="00AA7A53">
              <w:rPr>
                <w:rFonts w:ascii="Times New Roman" w:hAnsi="Times New Roman" w:cs="Times New Roman"/>
                <w:sz w:val="20"/>
                <w:szCs w:val="20"/>
                <w:lang w:val="en-GB"/>
              </w:rPr>
              <w:t xml:space="preserve"> to replace conventional ones in the case that the fiscal measures are not sufficient </w:t>
            </w:r>
            <w:r w:rsidR="004424FA" w:rsidRPr="00AA7A53">
              <w:rPr>
                <w:rFonts w:ascii="Times New Roman" w:hAnsi="Times New Roman" w:cs="Times New Roman"/>
                <w:sz w:val="20"/>
                <w:szCs w:val="20"/>
                <w:lang w:val="en-GB"/>
              </w:rPr>
              <w:t>for</w:t>
            </w:r>
            <w:r w:rsidRPr="00AA7A53">
              <w:rPr>
                <w:rFonts w:ascii="Times New Roman" w:hAnsi="Times New Roman" w:cs="Times New Roman"/>
                <w:sz w:val="20"/>
                <w:szCs w:val="20"/>
                <w:lang w:val="en-GB"/>
              </w:rPr>
              <w:t xml:space="preserve"> the fulfilment of the established targets. The provided subsidies will consider as eligible the vehicles that consume alternative fuels.</w:t>
            </w:r>
          </w:p>
        </w:tc>
      </w:tr>
      <w:tr w:rsidR="00614438" w:rsidRPr="00AA7A53" w14:paraId="2551B07E"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0EF9931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1" w:type="dxa"/>
            <w:gridSpan w:val="3"/>
            <w:tcBorders>
              <w:top w:val="single" w:sz="8" w:space="0" w:color="auto"/>
              <w:left w:val="nil"/>
              <w:bottom w:val="single" w:sz="8" w:space="0" w:color="auto"/>
              <w:right w:val="single" w:sz="8" w:space="0" w:color="000000"/>
            </w:tcBorders>
            <w:vAlign w:val="center"/>
            <w:hideMark/>
          </w:tcPr>
          <w:p w14:paraId="178D5DB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13867C5B"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49EC984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1" w:type="dxa"/>
            <w:gridSpan w:val="3"/>
            <w:tcBorders>
              <w:top w:val="single" w:sz="8" w:space="0" w:color="auto"/>
              <w:left w:val="nil"/>
              <w:bottom w:val="single" w:sz="8" w:space="0" w:color="auto"/>
              <w:right w:val="single" w:sz="8" w:space="0" w:color="000000"/>
            </w:tcBorders>
            <w:vAlign w:val="center"/>
            <w:hideMark/>
          </w:tcPr>
          <w:p w14:paraId="149AD91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2624B37E"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295D695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1" w:type="dxa"/>
            <w:gridSpan w:val="3"/>
            <w:tcBorders>
              <w:top w:val="single" w:sz="8" w:space="0" w:color="auto"/>
              <w:left w:val="nil"/>
              <w:bottom w:val="single" w:sz="8" w:space="0" w:color="auto"/>
              <w:right w:val="single" w:sz="8" w:space="0" w:color="000000"/>
            </w:tcBorders>
            <w:vAlign w:val="center"/>
            <w:hideMark/>
          </w:tcPr>
          <w:p w14:paraId="7F9F87A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Transport</w:t>
            </w:r>
          </w:p>
        </w:tc>
      </w:tr>
      <w:tr w:rsidR="00614438" w:rsidRPr="00AA7A53" w14:paraId="338E45AE"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6906B2B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41036E20"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3BA49253"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environmental protection</w:t>
            </w:r>
          </w:p>
        </w:tc>
      </w:tr>
      <w:tr w:rsidR="00614438" w:rsidRPr="00AA7A53" w14:paraId="35FD78FC"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741401A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3E900430"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160ADEF5"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5817235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1" w:type="dxa"/>
            <w:gridSpan w:val="3"/>
            <w:tcBorders>
              <w:top w:val="single" w:sz="8" w:space="0" w:color="auto"/>
              <w:left w:val="nil"/>
              <w:bottom w:val="single" w:sz="8" w:space="0" w:color="auto"/>
              <w:right w:val="single" w:sz="8" w:space="0" w:color="000000"/>
            </w:tcBorders>
            <w:vAlign w:val="center"/>
            <w:hideMark/>
          </w:tcPr>
          <w:p w14:paraId="0AB327CF"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Number of passenger vehicles </w:t>
            </w:r>
          </w:p>
        </w:tc>
      </w:tr>
      <w:tr w:rsidR="00614438" w:rsidRPr="00AA7A53" w14:paraId="635DC9B0" w14:textId="77777777" w:rsidTr="00614438">
        <w:trPr>
          <w:gridAfter w:val="1"/>
          <w:wAfter w:w="222" w:type="dxa"/>
          <w:trHeight w:val="291"/>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3A181DA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Other relevant Energy Union dimension(s) affected</w:t>
            </w:r>
          </w:p>
        </w:tc>
        <w:tc>
          <w:tcPr>
            <w:tcW w:w="6141" w:type="dxa"/>
            <w:gridSpan w:val="3"/>
            <w:tcBorders>
              <w:top w:val="single" w:sz="8" w:space="0" w:color="auto"/>
              <w:left w:val="nil"/>
              <w:bottom w:val="single" w:sz="8" w:space="0" w:color="auto"/>
              <w:right w:val="single" w:sz="8" w:space="0" w:color="000000"/>
            </w:tcBorders>
            <w:vAlign w:val="center"/>
            <w:hideMark/>
          </w:tcPr>
          <w:p w14:paraId="4A36F998" w14:textId="77777777" w:rsidR="00614438" w:rsidRPr="00AA7A53" w:rsidRDefault="00614438" w:rsidP="00AA7A53">
            <w:pPr>
              <w:numPr>
                <w:ilvl w:val="0"/>
                <w:numId w:val="81"/>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Decarbonisation (the delivered energy savings will decrease the consumed quantities of fossil fuels leading to the respective GHG emission reduction </w:t>
            </w:r>
            <w:r w:rsidR="004424FA"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promoted electric vehicles will increase the RES share in transport)</w:t>
            </w:r>
          </w:p>
          <w:p w14:paraId="3A121935" w14:textId="77777777" w:rsidR="00614438" w:rsidRPr="00AA7A53" w:rsidRDefault="00614438" w:rsidP="00AA7A53">
            <w:pPr>
              <w:numPr>
                <w:ilvl w:val="0"/>
                <w:numId w:val="81"/>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16465EF7" w14:textId="77777777" w:rsidTr="00614438">
        <w:trPr>
          <w:gridAfter w:val="1"/>
          <w:wAfter w:w="222" w:type="dxa"/>
          <w:trHeight w:val="458"/>
        </w:trPr>
        <w:tc>
          <w:tcPr>
            <w:tcW w:w="3317" w:type="dxa"/>
            <w:vMerge w:val="restart"/>
            <w:tcBorders>
              <w:top w:val="nil"/>
              <w:left w:val="single" w:sz="8" w:space="0" w:color="auto"/>
              <w:bottom w:val="single" w:sz="8" w:space="0" w:color="000000"/>
              <w:right w:val="single" w:sz="8" w:space="0" w:color="auto"/>
            </w:tcBorders>
            <w:shd w:val="clear" w:color="auto" w:fill="244062"/>
            <w:vAlign w:val="center"/>
            <w:hideMark/>
          </w:tcPr>
          <w:p w14:paraId="200F511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06A58A6A" w14:textId="77777777" w:rsidR="00614438" w:rsidRPr="00AA7A53" w:rsidRDefault="00614438" w:rsidP="00AA7A53">
            <w:pPr>
              <w:numPr>
                <w:ilvl w:val="0"/>
                <w:numId w:val="81"/>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17BBAF72" w14:textId="77777777" w:rsidR="00614438" w:rsidRPr="00AA7A53" w:rsidRDefault="00614438" w:rsidP="00AA7A53">
            <w:pPr>
              <w:numPr>
                <w:ilvl w:val="0"/>
                <w:numId w:val="81"/>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7D008E0A"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24B5E633"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14CFC67"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317BFF5E"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99893E5"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19560E1F"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56871BD"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62E01528"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7C714EC0" w14:textId="77777777" w:rsidTr="00614438">
        <w:trPr>
          <w:trHeight w:val="480"/>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7D6E956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1" w:type="dxa"/>
            <w:gridSpan w:val="3"/>
            <w:tcBorders>
              <w:top w:val="single" w:sz="8" w:space="0" w:color="auto"/>
              <w:left w:val="nil"/>
              <w:bottom w:val="single" w:sz="8" w:space="0" w:color="auto"/>
              <w:right w:val="single" w:sz="8" w:space="0" w:color="000000"/>
            </w:tcBorders>
            <w:vAlign w:val="center"/>
            <w:hideMark/>
          </w:tcPr>
          <w:p w14:paraId="166668C3" w14:textId="77777777" w:rsidR="00614438" w:rsidRPr="00AA7A53" w:rsidRDefault="00614438" w:rsidP="00AA7A53">
            <w:pPr>
              <w:numPr>
                <w:ilvl w:val="0"/>
                <w:numId w:val="81"/>
              </w:numPr>
              <w:spacing w:after="0"/>
              <w:jc w:val="both"/>
              <w:rPr>
                <w:rFonts w:ascii="Times New Roman" w:hAnsi="Times New Roman" w:cs="Times New Roman"/>
                <w:sz w:val="20"/>
                <w:szCs w:val="20"/>
              </w:rPr>
            </w:pPr>
            <w:r w:rsidRPr="00AA7A53">
              <w:rPr>
                <w:rFonts w:ascii="Times New Roman" w:hAnsi="Times New Roman" w:cs="Times New Roman"/>
                <w:sz w:val="20"/>
                <w:szCs w:val="20"/>
              </w:rPr>
              <w:t>Strategy Implementation Programme (2017)</w:t>
            </w:r>
          </w:p>
        </w:tc>
        <w:tc>
          <w:tcPr>
            <w:tcW w:w="222" w:type="dxa"/>
            <w:vAlign w:val="center"/>
            <w:hideMark/>
          </w:tcPr>
          <w:p w14:paraId="71CDBA4F"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E1952CD"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21E704E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1" w:type="dxa"/>
            <w:gridSpan w:val="3"/>
            <w:tcBorders>
              <w:top w:val="single" w:sz="8" w:space="0" w:color="auto"/>
              <w:left w:val="nil"/>
              <w:bottom w:val="single" w:sz="8" w:space="0" w:color="auto"/>
              <w:right w:val="single" w:sz="8" w:space="0" w:color="000000"/>
            </w:tcBorders>
            <w:vAlign w:val="center"/>
            <w:hideMark/>
          </w:tcPr>
          <w:p w14:paraId="36B2D938" w14:textId="77777777" w:rsidR="00614438" w:rsidRPr="00AA7A53" w:rsidRDefault="00614438" w:rsidP="00AA7A53">
            <w:pPr>
              <w:spacing w:after="0"/>
              <w:jc w:val="both"/>
              <w:rPr>
                <w:rFonts w:ascii="Times New Roman" w:hAnsi="Times New Roman" w:cs="Times New Roman"/>
                <w:sz w:val="20"/>
                <w:szCs w:val="20"/>
                <w:lang w:val="en-GB"/>
              </w:rPr>
            </w:pPr>
            <w:bookmarkStart w:id="147" w:name="_Hlk152489897"/>
            <w:r w:rsidRPr="00AA7A53">
              <w:rPr>
                <w:rFonts w:ascii="Times New Roman" w:hAnsi="Times New Roman" w:cs="Times New Roman"/>
                <w:sz w:val="20"/>
                <w:szCs w:val="20"/>
                <w:lang w:val="en-GB"/>
              </w:rPr>
              <w:t>570 M€</w:t>
            </w:r>
            <w:bookmarkEnd w:id="147"/>
          </w:p>
        </w:tc>
        <w:tc>
          <w:tcPr>
            <w:tcW w:w="222" w:type="dxa"/>
            <w:vAlign w:val="center"/>
            <w:hideMark/>
          </w:tcPr>
          <w:p w14:paraId="06441D0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DBE7843"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2C8A7F7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1" w:type="dxa"/>
            <w:gridSpan w:val="3"/>
            <w:tcBorders>
              <w:top w:val="single" w:sz="8" w:space="0" w:color="auto"/>
              <w:left w:val="nil"/>
              <w:bottom w:val="single" w:sz="8" w:space="0" w:color="auto"/>
              <w:right w:val="single" w:sz="8" w:space="0" w:color="000000"/>
            </w:tcBorders>
            <w:vAlign w:val="center"/>
            <w:hideMark/>
          </w:tcPr>
          <w:p w14:paraId="58485E1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6B4E1668" w14:textId="77777777" w:rsidR="00614438" w:rsidRPr="00AA7A53" w:rsidRDefault="00614438" w:rsidP="00AA7A53">
            <w:pPr>
              <w:spacing w:after="0"/>
              <w:jc w:val="both"/>
              <w:rPr>
                <w:rFonts w:ascii="Times New Roman" w:hAnsi="Times New Roman" w:cs="Times New Roman"/>
                <w:sz w:val="20"/>
                <w:szCs w:val="20"/>
                <w:lang w:val="en-GB"/>
              </w:rPr>
            </w:pPr>
          </w:p>
        </w:tc>
      </w:tr>
    </w:tbl>
    <w:p w14:paraId="7F186C24"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90"/>
        <w:gridCol w:w="1050"/>
        <w:gridCol w:w="939"/>
        <w:gridCol w:w="4179"/>
        <w:gridCol w:w="222"/>
      </w:tblGrid>
      <w:tr w:rsidR="00614438" w:rsidRPr="00AA7A53" w14:paraId="1200C59E" w14:textId="77777777" w:rsidTr="00614438">
        <w:trPr>
          <w:gridAfter w:val="1"/>
          <w:wAfter w:w="222" w:type="dxa"/>
          <w:trHeight w:val="780"/>
        </w:trPr>
        <w:tc>
          <w:tcPr>
            <w:tcW w:w="3313"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66F99E0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Policy measure code:</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11317E6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PM_EE13</w:t>
            </w:r>
          </w:p>
        </w:tc>
        <w:tc>
          <w:tcPr>
            <w:tcW w:w="943" w:type="dxa"/>
            <w:tcBorders>
              <w:top w:val="single" w:sz="8" w:space="0" w:color="auto"/>
              <w:left w:val="nil"/>
              <w:bottom w:val="single" w:sz="8" w:space="0" w:color="auto"/>
              <w:right w:val="single" w:sz="8" w:space="0" w:color="auto"/>
            </w:tcBorders>
            <w:shd w:val="clear" w:color="auto" w:fill="244062"/>
            <w:vAlign w:val="center"/>
            <w:hideMark/>
          </w:tcPr>
          <w:p w14:paraId="32CA8D1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6" w:type="dxa"/>
            <w:tcBorders>
              <w:top w:val="single" w:sz="8" w:space="0" w:color="auto"/>
              <w:left w:val="nil"/>
              <w:bottom w:val="single" w:sz="8" w:space="0" w:color="auto"/>
              <w:right w:val="single" w:sz="8" w:space="0" w:color="auto"/>
            </w:tcBorders>
            <w:shd w:val="clear" w:color="auto" w:fill="E7E6E6" w:themeFill="background2"/>
            <w:vAlign w:val="center"/>
            <w:hideMark/>
          </w:tcPr>
          <w:p w14:paraId="1F94294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Development of the required infrastructure for the promotion of alternative fuels</w:t>
            </w:r>
          </w:p>
        </w:tc>
      </w:tr>
      <w:tr w:rsidR="00614438" w:rsidRPr="00AA7A53" w14:paraId="13F17C64" w14:textId="77777777" w:rsidTr="00614438">
        <w:trPr>
          <w:gridAfter w:val="1"/>
          <w:wAfter w:w="222" w:type="dxa"/>
          <w:trHeight w:val="531"/>
        </w:trPr>
        <w:tc>
          <w:tcPr>
            <w:tcW w:w="3313" w:type="dxa"/>
            <w:tcBorders>
              <w:top w:val="nil"/>
              <w:left w:val="single" w:sz="8" w:space="0" w:color="auto"/>
              <w:bottom w:val="single" w:sz="8" w:space="0" w:color="auto"/>
              <w:right w:val="nil"/>
            </w:tcBorders>
            <w:shd w:val="clear" w:color="auto" w:fill="244062"/>
            <w:vAlign w:val="center"/>
            <w:hideMark/>
          </w:tcPr>
          <w:p w14:paraId="42A9E7A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Main objective:</w:t>
            </w:r>
          </w:p>
        </w:tc>
        <w:tc>
          <w:tcPr>
            <w:tcW w:w="6145" w:type="dxa"/>
            <w:gridSpan w:val="3"/>
            <w:tcBorders>
              <w:top w:val="single" w:sz="8" w:space="0" w:color="auto"/>
              <w:left w:val="nil"/>
              <w:bottom w:val="single" w:sz="8" w:space="0" w:color="auto"/>
              <w:right w:val="single" w:sz="8" w:space="0" w:color="000000"/>
            </w:tcBorders>
            <w:vAlign w:val="center"/>
            <w:hideMark/>
          </w:tcPr>
          <w:p w14:paraId="0B2A01A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 as amended by Directive (EU) 2018/2002:</w:t>
            </w:r>
          </w:p>
          <w:p w14:paraId="658D949E" w14:textId="77777777" w:rsidR="00614438" w:rsidRPr="00AA7A53" w:rsidRDefault="00614438" w:rsidP="00AA7A53">
            <w:pPr>
              <w:numPr>
                <w:ilvl w:val="0"/>
                <w:numId w:val="82"/>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038B5967" w14:textId="77777777" w:rsidR="00614438" w:rsidRPr="00AA7A53" w:rsidRDefault="00614438" w:rsidP="00AA7A53">
            <w:pPr>
              <w:numPr>
                <w:ilvl w:val="0"/>
                <w:numId w:val="82"/>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tc>
      </w:tr>
      <w:tr w:rsidR="00614438" w:rsidRPr="00AA7A53" w14:paraId="3331473D" w14:textId="77777777" w:rsidTr="00614438">
        <w:trPr>
          <w:gridAfter w:val="1"/>
          <w:wAfter w:w="222" w:type="dxa"/>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323DD61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Quantified objective:</w:t>
            </w:r>
          </w:p>
        </w:tc>
        <w:tc>
          <w:tcPr>
            <w:tcW w:w="6145" w:type="dxa"/>
            <w:gridSpan w:val="3"/>
            <w:tcBorders>
              <w:top w:val="single" w:sz="8" w:space="0" w:color="auto"/>
              <w:left w:val="nil"/>
              <w:bottom w:val="single" w:sz="8" w:space="0" w:color="auto"/>
              <w:right w:val="single" w:sz="8" w:space="0" w:color="000000"/>
            </w:tcBorders>
            <w:vAlign w:val="center"/>
            <w:hideMark/>
          </w:tcPr>
          <w:p w14:paraId="094B921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PM_EE10, PM_EE12 and PM_EE14</w:t>
            </w:r>
          </w:p>
        </w:tc>
      </w:tr>
      <w:tr w:rsidR="00614438" w:rsidRPr="00AA7A53" w14:paraId="6EA7D6E0" w14:textId="77777777" w:rsidTr="00614438">
        <w:trPr>
          <w:gridAfter w:val="1"/>
          <w:wAfter w:w="222" w:type="dxa"/>
          <w:trHeight w:val="147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0486CDC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5" w:type="dxa"/>
            <w:gridSpan w:val="3"/>
            <w:tcBorders>
              <w:top w:val="single" w:sz="8" w:space="0" w:color="auto"/>
              <w:left w:val="nil"/>
              <w:bottom w:val="single" w:sz="8" w:space="0" w:color="auto"/>
              <w:right w:val="single" w:sz="8" w:space="0" w:color="000000"/>
            </w:tcBorders>
            <w:vAlign w:val="center"/>
            <w:hideMark/>
          </w:tcPr>
          <w:p w14:paraId="4291CE6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PM_EE13 will promote the further penetration of alternative fuels with the development of the required infrastructure</w:t>
            </w:r>
            <w:r w:rsidR="004424FA" w:rsidRPr="00AA7A53">
              <w:rPr>
                <w:rFonts w:ascii="Times New Roman" w:hAnsi="Times New Roman" w:cs="Times New Roman"/>
                <w:sz w:val="20"/>
                <w:szCs w:val="20"/>
                <w:lang w:val="en-GB"/>
              </w:rPr>
              <w:t xml:space="preserve">, in </w:t>
            </w:r>
            <w:r w:rsidRPr="00AA7A53">
              <w:rPr>
                <w:rFonts w:ascii="Times New Roman" w:hAnsi="Times New Roman" w:cs="Times New Roman"/>
                <w:sz w:val="20"/>
                <w:szCs w:val="20"/>
                <w:lang w:val="en-GB"/>
              </w:rPr>
              <w:t xml:space="preserve"> accord</w:t>
            </w:r>
            <w:r w:rsidR="004424FA" w:rsidRPr="00AA7A53">
              <w:rPr>
                <w:rFonts w:ascii="Times New Roman" w:hAnsi="Times New Roman" w:cs="Times New Roman"/>
                <w:sz w:val="20"/>
                <w:szCs w:val="20"/>
                <w:lang w:val="en-GB"/>
              </w:rPr>
              <w:t>ance with</w:t>
            </w:r>
            <w:r w:rsidRPr="00AA7A53">
              <w:rPr>
                <w:rFonts w:ascii="Times New Roman" w:hAnsi="Times New Roman" w:cs="Times New Roman"/>
                <w:sz w:val="20"/>
                <w:szCs w:val="20"/>
                <w:lang w:val="en-GB"/>
              </w:rPr>
              <w:t xml:space="preserve"> the provisions of Directive 2014/94/EU. Especially for the case of electromobility, an electrification action plan for passenger and freight transport, roads and infrastructure will be compiled</w:t>
            </w:r>
            <w:r w:rsidR="004424FA"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emphasizing also the development of the legal framework and the exploitation of various financial instruments.</w:t>
            </w:r>
          </w:p>
        </w:tc>
      </w:tr>
      <w:tr w:rsidR="00614438" w:rsidRPr="00AA7A53" w14:paraId="4150C404" w14:textId="77777777" w:rsidTr="00614438">
        <w:trPr>
          <w:gridAfter w:val="1"/>
          <w:wAfter w:w="222" w:type="dxa"/>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37EB359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5" w:type="dxa"/>
            <w:gridSpan w:val="3"/>
            <w:tcBorders>
              <w:top w:val="single" w:sz="8" w:space="0" w:color="auto"/>
              <w:left w:val="nil"/>
              <w:bottom w:val="single" w:sz="8" w:space="0" w:color="auto"/>
              <w:right w:val="single" w:sz="8" w:space="0" w:color="000000"/>
            </w:tcBorders>
            <w:vAlign w:val="center"/>
            <w:hideMark/>
          </w:tcPr>
          <w:p w14:paraId="55733F5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78A0A07B" w14:textId="77777777" w:rsidTr="00614438">
        <w:trPr>
          <w:gridAfter w:val="1"/>
          <w:wAfter w:w="222" w:type="dxa"/>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527CB32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5" w:type="dxa"/>
            <w:gridSpan w:val="3"/>
            <w:tcBorders>
              <w:top w:val="single" w:sz="8" w:space="0" w:color="auto"/>
              <w:left w:val="nil"/>
              <w:bottom w:val="single" w:sz="8" w:space="0" w:color="auto"/>
              <w:right w:val="single" w:sz="8" w:space="0" w:color="000000"/>
            </w:tcBorders>
            <w:vAlign w:val="center"/>
            <w:hideMark/>
          </w:tcPr>
          <w:p w14:paraId="14F0E57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34BAF466" w14:textId="77777777" w:rsidTr="00614438">
        <w:trPr>
          <w:gridAfter w:val="1"/>
          <w:wAfter w:w="222" w:type="dxa"/>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4539981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5" w:type="dxa"/>
            <w:gridSpan w:val="3"/>
            <w:tcBorders>
              <w:top w:val="single" w:sz="8" w:space="0" w:color="auto"/>
              <w:left w:val="nil"/>
              <w:bottom w:val="single" w:sz="8" w:space="0" w:color="auto"/>
              <w:right w:val="single" w:sz="8" w:space="0" w:color="000000"/>
            </w:tcBorders>
            <w:vAlign w:val="center"/>
            <w:hideMark/>
          </w:tcPr>
          <w:p w14:paraId="4D8CFC6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Transport</w:t>
            </w:r>
          </w:p>
        </w:tc>
      </w:tr>
      <w:tr w:rsidR="00614438" w:rsidRPr="00AA7A53" w14:paraId="063E5C3B" w14:textId="77777777" w:rsidTr="00614438">
        <w:trPr>
          <w:gridAfter w:val="1"/>
          <w:wAfter w:w="222" w:type="dxa"/>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033EBAC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5" w:type="dxa"/>
            <w:gridSpan w:val="3"/>
            <w:tcBorders>
              <w:top w:val="single" w:sz="8" w:space="0" w:color="auto"/>
              <w:left w:val="nil"/>
              <w:bottom w:val="single" w:sz="8" w:space="0" w:color="auto"/>
              <w:right w:val="single" w:sz="8" w:space="0" w:color="000000"/>
            </w:tcBorders>
            <w:vAlign w:val="center"/>
            <w:hideMark/>
          </w:tcPr>
          <w:p w14:paraId="188F65D1"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5041C564"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tc>
      </w:tr>
      <w:tr w:rsidR="00614438" w:rsidRPr="00AA7A53" w14:paraId="60EA19D6" w14:textId="77777777" w:rsidTr="00614438">
        <w:trPr>
          <w:gridAfter w:val="1"/>
          <w:wAfter w:w="222" w:type="dxa"/>
          <w:trHeight w:val="315"/>
        </w:trPr>
        <w:tc>
          <w:tcPr>
            <w:tcW w:w="3313" w:type="dxa"/>
            <w:tcBorders>
              <w:top w:val="nil"/>
              <w:left w:val="single" w:sz="8" w:space="0" w:color="auto"/>
              <w:bottom w:val="single" w:sz="8" w:space="0" w:color="auto"/>
              <w:right w:val="nil"/>
            </w:tcBorders>
            <w:shd w:val="clear" w:color="auto" w:fill="244062"/>
            <w:vAlign w:val="center"/>
            <w:hideMark/>
          </w:tcPr>
          <w:p w14:paraId="2165012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5" w:type="dxa"/>
            <w:gridSpan w:val="3"/>
            <w:tcBorders>
              <w:top w:val="single" w:sz="8" w:space="0" w:color="auto"/>
              <w:left w:val="nil"/>
              <w:bottom w:val="single" w:sz="8" w:space="0" w:color="auto"/>
              <w:right w:val="single" w:sz="8" w:space="0" w:color="000000"/>
            </w:tcBorders>
            <w:vAlign w:val="center"/>
            <w:hideMark/>
          </w:tcPr>
          <w:p w14:paraId="3AEAE899"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273F74E5" w14:textId="77777777" w:rsidTr="00614438">
        <w:trPr>
          <w:gridAfter w:val="1"/>
          <w:wAfter w:w="222" w:type="dxa"/>
          <w:trHeight w:val="315"/>
        </w:trPr>
        <w:tc>
          <w:tcPr>
            <w:tcW w:w="3313" w:type="dxa"/>
            <w:tcBorders>
              <w:top w:val="nil"/>
              <w:left w:val="single" w:sz="8" w:space="0" w:color="auto"/>
              <w:bottom w:val="single" w:sz="8" w:space="0" w:color="auto"/>
              <w:right w:val="nil"/>
            </w:tcBorders>
            <w:shd w:val="clear" w:color="auto" w:fill="244062"/>
            <w:vAlign w:val="center"/>
            <w:hideMark/>
          </w:tcPr>
          <w:p w14:paraId="0FEE01E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5" w:type="dxa"/>
            <w:gridSpan w:val="3"/>
            <w:tcBorders>
              <w:top w:val="single" w:sz="8" w:space="0" w:color="auto"/>
              <w:left w:val="nil"/>
              <w:bottom w:val="single" w:sz="8" w:space="0" w:color="auto"/>
              <w:right w:val="single" w:sz="8" w:space="0" w:color="000000"/>
            </w:tcBorders>
            <w:vAlign w:val="center"/>
            <w:hideMark/>
          </w:tcPr>
          <w:p w14:paraId="38CCE379"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Number of infrastructures</w:t>
            </w:r>
          </w:p>
        </w:tc>
      </w:tr>
      <w:tr w:rsidR="00614438" w:rsidRPr="00AA7A53" w14:paraId="4B68A994" w14:textId="77777777" w:rsidTr="00614438">
        <w:trPr>
          <w:gridAfter w:val="1"/>
          <w:wAfter w:w="222" w:type="dxa"/>
          <w:trHeight w:val="287"/>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48744A2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5" w:type="dxa"/>
            <w:gridSpan w:val="3"/>
            <w:tcBorders>
              <w:top w:val="single" w:sz="8" w:space="0" w:color="auto"/>
              <w:left w:val="nil"/>
              <w:bottom w:val="single" w:sz="8" w:space="0" w:color="auto"/>
              <w:right w:val="single" w:sz="8" w:space="0" w:color="000000"/>
            </w:tcBorders>
            <w:vAlign w:val="center"/>
            <w:hideMark/>
          </w:tcPr>
          <w:p w14:paraId="304DDFFC" w14:textId="77777777" w:rsidR="00614438" w:rsidRPr="00AA7A53" w:rsidRDefault="00614438" w:rsidP="00AA7A53">
            <w:pPr>
              <w:numPr>
                <w:ilvl w:val="0"/>
                <w:numId w:val="83"/>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Decarbonisation (the delivered energy savings will decrease the consumed quantities of fossil fuels leading to the respective GHG emission reduction </w:t>
            </w:r>
            <w:r w:rsidR="00214003"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promoted electric vehicles will increase the RES share in transport)</w:t>
            </w:r>
          </w:p>
          <w:p w14:paraId="36969F43" w14:textId="77777777" w:rsidR="00614438" w:rsidRPr="00AA7A53" w:rsidRDefault="00614438" w:rsidP="00AA7A53">
            <w:pPr>
              <w:numPr>
                <w:ilvl w:val="0"/>
                <w:numId w:val="83"/>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6410DFAB" w14:textId="77777777" w:rsidTr="00614438">
        <w:trPr>
          <w:gridAfter w:val="1"/>
          <w:wAfter w:w="222" w:type="dxa"/>
          <w:trHeight w:val="458"/>
        </w:trPr>
        <w:tc>
          <w:tcPr>
            <w:tcW w:w="3313" w:type="dxa"/>
            <w:vMerge w:val="restart"/>
            <w:tcBorders>
              <w:top w:val="nil"/>
              <w:left w:val="single" w:sz="8" w:space="0" w:color="auto"/>
              <w:bottom w:val="single" w:sz="8" w:space="0" w:color="000000"/>
              <w:right w:val="single" w:sz="8" w:space="0" w:color="auto"/>
            </w:tcBorders>
            <w:shd w:val="clear" w:color="auto" w:fill="244062"/>
            <w:vAlign w:val="center"/>
            <w:hideMark/>
          </w:tcPr>
          <w:p w14:paraId="093E5D3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5"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88C027E" w14:textId="77777777" w:rsidR="00614438" w:rsidRPr="00AA7A53" w:rsidRDefault="00614438" w:rsidP="00AA7A53">
            <w:pPr>
              <w:numPr>
                <w:ilvl w:val="0"/>
                <w:numId w:val="83"/>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6E4875FC" w14:textId="77777777" w:rsidR="00614438" w:rsidRPr="00AA7A53" w:rsidRDefault="00614438" w:rsidP="00AA7A53">
            <w:pPr>
              <w:numPr>
                <w:ilvl w:val="0"/>
                <w:numId w:val="83"/>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p w14:paraId="6CE3390F" w14:textId="77777777" w:rsidR="00614438" w:rsidRPr="00AA7A53" w:rsidRDefault="00614438" w:rsidP="00AA7A53">
            <w:pPr>
              <w:numPr>
                <w:ilvl w:val="0"/>
                <w:numId w:val="83"/>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2014/94/EU</w:t>
            </w:r>
          </w:p>
        </w:tc>
      </w:tr>
      <w:tr w:rsidR="00614438" w:rsidRPr="00AA7A53" w14:paraId="7861BCA9"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7661A09F"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A5BFD7C"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56182C2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6B7CEB0"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588F94F5"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75254B2"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4C87F466"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15DB5109" w14:textId="77777777" w:rsidTr="00614438">
        <w:trPr>
          <w:trHeight w:val="321"/>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2481036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5" w:type="dxa"/>
            <w:gridSpan w:val="3"/>
            <w:tcBorders>
              <w:top w:val="single" w:sz="8" w:space="0" w:color="auto"/>
              <w:left w:val="nil"/>
              <w:bottom w:val="single" w:sz="8" w:space="0" w:color="auto"/>
              <w:right w:val="single" w:sz="8" w:space="0" w:color="000000"/>
            </w:tcBorders>
            <w:vAlign w:val="center"/>
            <w:hideMark/>
          </w:tcPr>
          <w:p w14:paraId="046CCC4F" w14:textId="77777777" w:rsidR="00614438" w:rsidRPr="00AA7A53" w:rsidRDefault="00614438" w:rsidP="00AA7A53">
            <w:pPr>
              <w:numPr>
                <w:ilvl w:val="0"/>
                <w:numId w:val="83"/>
              </w:numPr>
              <w:spacing w:after="0"/>
              <w:jc w:val="both"/>
              <w:rPr>
                <w:rFonts w:ascii="Times New Roman" w:hAnsi="Times New Roman" w:cs="Times New Roman"/>
                <w:sz w:val="20"/>
                <w:szCs w:val="20"/>
              </w:rPr>
            </w:pPr>
            <w:r w:rsidRPr="00AA7A53">
              <w:rPr>
                <w:rFonts w:ascii="Times New Roman" w:hAnsi="Times New Roman" w:cs="Times New Roman"/>
                <w:sz w:val="20"/>
                <w:szCs w:val="20"/>
              </w:rPr>
              <w:t>Strategy Implementation Programme (2017)</w:t>
            </w:r>
          </w:p>
        </w:tc>
        <w:tc>
          <w:tcPr>
            <w:tcW w:w="222" w:type="dxa"/>
            <w:vAlign w:val="center"/>
            <w:hideMark/>
          </w:tcPr>
          <w:p w14:paraId="5CE69B29"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DCA6D6C" w14:textId="77777777" w:rsidTr="00614438">
        <w:trPr>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19C0714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5" w:type="dxa"/>
            <w:gridSpan w:val="3"/>
            <w:tcBorders>
              <w:top w:val="single" w:sz="8" w:space="0" w:color="auto"/>
              <w:left w:val="nil"/>
              <w:bottom w:val="single" w:sz="8" w:space="0" w:color="auto"/>
              <w:right w:val="single" w:sz="8" w:space="0" w:color="000000"/>
            </w:tcBorders>
            <w:vAlign w:val="center"/>
            <w:hideMark/>
          </w:tcPr>
          <w:p w14:paraId="06C694AD" w14:textId="77777777" w:rsidR="00614438" w:rsidRPr="00AA7A53" w:rsidRDefault="00214003"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Will b</w:t>
            </w:r>
            <w:r w:rsidR="00614438" w:rsidRPr="00AA7A53">
              <w:rPr>
                <w:rFonts w:ascii="Times New Roman" w:hAnsi="Times New Roman" w:cs="Times New Roman"/>
                <w:sz w:val="20"/>
                <w:szCs w:val="20"/>
                <w:lang w:val="en-GB"/>
              </w:rPr>
              <w:t>e integrated into PM_EE10, PM_EE12 and PM_EE14</w:t>
            </w:r>
          </w:p>
        </w:tc>
        <w:tc>
          <w:tcPr>
            <w:tcW w:w="222" w:type="dxa"/>
            <w:vAlign w:val="center"/>
            <w:hideMark/>
          </w:tcPr>
          <w:p w14:paraId="0B426933"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0E0C6C4" w14:textId="77777777" w:rsidTr="00614438">
        <w:trPr>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29D47BF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5" w:type="dxa"/>
            <w:gridSpan w:val="3"/>
            <w:tcBorders>
              <w:top w:val="single" w:sz="8" w:space="0" w:color="auto"/>
              <w:left w:val="nil"/>
              <w:bottom w:val="single" w:sz="8" w:space="0" w:color="auto"/>
              <w:right w:val="single" w:sz="8" w:space="0" w:color="000000"/>
            </w:tcBorders>
            <w:vAlign w:val="center"/>
            <w:hideMark/>
          </w:tcPr>
          <w:p w14:paraId="57A3666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222" w:type="dxa"/>
            <w:vAlign w:val="center"/>
            <w:hideMark/>
          </w:tcPr>
          <w:p w14:paraId="329C4A72" w14:textId="77777777" w:rsidR="00614438" w:rsidRPr="00AA7A53" w:rsidRDefault="00614438" w:rsidP="00AA7A53">
            <w:pPr>
              <w:spacing w:after="0"/>
              <w:jc w:val="both"/>
              <w:rPr>
                <w:rFonts w:ascii="Times New Roman" w:hAnsi="Times New Roman" w:cs="Times New Roman"/>
                <w:sz w:val="20"/>
                <w:szCs w:val="20"/>
                <w:lang w:val="en-GB"/>
              </w:rPr>
            </w:pPr>
          </w:p>
        </w:tc>
      </w:tr>
    </w:tbl>
    <w:p w14:paraId="3A360E64"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96"/>
        <w:gridCol w:w="1050"/>
        <w:gridCol w:w="940"/>
        <w:gridCol w:w="4172"/>
        <w:gridCol w:w="222"/>
      </w:tblGrid>
      <w:tr w:rsidR="00614438" w:rsidRPr="00AA7A53" w14:paraId="4F3831F8" w14:textId="77777777" w:rsidTr="00614438">
        <w:trPr>
          <w:gridAfter w:val="1"/>
          <w:wAfter w:w="222" w:type="dxa"/>
          <w:trHeight w:val="780"/>
        </w:trPr>
        <w:tc>
          <w:tcPr>
            <w:tcW w:w="331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46D2ED3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Policy measure code:</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24E33D7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PM_EE14</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3CBA841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1" w:type="dxa"/>
            <w:tcBorders>
              <w:top w:val="single" w:sz="8" w:space="0" w:color="auto"/>
              <w:left w:val="nil"/>
              <w:bottom w:val="single" w:sz="8" w:space="0" w:color="auto"/>
              <w:right w:val="single" w:sz="8" w:space="0" w:color="auto"/>
            </w:tcBorders>
            <w:shd w:val="clear" w:color="auto" w:fill="E7E6E6" w:themeFill="background2"/>
            <w:vAlign w:val="center"/>
            <w:hideMark/>
          </w:tcPr>
          <w:p w14:paraId="5A6AD34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Promotion of energy efficiency of the freight transport </w:t>
            </w:r>
          </w:p>
        </w:tc>
      </w:tr>
      <w:tr w:rsidR="00614438" w:rsidRPr="00AA7A53" w14:paraId="4E735C54" w14:textId="77777777" w:rsidTr="00614438">
        <w:trPr>
          <w:gridAfter w:val="1"/>
          <w:wAfter w:w="222" w:type="dxa"/>
          <w:trHeight w:val="655"/>
        </w:trPr>
        <w:tc>
          <w:tcPr>
            <w:tcW w:w="3317" w:type="dxa"/>
            <w:tcBorders>
              <w:top w:val="nil"/>
              <w:left w:val="single" w:sz="8" w:space="0" w:color="auto"/>
              <w:bottom w:val="single" w:sz="8" w:space="0" w:color="auto"/>
              <w:right w:val="nil"/>
            </w:tcBorders>
            <w:shd w:val="clear" w:color="auto" w:fill="244062"/>
            <w:vAlign w:val="center"/>
            <w:hideMark/>
          </w:tcPr>
          <w:p w14:paraId="39E1D58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Main objective:</w:t>
            </w:r>
          </w:p>
        </w:tc>
        <w:tc>
          <w:tcPr>
            <w:tcW w:w="6141" w:type="dxa"/>
            <w:gridSpan w:val="3"/>
            <w:tcBorders>
              <w:top w:val="single" w:sz="8" w:space="0" w:color="auto"/>
              <w:left w:val="nil"/>
              <w:bottom w:val="single" w:sz="8" w:space="0" w:color="auto"/>
              <w:right w:val="single" w:sz="8" w:space="0" w:color="000000"/>
            </w:tcBorders>
            <w:vAlign w:val="center"/>
            <w:hideMark/>
          </w:tcPr>
          <w:p w14:paraId="27C88A9C" w14:textId="72C0FCD9"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 as amended by Directive (EU) 2018/2002:</w:t>
            </w:r>
          </w:p>
          <w:p w14:paraId="537A46DB" w14:textId="77777777" w:rsidR="00614438" w:rsidRPr="00AA7A53" w:rsidRDefault="00614438" w:rsidP="00AA7A53">
            <w:pPr>
              <w:numPr>
                <w:ilvl w:val="0"/>
                <w:numId w:val="84"/>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14FD24A4" w14:textId="77777777" w:rsidR="00614438" w:rsidRPr="00AA7A53" w:rsidRDefault="00214003" w:rsidP="00AA7A53">
            <w:pPr>
              <w:numPr>
                <w:ilvl w:val="0"/>
                <w:numId w:val="84"/>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tc>
      </w:tr>
      <w:tr w:rsidR="00614438" w:rsidRPr="00AA7A53" w14:paraId="6A2C4651"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3AA9D78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Quantified objective:</w:t>
            </w:r>
          </w:p>
        </w:tc>
        <w:tc>
          <w:tcPr>
            <w:tcW w:w="6141" w:type="dxa"/>
            <w:gridSpan w:val="3"/>
            <w:tcBorders>
              <w:top w:val="single" w:sz="8" w:space="0" w:color="auto"/>
              <w:left w:val="nil"/>
              <w:bottom w:val="single" w:sz="8" w:space="0" w:color="auto"/>
              <w:right w:val="single" w:sz="8" w:space="0" w:color="000000"/>
            </w:tcBorders>
            <w:vAlign w:val="center"/>
            <w:hideMark/>
          </w:tcPr>
          <w:p w14:paraId="20BF690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21.1 thousand electric LD vehicles (final energy savings 25 ktoe)</w:t>
            </w:r>
          </w:p>
        </w:tc>
      </w:tr>
      <w:tr w:rsidR="00614438" w:rsidRPr="00AA7A53" w14:paraId="31B90F3D" w14:textId="77777777" w:rsidTr="00614438">
        <w:trPr>
          <w:gridAfter w:val="1"/>
          <w:wAfter w:w="222" w:type="dxa"/>
          <w:trHeight w:val="152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3F92946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1" w:type="dxa"/>
            <w:gridSpan w:val="3"/>
            <w:tcBorders>
              <w:top w:val="single" w:sz="8" w:space="0" w:color="auto"/>
              <w:left w:val="nil"/>
              <w:bottom w:val="single" w:sz="8" w:space="0" w:color="auto"/>
              <w:right w:val="single" w:sz="8" w:space="0" w:color="000000"/>
            </w:tcBorders>
            <w:vAlign w:val="center"/>
            <w:hideMark/>
          </w:tcPr>
          <w:p w14:paraId="7553FA5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PM_EE14 will foster the promotion of energy efficiency of the freight transport with various initiatives</w:t>
            </w:r>
            <w:r w:rsidR="00214003"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such as the replacement of the conventional light-duty and heavy-duty vehicles with new more energy efficient and the facilitation of the freight transport through specialized taxation measures. A specialized action plan will be prepared identifying the most effective activities, while special focus will be given on how the logistics sector will become more sustainable. </w:t>
            </w:r>
          </w:p>
        </w:tc>
      </w:tr>
      <w:tr w:rsidR="00614438" w:rsidRPr="00AA7A53" w14:paraId="0AC18261"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238A736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1" w:type="dxa"/>
            <w:gridSpan w:val="3"/>
            <w:tcBorders>
              <w:top w:val="single" w:sz="8" w:space="0" w:color="auto"/>
              <w:left w:val="nil"/>
              <w:bottom w:val="single" w:sz="8" w:space="0" w:color="auto"/>
              <w:right w:val="single" w:sz="8" w:space="0" w:color="000000"/>
            </w:tcBorders>
            <w:vAlign w:val="center"/>
            <w:hideMark/>
          </w:tcPr>
          <w:p w14:paraId="1179DA8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4A4AEF03"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3CB3771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1" w:type="dxa"/>
            <w:gridSpan w:val="3"/>
            <w:tcBorders>
              <w:top w:val="single" w:sz="8" w:space="0" w:color="auto"/>
              <w:left w:val="nil"/>
              <w:bottom w:val="single" w:sz="8" w:space="0" w:color="auto"/>
              <w:right w:val="single" w:sz="8" w:space="0" w:color="000000"/>
            </w:tcBorders>
            <w:vAlign w:val="center"/>
            <w:hideMark/>
          </w:tcPr>
          <w:p w14:paraId="4BEC7B8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6C108EF4"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37C0163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1" w:type="dxa"/>
            <w:gridSpan w:val="3"/>
            <w:tcBorders>
              <w:top w:val="single" w:sz="8" w:space="0" w:color="auto"/>
              <w:left w:val="nil"/>
              <w:bottom w:val="single" w:sz="8" w:space="0" w:color="auto"/>
              <w:right w:val="single" w:sz="8" w:space="0" w:color="000000"/>
            </w:tcBorders>
            <w:vAlign w:val="center"/>
            <w:hideMark/>
          </w:tcPr>
          <w:p w14:paraId="5F200FF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Transport</w:t>
            </w:r>
          </w:p>
        </w:tc>
      </w:tr>
      <w:tr w:rsidR="00614438" w:rsidRPr="00AA7A53" w14:paraId="34300E68"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524910E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5819C42F"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6F88123E"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p w14:paraId="5230C630" w14:textId="77777777" w:rsidR="00614438" w:rsidRPr="00AA7A53" w:rsidRDefault="00214003"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w:t>
            </w:r>
            <w:r w:rsidR="00614438" w:rsidRPr="00AA7A53">
              <w:rPr>
                <w:rFonts w:ascii="Times New Roman" w:hAnsi="Times New Roman" w:cs="Times New Roman"/>
                <w:sz w:val="20"/>
                <w:szCs w:val="20"/>
              </w:rPr>
              <w:t>inance</w:t>
            </w:r>
          </w:p>
        </w:tc>
      </w:tr>
      <w:tr w:rsidR="00614438" w:rsidRPr="00AA7A53" w14:paraId="4171EB2B"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32A585F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131255CA"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69CABBBC"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4A57A0B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1" w:type="dxa"/>
            <w:gridSpan w:val="3"/>
            <w:tcBorders>
              <w:top w:val="single" w:sz="8" w:space="0" w:color="auto"/>
              <w:left w:val="nil"/>
              <w:bottom w:val="single" w:sz="8" w:space="0" w:color="auto"/>
              <w:right w:val="single" w:sz="8" w:space="0" w:color="000000"/>
            </w:tcBorders>
            <w:vAlign w:val="center"/>
            <w:hideMark/>
          </w:tcPr>
          <w:p w14:paraId="1EBD935B" w14:textId="77777777" w:rsidR="00614438" w:rsidRPr="00AA7A53" w:rsidRDefault="00214003" w:rsidP="00AA7A53">
            <w:pPr>
              <w:numPr>
                <w:ilvl w:val="0"/>
                <w:numId w:val="85"/>
              </w:numPr>
              <w:spacing w:after="0"/>
              <w:jc w:val="both"/>
              <w:rPr>
                <w:rFonts w:ascii="Times New Roman" w:hAnsi="Times New Roman" w:cs="Times New Roman"/>
                <w:sz w:val="20"/>
                <w:szCs w:val="20"/>
              </w:rPr>
            </w:pPr>
            <w:r w:rsidRPr="00AA7A53">
              <w:rPr>
                <w:rFonts w:ascii="Times New Roman" w:hAnsi="Times New Roman" w:cs="Times New Roman"/>
                <w:sz w:val="20"/>
                <w:szCs w:val="20"/>
              </w:rPr>
              <w:t>the n</w:t>
            </w:r>
            <w:r w:rsidR="00614438" w:rsidRPr="00AA7A53">
              <w:rPr>
                <w:rFonts w:ascii="Times New Roman" w:hAnsi="Times New Roman" w:cs="Times New Roman"/>
                <w:sz w:val="20"/>
                <w:szCs w:val="20"/>
              </w:rPr>
              <w:t>umber of Light Duty and Heavy-Duty vehicles </w:t>
            </w:r>
          </w:p>
        </w:tc>
      </w:tr>
      <w:tr w:rsidR="00614438" w:rsidRPr="00AA7A53" w14:paraId="3FA6F9B1" w14:textId="77777777" w:rsidTr="00614438">
        <w:trPr>
          <w:gridAfter w:val="1"/>
          <w:wAfter w:w="222" w:type="dxa"/>
          <w:trHeight w:val="439"/>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2191058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1" w:type="dxa"/>
            <w:gridSpan w:val="3"/>
            <w:tcBorders>
              <w:top w:val="single" w:sz="8" w:space="0" w:color="auto"/>
              <w:left w:val="nil"/>
              <w:bottom w:val="single" w:sz="8" w:space="0" w:color="auto"/>
              <w:right w:val="single" w:sz="8" w:space="0" w:color="000000"/>
            </w:tcBorders>
            <w:vAlign w:val="center"/>
            <w:hideMark/>
          </w:tcPr>
          <w:p w14:paraId="538E9510" w14:textId="77777777" w:rsidR="00614438" w:rsidRPr="00AA7A53" w:rsidRDefault="00614438" w:rsidP="00AA7A53">
            <w:pPr>
              <w:numPr>
                <w:ilvl w:val="0"/>
                <w:numId w:val="85"/>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Decarbonisation (the delivered energy savings will decrease the consumed quantities of fossil fuels leading to the respective GHG emission reduction </w:t>
            </w:r>
            <w:r w:rsidR="00193070"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promoted electric vehicles will increase the RES share in transport)</w:t>
            </w:r>
          </w:p>
          <w:p w14:paraId="1FF97269" w14:textId="77777777" w:rsidR="00614438" w:rsidRPr="00AA7A53" w:rsidRDefault="00614438" w:rsidP="00AA7A53">
            <w:pPr>
              <w:numPr>
                <w:ilvl w:val="0"/>
                <w:numId w:val="85"/>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39630470" w14:textId="77777777" w:rsidTr="00614438">
        <w:trPr>
          <w:gridAfter w:val="1"/>
          <w:wAfter w:w="222" w:type="dxa"/>
          <w:trHeight w:val="458"/>
        </w:trPr>
        <w:tc>
          <w:tcPr>
            <w:tcW w:w="3317" w:type="dxa"/>
            <w:vMerge w:val="restart"/>
            <w:tcBorders>
              <w:top w:val="nil"/>
              <w:left w:val="single" w:sz="8" w:space="0" w:color="auto"/>
              <w:bottom w:val="single" w:sz="8" w:space="0" w:color="000000"/>
              <w:right w:val="single" w:sz="8" w:space="0" w:color="auto"/>
            </w:tcBorders>
            <w:shd w:val="clear" w:color="auto" w:fill="244062"/>
            <w:vAlign w:val="center"/>
            <w:hideMark/>
          </w:tcPr>
          <w:p w14:paraId="03C5C31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4D9D6EB" w14:textId="77777777" w:rsidR="00614438" w:rsidRPr="00AA7A53" w:rsidRDefault="00614438" w:rsidP="00AA7A53">
            <w:pPr>
              <w:numPr>
                <w:ilvl w:val="0"/>
                <w:numId w:val="85"/>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4416CA7D" w14:textId="77777777" w:rsidR="00614438" w:rsidRPr="00AA7A53" w:rsidRDefault="00614438" w:rsidP="00AA7A53">
            <w:pPr>
              <w:numPr>
                <w:ilvl w:val="0"/>
                <w:numId w:val="85"/>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622EFAE4"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26AE0D2A"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E3BBAE1"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547D3389"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B044017"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3F5BDACA"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1E548AE"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14221820"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192568DC" w14:textId="77777777" w:rsidTr="00614438">
        <w:trPr>
          <w:trHeight w:val="331"/>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6D1BA29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1" w:type="dxa"/>
            <w:gridSpan w:val="3"/>
            <w:tcBorders>
              <w:top w:val="single" w:sz="8" w:space="0" w:color="auto"/>
              <w:left w:val="nil"/>
              <w:bottom w:val="single" w:sz="8" w:space="0" w:color="auto"/>
              <w:right w:val="single" w:sz="8" w:space="0" w:color="000000"/>
            </w:tcBorders>
            <w:vAlign w:val="center"/>
            <w:hideMark/>
          </w:tcPr>
          <w:p w14:paraId="5839A551" w14:textId="77777777" w:rsidR="00614438" w:rsidRPr="00AA7A53" w:rsidRDefault="00614438" w:rsidP="00AA7A53">
            <w:pPr>
              <w:numPr>
                <w:ilvl w:val="0"/>
                <w:numId w:val="85"/>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4th NEEAP </w:t>
            </w:r>
          </w:p>
        </w:tc>
        <w:tc>
          <w:tcPr>
            <w:tcW w:w="222" w:type="dxa"/>
            <w:vAlign w:val="center"/>
            <w:hideMark/>
          </w:tcPr>
          <w:p w14:paraId="3687F742"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254D6BB"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4B34772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1" w:type="dxa"/>
            <w:gridSpan w:val="3"/>
            <w:tcBorders>
              <w:top w:val="single" w:sz="8" w:space="0" w:color="auto"/>
              <w:left w:val="nil"/>
              <w:bottom w:val="single" w:sz="8" w:space="0" w:color="auto"/>
              <w:right w:val="single" w:sz="8" w:space="0" w:color="000000"/>
            </w:tcBorders>
            <w:vAlign w:val="center"/>
            <w:hideMark/>
          </w:tcPr>
          <w:p w14:paraId="36CB9B43" w14:textId="77777777" w:rsidR="00614438" w:rsidRPr="00AA7A53" w:rsidRDefault="00614438" w:rsidP="00AA7A53">
            <w:pPr>
              <w:spacing w:after="0"/>
              <w:jc w:val="both"/>
              <w:rPr>
                <w:rFonts w:ascii="Times New Roman" w:hAnsi="Times New Roman" w:cs="Times New Roman"/>
                <w:sz w:val="20"/>
                <w:szCs w:val="20"/>
                <w:lang w:val="en-GB"/>
              </w:rPr>
            </w:pPr>
            <w:bookmarkStart w:id="148" w:name="_Hlk152489958"/>
            <w:r w:rsidRPr="00AA7A53">
              <w:rPr>
                <w:rFonts w:ascii="Times New Roman" w:hAnsi="Times New Roman" w:cs="Times New Roman"/>
                <w:sz w:val="20"/>
                <w:szCs w:val="20"/>
                <w:lang w:val="en-GB"/>
              </w:rPr>
              <w:t>665 M€</w:t>
            </w:r>
            <w:bookmarkEnd w:id="148"/>
          </w:p>
        </w:tc>
        <w:tc>
          <w:tcPr>
            <w:tcW w:w="222" w:type="dxa"/>
            <w:vAlign w:val="center"/>
            <w:hideMark/>
          </w:tcPr>
          <w:p w14:paraId="3C10247E"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6E9E500"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1BBE9F6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1" w:type="dxa"/>
            <w:gridSpan w:val="3"/>
            <w:tcBorders>
              <w:top w:val="single" w:sz="8" w:space="0" w:color="auto"/>
              <w:left w:val="nil"/>
              <w:bottom w:val="single" w:sz="8" w:space="0" w:color="auto"/>
              <w:right w:val="single" w:sz="8" w:space="0" w:color="000000"/>
            </w:tcBorders>
            <w:vAlign w:val="center"/>
            <w:hideMark/>
          </w:tcPr>
          <w:p w14:paraId="7AF6C3C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67C0B4ED" w14:textId="77777777" w:rsidR="00614438" w:rsidRPr="00AA7A53" w:rsidRDefault="00614438" w:rsidP="00AA7A53">
            <w:pPr>
              <w:spacing w:after="0"/>
              <w:jc w:val="both"/>
              <w:rPr>
                <w:rFonts w:ascii="Times New Roman" w:hAnsi="Times New Roman" w:cs="Times New Roman"/>
                <w:sz w:val="20"/>
                <w:szCs w:val="20"/>
                <w:lang w:val="en-GB"/>
              </w:rPr>
            </w:pPr>
          </w:p>
        </w:tc>
      </w:tr>
    </w:tbl>
    <w:p w14:paraId="36032956"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96"/>
        <w:gridCol w:w="1050"/>
        <w:gridCol w:w="940"/>
        <w:gridCol w:w="4172"/>
        <w:gridCol w:w="222"/>
      </w:tblGrid>
      <w:tr w:rsidR="00614438" w:rsidRPr="00AA7A53" w14:paraId="29D940F8" w14:textId="77777777" w:rsidTr="00614438">
        <w:trPr>
          <w:gridAfter w:val="1"/>
          <w:wAfter w:w="222" w:type="dxa"/>
          <w:trHeight w:val="780"/>
        </w:trPr>
        <w:tc>
          <w:tcPr>
            <w:tcW w:w="331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255972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Policy measure code:</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1894242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PM_EE15</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063CEC5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1" w:type="dxa"/>
            <w:tcBorders>
              <w:top w:val="single" w:sz="8" w:space="0" w:color="auto"/>
              <w:left w:val="nil"/>
              <w:bottom w:val="single" w:sz="8" w:space="0" w:color="auto"/>
              <w:right w:val="single" w:sz="8" w:space="0" w:color="auto"/>
            </w:tcBorders>
            <w:shd w:val="clear" w:color="auto" w:fill="E7E6E6" w:themeFill="background2"/>
            <w:vAlign w:val="center"/>
            <w:hideMark/>
          </w:tcPr>
          <w:p w14:paraId="6A43106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Promotion of modal shift both for passenger and freight transport - Enabling ‘Mobility as a Service’ (MaaS) </w:t>
            </w:r>
          </w:p>
        </w:tc>
      </w:tr>
      <w:tr w:rsidR="00614438" w:rsidRPr="00AA7A53" w14:paraId="5A775385" w14:textId="77777777" w:rsidTr="00614438">
        <w:trPr>
          <w:gridAfter w:val="1"/>
          <w:wAfter w:w="222" w:type="dxa"/>
          <w:trHeight w:val="585"/>
        </w:trPr>
        <w:tc>
          <w:tcPr>
            <w:tcW w:w="3317" w:type="dxa"/>
            <w:tcBorders>
              <w:top w:val="nil"/>
              <w:left w:val="single" w:sz="8" w:space="0" w:color="auto"/>
              <w:bottom w:val="single" w:sz="8" w:space="0" w:color="auto"/>
              <w:right w:val="nil"/>
            </w:tcBorders>
            <w:shd w:val="clear" w:color="auto" w:fill="244062"/>
            <w:vAlign w:val="center"/>
            <w:hideMark/>
          </w:tcPr>
          <w:p w14:paraId="0E9E461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Main objective:</w:t>
            </w:r>
          </w:p>
        </w:tc>
        <w:tc>
          <w:tcPr>
            <w:tcW w:w="6141" w:type="dxa"/>
            <w:gridSpan w:val="3"/>
            <w:tcBorders>
              <w:top w:val="single" w:sz="8" w:space="0" w:color="auto"/>
              <w:left w:val="nil"/>
              <w:bottom w:val="single" w:sz="8" w:space="0" w:color="auto"/>
              <w:right w:val="single" w:sz="8" w:space="0" w:color="000000"/>
            </w:tcBorders>
            <w:vAlign w:val="center"/>
            <w:hideMark/>
          </w:tcPr>
          <w:p w14:paraId="68F455BE" w14:textId="0A804ED9"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 as amended by Directive (EU) 2018/2002:</w:t>
            </w:r>
          </w:p>
          <w:p w14:paraId="008A555C" w14:textId="77777777" w:rsidR="00614438" w:rsidRPr="00AA7A53" w:rsidRDefault="00614438" w:rsidP="00AA7A53">
            <w:pPr>
              <w:numPr>
                <w:ilvl w:val="0"/>
                <w:numId w:val="86"/>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55F95D26" w14:textId="77777777" w:rsidR="00614438" w:rsidRPr="00AA7A53" w:rsidRDefault="00614438" w:rsidP="00AA7A53">
            <w:pPr>
              <w:numPr>
                <w:ilvl w:val="0"/>
                <w:numId w:val="86"/>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tc>
      </w:tr>
      <w:tr w:rsidR="00614438" w:rsidRPr="00AA7A53" w14:paraId="0B3E610E"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2ECBFD0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Quantified objective:</w:t>
            </w:r>
          </w:p>
        </w:tc>
        <w:tc>
          <w:tcPr>
            <w:tcW w:w="6141" w:type="dxa"/>
            <w:gridSpan w:val="3"/>
            <w:tcBorders>
              <w:top w:val="single" w:sz="8" w:space="0" w:color="auto"/>
              <w:left w:val="nil"/>
              <w:bottom w:val="single" w:sz="8" w:space="0" w:color="auto"/>
              <w:right w:val="single" w:sz="8" w:space="0" w:color="000000"/>
            </w:tcBorders>
            <w:vAlign w:val="center"/>
            <w:hideMark/>
          </w:tcPr>
          <w:p w14:paraId="62B66B4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PM_EE10, PM_EE12 and PM_EE14</w:t>
            </w:r>
          </w:p>
        </w:tc>
      </w:tr>
      <w:tr w:rsidR="00614438" w:rsidRPr="00AA7A53" w14:paraId="7AE016B9" w14:textId="77777777" w:rsidTr="00614438">
        <w:trPr>
          <w:gridAfter w:val="1"/>
          <w:wAfter w:w="222" w:type="dxa"/>
          <w:trHeight w:val="229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731E1CE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Description:</w:t>
            </w:r>
          </w:p>
        </w:tc>
        <w:tc>
          <w:tcPr>
            <w:tcW w:w="6141" w:type="dxa"/>
            <w:gridSpan w:val="3"/>
            <w:tcBorders>
              <w:top w:val="single" w:sz="8" w:space="0" w:color="auto"/>
              <w:left w:val="nil"/>
              <w:bottom w:val="single" w:sz="8" w:space="0" w:color="auto"/>
              <w:right w:val="single" w:sz="8" w:space="0" w:color="000000"/>
            </w:tcBorders>
            <w:vAlign w:val="center"/>
            <w:hideMark/>
          </w:tcPr>
          <w:p w14:paraId="6547499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PM_EE15 will foresee the development of a holistic framework for the promotion of modal shift both for passenger and freight transport. A dedicated action plan will be compiled facilitating the implementation of integrated modal shift measures and enabling ‘Mobility as a Service’ (MaaS) with the exploitation of the available data, the information and communication technologies and artificial intelligence for smarter mobility. Moreover, measures will be implemented for increasing significantly the proportion of cyclists and improving the conditions for walking</w:t>
            </w:r>
            <w:r w:rsidR="00AA67CC"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including the development of the required infrastructure. Finally, the provision of carpooling and car sharing services will be also promoted.</w:t>
            </w:r>
          </w:p>
        </w:tc>
      </w:tr>
      <w:tr w:rsidR="00614438" w:rsidRPr="00AA7A53" w14:paraId="0625BCED"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01D4BFB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1" w:type="dxa"/>
            <w:gridSpan w:val="3"/>
            <w:tcBorders>
              <w:top w:val="single" w:sz="8" w:space="0" w:color="auto"/>
              <w:left w:val="nil"/>
              <w:bottom w:val="single" w:sz="8" w:space="0" w:color="auto"/>
              <w:right w:val="single" w:sz="8" w:space="0" w:color="000000"/>
            </w:tcBorders>
            <w:vAlign w:val="center"/>
            <w:hideMark/>
          </w:tcPr>
          <w:p w14:paraId="59CC1A9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48628B13"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70CD89F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1" w:type="dxa"/>
            <w:gridSpan w:val="3"/>
            <w:tcBorders>
              <w:top w:val="single" w:sz="8" w:space="0" w:color="auto"/>
              <w:left w:val="nil"/>
              <w:bottom w:val="single" w:sz="8" w:space="0" w:color="auto"/>
              <w:right w:val="single" w:sz="8" w:space="0" w:color="000000"/>
            </w:tcBorders>
            <w:vAlign w:val="center"/>
            <w:hideMark/>
          </w:tcPr>
          <w:p w14:paraId="1831C51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06693F59"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077E269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1" w:type="dxa"/>
            <w:gridSpan w:val="3"/>
            <w:tcBorders>
              <w:top w:val="single" w:sz="8" w:space="0" w:color="auto"/>
              <w:left w:val="nil"/>
              <w:bottom w:val="single" w:sz="8" w:space="0" w:color="auto"/>
              <w:right w:val="single" w:sz="8" w:space="0" w:color="000000"/>
            </w:tcBorders>
            <w:vAlign w:val="center"/>
            <w:hideMark/>
          </w:tcPr>
          <w:p w14:paraId="0D9ACAF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Transport</w:t>
            </w:r>
          </w:p>
        </w:tc>
      </w:tr>
      <w:tr w:rsidR="00614438" w:rsidRPr="00AA7A53" w14:paraId="05843E74"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0EAFF61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1" w:type="dxa"/>
            <w:gridSpan w:val="3"/>
            <w:tcBorders>
              <w:top w:val="single" w:sz="8" w:space="0" w:color="auto"/>
              <w:left w:val="nil"/>
              <w:bottom w:val="single" w:sz="8" w:space="0" w:color="auto"/>
              <w:right w:val="single" w:sz="8" w:space="0" w:color="000000"/>
            </w:tcBorders>
            <w:vAlign w:val="center"/>
          </w:tcPr>
          <w:p w14:paraId="0F8102D7" w14:textId="77777777" w:rsidR="00614438" w:rsidRPr="00AA7A53" w:rsidRDefault="00AA67CC"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635698D7"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p w14:paraId="0C326CCA"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City Secretariat for traffic</w:t>
            </w:r>
          </w:p>
        </w:tc>
      </w:tr>
      <w:tr w:rsidR="00614438" w:rsidRPr="00AA7A53" w14:paraId="428A3DDA"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3D5C9D0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25016B9D"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715B057F"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4C73A98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1" w:type="dxa"/>
            <w:gridSpan w:val="3"/>
            <w:tcBorders>
              <w:top w:val="single" w:sz="8" w:space="0" w:color="auto"/>
              <w:left w:val="nil"/>
              <w:bottom w:val="single" w:sz="8" w:space="0" w:color="auto"/>
              <w:right w:val="single" w:sz="8" w:space="0" w:color="000000"/>
            </w:tcBorders>
            <w:vAlign w:val="center"/>
            <w:hideMark/>
          </w:tcPr>
          <w:p w14:paraId="0C3BE8B4"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Affected passenger and freight transport (passenger-km and tonne-km)</w:t>
            </w:r>
          </w:p>
        </w:tc>
      </w:tr>
      <w:tr w:rsidR="00614438" w:rsidRPr="00AA7A53" w14:paraId="5E564DDB" w14:textId="77777777" w:rsidTr="00614438">
        <w:trPr>
          <w:gridAfter w:val="1"/>
          <w:wAfter w:w="222" w:type="dxa"/>
          <w:trHeight w:val="351"/>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4BEEDD9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1" w:type="dxa"/>
            <w:gridSpan w:val="3"/>
            <w:tcBorders>
              <w:top w:val="single" w:sz="8" w:space="0" w:color="auto"/>
              <w:left w:val="nil"/>
              <w:bottom w:val="single" w:sz="8" w:space="0" w:color="auto"/>
              <w:right w:val="single" w:sz="8" w:space="0" w:color="000000"/>
            </w:tcBorders>
            <w:vAlign w:val="center"/>
            <w:hideMark/>
          </w:tcPr>
          <w:p w14:paraId="25B888E8" w14:textId="77777777" w:rsidR="00614438" w:rsidRPr="00AA7A53" w:rsidRDefault="00614438" w:rsidP="00AA7A53">
            <w:pPr>
              <w:numPr>
                <w:ilvl w:val="0"/>
                <w:numId w:val="87"/>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 leading to the respective GHG emission reduction)</w:t>
            </w:r>
          </w:p>
          <w:p w14:paraId="336900F4" w14:textId="77777777" w:rsidR="00614438" w:rsidRPr="00AA7A53" w:rsidRDefault="00614438" w:rsidP="00AA7A53">
            <w:pPr>
              <w:numPr>
                <w:ilvl w:val="0"/>
                <w:numId w:val="87"/>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1A975B50" w14:textId="77777777" w:rsidTr="00614438">
        <w:trPr>
          <w:gridAfter w:val="1"/>
          <w:wAfter w:w="222" w:type="dxa"/>
          <w:trHeight w:val="458"/>
        </w:trPr>
        <w:tc>
          <w:tcPr>
            <w:tcW w:w="3317" w:type="dxa"/>
            <w:vMerge w:val="restart"/>
            <w:tcBorders>
              <w:top w:val="nil"/>
              <w:left w:val="single" w:sz="8" w:space="0" w:color="auto"/>
              <w:bottom w:val="single" w:sz="8" w:space="0" w:color="000000"/>
              <w:right w:val="single" w:sz="8" w:space="0" w:color="auto"/>
            </w:tcBorders>
            <w:shd w:val="clear" w:color="auto" w:fill="244062"/>
            <w:vAlign w:val="center"/>
            <w:hideMark/>
          </w:tcPr>
          <w:p w14:paraId="2FF5B3C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FFDF436" w14:textId="77777777" w:rsidR="00614438" w:rsidRPr="00AA7A53" w:rsidRDefault="00614438" w:rsidP="00AA7A53">
            <w:pPr>
              <w:numPr>
                <w:ilvl w:val="0"/>
                <w:numId w:val="87"/>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4C8EBA8C" w14:textId="77777777" w:rsidR="00614438" w:rsidRPr="00AA7A53" w:rsidRDefault="00614438" w:rsidP="00AA7A53">
            <w:pPr>
              <w:numPr>
                <w:ilvl w:val="0"/>
                <w:numId w:val="87"/>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48A14BBF"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3B96C65B"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244770A"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37977647"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FFED199" w14:textId="77777777" w:rsidTr="00614438">
        <w:trPr>
          <w:trHeight w:val="54"/>
        </w:trPr>
        <w:tc>
          <w:tcPr>
            <w:tcW w:w="0" w:type="auto"/>
            <w:vMerge/>
            <w:tcBorders>
              <w:top w:val="nil"/>
              <w:left w:val="single" w:sz="8" w:space="0" w:color="auto"/>
              <w:bottom w:val="single" w:sz="8" w:space="0" w:color="000000"/>
              <w:right w:val="single" w:sz="8" w:space="0" w:color="auto"/>
            </w:tcBorders>
            <w:vAlign w:val="center"/>
            <w:hideMark/>
          </w:tcPr>
          <w:p w14:paraId="6EE3C2F0"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2BA6840"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343E2ADB"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546281ED" w14:textId="77777777" w:rsidTr="00614438">
        <w:trPr>
          <w:trHeight w:val="780"/>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7DBBC3B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1" w:type="dxa"/>
            <w:gridSpan w:val="3"/>
            <w:tcBorders>
              <w:top w:val="single" w:sz="8" w:space="0" w:color="auto"/>
              <w:left w:val="nil"/>
              <w:bottom w:val="single" w:sz="8" w:space="0" w:color="auto"/>
              <w:right w:val="single" w:sz="8" w:space="0" w:color="000000"/>
            </w:tcBorders>
            <w:vAlign w:val="center"/>
            <w:hideMark/>
          </w:tcPr>
          <w:p w14:paraId="274FCA87" w14:textId="77777777" w:rsidR="00614438" w:rsidRPr="00AA7A53" w:rsidRDefault="00614438" w:rsidP="00AA7A53">
            <w:pPr>
              <w:numPr>
                <w:ilvl w:val="0"/>
                <w:numId w:val="87"/>
              </w:numPr>
              <w:spacing w:after="0"/>
              <w:jc w:val="both"/>
              <w:rPr>
                <w:rFonts w:ascii="Times New Roman" w:hAnsi="Times New Roman" w:cs="Times New Roman"/>
                <w:sz w:val="20"/>
                <w:szCs w:val="20"/>
              </w:rPr>
            </w:pPr>
            <w:r w:rsidRPr="00AA7A53">
              <w:rPr>
                <w:rFonts w:ascii="Times New Roman" w:hAnsi="Times New Roman" w:cs="Times New Roman"/>
                <w:sz w:val="20"/>
                <w:szCs w:val="20"/>
              </w:rPr>
              <w:t>4th NEEAP</w:t>
            </w:r>
          </w:p>
          <w:p w14:paraId="3B195384" w14:textId="77777777" w:rsidR="00614438" w:rsidRPr="00AA7A53" w:rsidRDefault="00614438" w:rsidP="00AA7A53">
            <w:pPr>
              <w:numPr>
                <w:ilvl w:val="0"/>
                <w:numId w:val="87"/>
              </w:numPr>
              <w:spacing w:after="0"/>
              <w:jc w:val="both"/>
              <w:rPr>
                <w:rFonts w:ascii="Times New Roman" w:hAnsi="Times New Roman" w:cs="Times New Roman"/>
                <w:sz w:val="20"/>
                <w:szCs w:val="20"/>
              </w:rPr>
            </w:pPr>
            <w:r w:rsidRPr="00AA7A53">
              <w:rPr>
                <w:rFonts w:ascii="Times New Roman" w:hAnsi="Times New Roman" w:cs="Times New Roman"/>
                <w:sz w:val="20"/>
                <w:szCs w:val="20"/>
              </w:rPr>
              <w:t>Sustainable Urban Development Strategy of the Republic of Serbia until 2030</w:t>
            </w:r>
          </w:p>
        </w:tc>
        <w:tc>
          <w:tcPr>
            <w:tcW w:w="222" w:type="dxa"/>
            <w:vAlign w:val="center"/>
            <w:hideMark/>
          </w:tcPr>
          <w:p w14:paraId="55A5CAD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F0EFB6A"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621F3E4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1" w:type="dxa"/>
            <w:gridSpan w:val="3"/>
            <w:tcBorders>
              <w:top w:val="single" w:sz="8" w:space="0" w:color="auto"/>
              <w:left w:val="nil"/>
              <w:bottom w:val="single" w:sz="8" w:space="0" w:color="auto"/>
              <w:right w:val="single" w:sz="8" w:space="0" w:color="000000"/>
            </w:tcBorders>
            <w:vAlign w:val="center"/>
            <w:hideMark/>
          </w:tcPr>
          <w:p w14:paraId="63A6350A" w14:textId="77777777" w:rsidR="00614438" w:rsidRPr="00AA7A53" w:rsidRDefault="00AA67CC"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Will b</w:t>
            </w:r>
            <w:r w:rsidR="00614438" w:rsidRPr="00AA7A53">
              <w:rPr>
                <w:rFonts w:ascii="Times New Roman" w:hAnsi="Times New Roman" w:cs="Times New Roman"/>
                <w:sz w:val="20"/>
                <w:szCs w:val="20"/>
                <w:lang w:val="en-GB"/>
              </w:rPr>
              <w:t>e integrated into PM_EE10, PM_EE12 and PM_EE14</w:t>
            </w:r>
          </w:p>
        </w:tc>
        <w:tc>
          <w:tcPr>
            <w:tcW w:w="222" w:type="dxa"/>
            <w:vAlign w:val="center"/>
            <w:hideMark/>
          </w:tcPr>
          <w:p w14:paraId="7A4DA063"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6BDC8D6"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4CCFD85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1" w:type="dxa"/>
            <w:gridSpan w:val="3"/>
            <w:tcBorders>
              <w:top w:val="single" w:sz="8" w:space="0" w:color="auto"/>
              <w:left w:val="nil"/>
              <w:bottom w:val="single" w:sz="8" w:space="0" w:color="auto"/>
              <w:right w:val="single" w:sz="8" w:space="0" w:color="000000"/>
            </w:tcBorders>
            <w:vAlign w:val="center"/>
            <w:hideMark/>
          </w:tcPr>
          <w:p w14:paraId="5CAA67D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105EFA87" w14:textId="77777777" w:rsidR="00614438" w:rsidRPr="00AA7A53" w:rsidRDefault="00614438" w:rsidP="00AA7A53">
            <w:pPr>
              <w:spacing w:after="0"/>
              <w:jc w:val="both"/>
              <w:rPr>
                <w:rFonts w:ascii="Times New Roman" w:hAnsi="Times New Roman" w:cs="Times New Roman"/>
                <w:sz w:val="20"/>
                <w:szCs w:val="20"/>
                <w:lang w:val="en-GB"/>
              </w:rPr>
            </w:pPr>
          </w:p>
        </w:tc>
      </w:tr>
    </w:tbl>
    <w:p w14:paraId="59CE91A2"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97"/>
        <w:gridCol w:w="1050"/>
        <w:gridCol w:w="939"/>
        <w:gridCol w:w="4172"/>
        <w:gridCol w:w="222"/>
      </w:tblGrid>
      <w:tr w:rsidR="00614438" w:rsidRPr="00AA7A53" w14:paraId="7FDF3660" w14:textId="77777777" w:rsidTr="00614438">
        <w:trPr>
          <w:gridAfter w:val="1"/>
          <w:wAfter w:w="222" w:type="dxa"/>
          <w:trHeight w:val="780"/>
        </w:trPr>
        <w:tc>
          <w:tcPr>
            <w:tcW w:w="3318"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64B5D02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2DFFACB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PM_EE16</w:t>
            </w:r>
          </w:p>
        </w:tc>
        <w:tc>
          <w:tcPr>
            <w:tcW w:w="943" w:type="dxa"/>
            <w:tcBorders>
              <w:top w:val="single" w:sz="8" w:space="0" w:color="auto"/>
              <w:left w:val="nil"/>
              <w:bottom w:val="single" w:sz="8" w:space="0" w:color="auto"/>
              <w:right w:val="single" w:sz="8" w:space="0" w:color="auto"/>
            </w:tcBorders>
            <w:shd w:val="clear" w:color="auto" w:fill="244062"/>
            <w:vAlign w:val="center"/>
            <w:hideMark/>
          </w:tcPr>
          <w:p w14:paraId="4491603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1" w:type="dxa"/>
            <w:tcBorders>
              <w:top w:val="single" w:sz="8" w:space="0" w:color="auto"/>
              <w:left w:val="nil"/>
              <w:bottom w:val="single" w:sz="8" w:space="0" w:color="auto"/>
              <w:right w:val="single" w:sz="8" w:space="0" w:color="auto"/>
            </w:tcBorders>
            <w:shd w:val="clear" w:color="auto" w:fill="E7E6E6" w:themeFill="background2"/>
            <w:vAlign w:val="center"/>
            <w:hideMark/>
          </w:tcPr>
          <w:p w14:paraId="1825DEC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energy efficiency in inland waterways transport</w:t>
            </w:r>
          </w:p>
        </w:tc>
      </w:tr>
      <w:tr w:rsidR="00614438" w:rsidRPr="00AA7A53" w14:paraId="740747BB" w14:textId="77777777" w:rsidTr="00614438">
        <w:trPr>
          <w:gridAfter w:val="1"/>
          <w:wAfter w:w="222" w:type="dxa"/>
          <w:trHeight w:val="495"/>
        </w:trPr>
        <w:tc>
          <w:tcPr>
            <w:tcW w:w="3318" w:type="dxa"/>
            <w:tcBorders>
              <w:top w:val="nil"/>
              <w:left w:val="single" w:sz="8" w:space="0" w:color="auto"/>
              <w:bottom w:val="single" w:sz="8" w:space="0" w:color="auto"/>
              <w:right w:val="nil"/>
            </w:tcBorders>
            <w:shd w:val="clear" w:color="auto" w:fill="244062"/>
            <w:vAlign w:val="center"/>
            <w:hideMark/>
          </w:tcPr>
          <w:p w14:paraId="3135FDC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40" w:type="dxa"/>
            <w:gridSpan w:val="3"/>
            <w:tcBorders>
              <w:top w:val="single" w:sz="8" w:space="0" w:color="auto"/>
              <w:left w:val="nil"/>
              <w:bottom w:val="single" w:sz="8" w:space="0" w:color="auto"/>
              <w:right w:val="single" w:sz="8" w:space="0" w:color="000000"/>
            </w:tcBorders>
            <w:vAlign w:val="center"/>
            <w:hideMark/>
          </w:tcPr>
          <w:p w14:paraId="7F55B3B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 as amended by Directive (EU) 2018/2002:</w:t>
            </w:r>
          </w:p>
          <w:p w14:paraId="15DBD643" w14:textId="77777777" w:rsidR="00614438" w:rsidRPr="00AA7A53" w:rsidRDefault="00614438" w:rsidP="00AA7A53">
            <w:pPr>
              <w:numPr>
                <w:ilvl w:val="0"/>
                <w:numId w:val="88"/>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2DB7821C" w14:textId="77777777" w:rsidR="00614438" w:rsidRPr="00AA7A53" w:rsidRDefault="00614438" w:rsidP="00AA7A53">
            <w:pPr>
              <w:numPr>
                <w:ilvl w:val="0"/>
                <w:numId w:val="88"/>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tc>
      </w:tr>
      <w:tr w:rsidR="00614438" w:rsidRPr="00AA7A53" w14:paraId="6D5B0631" w14:textId="77777777" w:rsidTr="00614438">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5657CFC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40" w:type="dxa"/>
            <w:gridSpan w:val="3"/>
            <w:tcBorders>
              <w:top w:val="single" w:sz="8" w:space="0" w:color="auto"/>
              <w:left w:val="nil"/>
              <w:bottom w:val="single" w:sz="8" w:space="0" w:color="auto"/>
              <w:right w:val="single" w:sz="8" w:space="0" w:color="000000"/>
            </w:tcBorders>
            <w:vAlign w:val="center"/>
            <w:hideMark/>
          </w:tcPr>
          <w:p w14:paraId="01CB3FC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fulfilling the expected final energy consumption levels in transport sector</w:t>
            </w:r>
          </w:p>
        </w:tc>
      </w:tr>
      <w:tr w:rsidR="00614438" w:rsidRPr="00AA7A53" w14:paraId="45EAE1C2" w14:textId="77777777" w:rsidTr="00614438">
        <w:trPr>
          <w:gridAfter w:val="1"/>
          <w:wAfter w:w="222" w:type="dxa"/>
          <w:trHeight w:val="1379"/>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58096F8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0" w:type="dxa"/>
            <w:gridSpan w:val="3"/>
            <w:tcBorders>
              <w:top w:val="single" w:sz="8" w:space="0" w:color="auto"/>
              <w:left w:val="nil"/>
              <w:bottom w:val="single" w:sz="8" w:space="0" w:color="auto"/>
              <w:right w:val="single" w:sz="8" w:space="0" w:color="000000"/>
            </w:tcBorders>
            <w:vAlign w:val="center"/>
            <w:hideMark/>
          </w:tcPr>
          <w:p w14:paraId="7D0863D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PM_EE16 will promot</w:t>
            </w:r>
            <w:r w:rsidR="00656FE6" w:rsidRPr="00AA7A53">
              <w:rPr>
                <w:rFonts w:ascii="Times New Roman" w:hAnsi="Times New Roman" w:cs="Times New Roman"/>
                <w:sz w:val="20"/>
                <w:szCs w:val="20"/>
                <w:lang w:val="en-GB"/>
              </w:rPr>
              <w:t>e the</w:t>
            </w:r>
            <w:r w:rsidRPr="00AA7A53">
              <w:rPr>
                <w:rFonts w:ascii="Times New Roman" w:hAnsi="Times New Roman" w:cs="Times New Roman"/>
                <w:sz w:val="20"/>
                <w:szCs w:val="20"/>
                <w:lang w:val="en-GB"/>
              </w:rPr>
              <w:t xml:space="preserve"> energy efficiency in inland waterways transport both for the freight and passenger transport through the provision of either financial, fiscal or regulatory measures. The existing fleet and port infrastructure will be modernized, while emphasis will be given on the development of energy management systems and the promotion of renewable energy sources in ports. Finally, the further penetration of alternative fuels and renewable gases will be explored both in fleets and ports including also the development of the respective infrastructure for their distribution and consumption.</w:t>
            </w:r>
          </w:p>
        </w:tc>
      </w:tr>
      <w:tr w:rsidR="00614438" w:rsidRPr="00AA7A53" w14:paraId="4D4F9E48" w14:textId="77777777" w:rsidTr="00614438">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5EE3A13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0" w:type="dxa"/>
            <w:gridSpan w:val="3"/>
            <w:tcBorders>
              <w:top w:val="single" w:sz="8" w:space="0" w:color="auto"/>
              <w:left w:val="nil"/>
              <w:bottom w:val="single" w:sz="8" w:space="0" w:color="auto"/>
              <w:right w:val="single" w:sz="8" w:space="0" w:color="000000"/>
            </w:tcBorders>
            <w:vAlign w:val="center"/>
            <w:hideMark/>
          </w:tcPr>
          <w:p w14:paraId="5DACE81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0160F71B" w14:textId="77777777" w:rsidTr="00614438">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0277FC4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Type of measure</w:t>
            </w:r>
          </w:p>
        </w:tc>
        <w:tc>
          <w:tcPr>
            <w:tcW w:w="6140" w:type="dxa"/>
            <w:gridSpan w:val="3"/>
            <w:tcBorders>
              <w:top w:val="single" w:sz="8" w:space="0" w:color="auto"/>
              <w:left w:val="nil"/>
              <w:bottom w:val="single" w:sz="8" w:space="0" w:color="auto"/>
              <w:right w:val="single" w:sz="8" w:space="0" w:color="000000"/>
            </w:tcBorders>
            <w:vAlign w:val="center"/>
            <w:hideMark/>
          </w:tcPr>
          <w:p w14:paraId="501644F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557DAE3F" w14:textId="77777777" w:rsidTr="00614438">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7FF4677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0" w:type="dxa"/>
            <w:gridSpan w:val="3"/>
            <w:tcBorders>
              <w:top w:val="single" w:sz="8" w:space="0" w:color="auto"/>
              <w:left w:val="nil"/>
              <w:bottom w:val="single" w:sz="8" w:space="0" w:color="auto"/>
              <w:right w:val="single" w:sz="8" w:space="0" w:color="000000"/>
            </w:tcBorders>
            <w:vAlign w:val="center"/>
            <w:hideMark/>
          </w:tcPr>
          <w:p w14:paraId="5E3294A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Transport</w:t>
            </w:r>
          </w:p>
        </w:tc>
      </w:tr>
      <w:tr w:rsidR="00614438" w:rsidRPr="00AA7A53" w14:paraId="060DBC81" w14:textId="77777777" w:rsidTr="00614438">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5192901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0" w:type="dxa"/>
            <w:gridSpan w:val="3"/>
            <w:tcBorders>
              <w:top w:val="single" w:sz="8" w:space="0" w:color="auto"/>
              <w:left w:val="nil"/>
              <w:bottom w:val="single" w:sz="8" w:space="0" w:color="auto"/>
              <w:right w:val="single" w:sz="8" w:space="0" w:color="000000"/>
            </w:tcBorders>
            <w:vAlign w:val="center"/>
          </w:tcPr>
          <w:p w14:paraId="7EAE76BA"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tc>
      </w:tr>
      <w:tr w:rsidR="00614438" w:rsidRPr="00AA7A53" w14:paraId="076220CE" w14:textId="77777777" w:rsidTr="00614438">
        <w:trPr>
          <w:gridAfter w:val="1"/>
          <w:wAfter w:w="222" w:type="dxa"/>
          <w:trHeight w:val="315"/>
        </w:trPr>
        <w:tc>
          <w:tcPr>
            <w:tcW w:w="3318" w:type="dxa"/>
            <w:tcBorders>
              <w:top w:val="nil"/>
              <w:left w:val="single" w:sz="8" w:space="0" w:color="auto"/>
              <w:bottom w:val="single" w:sz="8" w:space="0" w:color="auto"/>
              <w:right w:val="nil"/>
            </w:tcBorders>
            <w:shd w:val="clear" w:color="auto" w:fill="244062"/>
            <w:vAlign w:val="center"/>
            <w:hideMark/>
          </w:tcPr>
          <w:p w14:paraId="580548F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0" w:type="dxa"/>
            <w:gridSpan w:val="3"/>
            <w:tcBorders>
              <w:top w:val="single" w:sz="8" w:space="0" w:color="auto"/>
              <w:left w:val="nil"/>
              <w:bottom w:val="single" w:sz="8" w:space="0" w:color="auto"/>
              <w:right w:val="single" w:sz="8" w:space="0" w:color="000000"/>
            </w:tcBorders>
            <w:vAlign w:val="center"/>
            <w:hideMark/>
          </w:tcPr>
          <w:p w14:paraId="5DCC72EF"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31A533C5" w14:textId="77777777" w:rsidTr="00614438">
        <w:trPr>
          <w:gridAfter w:val="1"/>
          <w:wAfter w:w="222" w:type="dxa"/>
          <w:trHeight w:val="315"/>
        </w:trPr>
        <w:tc>
          <w:tcPr>
            <w:tcW w:w="3318" w:type="dxa"/>
            <w:tcBorders>
              <w:top w:val="nil"/>
              <w:left w:val="single" w:sz="8" w:space="0" w:color="auto"/>
              <w:bottom w:val="single" w:sz="8" w:space="0" w:color="auto"/>
              <w:right w:val="nil"/>
            </w:tcBorders>
            <w:shd w:val="clear" w:color="auto" w:fill="244062"/>
            <w:vAlign w:val="center"/>
            <w:hideMark/>
          </w:tcPr>
          <w:p w14:paraId="5A913A7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0" w:type="dxa"/>
            <w:gridSpan w:val="3"/>
            <w:tcBorders>
              <w:top w:val="single" w:sz="8" w:space="0" w:color="auto"/>
              <w:left w:val="nil"/>
              <w:bottom w:val="single" w:sz="8" w:space="0" w:color="auto"/>
              <w:right w:val="single" w:sz="8" w:space="0" w:color="000000"/>
            </w:tcBorders>
            <w:vAlign w:val="center"/>
            <w:hideMark/>
          </w:tcPr>
          <w:p w14:paraId="107D4AA4" w14:textId="77777777" w:rsidR="00614438" w:rsidRPr="00AA7A53" w:rsidRDefault="00614438" w:rsidP="00AA7A53">
            <w:pPr>
              <w:numPr>
                <w:ilvl w:val="0"/>
                <w:numId w:val="85"/>
              </w:numPr>
              <w:spacing w:after="0"/>
              <w:jc w:val="both"/>
              <w:rPr>
                <w:rFonts w:ascii="Times New Roman" w:hAnsi="Times New Roman" w:cs="Times New Roman"/>
                <w:sz w:val="20"/>
                <w:szCs w:val="20"/>
              </w:rPr>
            </w:pPr>
            <w:r w:rsidRPr="00AA7A53">
              <w:rPr>
                <w:rFonts w:ascii="Times New Roman" w:hAnsi="Times New Roman" w:cs="Times New Roman"/>
                <w:sz w:val="20"/>
                <w:szCs w:val="20"/>
              </w:rPr>
              <w:t>Affected passenger and freight transport</w:t>
            </w:r>
            <w:r w:rsidR="00E842CD" w:rsidRPr="00AA7A53">
              <w:rPr>
                <w:rFonts w:ascii="Times New Roman" w:hAnsi="Times New Roman" w:cs="Times New Roman"/>
                <w:sz w:val="20"/>
                <w:szCs w:val="20"/>
              </w:rPr>
              <w:t xml:space="preserve"> (passenger-km and tonne-km)</w:t>
            </w:r>
          </w:p>
        </w:tc>
      </w:tr>
      <w:tr w:rsidR="00614438" w:rsidRPr="00AA7A53" w14:paraId="4847C2E5" w14:textId="77777777" w:rsidTr="00614438">
        <w:trPr>
          <w:gridAfter w:val="1"/>
          <w:wAfter w:w="222" w:type="dxa"/>
          <w:trHeight w:val="391"/>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29BFDD4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0" w:type="dxa"/>
            <w:gridSpan w:val="3"/>
            <w:tcBorders>
              <w:top w:val="single" w:sz="8" w:space="0" w:color="auto"/>
              <w:left w:val="nil"/>
              <w:bottom w:val="single" w:sz="8" w:space="0" w:color="auto"/>
              <w:right w:val="single" w:sz="8" w:space="0" w:color="000000"/>
            </w:tcBorders>
            <w:vAlign w:val="center"/>
            <w:hideMark/>
          </w:tcPr>
          <w:p w14:paraId="4098453B" w14:textId="77777777" w:rsidR="00614438" w:rsidRPr="00AA7A53" w:rsidRDefault="00614438" w:rsidP="00AA7A53">
            <w:pPr>
              <w:numPr>
                <w:ilvl w:val="0"/>
                <w:numId w:val="89"/>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Decarbonisation (the delivered energy savings will decrease the consumed quantities of fossil fuels leading to the respective GHG emission reduction </w:t>
            </w:r>
            <w:r w:rsidR="00D41FC7"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promoted RES will increase the RES share in transport)</w:t>
            </w:r>
          </w:p>
          <w:p w14:paraId="2CA4C5DF" w14:textId="77777777" w:rsidR="00614438" w:rsidRPr="00AA7A53" w:rsidRDefault="00614438" w:rsidP="00AA7A53">
            <w:pPr>
              <w:numPr>
                <w:ilvl w:val="0"/>
                <w:numId w:val="89"/>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3007C85E" w14:textId="77777777" w:rsidTr="00614438">
        <w:trPr>
          <w:gridAfter w:val="1"/>
          <w:wAfter w:w="222" w:type="dxa"/>
          <w:trHeight w:val="458"/>
        </w:trPr>
        <w:tc>
          <w:tcPr>
            <w:tcW w:w="3318" w:type="dxa"/>
            <w:vMerge w:val="restart"/>
            <w:tcBorders>
              <w:top w:val="nil"/>
              <w:left w:val="single" w:sz="8" w:space="0" w:color="auto"/>
              <w:bottom w:val="single" w:sz="8" w:space="0" w:color="000000"/>
              <w:right w:val="single" w:sz="8" w:space="0" w:color="auto"/>
            </w:tcBorders>
            <w:shd w:val="clear" w:color="auto" w:fill="244062"/>
            <w:vAlign w:val="center"/>
            <w:hideMark/>
          </w:tcPr>
          <w:p w14:paraId="040C9E9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32CC0B3" w14:textId="77777777" w:rsidR="00614438" w:rsidRPr="00AA7A53" w:rsidRDefault="00614438" w:rsidP="00AA7A53">
            <w:pPr>
              <w:numPr>
                <w:ilvl w:val="0"/>
                <w:numId w:val="89"/>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16E97590" w14:textId="77777777" w:rsidR="00614438" w:rsidRPr="00AA7A53" w:rsidRDefault="00614438" w:rsidP="00AA7A53">
            <w:pPr>
              <w:numPr>
                <w:ilvl w:val="0"/>
                <w:numId w:val="89"/>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p w14:paraId="154FC365" w14:textId="77777777" w:rsidR="00614438" w:rsidRPr="00AA7A53" w:rsidRDefault="00D41FC7" w:rsidP="00AA7A53">
            <w:pPr>
              <w:numPr>
                <w:ilvl w:val="0"/>
                <w:numId w:val="89"/>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Directive </w:t>
            </w:r>
            <w:r w:rsidR="00614438" w:rsidRPr="00AA7A53">
              <w:rPr>
                <w:rFonts w:ascii="Times New Roman" w:hAnsi="Times New Roman" w:cs="Times New Roman"/>
                <w:sz w:val="20"/>
                <w:szCs w:val="20"/>
              </w:rPr>
              <w:t>2014/94</w:t>
            </w:r>
          </w:p>
        </w:tc>
      </w:tr>
      <w:tr w:rsidR="00614438" w:rsidRPr="00AA7A53" w14:paraId="16365EC0"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359E8D59"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EA168F3"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3143EF0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1A7CD15"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3EDDB8DA"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B095983"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10BBDA06"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630CB6A1" w14:textId="77777777" w:rsidTr="00614438">
        <w:trPr>
          <w:trHeight w:val="566"/>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6D735B3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0" w:type="dxa"/>
            <w:gridSpan w:val="3"/>
            <w:tcBorders>
              <w:top w:val="single" w:sz="8" w:space="0" w:color="auto"/>
              <w:left w:val="nil"/>
              <w:bottom w:val="single" w:sz="8" w:space="0" w:color="auto"/>
              <w:right w:val="single" w:sz="8" w:space="0" w:color="000000"/>
            </w:tcBorders>
            <w:vAlign w:val="center"/>
            <w:hideMark/>
          </w:tcPr>
          <w:p w14:paraId="7D8057B3" w14:textId="77777777" w:rsidR="00614438" w:rsidRPr="00AA7A53" w:rsidRDefault="00614438" w:rsidP="00AA7A53">
            <w:pPr>
              <w:numPr>
                <w:ilvl w:val="0"/>
                <w:numId w:val="89"/>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Strategy on waterborne transport development of The Republic of Serbia, 2015 </w:t>
            </w:r>
            <w:r w:rsidR="00D41FC7" w:rsidRPr="00AA7A53">
              <w:rPr>
                <w:rFonts w:ascii="Times New Roman" w:hAnsi="Times New Roman" w:cs="Times New Roman"/>
                <w:sz w:val="20"/>
                <w:szCs w:val="20"/>
              </w:rPr>
              <w:t>–</w:t>
            </w:r>
            <w:r w:rsidRPr="00AA7A53">
              <w:rPr>
                <w:rFonts w:ascii="Times New Roman" w:hAnsi="Times New Roman" w:cs="Times New Roman"/>
                <w:sz w:val="20"/>
                <w:szCs w:val="20"/>
              </w:rPr>
              <w:t xml:space="preserve"> 2025</w:t>
            </w:r>
            <w:r w:rsidR="00D41FC7" w:rsidRPr="00AA7A53">
              <w:rPr>
                <w:rFonts w:ascii="Times New Roman" w:hAnsi="Times New Roman" w:cs="Times New Roman"/>
                <w:sz w:val="20"/>
                <w:szCs w:val="20"/>
              </w:rPr>
              <w:t xml:space="preserve"> (“Official Gazette of RS</w:t>
            </w:r>
            <w:r w:rsidR="00D41FC7" w:rsidRPr="00AA7A53">
              <w:rPr>
                <w:rFonts w:ascii="Times New Roman" w:hAnsi="Times New Roman" w:cs="Times New Roman"/>
                <w:sz w:val="20"/>
                <w:szCs w:val="20"/>
                <w:lang w:val="en-GB"/>
              </w:rPr>
              <w:t>”, no. 3/14 and 66/20</w:t>
            </w:r>
            <w:r w:rsidR="00D41FC7" w:rsidRPr="00AA7A53">
              <w:rPr>
                <w:rFonts w:ascii="Times New Roman" w:hAnsi="Times New Roman" w:cs="Times New Roman"/>
                <w:sz w:val="20"/>
                <w:szCs w:val="20"/>
              </w:rPr>
              <w:t>)</w:t>
            </w:r>
          </w:p>
          <w:p w14:paraId="3FB169BC" w14:textId="77777777" w:rsidR="00614438" w:rsidRPr="00AA7A53" w:rsidRDefault="00614438" w:rsidP="00AA7A53">
            <w:pPr>
              <w:numPr>
                <w:ilvl w:val="0"/>
                <w:numId w:val="89"/>
              </w:numPr>
              <w:spacing w:after="0"/>
              <w:jc w:val="both"/>
              <w:rPr>
                <w:rFonts w:ascii="Times New Roman" w:hAnsi="Times New Roman" w:cs="Times New Roman"/>
                <w:sz w:val="20"/>
                <w:szCs w:val="20"/>
              </w:rPr>
            </w:pPr>
            <w:r w:rsidRPr="00AA7A53">
              <w:rPr>
                <w:rFonts w:ascii="Times New Roman" w:hAnsi="Times New Roman" w:cs="Times New Roman"/>
                <w:sz w:val="20"/>
                <w:szCs w:val="20"/>
              </w:rPr>
              <w:t>Sustainable Urban Development Strategy of the Republic of Serbia until 2030</w:t>
            </w:r>
          </w:p>
        </w:tc>
        <w:tc>
          <w:tcPr>
            <w:tcW w:w="222" w:type="dxa"/>
            <w:vAlign w:val="center"/>
            <w:hideMark/>
          </w:tcPr>
          <w:p w14:paraId="143226F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5E6F5A5" w14:textId="77777777" w:rsidTr="00614438">
        <w:trPr>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79C7187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0" w:type="dxa"/>
            <w:gridSpan w:val="3"/>
            <w:tcBorders>
              <w:top w:val="single" w:sz="8" w:space="0" w:color="auto"/>
              <w:left w:val="nil"/>
              <w:bottom w:val="single" w:sz="8" w:space="0" w:color="auto"/>
              <w:right w:val="single" w:sz="8" w:space="0" w:color="000000"/>
            </w:tcBorders>
            <w:vAlign w:val="center"/>
            <w:hideMark/>
          </w:tcPr>
          <w:p w14:paraId="6602DFE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under examination</w:t>
            </w:r>
          </w:p>
        </w:tc>
        <w:tc>
          <w:tcPr>
            <w:tcW w:w="222" w:type="dxa"/>
            <w:vAlign w:val="center"/>
            <w:hideMark/>
          </w:tcPr>
          <w:p w14:paraId="17557E9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BE67224" w14:textId="77777777" w:rsidTr="00614438">
        <w:trPr>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486AA60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0" w:type="dxa"/>
            <w:gridSpan w:val="3"/>
            <w:tcBorders>
              <w:top w:val="single" w:sz="8" w:space="0" w:color="auto"/>
              <w:left w:val="nil"/>
              <w:bottom w:val="single" w:sz="8" w:space="0" w:color="auto"/>
              <w:right w:val="single" w:sz="8" w:space="0" w:color="000000"/>
            </w:tcBorders>
            <w:vAlign w:val="center"/>
            <w:hideMark/>
          </w:tcPr>
          <w:p w14:paraId="3E6FB09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5DD628C2" w14:textId="77777777" w:rsidR="00614438" w:rsidRPr="00AA7A53" w:rsidRDefault="00614438" w:rsidP="00AA7A53">
            <w:pPr>
              <w:spacing w:after="0"/>
              <w:jc w:val="both"/>
              <w:rPr>
                <w:rFonts w:ascii="Times New Roman" w:hAnsi="Times New Roman" w:cs="Times New Roman"/>
                <w:sz w:val="20"/>
                <w:szCs w:val="20"/>
                <w:lang w:val="en-GB"/>
              </w:rPr>
            </w:pPr>
          </w:p>
        </w:tc>
      </w:tr>
    </w:tbl>
    <w:p w14:paraId="52B5BCD9"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96"/>
        <w:gridCol w:w="1050"/>
        <w:gridCol w:w="940"/>
        <w:gridCol w:w="4172"/>
        <w:gridCol w:w="222"/>
      </w:tblGrid>
      <w:tr w:rsidR="00614438" w:rsidRPr="00AA7A53" w14:paraId="13324733" w14:textId="77777777" w:rsidTr="00614438">
        <w:trPr>
          <w:gridAfter w:val="1"/>
          <w:wAfter w:w="222" w:type="dxa"/>
          <w:trHeight w:val="780"/>
        </w:trPr>
        <w:tc>
          <w:tcPr>
            <w:tcW w:w="331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11AAEB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Policy measure code:</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17AD932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PM_EE17</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78F3E00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1" w:type="dxa"/>
            <w:tcBorders>
              <w:top w:val="single" w:sz="8" w:space="0" w:color="auto"/>
              <w:left w:val="nil"/>
              <w:bottom w:val="single" w:sz="8" w:space="0" w:color="auto"/>
              <w:right w:val="single" w:sz="8" w:space="0" w:color="auto"/>
            </w:tcBorders>
            <w:shd w:val="clear" w:color="auto" w:fill="E7E6E6" w:themeFill="background2"/>
            <w:vAlign w:val="center"/>
            <w:hideMark/>
          </w:tcPr>
          <w:p w14:paraId="3EE5DBE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energy efficiency in rail transport</w:t>
            </w:r>
          </w:p>
        </w:tc>
      </w:tr>
      <w:tr w:rsidR="00614438" w:rsidRPr="00AA7A53" w14:paraId="71077224" w14:textId="77777777" w:rsidTr="00614438">
        <w:trPr>
          <w:gridAfter w:val="1"/>
          <w:wAfter w:w="222" w:type="dxa"/>
          <w:trHeight w:val="533"/>
        </w:trPr>
        <w:tc>
          <w:tcPr>
            <w:tcW w:w="3317" w:type="dxa"/>
            <w:tcBorders>
              <w:top w:val="nil"/>
              <w:left w:val="single" w:sz="8" w:space="0" w:color="auto"/>
              <w:bottom w:val="single" w:sz="8" w:space="0" w:color="auto"/>
              <w:right w:val="nil"/>
            </w:tcBorders>
            <w:shd w:val="clear" w:color="auto" w:fill="244062"/>
            <w:vAlign w:val="center"/>
            <w:hideMark/>
          </w:tcPr>
          <w:p w14:paraId="0AE222E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Main objective:</w:t>
            </w:r>
          </w:p>
        </w:tc>
        <w:tc>
          <w:tcPr>
            <w:tcW w:w="6141" w:type="dxa"/>
            <w:gridSpan w:val="3"/>
            <w:tcBorders>
              <w:top w:val="single" w:sz="8" w:space="0" w:color="auto"/>
              <w:left w:val="nil"/>
              <w:bottom w:val="single" w:sz="8" w:space="0" w:color="auto"/>
              <w:right w:val="single" w:sz="8" w:space="0" w:color="000000"/>
            </w:tcBorders>
            <w:vAlign w:val="center"/>
            <w:hideMark/>
          </w:tcPr>
          <w:p w14:paraId="2062CF2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2012/27/EU, as amended by Directive (EU) 2018/2002:</w:t>
            </w:r>
          </w:p>
          <w:p w14:paraId="09B25BC6" w14:textId="77777777" w:rsidR="00614438" w:rsidRPr="00AA7A53" w:rsidRDefault="00614438" w:rsidP="00AA7A53">
            <w:pPr>
              <w:numPr>
                <w:ilvl w:val="0"/>
                <w:numId w:val="90"/>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1A77626B" w14:textId="77777777" w:rsidR="00614438" w:rsidRPr="00AA7A53" w:rsidRDefault="00614438" w:rsidP="00AA7A53">
            <w:pPr>
              <w:numPr>
                <w:ilvl w:val="0"/>
                <w:numId w:val="90"/>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tc>
      </w:tr>
      <w:tr w:rsidR="00614438" w:rsidRPr="00AA7A53" w14:paraId="65BD8E6F"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45B2D60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Quantified objective:</w:t>
            </w:r>
          </w:p>
        </w:tc>
        <w:tc>
          <w:tcPr>
            <w:tcW w:w="6141" w:type="dxa"/>
            <w:gridSpan w:val="3"/>
            <w:tcBorders>
              <w:top w:val="single" w:sz="8" w:space="0" w:color="auto"/>
              <w:left w:val="nil"/>
              <w:bottom w:val="single" w:sz="8" w:space="0" w:color="auto"/>
              <w:right w:val="single" w:sz="8" w:space="0" w:color="000000"/>
            </w:tcBorders>
            <w:vAlign w:val="center"/>
            <w:hideMark/>
          </w:tcPr>
          <w:p w14:paraId="78C9834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fulfilling the expected final energy consumption levels in transport sector</w:t>
            </w:r>
          </w:p>
        </w:tc>
      </w:tr>
      <w:tr w:rsidR="00614438" w:rsidRPr="00AA7A53" w14:paraId="59A3179C" w14:textId="77777777" w:rsidTr="00614438">
        <w:trPr>
          <w:gridAfter w:val="1"/>
          <w:wAfter w:w="222" w:type="dxa"/>
          <w:trHeight w:val="132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340E242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1" w:type="dxa"/>
            <w:gridSpan w:val="3"/>
            <w:tcBorders>
              <w:top w:val="single" w:sz="8" w:space="0" w:color="auto"/>
              <w:left w:val="nil"/>
              <w:bottom w:val="single" w:sz="8" w:space="0" w:color="auto"/>
              <w:right w:val="single" w:sz="8" w:space="0" w:color="000000"/>
            </w:tcBorders>
            <w:vAlign w:val="center"/>
            <w:hideMark/>
          </w:tcPr>
          <w:p w14:paraId="1D8D87E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PM_EE17 will target to the modernization and extension of the existing railway infrastructure through the provision of either financial, fiscal or regulatory measures. The improvement of the existing railway network and the construction of new railways will be carried out, along with the electrification railway network in parts that it is feasible to be accomplished. New energy efficient trains will be purchased substituting the conventional ones. Moreover, the rail network will be connected to production centres and ports, while smart digital systems for rail traffic management will be installed. </w:t>
            </w:r>
            <w:r w:rsidR="00115822" w:rsidRPr="00AA7A53">
              <w:rPr>
                <w:rFonts w:ascii="Times New Roman" w:hAnsi="Times New Roman" w:cs="Times New Roman"/>
                <w:sz w:val="20"/>
                <w:szCs w:val="20"/>
                <w:lang w:val="en-GB"/>
              </w:rPr>
              <w:t>With</w:t>
            </w:r>
            <w:r w:rsidRPr="00AA7A53">
              <w:rPr>
                <w:rFonts w:ascii="Times New Roman" w:hAnsi="Times New Roman" w:cs="Times New Roman"/>
                <w:sz w:val="20"/>
                <w:szCs w:val="20"/>
                <w:lang w:val="en-GB"/>
              </w:rPr>
              <w:t xml:space="preserve"> regards </w:t>
            </w:r>
            <w:r w:rsidR="00115822" w:rsidRPr="00AA7A53">
              <w:rPr>
                <w:rFonts w:ascii="Times New Roman" w:hAnsi="Times New Roman" w:cs="Times New Roman"/>
                <w:sz w:val="20"/>
                <w:szCs w:val="20"/>
                <w:lang w:val="en-GB"/>
              </w:rPr>
              <w:t xml:space="preserve">to </w:t>
            </w:r>
            <w:r w:rsidRPr="00AA7A53">
              <w:rPr>
                <w:rFonts w:ascii="Times New Roman" w:hAnsi="Times New Roman" w:cs="Times New Roman"/>
                <w:sz w:val="20"/>
                <w:szCs w:val="20"/>
                <w:lang w:val="en-GB"/>
              </w:rPr>
              <w:t>the promotion of modal shift, the use of forms of mass transport by railway will be developed and encouraged, both in intercity and in the area of centres and their metropolitan areas, by developing the city-suburban railway system, in such a way that work, business and mixed zones are accommodated in the planning documents near the railway, and that the railway traffic synchronizes and integrates with other types of traffic into the public transport system.</w:t>
            </w:r>
          </w:p>
        </w:tc>
      </w:tr>
      <w:tr w:rsidR="00614438" w:rsidRPr="00AA7A53" w14:paraId="4624576F"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60CD971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1" w:type="dxa"/>
            <w:gridSpan w:val="3"/>
            <w:tcBorders>
              <w:top w:val="single" w:sz="8" w:space="0" w:color="auto"/>
              <w:left w:val="nil"/>
              <w:bottom w:val="single" w:sz="8" w:space="0" w:color="auto"/>
              <w:right w:val="single" w:sz="8" w:space="0" w:color="000000"/>
            </w:tcBorders>
            <w:vAlign w:val="center"/>
            <w:hideMark/>
          </w:tcPr>
          <w:p w14:paraId="4A29F18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47E91051"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7B3B136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1" w:type="dxa"/>
            <w:gridSpan w:val="3"/>
            <w:tcBorders>
              <w:top w:val="single" w:sz="8" w:space="0" w:color="auto"/>
              <w:left w:val="nil"/>
              <w:bottom w:val="single" w:sz="8" w:space="0" w:color="auto"/>
              <w:right w:val="single" w:sz="8" w:space="0" w:color="000000"/>
            </w:tcBorders>
            <w:vAlign w:val="center"/>
            <w:hideMark/>
          </w:tcPr>
          <w:p w14:paraId="2464BE6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1CA62D91"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5323D54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1" w:type="dxa"/>
            <w:gridSpan w:val="3"/>
            <w:tcBorders>
              <w:top w:val="single" w:sz="8" w:space="0" w:color="auto"/>
              <w:left w:val="nil"/>
              <w:bottom w:val="single" w:sz="8" w:space="0" w:color="auto"/>
              <w:right w:val="single" w:sz="8" w:space="0" w:color="000000"/>
            </w:tcBorders>
            <w:vAlign w:val="center"/>
            <w:hideMark/>
          </w:tcPr>
          <w:p w14:paraId="20BA0D8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Transport</w:t>
            </w:r>
          </w:p>
        </w:tc>
      </w:tr>
      <w:tr w:rsidR="00614438" w:rsidRPr="00AA7A53" w14:paraId="2719A46A"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2E2EE3A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1" w:type="dxa"/>
            <w:gridSpan w:val="3"/>
            <w:tcBorders>
              <w:top w:val="single" w:sz="8" w:space="0" w:color="auto"/>
              <w:left w:val="nil"/>
              <w:bottom w:val="single" w:sz="8" w:space="0" w:color="auto"/>
              <w:right w:val="single" w:sz="8" w:space="0" w:color="000000"/>
            </w:tcBorders>
            <w:vAlign w:val="center"/>
          </w:tcPr>
          <w:p w14:paraId="57DF43B2" w14:textId="77777777" w:rsidR="00614438" w:rsidRPr="00AA7A53" w:rsidRDefault="00614438" w:rsidP="00AA7A53">
            <w:pPr>
              <w:numPr>
                <w:ilvl w:val="0"/>
                <w:numId w:val="76"/>
              </w:numPr>
              <w:spacing w:after="0"/>
              <w:jc w:val="both"/>
              <w:rPr>
                <w:rFonts w:ascii="Times New Roman" w:hAnsi="Times New Roman" w:cs="Times New Roman"/>
                <w:sz w:val="20"/>
                <w:szCs w:val="20"/>
              </w:rPr>
            </w:pPr>
          </w:p>
          <w:p w14:paraId="2B34E3F3"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tc>
      </w:tr>
      <w:tr w:rsidR="00614438" w:rsidRPr="00AA7A53" w14:paraId="6E4465BF"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1DC546C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Monitoring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3438488F"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56653F60"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51003B6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1" w:type="dxa"/>
            <w:gridSpan w:val="3"/>
            <w:tcBorders>
              <w:top w:val="single" w:sz="8" w:space="0" w:color="auto"/>
              <w:left w:val="nil"/>
              <w:bottom w:val="single" w:sz="8" w:space="0" w:color="auto"/>
              <w:right w:val="single" w:sz="8" w:space="0" w:color="000000"/>
            </w:tcBorders>
            <w:vAlign w:val="center"/>
            <w:hideMark/>
          </w:tcPr>
          <w:p w14:paraId="10F30721" w14:textId="77777777" w:rsidR="00614438" w:rsidRPr="00AA7A53" w:rsidRDefault="00614438" w:rsidP="00AA7A53">
            <w:pPr>
              <w:numPr>
                <w:ilvl w:val="0"/>
                <w:numId w:val="91"/>
              </w:numPr>
              <w:spacing w:after="0"/>
              <w:jc w:val="both"/>
              <w:rPr>
                <w:rFonts w:ascii="Times New Roman" w:hAnsi="Times New Roman" w:cs="Times New Roman"/>
                <w:sz w:val="20"/>
                <w:szCs w:val="20"/>
              </w:rPr>
            </w:pPr>
            <w:r w:rsidRPr="00AA7A53">
              <w:rPr>
                <w:rFonts w:ascii="Times New Roman" w:hAnsi="Times New Roman" w:cs="Times New Roman"/>
                <w:sz w:val="20"/>
                <w:szCs w:val="20"/>
              </w:rPr>
              <w:t>Affected passenger and freight transport</w:t>
            </w:r>
          </w:p>
        </w:tc>
      </w:tr>
      <w:tr w:rsidR="00614438" w:rsidRPr="00AA7A53" w14:paraId="78D82B47" w14:textId="77777777" w:rsidTr="00614438">
        <w:trPr>
          <w:gridAfter w:val="1"/>
          <w:wAfter w:w="222" w:type="dxa"/>
          <w:trHeight w:val="382"/>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053D1D2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1" w:type="dxa"/>
            <w:gridSpan w:val="3"/>
            <w:tcBorders>
              <w:top w:val="single" w:sz="8" w:space="0" w:color="auto"/>
              <w:left w:val="nil"/>
              <w:bottom w:val="single" w:sz="8" w:space="0" w:color="auto"/>
              <w:right w:val="single" w:sz="8" w:space="0" w:color="000000"/>
            </w:tcBorders>
            <w:vAlign w:val="center"/>
            <w:hideMark/>
          </w:tcPr>
          <w:p w14:paraId="1494C58D" w14:textId="77777777" w:rsidR="00614438" w:rsidRPr="00AA7A53" w:rsidRDefault="00614438" w:rsidP="00AA7A53">
            <w:pPr>
              <w:numPr>
                <w:ilvl w:val="0"/>
                <w:numId w:val="91"/>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Decarbonisation (the delivered energy savings will decrease the consumed quantities of fossil fuels leading to the respective GHG emission reduction </w:t>
            </w:r>
            <w:r w:rsidR="00E33E8A"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promoted electric trains will increase the RES share in transport)</w:t>
            </w:r>
          </w:p>
          <w:p w14:paraId="2A6B7E47" w14:textId="77777777" w:rsidR="00614438" w:rsidRPr="00AA7A53" w:rsidRDefault="00614438" w:rsidP="00AA7A53">
            <w:pPr>
              <w:numPr>
                <w:ilvl w:val="0"/>
                <w:numId w:val="91"/>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456EB2ED" w14:textId="77777777" w:rsidTr="00614438">
        <w:trPr>
          <w:gridAfter w:val="1"/>
          <w:wAfter w:w="222" w:type="dxa"/>
          <w:trHeight w:val="458"/>
        </w:trPr>
        <w:tc>
          <w:tcPr>
            <w:tcW w:w="3317" w:type="dxa"/>
            <w:vMerge w:val="restart"/>
            <w:tcBorders>
              <w:top w:val="nil"/>
              <w:left w:val="single" w:sz="8" w:space="0" w:color="auto"/>
              <w:bottom w:val="single" w:sz="8" w:space="0" w:color="000000"/>
              <w:right w:val="single" w:sz="8" w:space="0" w:color="auto"/>
            </w:tcBorders>
            <w:shd w:val="clear" w:color="auto" w:fill="244062"/>
            <w:vAlign w:val="center"/>
            <w:hideMark/>
          </w:tcPr>
          <w:p w14:paraId="1801398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0209D2AF" w14:textId="77777777" w:rsidR="00614438" w:rsidRPr="00AA7A53" w:rsidRDefault="00E33E8A" w:rsidP="00AA7A53">
            <w:pPr>
              <w:numPr>
                <w:ilvl w:val="0"/>
                <w:numId w:val="91"/>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Directive </w:t>
            </w:r>
            <w:r w:rsidR="00614438" w:rsidRPr="00AA7A53">
              <w:rPr>
                <w:rFonts w:ascii="Times New Roman" w:hAnsi="Times New Roman" w:cs="Times New Roman"/>
                <w:sz w:val="20"/>
                <w:szCs w:val="20"/>
              </w:rPr>
              <w:t>2012/27</w:t>
            </w:r>
            <w:r w:rsidRPr="00AA7A53">
              <w:rPr>
                <w:rFonts w:ascii="Times New Roman" w:hAnsi="Times New Roman" w:cs="Times New Roman"/>
                <w:sz w:val="20"/>
                <w:szCs w:val="20"/>
              </w:rPr>
              <w:t>/EU</w:t>
            </w:r>
          </w:p>
          <w:p w14:paraId="4DE42BBC" w14:textId="77777777" w:rsidR="00614438" w:rsidRPr="00AA7A53" w:rsidRDefault="00E33E8A" w:rsidP="00AA7A53">
            <w:pPr>
              <w:numPr>
                <w:ilvl w:val="0"/>
                <w:numId w:val="91"/>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Directive </w:t>
            </w:r>
            <w:r w:rsidR="00614438" w:rsidRPr="00AA7A53">
              <w:rPr>
                <w:rFonts w:ascii="Times New Roman" w:hAnsi="Times New Roman" w:cs="Times New Roman"/>
                <w:sz w:val="20"/>
                <w:szCs w:val="20"/>
              </w:rPr>
              <w:t>2018/2002</w:t>
            </w:r>
            <w:r w:rsidRPr="00AA7A53">
              <w:rPr>
                <w:rFonts w:ascii="Times New Roman" w:hAnsi="Times New Roman" w:cs="Times New Roman"/>
                <w:sz w:val="20"/>
                <w:szCs w:val="20"/>
              </w:rPr>
              <w:t>/EU</w:t>
            </w:r>
          </w:p>
        </w:tc>
      </w:tr>
      <w:tr w:rsidR="00614438" w:rsidRPr="00AA7A53" w14:paraId="0A192F6C"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42D30098"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3CAA089"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7F7D6F06"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74B690A"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033CE7A1"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28EB11A"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472D1354"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4222C813" w14:textId="77777777" w:rsidTr="00614438">
        <w:trPr>
          <w:trHeight w:val="44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1309713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1" w:type="dxa"/>
            <w:gridSpan w:val="3"/>
            <w:tcBorders>
              <w:top w:val="single" w:sz="8" w:space="0" w:color="auto"/>
              <w:left w:val="nil"/>
              <w:bottom w:val="single" w:sz="8" w:space="0" w:color="auto"/>
              <w:right w:val="single" w:sz="8" w:space="0" w:color="000000"/>
            </w:tcBorders>
            <w:vAlign w:val="center"/>
            <w:hideMark/>
          </w:tcPr>
          <w:p w14:paraId="6C48F084" w14:textId="77777777" w:rsidR="00614438" w:rsidRPr="00AA7A53" w:rsidRDefault="00614438" w:rsidP="00AA7A53">
            <w:pPr>
              <w:numPr>
                <w:ilvl w:val="0"/>
                <w:numId w:val="91"/>
              </w:numPr>
              <w:spacing w:after="0"/>
              <w:jc w:val="both"/>
              <w:rPr>
                <w:rFonts w:ascii="Times New Roman" w:hAnsi="Times New Roman" w:cs="Times New Roman"/>
                <w:sz w:val="20"/>
                <w:szCs w:val="20"/>
              </w:rPr>
            </w:pPr>
            <w:r w:rsidRPr="00AA7A53">
              <w:rPr>
                <w:rFonts w:ascii="Times New Roman" w:hAnsi="Times New Roman" w:cs="Times New Roman"/>
                <w:sz w:val="20"/>
                <w:szCs w:val="20"/>
              </w:rPr>
              <w:t>Sustainable Urban Development Strategy of the Republic of Serbia until 2030</w:t>
            </w:r>
          </w:p>
        </w:tc>
        <w:tc>
          <w:tcPr>
            <w:tcW w:w="222" w:type="dxa"/>
            <w:vAlign w:val="center"/>
            <w:hideMark/>
          </w:tcPr>
          <w:p w14:paraId="453FF83B"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F6854F2"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4B62562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1" w:type="dxa"/>
            <w:gridSpan w:val="3"/>
            <w:tcBorders>
              <w:top w:val="single" w:sz="8" w:space="0" w:color="auto"/>
              <w:left w:val="nil"/>
              <w:bottom w:val="single" w:sz="8" w:space="0" w:color="auto"/>
              <w:right w:val="single" w:sz="8" w:space="0" w:color="000000"/>
            </w:tcBorders>
            <w:vAlign w:val="center"/>
            <w:hideMark/>
          </w:tcPr>
          <w:p w14:paraId="1690A49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256 M€</w:t>
            </w:r>
          </w:p>
        </w:tc>
        <w:tc>
          <w:tcPr>
            <w:tcW w:w="222" w:type="dxa"/>
            <w:vAlign w:val="center"/>
            <w:hideMark/>
          </w:tcPr>
          <w:p w14:paraId="4606D6B9"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D460CAF"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308F844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1" w:type="dxa"/>
            <w:gridSpan w:val="3"/>
            <w:tcBorders>
              <w:top w:val="single" w:sz="8" w:space="0" w:color="auto"/>
              <w:left w:val="nil"/>
              <w:bottom w:val="single" w:sz="8" w:space="0" w:color="auto"/>
              <w:right w:val="single" w:sz="8" w:space="0" w:color="000000"/>
            </w:tcBorders>
            <w:vAlign w:val="center"/>
            <w:hideMark/>
          </w:tcPr>
          <w:p w14:paraId="0CD38D9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222" w:type="dxa"/>
            <w:vAlign w:val="center"/>
            <w:hideMark/>
          </w:tcPr>
          <w:p w14:paraId="2AEC7B61" w14:textId="77777777" w:rsidR="00614438" w:rsidRPr="00AA7A53" w:rsidRDefault="00614438" w:rsidP="00AA7A53">
            <w:pPr>
              <w:spacing w:after="0"/>
              <w:jc w:val="both"/>
              <w:rPr>
                <w:rFonts w:ascii="Times New Roman" w:hAnsi="Times New Roman" w:cs="Times New Roman"/>
                <w:sz w:val="20"/>
                <w:szCs w:val="20"/>
                <w:lang w:val="en-GB"/>
              </w:rPr>
            </w:pPr>
          </w:p>
        </w:tc>
      </w:tr>
    </w:tbl>
    <w:p w14:paraId="13616441"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90"/>
        <w:gridCol w:w="1050"/>
        <w:gridCol w:w="939"/>
        <w:gridCol w:w="4179"/>
        <w:gridCol w:w="222"/>
      </w:tblGrid>
      <w:tr w:rsidR="00614438" w:rsidRPr="00AA7A53" w14:paraId="5CEBE0F2" w14:textId="77777777" w:rsidTr="00614438">
        <w:trPr>
          <w:gridAfter w:val="1"/>
          <w:wAfter w:w="222" w:type="dxa"/>
          <w:trHeight w:val="780"/>
        </w:trPr>
        <w:tc>
          <w:tcPr>
            <w:tcW w:w="3313"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1A4FBA7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7FB0A76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PM_EE18</w:t>
            </w:r>
          </w:p>
        </w:tc>
        <w:tc>
          <w:tcPr>
            <w:tcW w:w="943" w:type="dxa"/>
            <w:tcBorders>
              <w:top w:val="single" w:sz="8" w:space="0" w:color="auto"/>
              <w:left w:val="nil"/>
              <w:bottom w:val="single" w:sz="8" w:space="0" w:color="auto"/>
              <w:right w:val="single" w:sz="8" w:space="0" w:color="auto"/>
            </w:tcBorders>
            <w:shd w:val="clear" w:color="auto" w:fill="244062"/>
            <w:vAlign w:val="center"/>
            <w:hideMark/>
          </w:tcPr>
          <w:p w14:paraId="37128A7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6" w:type="dxa"/>
            <w:tcBorders>
              <w:top w:val="single" w:sz="8" w:space="0" w:color="auto"/>
              <w:left w:val="nil"/>
              <w:bottom w:val="single" w:sz="8" w:space="0" w:color="auto"/>
              <w:right w:val="single" w:sz="8" w:space="0" w:color="auto"/>
            </w:tcBorders>
            <w:shd w:val="clear" w:color="auto" w:fill="E7E6E6" w:themeFill="background2"/>
            <w:vAlign w:val="center"/>
            <w:hideMark/>
          </w:tcPr>
          <w:p w14:paraId="5D56905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Continuous enhancement and extension of the relative infrastructure for public transport </w:t>
            </w:r>
          </w:p>
        </w:tc>
      </w:tr>
      <w:tr w:rsidR="00614438" w:rsidRPr="00AA7A53" w14:paraId="637D8D8D" w14:textId="77777777" w:rsidTr="00614438">
        <w:trPr>
          <w:gridAfter w:val="1"/>
          <w:wAfter w:w="222" w:type="dxa"/>
          <w:trHeight w:val="960"/>
        </w:trPr>
        <w:tc>
          <w:tcPr>
            <w:tcW w:w="3313" w:type="dxa"/>
            <w:tcBorders>
              <w:top w:val="nil"/>
              <w:left w:val="single" w:sz="8" w:space="0" w:color="auto"/>
              <w:bottom w:val="single" w:sz="8" w:space="0" w:color="auto"/>
              <w:right w:val="nil"/>
            </w:tcBorders>
            <w:shd w:val="clear" w:color="auto" w:fill="244062"/>
            <w:vAlign w:val="center"/>
            <w:hideMark/>
          </w:tcPr>
          <w:p w14:paraId="60219C7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45" w:type="dxa"/>
            <w:gridSpan w:val="3"/>
            <w:tcBorders>
              <w:top w:val="single" w:sz="8" w:space="0" w:color="auto"/>
              <w:left w:val="nil"/>
              <w:bottom w:val="single" w:sz="8" w:space="0" w:color="auto"/>
              <w:right w:val="single" w:sz="8" w:space="0" w:color="000000"/>
            </w:tcBorders>
            <w:vAlign w:val="center"/>
            <w:hideMark/>
          </w:tcPr>
          <w:p w14:paraId="047CB1C4" w14:textId="6AD35BD8"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w:t>
            </w:r>
            <w:r w:rsidR="00E33E8A"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as amended by Directive (EU) 2018/2002:</w:t>
            </w:r>
          </w:p>
          <w:p w14:paraId="3EBC5D95" w14:textId="77777777" w:rsidR="00614438" w:rsidRPr="00AA7A53" w:rsidRDefault="00614438" w:rsidP="00AA7A53">
            <w:pPr>
              <w:numPr>
                <w:ilvl w:val="0"/>
                <w:numId w:val="92"/>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5B5EEB81" w14:textId="77777777" w:rsidR="00614438" w:rsidRPr="00AA7A53" w:rsidRDefault="00614438" w:rsidP="00AA7A53">
            <w:pPr>
              <w:numPr>
                <w:ilvl w:val="0"/>
                <w:numId w:val="92"/>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tc>
      </w:tr>
      <w:tr w:rsidR="00614438" w:rsidRPr="00AA7A53" w14:paraId="1318FFB7" w14:textId="77777777" w:rsidTr="00614438">
        <w:trPr>
          <w:gridAfter w:val="1"/>
          <w:wAfter w:w="222" w:type="dxa"/>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62AC445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45" w:type="dxa"/>
            <w:gridSpan w:val="3"/>
            <w:tcBorders>
              <w:top w:val="single" w:sz="8" w:space="0" w:color="auto"/>
              <w:left w:val="nil"/>
              <w:bottom w:val="single" w:sz="8" w:space="0" w:color="auto"/>
              <w:right w:val="single" w:sz="8" w:space="0" w:color="000000"/>
            </w:tcBorders>
            <w:vAlign w:val="center"/>
            <w:hideMark/>
          </w:tcPr>
          <w:p w14:paraId="05C5DF6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2.4 thousand electric buses (final energy savings 17 ktoe)</w:t>
            </w:r>
          </w:p>
        </w:tc>
      </w:tr>
      <w:tr w:rsidR="00614438" w:rsidRPr="00AA7A53" w14:paraId="7E929E83" w14:textId="77777777" w:rsidTr="00614438">
        <w:trPr>
          <w:gridAfter w:val="1"/>
          <w:wAfter w:w="222" w:type="dxa"/>
          <w:trHeight w:val="229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4116BBE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5" w:type="dxa"/>
            <w:gridSpan w:val="3"/>
            <w:tcBorders>
              <w:top w:val="single" w:sz="8" w:space="0" w:color="auto"/>
              <w:left w:val="nil"/>
              <w:bottom w:val="single" w:sz="8" w:space="0" w:color="auto"/>
              <w:right w:val="single" w:sz="8" w:space="0" w:color="000000"/>
            </w:tcBorders>
            <w:vAlign w:val="center"/>
            <w:hideMark/>
          </w:tcPr>
          <w:p w14:paraId="2033CED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PM_EE18 will support the enhancement and extension of the relative infrastructure for public transport</w:t>
            </w:r>
            <w:r w:rsidR="00E33E8A"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contributing to the target for cleaner mobility. New energy efficient vehicles will be purchased substituting the conventional ones, while energy recovery systems will be installed. Moreover, the exemplary role of the public sector will be reinforced with measures, such as indicatively the determination of a compulsory quota of vehicles with higher energy efficiency in public agencies and organizations by setting higher energy efficiency limits. Finally, smart digital systems for road traffic management will be installed.</w:t>
            </w:r>
          </w:p>
        </w:tc>
      </w:tr>
      <w:tr w:rsidR="00614438" w:rsidRPr="00AA7A53" w14:paraId="78998C5B" w14:textId="77777777" w:rsidTr="00614438">
        <w:trPr>
          <w:gridAfter w:val="1"/>
          <w:wAfter w:w="222" w:type="dxa"/>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59D7FF5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5" w:type="dxa"/>
            <w:gridSpan w:val="3"/>
            <w:tcBorders>
              <w:top w:val="single" w:sz="8" w:space="0" w:color="auto"/>
              <w:left w:val="nil"/>
              <w:bottom w:val="single" w:sz="8" w:space="0" w:color="auto"/>
              <w:right w:val="single" w:sz="8" w:space="0" w:color="000000"/>
            </w:tcBorders>
            <w:vAlign w:val="center"/>
            <w:hideMark/>
          </w:tcPr>
          <w:p w14:paraId="4E6AF72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1F2F461F" w14:textId="77777777" w:rsidTr="00614438">
        <w:trPr>
          <w:gridAfter w:val="1"/>
          <w:wAfter w:w="222" w:type="dxa"/>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35AA676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5" w:type="dxa"/>
            <w:gridSpan w:val="3"/>
            <w:tcBorders>
              <w:top w:val="single" w:sz="8" w:space="0" w:color="auto"/>
              <w:left w:val="nil"/>
              <w:bottom w:val="single" w:sz="8" w:space="0" w:color="auto"/>
              <w:right w:val="single" w:sz="8" w:space="0" w:color="000000"/>
            </w:tcBorders>
            <w:vAlign w:val="center"/>
            <w:hideMark/>
          </w:tcPr>
          <w:p w14:paraId="654EE83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5BCCB54D" w14:textId="77777777" w:rsidTr="00614438">
        <w:trPr>
          <w:gridAfter w:val="1"/>
          <w:wAfter w:w="222" w:type="dxa"/>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73A1D95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5" w:type="dxa"/>
            <w:gridSpan w:val="3"/>
            <w:tcBorders>
              <w:top w:val="single" w:sz="8" w:space="0" w:color="auto"/>
              <w:left w:val="nil"/>
              <w:bottom w:val="single" w:sz="8" w:space="0" w:color="auto"/>
              <w:right w:val="single" w:sz="8" w:space="0" w:color="000000"/>
            </w:tcBorders>
            <w:vAlign w:val="center"/>
            <w:hideMark/>
          </w:tcPr>
          <w:p w14:paraId="231AF24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Transport</w:t>
            </w:r>
          </w:p>
        </w:tc>
      </w:tr>
      <w:tr w:rsidR="00614438" w:rsidRPr="00AA7A53" w14:paraId="0DA5D5C0" w14:textId="77777777" w:rsidTr="00614438">
        <w:trPr>
          <w:gridAfter w:val="1"/>
          <w:wAfter w:w="222" w:type="dxa"/>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5754375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5" w:type="dxa"/>
            <w:gridSpan w:val="3"/>
            <w:tcBorders>
              <w:top w:val="single" w:sz="8" w:space="0" w:color="auto"/>
              <w:left w:val="nil"/>
              <w:bottom w:val="single" w:sz="8" w:space="0" w:color="auto"/>
              <w:right w:val="single" w:sz="8" w:space="0" w:color="000000"/>
            </w:tcBorders>
            <w:vAlign w:val="center"/>
            <w:hideMark/>
          </w:tcPr>
          <w:p w14:paraId="54DB114A" w14:textId="77777777" w:rsidR="00614438" w:rsidRPr="00AA7A53" w:rsidRDefault="00614438" w:rsidP="00AA7A53">
            <w:pPr>
              <w:numPr>
                <w:ilvl w:val="0"/>
                <w:numId w:val="93"/>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Ministry of </w:t>
            </w:r>
            <w:r w:rsidR="00E33E8A" w:rsidRPr="00AA7A53">
              <w:rPr>
                <w:rFonts w:ascii="Times New Roman" w:hAnsi="Times New Roman" w:cs="Times New Roman"/>
                <w:sz w:val="20"/>
                <w:szCs w:val="20"/>
              </w:rPr>
              <w:t>Construction, Transport and Infrastructure</w:t>
            </w:r>
          </w:p>
          <w:p w14:paraId="73332F2D" w14:textId="77777777" w:rsidR="00614438" w:rsidRPr="00AA7A53" w:rsidRDefault="00614438" w:rsidP="00AA7A53">
            <w:pPr>
              <w:numPr>
                <w:ilvl w:val="0"/>
                <w:numId w:val="93"/>
              </w:numPr>
              <w:spacing w:after="0"/>
              <w:jc w:val="both"/>
              <w:rPr>
                <w:rFonts w:ascii="Times New Roman" w:hAnsi="Times New Roman" w:cs="Times New Roman"/>
                <w:sz w:val="20"/>
                <w:szCs w:val="20"/>
              </w:rPr>
            </w:pPr>
            <w:r w:rsidRPr="00AA7A53">
              <w:rPr>
                <w:rFonts w:ascii="Times New Roman" w:hAnsi="Times New Roman" w:cs="Times New Roman"/>
                <w:sz w:val="20"/>
                <w:szCs w:val="20"/>
              </w:rPr>
              <w:t>Local self-governments</w:t>
            </w:r>
          </w:p>
        </w:tc>
      </w:tr>
      <w:tr w:rsidR="00614438" w:rsidRPr="00AA7A53" w14:paraId="204F709A" w14:textId="77777777" w:rsidTr="00614438">
        <w:trPr>
          <w:gridAfter w:val="1"/>
          <w:wAfter w:w="222" w:type="dxa"/>
          <w:trHeight w:val="315"/>
        </w:trPr>
        <w:tc>
          <w:tcPr>
            <w:tcW w:w="3313" w:type="dxa"/>
            <w:tcBorders>
              <w:top w:val="nil"/>
              <w:left w:val="single" w:sz="8" w:space="0" w:color="auto"/>
              <w:bottom w:val="single" w:sz="8" w:space="0" w:color="auto"/>
              <w:right w:val="nil"/>
            </w:tcBorders>
            <w:shd w:val="clear" w:color="auto" w:fill="244062"/>
            <w:vAlign w:val="center"/>
            <w:hideMark/>
          </w:tcPr>
          <w:p w14:paraId="2E05D8B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5" w:type="dxa"/>
            <w:gridSpan w:val="3"/>
            <w:tcBorders>
              <w:top w:val="single" w:sz="8" w:space="0" w:color="auto"/>
              <w:left w:val="nil"/>
              <w:bottom w:val="single" w:sz="8" w:space="0" w:color="auto"/>
              <w:right w:val="single" w:sz="8" w:space="0" w:color="000000"/>
            </w:tcBorders>
            <w:vAlign w:val="center"/>
            <w:hideMark/>
          </w:tcPr>
          <w:p w14:paraId="31583754" w14:textId="77777777" w:rsidR="00614438" w:rsidRPr="00AA7A53" w:rsidRDefault="00614438" w:rsidP="00AA7A53">
            <w:pPr>
              <w:numPr>
                <w:ilvl w:val="0"/>
                <w:numId w:val="93"/>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 </w:t>
            </w:r>
          </w:p>
        </w:tc>
      </w:tr>
      <w:tr w:rsidR="00614438" w:rsidRPr="00AA7A53" w14:paraId="2A785A93" w14:textId="77777777" w:rsidTr="00614438">
        <w:trPr>
          <w:gridAfter w:val="1"/>
          <w:wAfter w:w="222" w:type="dxa"/>
          <w:trHeight w:val="315"/>
        </w:trPr>
        <w:tc>
          <w:tcPr>
            <w:tcW w:w="3313" w:type="dxa"/>
            <w:tcBorders>
              <w:top w:val="nil"/>
              <w:left w:val="single" w:sz="8" w:space="0" w:color="auto"/>
              <w:bottom w:val="single" w:sz="8" w:space="0" w:color="auto"/>
              <w:right w:val="nil"/>
            </w:tcBorders>
            <w:shd w:val="clear" w:color="auto" w:fill="244062"/>
            <w:vAlign w:val="center"/>
            <w:hideMark/>
          </w:tcPr>
          <w:p w14:paraId="229F8AA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5" w:type="dxa"/>
            <w:gridSpan w:val="3"/>
            <w:tcBorders>
              <w:top w:val="single" w:sz="8" w:space="0" w:color="auto"/>
              <w:left w:val="nil"/>
              <w:bottom w:val="single" w:sz="8" w:space="0" w:color="auto"/>
              <w:right w:val="single" w:sz="8" w:space="0" w:color="000000"/>
            </w:tcBorders>
            <w:vAlign w:val="center"/>
            <w:hideMark/>
          </w:tcPr>
          <w:p w14:paraId="5D97FAAB" w14:textId="77777777" w:rsidR="00614438" w:rsidRPr="00AA7A53" w:rsidRDefault="00614438" w:rsidP="00AA7A53">
            <w:pPr>
              <w:numPr>
                <w:ilvl w:val="0"/>
                <w:numId w:val="93"/>
              </w:numPr>
              <w:spacing w:after="0"/>
              <w:jc w:val="both"/>
              <w:rPr>
                <w:rFonts w:ascii="Times New Roman" w:hAnsi="Times New Roman" w:cs="Times New Roman"/>
                <w:sz w:val="20"/>
                <w:szCs w:val="20"/>
              </w:rPr>
            </w:pPr>
            <w:r w:rsidRPr="00AA7A53">
              <w:rPr>
                <w:rFonts w:ascii="Times New Roman" w:hAnsi="Times New Roman" w:cs="Times New Roman"/>
                <w:sz w:val="20"/>
                <w:szCs w:val="20"/>
              </w:rPr>
              <w:t>Number of energy efficient buses </w:t>
            </w:r>
          </w:p>
        </w:tc>
      </w:tr>
      <w:tr w:rsidR="00614438" w:rsidRPr="00AA7A53" w14:paraId="495E5990" w14:textId="77777777" w:rsidTr="00614438">
        <w:trPr>
          <w:gridAfter w:val="1"/>
          <w:wAfter w:w="222" w:type="dxa"/>
          <w:trHeight w:val="452"/>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663774D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5" w:type="dxa"/>
            <w:gridSpan w:val="3"/>
            <w:tcBorders>
              <w:top w:val="single" w:sz="8" w:space="0" w:color="auto"/>
              <w:left w:val="nil"/>
              <w:bottom w:val="single" w:sz="8" w:space="0" w:color="auto"/>
              <w:right w:val="single" w:sz="8" w:space="0" w:color="000000"/>
            </w:tcBorders>
            <w:vAlign w:val="center"/>
            <w:hideMark/>
          </w:tcPr>
          <w:p w14:paraId="788977B3" w14:textId="77777777" w:rsidR="00614438" w:rsidRPr="00AA7A53" w:rsidRDefault="00614438" w:rsidP="00AA7A53">
            <w:pPr>
              <w:numPr>
                <w:ilvl w:val="0"/>
                <w:numId w:val="94"/>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Decarbonisation (the delivered energy savings will decrease the consumed quantities of fossil fuels leading to the respective GHG emission reduction </w:t>
            </w:r>
            <w:r w:rsidR="00E33E8A"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promoted electric vehicles will increase the RES share in transport)</w:t>
            </w:r>
          </w:p>
          <w:p w14:paraId="4CC1FEF2" w14:textId="77777777" w:rsidR="00614438" w:rsidRPr="00AA7A53" w:rsidRDefault="00614438" w:rsidP="00AA7A53">
            <w:pPr>
              <w:numPr>
                <w:ilvl w:val="0"/>
                <w:numId w:val="94"/>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6BB3FC14" w14:textId="77777777" w:rsidTr="00614438">
        <w:trPr>
          <w:gridAfter w:val="1"/>
          <w:wAfter w:w="222" w:type="dxa"/>
          <w:trHeight w:val="458"/>
        </w:trPr>
        <w:tc>
          <w:tcPr>
            <w:tcW w:w="3313" w:type="dxa"/>
            <w:vMerge w:val="restart"/>
            <w:tcBorders>
              <w:top w:val="nil"/>
              <w:left w:val="single" w:sz="8" w:space="0" w:color="auto"/>
              <w:bottom w:val="single" w:sz="8" w:space="0" w:color="000000"/>
              <w:right w:val="single" w:sz="8" w:space="0" w:color="auto"/>
            </w:tcBorders>
            <w:shd w:val="clear" w:color="auto" w:fill="244062"/>
            <w:vAlign w:val="center"/>
            <w:hideMark/>
          </w:tcPr>
          <w:p w14:paraId="439EC66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5"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D2D1B47" w14:textId="77777777" w:rsidR="00614438" w:rsidRPr="00AA7A53" w:rsidRDefault="00614438" w:rsidP="00AA7A53">
            <w:pPr>
              <w:numPr>
                <w:ilvl w:val="0"/>
                <w:numId w:val="94"/>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w:t>
            </w:r>
            <w:r w:rsidR="00E33E8A" w:rsidRPr="00AA7A53">
              <w:rPr>
                <w:rFonts w:ascii="Times New Roman" w:hAnsi="Times New Roman" w:cs="Times New Roman"/>
                <w:sz w:val="20"/>
                <w:szCs w:val="20"/>
              </w:rPr>
              <w:t xml:space="preserve">ive </w:t>
            </w:r>
            <w:r w:rsidRPr="00AA7A53">
              <w:rPr>
                <w:rFonts w:ascii="Times New Roman" w:hAnsi="Times New Roman" w:cs="Times New Roman"/>
                <w:sz w:val="20"/>
                <w:szCs w:val="20"/>
              </w:rPr>
              <w:t>2012/27</w:t>
            </w:r>
            <w:r w:rsidR="00E33E8A" w:rsidRPr="00AA7A53">
              <w:rPr>
                <w:rFonts w:ascii="Times New Roman" w:hAnsi="Times New Roman" w:cs="Times New Roman"/>
                <w:sz w:val="20"/>
                <w:szCs w:val="20"/>
              </w:rPr>
              <w:t>/EU</w:t>
            </w:r>
          </w:p>
          <w:p w14:paraId="067C5ACC" w14:textId="77777777" w:rsidR="00614438" w:rsidRPr="00AA7A53" w:rsidRDefault="00E33E8A" w:rsidP="00AA7A53">
            <w:pPr>
              <w:numPr>
                <w:ilvl w:val="0"/>
                <w:numId w:val="94"/>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Directive </w:t>
            </w:r>
            <w:r w:rsidR="00614438" w:rsidRPr="00AA7A53">
              <w:rPr>
                <w:rFonts w:ascii="Times New Roman" w:hAnsi="Times New Roman" w:cs="Times New Roman"/>
                <w:sz w:val="20"/>
                <w:szCs w:val="20"/>
              </w:rPr>
              <w:t>2018/2002</w:t>
            </w:r>
            <w:r w:rsidRPr="00AA7A53">
              <w:rPr>
                <w:rFonts w:ascii="Times New Roman" w:hAnsi="Times New Roman" w:cs="Times New Roman"/>
                <w:sz w:val="20"/>
                <w:szCs w:val="20"/>
              </w:rPr>
              <w:t>/EU</w:t>
            </w:r>
          </w:p>
        </w:tc>
      </w:tr>
      <w:tr w:rsidR="00614438" w:rsidRPr="00AA7A53" w14:paraId="2EE0F7F4"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72DA7F67"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356813D"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68A8CD83"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49BA8EC"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07950B8F"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BE91E19"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3934AB48"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5211CBA3" w14:textId="77777777" w:rsidTr="00614438">
        <w:trPr>
          <w:trHeight w:val="780"/>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52AC2F5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Relevant National Planning Document (Legal, Regulatory Acts etc)</w:t>
            </w:r>
          </w:p>
        </w:tc>
        <w:tc>
          <w:tcPr>
            <w:tcW w:w="6145" w:type="dxa"/>
            <w:gridSpan w:val="3"/>
            <w:tcBorders>
              <w:top w:val="single" w:sz="8" w:space="0" w:color="auto"/>
              <w:left w:val="nil"/>
              <w:bottom w:val="single" w:sz="8" w:space="0" w:color="auto"/>
              <w:right w:val="single" w:sz="8" w:space="0" w:color="000000"/>
            </w:tcBorders>
            <w:vAlign w:val="center"/>
            <w:hideMark/>
          </w:tcPr>
          <w:p w14:paraId="329FF824" w14:textId="77777777" w:rsidR="00614438" w:rsidRPr="00AA7A53" w:rsidRDefault="00614438" w:rsidP="00AA7A53">
            <w:pPr>
              <w:numPr>
                <w:ilvl w:val="0"/>
                <w:numId w:val="94"/>
              </w:numPr>
              <w:spacing w:after="0"/>
              <w:jc w:val="both"/>
              <w:rPr>
                <w:rFonts w:ascii="Times New Roman" w:hAnsi="Times New Roman" w:cs="Times New Roman"/>
                <w:sz w:val="20"/>
                <w:szCs w:val="20"/>
              </w:rPr>
            </w:pPr>
            <w:r w:rsidRPr="00AA7A53">
              <w:rPr>
                <w:rFonts w:ascii="Times New Roman" w:hAnsi="Times New Roman" w:cs="Times New Roman"/>
                <w:sz w:val="20"/>
                <w:szCs w:val="20"/>
              </w:rPr>
              <w:t>4th NEEAP</w:t>
            </w:r>
          </w:p>
          <w:p w14:paraId="3DFF3C05" w14:textId="77777777" w:rsidR="00614438" w:rsidRPr="00AA7A53" w:rsidRDefault="00614438" w:rsidP="00AA7A53">
            <w:pPr>
              <w:numPr>
                <w:ilvl w:val="0"/>
                <w:numId w:val="94"/>
              </w:numPr>
              <w:spacing w:after="0"/>
              <w:jc w:val="both"/>
              <w:rPr>
                <w:rFonts w:ascii="Times New Roman" w:hAnsi="Times New Roman" w:cs="Times New Roman"/>
                <w:sz w:val="20"/>
                <w:szCs w:val="20"/>
              </w:rPr>
            </w:pPr>
            <w:r w:rsidRPr="00AA7A53">
              <w:rPr>
                <w:rFonts w:ascii="Times New Roman" w:hAnsi="Times New Roman" w:cs="Times New Roman"/>
                <w:sz w:val="20"/>
                <w:szCs w:val="20"/>
              </w:rPr>
              <w:t>Sustainable Urban Development Strategy of the Republic of Serbia until 2030</w:t>
            </w:r>
          </w:p>
        </w:tc>
        <w:tc>
          <w:tcPr>
            <w:tcW w:w="222" w:type="dxa"/>
            <w:vAlign w:val="center"/>
            <w:hideMark/>
          </w:tcPr>
          <w:p w14:paraId="03AE557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25EFDC0" w14:textId="77777777" w:rsidTr="00614438">
        <w:trPr>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0FBE0D6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5" w:type="dxa"/>
            <w:gridSpan w:val="3"/>
            <w:tcBorders>
              <w:top w:val="single" w:sz="8" w:space="0" w:color="auto"/>
              <w:left w:val="nil"/>
              <w:bottom w:val="single" w:sz="8" w:space="0" w:color="auto"/>
              <w:right w:val="single" w:sz="8" w:space="0" w:color="000000"/>
            </w:tcBorders>
            <w:vAlign w:val="center"/>
            <w:hideMark/>
          </w:tcPr>
          <w:p w14:paraId="0914CC16" w14:textId="77777777" w:rsidR="00614438" w:rsidRPr="00AA7A53" w:rsidRDefault="00614438" w:rsidP="00AA7A53">
            <w:pPr>
              <w:spacing w:after="0"/>
              <w:jc w:val="both"/>
              <w:rPr>
                <w:rFonts w:ascii="Times New Roman" w:hAnsi="Times New Roman" w:cs="Times New Roman"/>
                <w:sz w:val="20"/>
                <w:szCs w:val="20"/>
                <w:lang w:val="en-GB"/>
              </w:rPr>
            </w:pPr>
            <w:bookmarkStart w:id="149" w:name="_Hlk152490021"/>
            <w:r w:rsidRPr="00AA7A53">
              <w:rPr>
                <w:rFonts w:ascii="Times New Roman" w:hAnsi="Times New Roman" w:cs="Times New Roman"/>
                <w:sz w:val="20"/>
                <w:szCs w:val="20"/>
                <w:lang w:val="en-GB"/>
              </w:rPr>
              <w:t>505 M€</w:t>
            </w:r>
            <w:bookmarkEnd w:id="149"/>
          </w:p>
        </w:tc>
        <w:tc>
          <w:tcPr>
            <w:tcW w:w="222" w:type="dxa"/>
            <w:vAlign w:val="center"/>
            <w:hideMark/>
          </w:tcPr>
          <w:p w14:paraId="7DE62D26"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37049B8" w14:textId="77777777" w:rsidTr="00614438">
        <w:trPr>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1139547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5" w:type="dxa"/>
            <w:gridSpan w:val="3"/>
            <w:tcBorders>
              <w:top w:val="single" w:sz="8" w:space="0" w:color="auto"/>
              <w:left w:val="nil"/>
              <w:bottom w:val="single" w:sz="8" w:space="0" w:color="auto"/>
              <w:right w:val="single" w:sz="8" w:space="0" w:color="000000"/>
            </w:tcBorders>
            <w:vAlign w:val="center"/>
            <w:hideMark/>
          </w:tcPr>
          <w:p w14:paraId="5F69348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r w:rsidR="00E33E8A" w:rsidRPr="00AA7A53">
              <w:rPr>
                <w:rFonts w:ascii="Times New Roman" w:hAnsi="Times New Roman" w:cs="Times New Roman"/>
                <w:sz w:val="20"/>
                <w:szCs w:val="20"/>
                <w:lang w:val="en-GB"/>
              </w:rPr>
              <w:t xml:space="preserve"> and own funds</w:t>
            </w:r>
          </w:p>
        </w:tc>
        <w:tc>
          <w:tcPr>
            <w:tcW w:w="222" w:type="dxa"/>
            <w:vAlign w:val="center"/>
            <w:hideMark/>
          </w:tcPr>
          <w:p w14:paraId="62117988" w14:textId="77777777" w:rsidR="00614438" w:rsidRPr="00AA7A53" w:rsidRDefault="00614438" w:rsidP="00AA7A53">
            <w:pPr>
              <w:spacing w:after="0"/>
              <w:jc w:val="both"/>
              <w:rPr>
                <w:rFonts w:ascii="Times New Roman" w:hAnsi="Times New Roman" w:cs="Times New Roman"/>
                <w:sz w:val="20"/>
                <w:szCs w:val="20"/>
                <w:lang w:val="en-GB"/>
              </w:rPr>
            </w:pPr>
          </w:p>
        </w:tc>
      </w:tr>
    </w:tbl>
    <w:p w14:paraId="15C90697"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92"/>
        <w:gridCol w:w="1050"/>
        <w:gridCol w:w="939"/>
        <w:gridCol w:w="4177"/>
        <w:gridCol w:w="222"/>
      </w:tblGrid>
      <w:tr w:rsidR="00614438" w:rsidRPr="00AA7A53" w14:paraId="354522EA" w14:textId="77777777" w:rsidTr="00614438">
        <w:trPr>
          <w:gridAfter w:val="1"/>
          <w:wAfter w:w="222" w:type="dxa"/>
          <w:trHeight w:val="780"/>
        </w:trPr>
        <w:tc>
          <w:tcPr>
            <w:tcW w:w="3315"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5C0E942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Policy measure code:</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3656E9C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PM_EE19</w:t>
            </w:r>
          </w:p>
        </w:tc>
        <w:tc>
          <w:tcPr>
            <w:tcW w:w="943" w:type="dxa"/>
            <w:tcBorders>
              <w:top w:val="single" w:sz="8" w:space="0" w:color="auto"/>
              <w:left w:val="nil"/>
              <w:bottom w:val="single" w:sz="8" w:space="0" w:color="auto"/>
              <w:right w:val="single" w:sz="8" w:space="0" w:color="auto"/>
            </w:tcBorders>
            <w:shd w:val="clear" w:color="auto" w:fill="244062"/>
            <w:vAlign w:val="center"/>
            <w:hideMark/>
          </w:tcPr>
          <w:p w14:paraId="3F53149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7149BF8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Development of sustainable regional or municipal mobility plans</w:t>
            </w:r>
          </w:p>
        </w:tc>
      </w:tr>
      <w:tr w:rsidR="00614438" w:rsidRPr="00AA7A53" w14:paraId="555967F7" w14:textId="77777777" w:rsidTr="00614438">
        <w:trPr>
          <w:gridAfter w:val="1"/>
          <w:wAfter w:w="222" w:type="dxa"/>
          <w:trHeight w:val="541"/>
        </w:trPr>
        <w:tc>
          <w:tcPr>
            <w:tcW w:w="3315" w:type="dxa"/>
            <w:tcBorders>
              <w:top w:val="nil"/>
              <w:left w:val="single" w:sz="8" w:space="0" w:color="auto"/>
              <w:bottom w:val="single" w:sz="8" w:space="0" w:color="auto"/>
              <w:right w:val="nil"/>
            </w:tcBorders>
            <w:shd w:val="clear" w:color="auto" w:fill="244062"/>
            <w:vAlign w:val="center"/>
            <w:hideMark/>
          </w:tcPr>
          <w:p w14:paraId="38593D8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Main objective:</w:t>
            </w:r>
          </w:p>
        </w:tc>
        <w:tc>
          <w:tcPr>
            <w:tcW w:w="6143" w:type="dxa"/>
            <w:gridSpan w:val="3"/>
            <w:tcBorders>
              <w:top w:val="single" w:sz="8" w:space="0" w:color="auto"/>
              <w:left w:val="nil"/>
              <w:bottom w:val="single" w:sz="8" w:space="0" w:color="auto"/>
              <w:right w:val="single" w:sz="8" w:space="0" w:color="000000"/>
            </w:tcBorders>
            <w:vAlign w:val="center"/>
            <w:hideMark/>
          </w:tcPr>
          <w:p w14:paraId="5FB246F7" w14:textId="56670372" w:rsidR="00614438" w:rsidRPr="00AA7A53" w:rsidRDefault="00614438" w:rsidP="00AA7A53">
            <w:pPr>
              <w:spacing w:after="0"/>
              <w:jc w:val="both"/>
              <w:rPr>
                <w:rFonts w:ascii="Times New Roman" w:hAnsi="Times New Roman" w:cs="Times New Roman"/>
                <w:sz w:val="20"/>
                <w:szCs w:val="20"/>
              </w:rPr>
            </w:pPr>
            <w:r w:rsidRPr="00AA7A53">
              <w:rPr>
                <w:rFonts w:ascii="Times New Roman" w:hAnsi="Times New Roman" w:cs="Times New Roman"/>
                <w:sz w:val="20"/>
                <w:szCs w:val="20"/>
                <w:lang w:val="en-GB"/>
              </w:rPr>
              <w:t>Implementation of articles of the Directive (EU) 2012/27, as amended by Directive (EU) 2018/2002</w:t>
            </w:r>
            <w:r w:rsidR="00A8126A" w:rsidRPr="00AA7A53">
              <w:rPr>
                <w:rFonts w:ascii="Times New Roman" w:hAnsi="Times New Roman" w:cs="Times New Roman"/>
                <w:sz w:val="20"/>
                <w:szCs w:val="20"/>
                <w:lang w:val="en-GB"/>
              </w:rPr>
              <w:t>, namely</w:t>
            </w:r>
            <w:r w:rsidR="00F51689" w:rsidRPr="00AA7A53">
              <w:rPr>
                <w:rFonts w:ascii="Times New Roman" w:hAnsi="Times New Roman" w:cs="Times New Roman"/>
                <w:sz w:val="20"/>
                <w:szCs w:val="20"/>
                <w:lang w:val="en-GB"/>
              </w:rPr>
              <w:t>,</w:t>
            </w:r>
            <w:r w:rsidR="00A8126A" w:rsidRPr="00AA7A53">
              <w:rPr>
                <w:rFonts w:ascii="Times New Roman" w:hAnsi="Times New Roman" w:cs="Times New Roman"/>
                <w:sz w:val="20"/>
                <w:szCs w:val="20"/>
                <w:lang w:val="en-GB"/>
              </w:rPr>
              <w:t xml:space="preserve"> </w:t>
            </w:r>
            <w:r w:rsidRPr="00AA7A53">
              <w:rPr>
                <w:rFonts w:ascii="Times New Roman" w:hAnsi="Times New Roman" w:cs="Times New Roman"/>
                <w:sz w:val="20"/>
                <w:szCs w:val="20"/>
              </w:rPr>
              <w:t>Article 3</w:t>
            </w:r>
          </w:p>
        </w:tc>
      </w:tr>
      <w:tr w:rsidR="00614438" w:rsidRPr="00AA7A53" w14:paraId="4746824D"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61F660B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Quantified objective:</w:t>
            </w:r>
          </w:p>
        </w:tc>
        <w:tc>
          <w:tcPr>
            <w:tcW w:w="6143" w:type="dxa"/>
            <w:gridSpan w:val="3"/>
            <w:tcBorders>
              <w:top w:val="single" w:sz="8" w:space="0" w:color="auto"/>
              <w:left w:val="nil"/>
              <w:bottom w:val="single" w:sz="8" w:space="0" w:color="auto"/>
              <w:right w:val="single" w:sz="8" w:space="0" w:color="000000"/>
            </w:tcBorders>
            <w:vAlign w:val="center"/>
            <w:hideMark/>
          </w:tcPr>
          <w:p w14:paraId="43E8711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PM_EE10, PM_EE12 and PM_EE14</w:t>
            </w:r>
          </w:p>
        </w:tc>
      </w:tr>
      <w:tr w:rsidR="00614438" w:rsidRPr="00AA7A53" w14:paraId="6184841E" w14:textId="77777777" w:rsidTr="00614438">
        <w:trPr>
          <w:gridAfter w:val="1"/>
          <w:wAfter w:w="222" w:type="dxa"/>
          <w:trHeight w:val="1383"/>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770197B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3" w:type="dxa"/>
            <w:gridSpan w:val="3"/>
            <w:tcBorders>
              <w:top w:val="single" w:sz="8" w:space="0" w:color="auto"/>
              <w:left w:val="nil"/>
              <w:bottom w:val="single" w:sz="8" w:space="0" w:color="auto"/>
              <w:right w:val="single" w:sz="8" w:space="0" w:color="000000"/>
            </w:tcBorders>
            <w:vAlign w:val="center"/>
            <w:hideMark/>
          </w:tcPr>
          <w:p w14:paraId="132730B6" w14:textId="607E4B4E"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PM_EE19 will facilitate the development of sustainable regional or municipal mobility plans</w:t>
            </w:r>
            <w:r w:rsidR="00A8126A" w:rsidRPr="00AA7A53">
              <w:rPr>
                <w:rFonts w:ascii="Times New Roman" w:hAnsi="Times New Roman" w:cs="Times New Roman"/>
                <w:sz w:val="20"/>
                <w:szCs w:val="20"/>
                <w:lang w:val="en-GB"/>
              </w:rPr>
              <w:t>, that way</w:t>
            </w:r>
            <w:r w:rsidRPr="00AA7A53">
              <w:rPr>
                <w:rFonts w:ascii="Times New Roman" w:hAnsi="Times New Roman" w:cs="Times New Roman"/>
                <w:sz w:val="20"/>
                <w:szCs w:val="20"/>
                <w:lang w:val="en-GB"/>
              </w:rPr>
              <w:t xml:space="preserve"> leading to the completion of the holistic framework for the implementation of the above-mentioned measures at local and regional level</w:t>
            </w:r>
            <w:r w:rsidR="00A8126A"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taking into consideration the local </w:t>
            </w:r>
            <w:r w:rsidR="00A8126A" w:rsidRPr="00AA7A53">
              <w:rPr>
                <w:rFonts w:ascii="Times New Roman" w:hAnsi="Times New Roman" w:cs="Times New Roman"/>
                <w:sz w:val="20"/>
                <w:szCs w:val="20"/>
                <w:lang w:val="en-GB"/>
              </w:rPr>
              <w:t>characteristics and</w:t>
            </w:r>
            <w:r w:rsidRPr="00AA7A53">
              <w:rPr>
                <w:rFonts w:ascii="Times New Roman" w:hAnsi="Times New Roman" w:cs="Times New Roman"/>
                <w:sz w:val="20"/>
                <w:szCs w:val="20"/>
                <w:lang w:val="en-GB"/>
              </w:rPr>
              <w:t xml:space="preserve"> the design elements from all the above-mentioned measures </w:t>
            </w:r>
            <w:r w:rsidR="00A8126A" w:rsidRPr="00AA7A53">
              <w:rPr>
                <w:rFonts w:ascii="Times New Roman" w:hAnsi="Times New Roman" w:cs="Times New Roman"/>
                <w:sz w:val="20"/>
                <w:szCs w:val="20"/>
                <w:lang w:val="en-GB"/>
              </w:rPr>
              <w:t>as well as</w:t>
            </w:r>
            <w:r w:rsidRPr="00AA7A53">
              <w:rPr>
                <w:rFonts w:ascii="Times New Roman" w:hAnsi="Times New Roman" w:cs="Times New Roman"/>
                <w:sz w:val="20"/>
                <w:szCs w:val="20"/>
                <w:lang w:val="en-GB"/>
              </w:rPr>
              <w:t xml:space="preserve"> the existing spatial planning requirements according to the legislative framework.</w:t>
            </w:r>
          </w:p>
        </w:tc>
      </w:tr>
      <w:tr w:rsidR="00614438" w:rsidRPr="00AA7A53" w14:paraId="6810F359"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33CD501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3" w:type="dxa"/>
            <w:gridSpan w:val="3"/>
            <w:tcBorders>
              <w:top w:val="single" w:sz="8" w:space="0" w:color="auto"/>
              <w:left w:val="nil"/>
              <w:bottom w:val="single" w:sz="8" w:space="0" w:color="auto"/>
              <w:right w:val="single" w:sz="8" w:space="0" w:color="000000"/>
            </w:tcBorders>
            <w:vAlign w:val="center"/>
            <w:hideMark/>
          </w:tcPr>
          <w:p w14:paraId="66871A8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2025-2027</w:t>
            </w:r>
          </w:p>
        </w:tc>
      </w:tr>
      <w:tr w:rsidR="00614438" w:rsidRPr="00AA7A53" w14:paraId="76368EC4"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6D547C6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3" w:type="dxa"/>
            <w:gridSpan w:val="3"/>
            <w:tcBorders>
              <w:top w:val="single" w:sz="8" w:space="0" w:color="auto"/>
              <w:left w:val="nil"/>
              <w:bottom w:val="single" w:sz="8" w:space="0" w:color="auto"/>
              <w:right w:val="single" w:sz="8" w:space="0" w:color="000000"/>
            </w:tcBorders>
            <w:vAlign w:val="center"/>
            <w:hideMark/>
          </w:tcPr>
          <w:p w14:paraId="5D35DB9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13F6A3EF"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260FDDA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3" w:type="dxa"/>
            <w:gridSpan w:val="3"/>
            <w:tcBorders>
              <w:top w:val="single" w:sz="8" w:space="0" w:color="auto"/>
              <w:left w:val="nil"/>
              <w:bottom w:val="single" w:sz="8" w:space="0" w:color="auto"/>
              <w:right w:val="single" w:sz="8" w:space="0" w:color="000000"/>
            </w:tcBorders>
            <w:vAlign w:val="center"/>
            <w:hideMark/>
          </w:tcPr>
          <w:p w14:paraId="49B7319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Transport</w:t>
            </w:r>
          </w:p>
        </w:tc>
      </w:tr>
      <w:tr w:rsidR="00614438" w:rsidRPr="00AA7A53" w14:paraId="61E91440"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77FBCA2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3" w:type="dxa"/>
            <w:gridSpan w:val="3"/>
            <w:tcBorders>
              <w:top w:val="single" w:sz="8" w:space="0" w:color="auto"/>
              <w:left w:val="nil"/>
              <w:bottom w:val="single" w:sz="8" w:space="0" w:color="auto"/>
              <w:right w:val="single" w:sz="8" w:space="0" w:color="000000"/>
            </w:tcBorders>
            <w:vAlign w:val="center"/>
            <w:hideMark/>
          </w:tcPr>
          <w:p w14:paraId="1186710B" w14:textId="77777777" w:rsidR="00614438" w:rsidRPr="00AA7A53" w:rsidRDefault="00614438" w:rsidP="00AA7A53">
            <w:pPr>
              <w:numPr>
                <w:ilvl w:val="0"/>
                <w:numId w:val="93"/>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6DAB5BAE" w14:textId="5F06C109" w:rsidR="00614438" w:rsidRPr="00AA7A53" w:rsidRDefault="00614438" w:rsidP="00AA7A53">
            <w:pPr>
              <w:numPr>
                <w:ilvl w:val="0"/>
                <w:numId w:val="93"/>
              </w:numPr>
              <w:spacing w:after="0"/>
              <w:jc w:val="both"/>
              <w:rPr>
                <w:rFonts w:ascii="Times New Roman" w:hAnsi="Times New Roman" w:cs="Times New Roman"/>
                <w:sz w:val="20"/>
                <w:szCs w:val="20"/>
              </w:rPr>
            </w:pPr>
            <w:r w:rsidRPr="00AA7A53">
              <w:rPr>
                <w:rFonts w:ascii="Times New Roman" w:hAnsi="Times New Roman" w:cs="Times New Roman"/>
                <w:sz w:val="20"/>
                <w:szCs w:val="20"/>
              </w:rPr>
              <w:t>Local self-government</w:t>
            </w:r>
            <w:r w:rsidR="00A8126A" w:rsidRPr="00AA7A53">
              <w:rPr>
                <w:rFonts w:ascii="Times New Roman" w:hAnsi="Times New Roman" w:cs="Times New Roman"/>
                <w:sz w:val="20"/>
                <w:szCs w:val="20"/>
              </w:rPr>
              <w:t xml:space="preserve"> units</w:t>
            </w:r>
          </w:p>
        </w:tc>
      </w:tr>
      <w:tr w:rsidR="00614438" w:rsidRPr="00AA7A53" w14:paraId="25315522" w14:textId="77777777" w:rsidTr="00614438">
        <w:trPr>
          <w:gridAfter w:val="1"/>
          <w:wAfter w:w="222" w:type="dxa"/>
          <w:trHeight w:val="315"/>
        </w:trPr>
        <w:tc>
          <w:tcPr>
            <w:tcW w:w="3315" w:type="dxa"/>
            <w:tcBorders>
              <w:top w:val="nil"/>
              <w:left w:val="single" w:sz="8" w:space="0" w:color="auto"/>
              <w:bottom w:val="single" w:sz="8" w:space="0" w:color="auto"/>
              <w:right w:val="nil"/>
            </w:tcBorders>
            <w:shd w:val="clear" w:color="auto" w:fill="244062"/>
            <w:vAlign w:val="center"/>
            <w:hideMark/>
          </w:tcPr>
          <w:p w14:paraId="45BAC6C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3" w:type="dxa"/>
            <w:gridSpan w:val="3"/>
            <w:tcBorders>
              <w:top w:val="single" w:sz="8" w:space="0" w:color="auto"/>
              <w:left w:val="nil"/>
              <w:bottom w:val="single" w:sz="8" w:space="0" w:color="auto"/>
              <w:right w:val="single" w:sz="8" w:space="0" w:color="000000"/>
            </w:tcBorders>
            <w:vAlign w:val="center"/>
            <w:hideMark/>
          </w:tcPr>
          <w:p w14:paraId="29686682" w14:textId="77777777" w:rsidR="00614438" w:rsidRPr="00AA7A53" w:rsidRDefault="00614438" w:rsidP="00AA7A53">
            <w:pPr>
              <w:numPr>
                <w:ilvl w:val="0"/>
                <w:numId w:val="93"/>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331A2D4B" w14:textId="77777777" w:rsidTr="00614438">
        <w:trPr>
          <w:gridAfter w:val="1"/>
          <w:wAfter w:w="222" w:type="dxa"/>
          <w:trHeight w:val="315"/>
        </w:trPr>
        <w:tc>
          <w:tcPr>
            <w:tcW w:w="3315" w:type="dxa"/>
            <w:tcBorders>
              <w:top w:val="nil"/>
              <w:left w:val="single" w:sz="8" w:space="0" w:color="auto"/>
              <w:bottom w:val="single" w:sz="8" w:space="0" w:color="auto"/>
              <w:right w:val="nil"/>
            </w:tcBorders>
            <w:shd w:val="clear" w:color="auto" w:fill="244062"/>
            <w:vAlign w:val="center"/>
            <w:hideMark/>
          </w:tcPr>
          <w:p w14:paraId="709BACE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3" w:type="dxa"/>
            <w:gridSpan w:val="3"/>
            <w:tcBorders>
              <w:top w:val="single" w:sz="8" w:space="0" w:color="auto"/>
              <w:left w:val="nil"/>
              <w:bottom w:val="single" w:sz="8" w:space="0" w:color="auto"/>
              <w:right w:val="single" w:sz="8" w:space="0" w:color="000000"/>
            </w:tcBorders>
            <w:vAlign w:val="center"/>
            <w:hideMark/>
          </w:tcPr>
          <w:p w14:paraId="1F44F28F" w14:textId="77777777" w:rsidR="00614438" w:rsidRPr="00AA7A53" w:rsidRDefault="00614438" w:rsidP="00AA7A53">
            <w:pPr>
              <w:numPr>
                <w:ilvl w:val="0"/>
                <w:numId w:val="93"/>
              </w:numPr>
              <w:spacing w:after="0"/>
              <w:jc w:val="both"/>
              <w:rPr>
                <w:rFonts w:ascii="Times New Roman" w:hAnsi="Times New Roman" w:cs="Times New Roman"/>
                <w:sz w:val="20"/>
                <w:szCs w:val="20"/>
              </w:rPr>
            </w:pPr>
            <w:r w:rsidRPr="00AA7A53">
              <w:rPr>
                <w:rFonts w:ascii="Times New Roman" w:hAnsi="Times New Roman" w:cs="Times New Roman"/>
                <w:sz w:val="20"/>
                <w:szCs w:val="20"/>
              </w:rPr>
              <w:t>Affected passenger and freight transport</w:t>
            </w:r>
          </w:p>
        </w:tc>
      </w:tr>
      <w:tr w:rsidR="00614438" w:rsidRPr="00AA7A53" w14:paraId="634CC078" w14:textId="77777777" w:rsidTr="00614438">
        <w:trPr>
          <w:gridAfter w:val="1"/>
          <w:wAfter w:w="222" w:type="dxa"/>
          <w:trHeight w:val="533"/>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0E486BD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3" w:type="dxa"/>
            <w:gridSpan w:val="3"/>
            <w:tcBorders>
              <w:top w:val="single" w:sz="8" w:space="0" w:color="auto"/>
              <w:left w:val="nil"/>
              <w:bottom w:val="single" w:sz="8" w:space="0" w:color="auto"/>
              <w:right w:val="single" w:sz="8" w:space="0" w:color="000000"/>
            </w:tcBorders>
            <w:vAlign w:val="center"/>
            <w:hideMark/>
          </w:tcPr>
          <w:p w14:paraId="0B5CF50A" w14:textId="77777777" w:rsidR="00614438" w:rsidRPr="00AA7A53" w:rsidRDefault="00614438" w:rsidP="00AA7A53">
            <w:pPr>
              <w:numPr>
                <w:ilvl w:val="0"/>
                <w:numId w:val="95"/>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 leading to the respective GHG emission reduction)</w:t>
            </w:r>
          </w:p>
          <w:p w14:paraId="08313862" w14:textId="77777777" w:rsidR="00614438" w:rsidRPr="00AA7A53" w:rsidRDefault="00614438" w:rsidP="00AA7A53">
            <w:pPr>
              <w:numPr>
                <w:ilvl w:val="0"/>
                <w:numId w:val="95"/>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3AFAA898" w14:textId="77777777" w:rsidTr="00614438">
        <w:trPr>
          <w:gridAfter w:val="1"/>
          <w:wAfter w:w="222" w:type="dxa"/>
          <w:trHeight w:val="458"/>
        </w:trPr>
        <w:tc>
          <w:tcPr>
            <w:tcW w:w="3315" w:type="dxa"/>
            <w:vMerge w:val="restart"/>
            <w:tcBorders>
              <w:top w:val="nil"/>
              <w:left w:val="single" w:sz="8" w:space="0" w:color="auto"/>
              <w:bottom w:val="single" w:sz="8" w:space="0" w:color="000000"/>
              <w:right w:val="single" w:sz="8" w:space="0" w:color="auto"/>
            </w:tcBorders>
            <w:shd w:val="clear" w:color="auto" w:fill="244062"/>
            <w:vAlign w:val="center"/>
            <w:hideMark/>
          </w:tcPr>
          <w:p w14:paraId="1280B6A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3"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EEAFBB4" w14:textId="77777777" w:rsidR="00614438" w:rsidRPr="00AA7A53" w:rsidRDefault="00614438" w:rsidP="00AA7A53">
            <w:pPr>
              <w:numPr>
                <w:ilvl w:val="0"/>
                <w:numId w:val="95"/>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47C71197" w14:textId="77777777" w:rsidR="00614438" w:rsidRPr="00AA7A53" w:rsidRDefault="00614438" w:rsidP="00AA7A53">
            <w:pPr>
              <w:numPr>
                <w:ilvl w:val="0"/>
                <w:numId w:val="95"/>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6F39ED72"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3D22A7C9"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58B9851"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075F548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EF604B9"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1C570FAC"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3010AA2"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6A01B7D3"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6F630522" w14:textId="77777777" w:rsidTr="00614438">
        <w:trPr>
          <w:trHeight w:val="383"/>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1F201CB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3" w:type="dxa"/>
            <w:gridSpan w:val="3"/>
            <w:tcBorders>
              <w:top w:val="single" w:sz="8" w:space="0" w:color="auto"/>
              <w:left w:val="nil"/>
              <w:bottom w:val="single" w:sz="8" w:space="0" w:color="auto"/>
              <w:right w:val="single" w:sz="8" w:space="0" w:color="000000"/>
            </w:tcBorders>
            <w:vAlign w:val="center"/>
            <w:hideMark/>
          </w:tcPr>
          <w:p w14:paraId="2DF9E3A8" w14:textId="77777777" w:rsidR="00614438" w:rsidRPr="00AA7A53" w:rsidRDefault="00614438" w:rsidP="00AA7A53">
            <w:pPr>
              <w:numPr>
                <w:ilvl w:val="0"/>
                <w:numId w:val="95"/>
              </w:numPr>
              <w:spacing w:after="0"/>
              <w:jc w:val="both"/>
              <w:rPr>
                <w:rFonts w:ascii="Times New Roman" w:hAnsi="Times New Roman" w:cs="Times New Roman"/>
                <w:sz w:val="20"/>
                <w:szCs w:val="20"/>
              </w:rPr>
            </w:pPr>
            <w:r w:rsidRPr="00AA7A53">
              <w:rPr>
                <w:rFonts w:ascii="Times New Roman" w:hAnsi="Times New Roman" w:cs="Times New Roman"/>
                <w:sz w:val="20"/>
                <w:szCs w:val="20"/>
              </w:rPr>
              <w:t>Sustainable Urban Development Strategy of the Republic of Serbia until 2030</w:t>
            </w:r>
          </w:p>
          <w:p w14:paraId="669F7BB2" w14:textId="77777777" w:rsidR="00614438" w:rsidRPr="00AA7A53" w:rsidRDefault="00614438" w:rsidP="00AA7A53">
            <w:pPr>
              <w:numPr>
                <w:ilvl w:val="0"/>
                <w:numId w:val="95"/>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Planning and Construction</w:t>
            </w:r>
          </w:p>
        </w:tc>
        <w:tc>
          <w:tcPr>
            <w:tcW w:w="222" w:type="dxa"/>
            <w:vAlign w:val="center"/>
            <w:hideMark/>
          </w:tcPr>
          <w:p w14:paraId="0F59497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D73286F" w14:textId="77777777" w:rsidTr="00614438">
        <w:trPr>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44C8D31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3" w:type="dxa"/>
            <w:gridSpan w:val="3"/>
            <w:tcBorders>
              <w:top w:val="single" w:sz="8" w:space="0" w:color="auto"/>
              <w:left w:val="nil"/>
              <w:bottom w:val="single" w:sz="8" w:space="0" w:color="auto"/>
              <w:right w:val="single" w:sz="8" w:space="0" w:color="000000"/>
            </w:tcBorders>
            <w:vAlign w:val="center"/>
            <w:hideMark/>
          </w:tcPr>
          <w:p w14:paraId="6756652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Be integrated into PM_EE10, PM_EE12 and PM_EE14</w:t>
            </w:r>
          </w:p>
        </w:tc>
        <w:tc>
          <w:tcPr>
            <w:tcW w:w="222" w:type="dxa"/>
            <w:vAlign w:val="center"/>
            <w:hideMark/>
          </w:tcPr>
          <w:p w14:paraId="78728C09"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B80937C" w14:textId="77777777" w:rsidTr="00614438">
        <w:trPr>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25E30B3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3" w:type="dxa"/>
            <w:gridSpan w:val="3"/>
            <w:tcBorders>
              <w:top w:val="single" w:sz="8" w:space="0" w:color="auto"/>
              <w:left w:val="nil"/>
              <w:bottom w:val="single" w:sz="8" w:space="0" w:color="auto"/>
              <w:right w:val="single" w:sz="8" w:space="0" w:color="000000"/>
            </w:tcBorders>
            <w:vAlign w:val="center"/>
            <w:hideMark/>
          </w:tcPr>
          <w:p w14:paraId="1231C4C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222" w:type="dxa"/>
            <w:vAlign w:val="center"/>
            <w:hideMark/>
          </w:tcPr>
          <w:p w14:paraId="1A56B593" w14:textId="77777777" w:rsidR="00614438" w:rsidRPr="00AA7A53" w:rsidRDefault="00614438" w:rsidP="00AA7A53">
            <w:pPr>
              <w:spacing w:after="0"/>
              <w:jc w:val="both"/>
              <w:rPr>
                <w:rFonts w:ascii="Times New Roman" w:hAnsi="Times New Roman" w:cs="Times New Roman"/>
                <w:sz w:val="20"/>
                <w:szCs w:val="20"/>
                <w:lang w:val="en-GB"/>
              </w:rPr>
            </w:pPr>
          </w:p>
        </w:tc>
      </w:tr>
    </w:tbl>
    <w:p w14:paraId="5EA6AFAC"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88"/>
        <w:gridCol w:w="1050"/>
        <w:gridCol w:w="939"/>
        <w:gridCol w:w="4181"/>
        <w:gridCol w:w="222"/>
      </w:tblGrid>
      <w:tr w:rsidR="00614438" w:rsidRPr="00AA7A53" w14:paraId="4A7361DF" w14:textId="77777777" w:rsidTr="00614438">
        <w:trPr>
          <w:gridAfter w:val="1"/>
          <w:wAfter w:w="222" w:type="dxa"/>
          <w:trHeight w:val="780"/>
        </w:trPr>
        <w:tc>
          <w:tcPr>
            <w:tcW w:w="3311"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BAE391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Policy measure code:</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25D11ED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PM_EE20</w:t>
            </w:r>
          </w:p>
        </w:tc>
        <w:tc>
          <w:tcPr>
            <w:tcW w:w="943" w:type="dxa"/>
            <w:tcBorders>
              <w:top w:val="single" w:sz="8" w:space="0" w:color="auto"/>
              <w:left w:val="nil"/>
              <w:bottom w:val="single" w:sz="8" w:space="0" w:color="auto"/>
              <w:right w:val="single" w:sz="8" w:space="0" w:color="auto"/>
            </w:tcBorders>
            <w:shd w:val="clear" w:color="auto" w:fill="244062"/>
            <w:vAlign w:val="center"/>
            <w:hideMark/>
          </w:tcPr>
          <w:p w14:paraId="6299F99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8" w:type="dxa"/>
            <w:tcBorders>
              <w:top w:val="single" w:sz="8" w:space="0" w:color="auto"/>
              <w:left w:val="nil"/>
              <w:bottom w:val="single" w:sz="8" w:space="0" w:color="auto"/>
              <w:right w:val="single" w:sz="8" w:space="0" w:color="auto"/>
            </w:tcBorders>
            <w:shd w:val="clear" w:color="auto" w:fill="E7E6E6" w:themeFill="background2"/>
            <w:vAlign w:val="center"/>
            <w:hideMark/>
          </w:tcPr>
          <w:p w14:paraId="480A33D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Supplementary actions for the promotion of energy efficiency in transport sector </w:t>
            </w:r>
          </w:p>
        </w:tc>
      </w:tr>
      <w:tr w:rsidR="00614438" w:rsidRPr="00AA7A53" w14:paraId="2AB3320F" w14:textId="77777777" w:rsidTr="00614438">
        <w:trPr>
          <w:gridAfter w:val="1"/>
          <w:wAfter w:w="222" w:type="dxa"/>
          <w:trHeight w:val="433"/>
        </w:trPr>
        <w:tc>
          <w:tcPr>
            <w:tcW w:w="3311" w:type="dxa"/>
            <w:tcBorders>
              <w:top w:val="nil"/>
              <w:left w:val="single" w:sz="8" w:space="0" w:color="auto"/>
              <w:bottom w:val="single" w:sz="8" w:space="0" w:color="auto"/>
              <w:right w:val="nil"/>
            </w:tcBorders>
            <w:shd w:val="clear" w:color="auto" w:fill="244062"/>
            <w:vAlign w:val="center"/>
            <w:hideMark/>
          </w:tcPr>
          <w:p w14:paraId="477E8CA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Main objective:</w:t>
            </w:r>
          </w:p>
        </w:tc>
        <w:tc>
          <w:tcPr>
            <w:tcW w:w="6147" w:type="dxa"/>
            <w:gridSpan w:val="3"/>
            <w:tcBorders>
              <w:top w:val="single" w:sz="8" w:space="0" w:color="auto"/>
              <w:left w:val="nil"/>
              <w:bottom w:val="single" w:sz="8" w:space="0" w:color="auto"/>
              <w:right w:val="single" w:sz="8" w:space="0" w:color="000000"/>
            </w:tcBorders>
            <w:vAlign w:val="center"/>
            <w:hideMark/>
          </w:tcPr>
          <w:p w14:paraId="5CE6473E" w14:textId="018DEFC0"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Implementation of the following articles of the Directive (EU) 2012/27, as amended by Directive (EU) 2018/2002:</w:t>
            </w:r>
          </w:p>
          <w:p w14:paraId="0948034C" w14:textId="77777777" w:rsidR="00614438" w:rsidRPr="00AA7A53" w:rsidRDefault="00614438" w:rsidP="00AA7A53">
            <w:pPr>
              <w:numPr>
                <w:ilvl w:val="0"/>
                <w:numId w:val="95"/>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tc>
      </w:tr>
      <w:tr w:rsidR="00614438" w:rsidRPr="00AA7A53" w14:paraId="5A9CECC6" w14:textId="77777777" w:rsidTr="00614438">
        <w:trPr>
          <w:gridAfter w:val="1"/>
          <w:wAfter w:w="222"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37942CD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Quantified objective:</w:t>
            </w:r>
          </w:p>
        </w:tc>
        <w:tc>
          <w:tcPr>
            <w:tcW w:w="6147" w:type="dxa"/>
            <w:gridSpan w:val="3"/>
            <w:tcBorders>
              <w:top w:val="single" w:sz="8" w:space="0" w:color="auto"/>
              <w:left w:val="nil"/>
              <w:bottom w:val="single" w:sz="8" w:space="0" w:color="auto"/>
              <w:right w:val="single" w:sz="8" w:space="0" w:color="000000"/>
            </w:tcBorders>
            <w:vAlign w:val="center"/>
            <w:hideMark/>
          </w:tcPr>
          <w:p w14:paraId="4A87E65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PM_EE10, PM_EE12 and PM_EE14</w:t>
            </w:r>
          </w:p>
        </w:tc>
      </w:tr>
      <w:tr w:rsidR="00614438" w:rsidRPr="00AA7A53" w14:paraId="617E3094" w14:textId="77777777" w:rsidTr="00614438">
        <w:trPr>
          <w:gridAfter w:val="1"/>
          <w:wAfter w:w="222" w:type="dxa"/>
          <w:trHeight w:val="1138"/>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51345F3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Description:</w:t>
            </w:r>
          </w:p>
        </w:tc>
        <w:tc>
          <w:tcPr>
            <w:tcW w:w="6147" w:type="dxa"/>
            <w:gridSpan w:val="3"/>
            <w:tcBorders>
              <w:top w:val="single" w:sz="8" w:space="0" w:color="auto"/>
              <w:left w:val="nil"/>
              <w:bottom w:val="single" w:sz="8" w:space="0" w:color="auto"/>
              <w:right w:val="single" w:sz="8" w:space="0" w:color="000000"/>
            </w:tcBorders>
            <w:vAlign w:val="center"/>
            <w:hideMark/>
          </w:tcPr>
          <w:p w14:paraId="6135A169" w14:textId="71CD39DB"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PM_EE20 will foresee existing various measures for the promotion of energy efficient tyres for all types of vehicles</w:t>
            </w:r>
            <w:r w:rsidR="00A8126A"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such as the promotion of energy efficient tyres and lubricants, the regular technical inspections of vehicles in compliance with specific quality requirements, the promotion of fuel additives, the establishment of a framework for fuel labelling and fuel quality monitoring.</w:t>
            </w:r>
          </w:p>
        </w:tc>
      </w:tr>
      <w:tr w:rsidR="00614438" w:rsidRPr="00AA7A53" w14:paraId="48EC3A9D" w14:textId="77777777" w:rsidTr="00614438">
        <w:trPr>
          <w:gridAfter w:val="1"/>
          <w:wAfter w:w="222"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411A8C2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7" w:type="dxa"/>
            <w:gridSpan w:val="3"/>
            <w:tcBorders>
              <w:top w:val="single" w:sz="8" w:space="0" w:color="auto"/>
              <w:left w:val="nil"/>
              <w:bottom w:val="single" w:sz="8" w:space="0" w:color="auto"/>
              <w:right w:val="single" w:sz="8" w:space="0" w:color="000000"/>
            </w:tcBorders>
            <w:vAlign w:val="center"/>
            <w:hideMark/>
          </w:tcPr>
          <w:p w14:paraId="327EE38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36801FDE" w14:textId="77777777" w:rsidTr="00614438">
        <w:trPr>
          <w:gridAfter w:val="1"/>
          <w:wAfter w:w="222"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2991813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7" w:type="dxa"/>
            <w:gridSpan w:val="3"/>
            <w:tcBorders>
              <w:top w:val="single" w:sz="8" w:space="0" w:color="auto"/>
              <w:left w:val="nil"/>
              <w:bottom w:val="single" w:sz="8" w:space="0" w:color="auto"/>
              <w:right w:val="single" w:sz="8" w:space="0" w:color="000000"/>
            </w:tcBorders>
            <w:vAlign w:val="center"/>
            <w:hideMark/>
          </w:tcPr>
          <w:p w14:paraId="4E15D45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21EBB9A9" w14:textId="77777777" w:rsidTr="00614438">
        <w:trPr>
          <w:gridAfter w:val="1"/>
          <w:wAfter w:w="222"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6C5350B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7" w:type="dxa"/>
            <w:gridSpan w:val="3"/>
            <w:tcBorders>
              <w:top w:val="single" w:sz="8" w:space="0" w:color="auto"/>
              <w:left w:val="nil"/>
              <w:bottom w:val="single" w:sz="8" w:space="0" w:color="auto"/>
              <w:right w:val="single" w:sz="8" w:space="0" w:color="000000"/>
            </w:tcBorders>
            <w:vAlign w:val="center"/>
            <w:hideMark/>
          </w:tcPr>
          <w:p w14:paraId="534BE70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Transport</w:t>
            </w:r>
          </w:p>
        </w:tc>
      </w:tr>
      <w:tr w:rsidR="00614438" w:rsidRPr="00AA7A53" w14:paraId="1C3A8977" w14:textId="77777777" w:rsidTr="00614438">
        <w:trPr>
          <w:gridAfter w:val="1"/>
          <w:wAfter w:w="222"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6B3E5D5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7" w:type="dxa"/>
            <w:gridSpan w:val="3"/>
            <w:tcBorders>
              <w:top w:val="single" w:sz="8" w:space="0" w:color="auto"/>
              <w:left w:val="nil"/>
              <w:bottom w:val="single" w:sz="8" w:space="0" w:color="auto"/>
              <w:right w:val="single" w:sz="8" w:space="0" w:color="000000"/>
            </w:tcBorders>
            <w:vAlign w:val="center"/>
            <w:hideMark/>
          </w:tcPr>
          <w:p w14:paraId="529091E0" w14:textId="77777777" w:rsidR="00614438" w:rsidRPr="00AA7A53" w:rsidRDefault="00614438" w:rsidP="00AA7A53">
            <w:pPr>
              <w:numPr>
                <w:ilvl w:val="0"/>
                <w:numId w:val="9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0F39172B" w14:textId="40533FC2" w:rsidR="00614438" w:rsidRPr="00AA7A53" w:rsidRDefault="00614438" w:rsidP="00AA7A53">
            <w:pPr>
              <w:numPr>
                <w:ilvl w:val="0"/>
                <w:numId w:val="95"/>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Road </w:t>
            </w:r>
            <w:r w:rsidR="00A8126A" w:rsidRPr="00AA7A53">
              <w:rPr>
                <w:rFonts w:ascii="Times New Roman" w:hAnsi="Times New Roman" w:cs="Times New Roman"/>
                <w:sz w:val="20"/>
                <w:szCs w:val="20"/>
              </w:rPr>
              <w:t>T</w:t>
            </w:r>
            <w:r w:rsidRPr="00AA7A53">
              <w:rPr>
                <w:rFonts w:ascii="Times New Roman" w:hAnsi="Times New Roman" w:cs="Times New Roman"/>
                <w:sz w:val="20"/>
                <w:szCs w:val="20"/>
              </w:rPr>
              <w:t xml:space="preserve">raffic </w:t>
            </w:r>
            <w:r w:rsidR="00A8126A" w:rsidRPr="00AA7A53">
              <w:rPr>
                <w:rFonts w:ascii="Times New Roman" w:hAnsi="Times New Roman" w:cs="Times New Roman"/>
                <w:sz w:val="20"/>
                <w:szCs w:val="20"/>
              </w:rPr>
              <w:t>S</w:t>
            </w:r>
            <w:r w:rsidRPr="00AA7A53">
              <w:rPr>
                <w:rFonts w:ascii="Times New Roman" w:hAnsi="Times New Roman" w:cs="Times New Roman"/>
                <w:sz w:val="20"/>
                <w:szCs w:val="20"/>
              </w:rPr>
              <w:t xml:space="preserve">afety </w:t>
            </w:r>
            <w:r w:rsidR="00A8126A" w:rsidRPr="00AA7A53">
              <w:rPr>
                <w:rFonts w:ascii="Times New Roman" w:hAnsi="Times New Roman" w:cs="Times New Roman"/>
                <w:sz w:val="20"/>
                <w:szCs w:val="20"/>
              </w:rPr>
              <w:t>A</w:t>
            </w:r>
            <w:r w:rsidRPr="00AA7A53">
              <w:rPr>
                <w:rFonts w:ascii="Times New Roman" w:hAnsi="Times New Roman" w:cs="Times New Roman"/>
                <w:sz w:val="20"/>
                <w:szCs w:val="20"/>
              </w:rPr>
              <w:t>gency</w:t>
            </w:r>
          </w:p>
        </w:tc>
      </w:tr>
      <w:tr w:rsidR="00614438" w:rsidRPr="00AA7A53" w14:paraId="74436D6E" w14:textId="77777777" w:rsidTr="00614438">
        <w:trPr>
          <w:gridAfter w:val="1"/>
          <w:wAfter w:w="222" w:type="dxa"/>
          <w:trHeight w:val="315"/>
        </w:trPr>
        <w:tc>
          <w:tcPr>
            <w:tcW w:w="3311" w:type="dxa"/>
            <w:tcBorders>
              <w:top w:val="nil"/>
              <w:left w:val="single" w:sz="8" w:space="0" w:color="auto"/>
              <w:bottom w:val="single" w:sz="8" w:space="0" w:color="auto"/>
              <w:right w:val="nil"/>
            </w:tcBorders>
            <w:shd w:val="clear" w:color="auto" w:fill="244062"/>
            <w:vAlign w:val="center"/>
            <w:hideMark/>
          </w:tcPr>
          <w:p w14:paraId="0CB8609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7" w:type="dxa"/>
            <w:gridSpan w:val="3"/>
            <w:tcBorders>
              <w:top w:val="single" w:sz="8" w:space="0" w:color="auto"/>
              <w:left w:val="nil"/>
              <w:bottom w:val="single" w:sz="8" w:space="0" w:color="auto"/>
              <w:right w:val="single" w:sz="8" w:space="0" w:color="000000"/>
            </w:tcBorders>
            <w:vAlign w:val="center"/>
            <w:hideMark/>
          </w:tcPr>
          <w:p w14:paraId="185E49D7" w14:textId="77777777" w:rsidR="00614438" w:rsidRPr="00AA7A53" w:rsidRDefault="00614438" w:rsidP="00AA7A53">
            <w:pPr>
              <w:numPr>
                <w:ilvl w:val="0"/>
                <w:numId w:val="95"/>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 </w:t>
            </w:r>
          </w:p>
        </w:tc>
      </w:tr>
      <w:tr w:rsidR="00614438" w:rsidRPr="00AA7A53" w14:paraId="07BCADFF" w14:textId="77777777" w:rsidTr="00614438">
        <w:trPr>
          <w:gridAfter w:val="1"/>
          <w:wAfter w:w="222" w:type="dxa"/>
          <w:trHeight w:val="315"/>
        </w:trPr>
        <w:tc>
          <w:tcPr>
            <w:tcW w:w="3311" w:type="dxa"/>
            <w:tcBorders>
              <w:top w:val="nil"/>
              <w:left w:val="single" w:sz="8" w:space="0" w:color="auto"/>
              <w:bottom w:val="single" w:sz="8" w:space="0" w:color="auto"/>
              <w:right w:val="nil"/>
            </w:tcBorders>
            <w:shd w:val="clear" w:color="auto" w:fill="244062"/>
            <w:vAlign w:val="center"/>
            <w:hideMark/>
          </w:tcPr>
          <w:p w14:paraId="59CA1B3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7" w:type="dxa"/>
            <w:gridSpan w:val="3"/>
            <w:tcBorders>
              <w:top w:val="single" w:sz="8" w:space="0" w:color="auto"/>
              <w:left w:val="nil"/>
              <w:bottom w:val="single" w:sz="8" w:space="0" w:color="auto"/>
              <w:right w:val="single" w:sz="8" w:space="0" w:color="000000"/>
            </w:tcBorders>
            <w:vAlign w:val="center"/>
            <w:hideMark/>
          </w:tcPr>
          <w:p w14:paraId="39839374" w14:textId="77777777" w:rsidR="00614438" w:rsidRPr="00AA7A53" w:rsidRDefault="00614438" w:rsidP="00AA7A53">
            <w:pPr>
              <w:numPr>
                <w:ilvl w:val="0"/>
                <w:numId w:val="95"/>
              </w:numPr>
              <w:spacing w:after="0"/>
              <w:jc w:val="both"/>
              <w:rPr>
                <w:rFonts w:ascii="Times New Roman" w:hAnsi="Times New Roman" w:cs="Times New Roman"/>
                <w:sz w:val="20"/>
                <w:szCs w:val="20"/>
              </w:rPr>
            </w:pPr>
            <w:r w:rsidRPr="00AA7A53">
              <w:rPr>
                <w:rFonts w:ascii="Times New Roman" w:hAnsi="Times New Roman" w:cs="Times New Roman"/>
                <w:sz w:val="20"/>
                <w:szCs w:val="20"/>
              </w:rPr>
              <w:t>Affected passenger and freight transport</w:t>
            </w:r>
          </w:p>
        </w:tc>
      </w:tr>
      <w:tr w:rsidR="00614438" w:rsidRPr="00AA7A53" w14:paraId="0A2405F0" w14:textId="77777777" w:rsidTr="00614438">
        <w:trPr>
          <w:gridAfter w:val="1"/>
          <w:wAfter w:w="222" w:type="dxa"/>
          <w:trHeight w:val="39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6C6BD5D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7" w:type="dxa"/>
            <w:gridSpan w:val="3"/>
            <w:tcBorders>
              <w:top w:val="single" w:sz="8" w:space="0" w:color="auto"/>
              <w:left w:val="nil"/>
              <w:bottom w:val="single" w:sz="8" w:space="0" w:color="auto"/>
              <w:right w:val="single" w:sz="8" w:space="0" w:color="000000"/>
            </w:tcBorders>
            <w:vAlign w:val="center"/>
            <w:hideMark/>
          </w:tcPr>
          <w:p w14:paraId="7FF7A0DF" w14:textId="77777777" w:rsidR="00614438" w:rsidRPr="00AA7A53" w:rsidRDefault="00614438" w:rsidP="00AA7A53">
            <w:pPr>
              <w:numPr>
                <w:ilvl w:val="0"/>
                <w:numId w:val="95"/>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 leading to the respective GHG emission reduction)</w:t>
            </w:r>
          </w:p>
          <w:p w14:paraId="59E3904F" w14:textId="77777777" w:rsidR="00614438" w:rsidRPr="00AA7A53" w:rsidRDefault="00614438" w:rsidP="00AA7A53">
            <w:pPr>
              <w:numPr>
                <w:ilvl w:val="0"/>
                <w:numId w:val="95"/>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076CD7EF" w14:textId="77777777" w:rsidTr="00614438">
        <w:trPr>
          <w:gridAfter w:val="1"/>
          <w:wAfter w:w="222" w:type="dxa"/>
          <w:trHeight w:val="458"/>
        </w:trPr>
        <w:tc>
          <w:tcPr>
            <w:tcW w:w="3311" w:type="dxa"/>
            <w:vMerge w:val="restart"/>
            <w:tcBorders>
              <w:top w:val="nil"/>
              <w:left w:val="single" w:sz="8" w:space="0" w:color="auto"/>
              <w:bottom w:val="single" w:sz="8" w:space="0" w:color="000000"/>
              <w:right w:val="single" w:sz="8" w:space="0" w:color="auto"/>
            </w:tcBorders>
            <w:shd w:val="clear" w:color="auto" w:fill="244062"/>
            <w:vAlign w:val="center"/>
            <w:hideMark/>
          </w:tcPr>
          <w:p w14:paraId="2304767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7"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D42A35A" w14:textId="77777777" w:rsidR="00614438" w:rsidRPr="00AA7A53" w:rsidRDefault="00614438" w:rsidP="00AA7A53">
            <w:pPr>
              <w:numPr>
                <w:ilvl w:val="0"/>
                <w:numId w:val="95"/>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00819CE6" w14:textId="77777777" w:rsidR="00614438" w:rsidRPr="00AA7A53" w:rsidRDefault="00614438" w:rsidP="00AA7A53">
            <w:pPr>
              <w:numPr>
                <w:ilvl w:val="0"/>
                <w:numId w:val="95"/>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0E7AFAAF"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75A49E06"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74F4C58"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4830AD73"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69A222D"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1EEFC040"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EAF2553"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5037C555"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32AB829D" w14:textId="77777777" w:rsidTr="00614438">
        <w:trPr>
          <w:trHeight w:val="429"/>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621DD91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7" w:type="dxa"/>
            <w:gridSpan w:val="3"/>
            <w:tcBorders>
              <w:top w:val="single" w:sz="8" w:space="0" w:color="auto"/>
              <w:left w:val="nil"/>
              <w:bottom w:val="single" w:sz="8" w:space="0" w:color="auto"/>
              <w:right w:val="single" w:sz="8" w:space="0" w:color="000000"/>
            </w:tcBorders>
            <w:vAlign w:val="center"/>
            <w:hideMark/>
          </w:tcPr>
          <w:p w14:paraId="2E1DF86F" w14:textId="35E27571" w:rsidR="00614438" w:rsidRPr="00AA7A53" w:rsidRDefault="00614438" w:rsidP="00AA7A53">
            <w:pPr>
              <w:spacing w:after="0"/>
              <w:ind w:left="720"/>
              <w:jc w:val="both"/>
              <w:rPr>
                <w:rFonts w:ascii="Times New Roman" w:hAnsi="Times New Roman" w:cs="Times New Roman"/>
                <w:sz w:val="20"/>
                <w:szCs w:val="20"/>
              </w:rPr>
            </w:pPr>
          </w:p>
        </w:tc>
        <w:tc>
          <w:tcPr>
            <w:tcW w:w="222" w:type="dxa"/>
            <w:vAlign w:val="center"/>
            <w:hideMark/>
          </w:tcPr>
          <w:p w14:paraId="4ED0933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2A171FA" w14:textId="77777777" w:rsidTr="00614438">
        <w:trPr>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78BE834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7" w:type="dxa"/>
            <w:gridSpan w:val="3"/>
            <w:tcBorders>
              <w:top w:val="single" w:sz="8" w:space="0" w:color="auto"/>
              <w:left w:val="nil"/>
              <w:bottom w:val="single" w:sz="8" w:space="0" w:color="auto"/>
              <w:right w:val="single" w:sz="8" w:space="0" w:color="000000"/>
            </w:tcBorders>
            <w:vAlign w:val="center"/>
            <w:hideMark/>
          </w:tcPr>
          <w:p w14:paraId="3FBEDDC9" w14:textId="48B64851" w:rsidR="00614438" w:rsidRPr="00AA7A53" w:rsidRDefault="00A8126A"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Will b</w:t>
            </w:r>
            <w:r w:rsidR="00614438" w:rsidRPr="00AA7A53">
              <w:rPr>
                <w:rFonts w:ascii="Times New Roman" w:hAnsi="Times New Roman" w:cs="Times New Roman"/>
                <w:sz w:val="20"/>
                <w:szCs w:val="20"/>
                <w:lang w:val="en-GB"/>
              </w:rPr>
              <w:t>e integrated into PM_EE10, PM_EE12 and PM_EE14</w:t>
            </w:r>
          </w:p>
        </w:tc>
        <w:tc>
          <w:tcPr>
            <w:tcW w:w="222" w:type="dxa"/>
            <w:vAlign w:val="center"/>
            <w:hideMark/>
          </w:tcPr>
          <w:p w14:paraId="184F3B4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F7A7DE9" w14:textId="77777777" w:rsidTr="00614438">
        <w:trPr>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769E483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7" w:type="dxa"/>
            <w:gridSpan w:val="3"/>
            <w:tcBorders>
              <w:top w:val="single" w:sz="8" w:space="0" w:color="auto"/>
              <w:left w:val="nil"/>
              <w:bottom w:val="single" w:sz="8" w:space="0" w:color="auto"/>
              <w:right w:val="single" w:sz="8" w:space="0" w:color="000000"/>
            </w:tcBorders>
            <w:vAlign w:val="center"/>
            <w:hideMark/>
          </w:tcPr>
          <w:p w14:paraId="3145D30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5EBE8ED6" w14:textId="77777777" w:rsidR="00614438" w:rsidRPr="00AA7A53" w:rsidRDefault="00614438" w:rsidP="00AA7A53">
            <w:pPr>
              <w:spacing w:after="0"/>
              <w:jc w:val="both"/>
              <w:rPr>
                <w:rFonts w:ascii="Times New Roman" w:hAnsi="Times New Roman" w:cs="Times New Roman"/>
                <w:sz w:val="20"/>
                <w:szCs w:val="20"/>
                <w:lang w:val="en-GB"/>
              </w:rPr>
            </w:pPr>
          </w:p>
        </w:tc>
      </w:tr>
    </w:tbl>
    <w:p w14:paraId="293D2924" w14:textId="77777777" w:rsidR="00614438" w:rsidRPr="00AA7A53" w:rsidRDefault="00614438" w:rsidP="00AA7A53">
      <w:pPr>
        <w:spacing w:after="0"/>
        <w:jc w:val="both"/>
        <w:rPr>
          <w:rFonts w:ascii="Times New Roman" w:hAnsi="Times New Roman" w:cs="Times New Roman"/>
          <w:sz w:val="20"/>
          <w:szCs w:val="20"/>
          <w:u w:val="single"/>
          <w:lang w:val="en-GB"/>
        </w:rPr>
      </w:pPr>
    </w:p>
    <w:p w14:paraId="2A600739" w14:textId="77777777" w:rsidR="00614438" w:rsidRPr="00A8126A" w:rsidRDefault="00614438" w:rsidP="00A8126A">
      <w:pPr>
        <w:ind w:firstLine="720"/>
        <w:jc w:val="both"/>
        <w:rPr>
          <w:rFonts w:ascii="Times New Roman" w:hAnsi="Times New Roman" w:cs="Times New Roman"/>
          <w:sz w:val="24"/>
          <w:szCs w:val="24"/>
          <w:lang w:val="en-GB"/>
        </w:rPr>
      </w:pPr>
      <w:r w:rsidRPr="00A8126A">
        <w:rPr>
          <w:rFonts w:ascii="Times New Roman" w:hAnsi="Times New Roman" w:cs="Times New Roman"/>
          <w:sz w:val="24"/>
          <w:szCs w:val="24"/>
          <w:lang w:val="en-GB"/>
        </w:rPr>
        <w:t>Industrial sector</w:t>
      </w:r>
    </w:p>
    <w:p w14:paraId="4101D193" w14:textId="26423721" w:rsidR="00614438" w:rsidRPr="00614438" w:rsidRDefault="00614438" w:rsidP="00A8126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Support schemes will be designed for the implementation of energy efficiency projects in the industrial sector</w:t>
      </w:r>
      <w:r w:rsidR="00A8126A">
        <w:rPr>
          <w:rFonts w:ascii="Times New Roman" w:hAnsi="Times New Roman" w:cs="Times New Roman"/>
          <w:sz w:val="24"/>
          <w:szCs w:val="24"/>
          <w:lang w:val="en-GB"/>
        </w:rPr>
        <w:t xml:space="preserve"> by</w:t>
      </w:r>
      <w:r w:rsidRPr="00614438">
        <w:rPr>
          <w:rFonts w:ascii="Times New Roman" w:hAnsi="Times New Roman" w:cs="Times New Roman"/>
          <w:sz w:val="24"/>
          <w:szCs w:val="24"/>
          <w:lang w:val="en-GB"/>
        </w:rPr>
        <w:t xml:space="preserve"> combining various financial instruments, such as direct financial support, low-interest loans, tax deductions, credit lines and guarantees.</w:t>
      </w:r>
    </w:p>
    <w:p w14:paraId="7DD1D342" w14:textId="77777777" w:rsidR="00614438" w:rsidRPr="00614438" w:rsidRDefault="00614438" w:rsidP="00A8126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further deployment of the best available technologies will be supported in compliance with the respective legislation, while the development of the appropriate monitoring and surveillance mechanism will contribute to the fulfilment of this target. Moreover, the application of the eco-design requirements will ensure the penetration of energy efficient technologies and equipment.</w:t>
      </w:r>
    </w:p>
    <w:p w14:paraId="75A28987" w14:textId="4D398BAC" w:rsidR="00614438" w:rsidRPr="00614438" w:rsidRDefault="00614438" w:rsidP="00A8126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Furthermore, various supplementary actions will be implemented through the provision of financial and fiscal incentives in order to promote the energy efficiency in industrial sector, such as the establishment of industrial-business zones served by centralized CHP and central heat generation and distribution systems, the deployment of cogeneration systems, the promotion of circular economy</w:t>
      </w:r>
      <w:r w:rsidR="00A8126A">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including the exploitation of waste heat and the extended digitalization of the industrial processes.</w:t>
      </w:r>
    </w:p>
    <w:p w14:paraId="7782F84D" w14:textId="01541508" w:rsidR="00614438" w:rsidRPr="00AA7A53" w:rsidRDefault="00614438" w:rsidP="00AA7A53">
      <w:pPr>
        <w:spacing w:after="0"/>
        <w:ind w:firstLine="720"/>
        <w:jc w:val="both"/>
        <w:rPr>
          <w:rFonts w:ascii="Times New Roman" w:hAnsi="Times New Roman" w:cs="Times New Roman"/>
          <w:sz w:val="20"/>
          <w:szCs w:val="20"/>
          <w:lang w:val="en-GB"/>
        </w:rPr>
      </w:pPr>
      <w:r w:rsidRPr="00614438">
        <w:rPr>
          <w:rFonts w:ascii="Times New Roman" w:hAnsi="Times New Roman" w:cs="Times New Roman"/>
          <w:sz w:val="24"/>
          <w:szCs w:val="24"/>
          <w:lang w:val="en-GB"/>
        </w:rPr>
        <w:t>Finally, the further exploitation of renewables for electricity, heating and cooling production and the promotion of other alternative fuels will contribute to the improvement of energy efficiency</w:t>
      </w:r>
      <w:r w:rsidR="00A8126A">
        <w:rPr>
          <w:rFonts w:ascii="Times New Roman" w:hAnsi="Times New Roman" w:cs="Times New Roman"/>
          <w:sz w:val="24"/>
          <w:szCs w:val="24"/>
          <w:lang w:val="en-GB"/>
        </w:rPr>
        <w:t>, by</w:t>
      </w:r>
      <w:r w:rsidRPr="00614438">
        <w:rPr>
          <w:rFonts w:ascii="Times New Roman" w:hAnsi="Times New Roman" w:cs="Times New Roman"/>
          <w:sz w:val="24"/>
          <w:szCs w:val="24"/>
          <w:lang w:val="en-GB"/>
        </w:rPr>
        <w:t xml:space="preserve"> maximizing the synergies with the policy measures, which have been integrated into the RES dimension.</w:t>
      </w:r>
    </w:p>
    <w:tbl>
      <w:tblPr>
        <w:tblW w:w="9680" w:type="dxa"/>
        <w:tblLook w:val="04A0" w:firstRow="1" w:lastRow="0" w:firstColumn="1" w:lastColumn="0" w:noHBand="0" w:noVBand="1"/>
      </w:tblPr>
      <w:tblGrid>
        <w:gridCol w:w="3296"/>
        <w:gridCol w:w="1050"/>
        <w:gridCol w:w="940"/>
        <w:gridCol w:w="4172"/>
        <w:gridCol w:w="222"/>
      </w:tblGrid>
      <w:tr w:rsidR="00614438" w:rsidRPr="00AA7A53" w14:paraId="5D7F50B5" w14:textId="77777777" w:rsidTr="00614438">
        <w:trPr>
          <w:gridAfter w:val="1"/>
          <w:wAfter w:w="222" w:type="dxa"/>
          <w:trHeight w:val="780"/>
        </w:trPr>
        <w:tc>
          <w:tcPr>
            <w:tcW w:w="331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767C905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Policy measure code:</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23BA48E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PM_EE21</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3C8A892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1" w:type="dxa"/>
            <w:tcBorders>
              <w:top w:val="single" w:sz="8" w:space="0" w:color="auto"/>
              <w:left w:val="nil"/>
              <w:bottom w:val="single" w:sz="8" w:space="0" w:color="auto"/>
              <w:right w:val="single" w:sz="8" w:space="0" w:color="auto"/>
            </w:tcBorders>
            <w:shd w:val="clear" w:color="auto" w:fill="E7E6E6" w:themeFill="background2"/>
            <w:vAlign w:val="center"/>
            <w:hideMark/>
          </w:tcPr>
          <w:p w14:paraId="29BD47FC" w14:textId="5607A6E4"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Support schemes for the promotion of energy efficiency in </w:t>
            </w:r>
            <w:r w:rsidR="00A8126A" w:rsidRPr="00AA7A53">
              <w:rPr>
                <w:rFonts w:ascii="Times New Roman" w:hAnsi="Times New Roman" w:cs="Times New Roman"/>
                <w:sz w:val="20"/>
                <w:szCs w:val="20"/>
                <w:lang w:val="en-GB"/>
              </w:rPr>
              <w:t xml:space="preserve">the </w:t>
            </w:r>
            <w:r w:rsidRPr="00AA7A53">
              <w:rPr>
                <w:rFonts w:ascii="Times New Roman" w:hAnsi="Times New Roman" w:cs="Times New Roman"/>
                <w:sz w:val="20"/>
                <w:szCs w:val="20"/>
                <w:lang w:val="en-GB"/>
              </w:rPr>
              <w:t>industrial sector</w:t>
            </w:r>
          </w:p>
        </w:tc>
      </w:tr>
      <w:tr w:rsidR="00614438" w:rsidRPr="00AA7A53" w14:paraId="234E2B94" w14:textId="77777777" w:rsidTr="00614438">
        <w:trPr>
          <w:gridAfter w:val="1"/>
          <w:wAfter w:w="222" w:type="dxa"/>
          <w:trHeight w:val="960"/>
        </w:trPr>
        <w:tc>
          <w:tcPr>
            <w:tcW w:w="3317" w:type="dxa"/>
            <w:tcBorders>
              <w:top w:val="nil"/>
              <w:left w:val="single" w:sz="8" w:space="0" w:color="auto"/>
              <w:bottom w:val="single" w:sz="8" w:space="0" w:color="auto"/>
              <w:right w:val="nil"/>
            </w:tcBorders>
            <w:shd w:val="clear" w:color="auto" w:fill="244062"/>
            <w:vAlign w:val="center"/>
            <w:hideMark/>
          </w:tcPr>
          <w:p w14:paraId="7848188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Main objective:</w:t>
            </w:r>
          </w:p>
        </w:tc>
        <w:tc>
          <w:tcPr>
            <w:tcW w:w="6141" w:type="dxa"/>
            <w:gridSpan w:val="3"/>
            <w:tcBorders>
              <w:top w:val="single" w:sz="8" w:space="0" w:color="auto"/>
              <w:left w:val="nil"/>
              <w:bottom w:val="single" w:sz="8" w:space="0" w:color="auto"/>
              <w:right w:val="single" w:sz="8" w:space="0" w:color="000000"/>
            </w:tcBorders>
            <w:vAlign w:val="center"/>
            <w:hideMark/>
          </w:tcPr>
          <w:p w14:paraId="00E0E429" w14:textId="014AA231"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 as amended by Directive (EU) 2018/2002:</w:t>
            </w:r>
          </w:p>
          <w:p w14:paraId="4E9D9D89" w14:textId="77777777" w:rsidR="00614438" w:rsidRPr="00AA7A53" w:rsidRDefault="00614438" w:rsidP="00AA7A53">
            <w:pPr>
              <w:numPr>
                <w:ilvl w:val="0"/>
                <w:numId w:val="96"/>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0FB163CB" w14:textId="77777777" w:rsidR="00614438" w:rsidRPr="00AA7A53" w:rsidRDefault="00614438" w:rsidP="00AA7A53">
            <w:pPr>
              <w:numPr>
                <w:ilvl w:val="0"/>
                <w:numId w:val="96"/>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tc>
      </w:tr>
      <w:tr w:rsidR="00614438" w:rsidRPr="00AA7A53" w14:paraId="31007C81"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08EA958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Quantified objective:</w:t>
            </w:r>
          </w:p>
        </w:tc>
        <w:tc>
          <w:tcPr>
            <w:tcW w:w="6141" w:type="dxa"/>
            <w:gridSpan w:val="3"/>
            <w:tcBorders>
              <w:top w:val="single" w:sz="8" w:space="0" w:color="auto"/>
              <w:left w:val="nil"/>
              <w:bottom w:val="single" w:sz="8" w:space="0" w:color="auto"/>
              <w:right w:val="single" w:sz="8" w:space="0" w:color="000000"/>
            </w:tcBorders>
            <w:vAlign w:val="center"/>
            <w:hideMark/>
          </w:tcPr>
          <w:p w14:paraId="2A76F778" w14:textId="7F35FEDC"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Contribution to fulfilling the expected final energy consumption levels in </w:t>
            </w:r>
            <w:r w:rsidR="00A8126A" w:rsidRPr="00AA7A53">
              <w:rPr>
                <w:rFonts w:ascii="Times New Roman" w:hAnsi="Times New Roman" w:cs="Times New Roman"/>
                <w:sz w:val="20"/>
                <w:szCs w:val="20"/>
                <w:lang w:val="en-GB"/>
              </w:rPr>
              <w:t xml:space="preserve">the </w:t>
            </w:r>
            <w:r w:rsidRPr="00AA7A53">
              <w:rPr>
                <w:rFonts w:ascii="Times New Roman" w:hAnsi="Times New Roman" w:cs="Times New Roman"/>
                <w:sz w:val="20"/>
                <w:szCs w:val="20"/>
                <w:lang w:val="en-GB"/>
              </w:rPr>
              <w:t>industrial sector</w:t>
            </w:r>
          </w:p>
        </w:tc>
      </w:tr>
      <w:tr w:rsidR="00614438" w:rsidRPr="00AA7A53" w14:paraId="2629FA0A" w14:textId="77777777" w:rsidTr="00614438">
        <w:trPr>
          <w:gridAfter w:val="1"/>
          <w:wAfter w:w="222" w:type="dxa"/>
          <w:trHeight w:val="880"/>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7AB5266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1" w:type="dxa"/>
            <w:gridSpan w:val="3"/>
            <w:tcBorders>
              <w:top w:val="single" w:sz="8" w:space="0" w:color="auto"/>
              <w:left w:val="nil"/>
              <w:bottom w:val="single" w:sz="8" w:space="0" w:color="auto"/>
              <w:right w:val="single" w:sz="8" w:space="0" w:color="000000"/>
            </w:tcBorders>
            <w:vAlign w:val="center"/>
            <w:hideMark/>
          </w:tcPr>
          <w:p w14:paraId="128EE01D" w14:textId="4E53356E"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PM_EE21 will initiate a targeted support scheme for the implementation of energy efficiency projects in </w:t>
            </w:r>
            <w:r w:rsidR="00A8126A" w:rsidRPr="00AA7A53">
              <w:rPr>
                <w:rFonts w:ascii="Times New Roman" w:hAnsi="Times New Roman" w:cs="Times New Roman"/>
                <w:sz w:val="20"/>
                <w:szCs w:val="20"/>
                <w:lang w:val="en-GB"/>
              </w:rPr>
              <w:t xml:space="preserve">the </w:t>
            </w:r>
            <w:r w:rsidRPr="00AA7A53">
              <w:rPr>
                <w:rFonts w:ascii="Times New Roman" w:hAnsi="Times New Roman" w:cs="Times New Roman"/>
                <w:sz w:val="20"/>
                <w:szCs w:val="20"/>
                <w:lang w:val="en-GB"/>
              </w:rPr>
              <w:t xml:space="preserve">industrial sector </w:t>
            </w:r>
            <w:r w:rsidR="00A8126A" w:rsidRPr="00AA7A53">
              <w:rPr>
                <w:rFonts w:ascii="Times New Roman" w:hAnsi="Times New Roman" w:cs="Times New Roman"/>
                <w:sz w:val="20"/>
                <w:szCs w:val="20"/>
                <w:lang w:val="en-GB"/>
              </w:rPr>
              <w:t xml:space="preserve">by </w:t>
            </w:r>
            <w:r w:rsidRPr="00AA7A53">
              <w:rPr>
                <w:rFonts w:ascii="Times New Roman" w:hAnsi="Times New Roman" w:cs="Times New Roman"/>
                <w:sz w:val="20"/>
                <w:szCs w:val="20"/>
                <w:lang w:val="en-GB"/>
              </w:rPr>
              <w:t>combining various financial and fiscal instruments, such as direct financial support, low-interest loans, tax deductions, credit lines and guarantees.</w:t>
            </w:r>
          </w:p>
          <w:p w14:paraId="0E386FE9" w14:textId="769BD226"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The implementation of PM_EE21 is linked also with PM_EE28, which foresees the mandatory </w:t>
            </w:r>
            <w:r w:rsidR="00554D76" w:rsidRPr="00AA7A53">
              <w:rPr>
                <w:rFonts w:ascii="Times New Roman" w:hAnsi="Times New Roman" w:cs="Times New Roman"/>
                <w:sz w:val="20"/>
                <w:szCs w:val="20"/>
                <w:lang w:val="en-GB"/>
              </w:rPr>
              <w:t>implementation</w:t>
            </w:r>
            <w:r w:rsidRPr="00AA7A53">
              <w:rPr>
                <w:rFonts w:ascii="Times New Roman" w:hAnsi="Times New Roman" w:cs="Times New Roman"/>
                <w:sz w:val="20"/>
                <w:szCs w:val="20"/>
                <w:lang w:val="en-GB"/>
              </w:rPr>
              <w:t xml:space="preserve"> of energy audits and development of energy management systems in order to identify the most cost-effective energy efficiency interventions </w:t>
            </w:r>
            <w:r w:rsidR="00A8126A" w:rsidRPr="00AA7A53">
              <w:rPr>
                <w:rFonts w:ascii="Times New Roman" w:hAnsi="Times New Roman" w:cs="Times New Roman"/>
                <w:sz w:val="20"/>
                <w:szCs w:val="20"/>
                <w:lang w:val="en-GB"/>
              </w:rPr>
              <w:t>which would enable economic</w:t>
            </w:r>
            <w:r w:rsidRPr="00AA7A53">
              <w:rPr>
                <w:rFonts w:ascii="Times New Roman" w:hAnsi="Times New Roman" w:cs="Times New Roman"/>
                <w:sz w:val="20"/>
                <w:szCs w:val="20"/>
                <w:lang w:val="en-GB"/>
              </w:rPr>
              <w:t xml:space="preserve"> support.</w:t>
            </w:r>
          </w:p>
        </w:tc>
      </w:tr>
      <w:tr w:rsidR="00614438" w:rsidRPr="00AA7A53" w14:paraId="12657157"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336A148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1" w:type="dxa"/>
            <w:gridSpan w:val="3"/>
            <w:tcBorders>
              <w:top w:val="single" w:sz="8" w:space="0" w:color="auto"/>
              <w:left w:val="nil"/>
              <w:bottom w:val="single" w:sz="8" w:space="0" w:color="auto"/>
              <w:right w:val="single" w:sz="8" w:space="0" w:color="000000"/>
            </w:tcBorders>
            <w:vAlign w:val="center"/>
            <w:hideMark/>
          </w:tcPr>
          <w:p w14:paraId="07A2FA3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299516A8"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58B9BEE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1" w:type="dxa"/>
            <w:gridSpan w:val="3"/>
            <w:tcBorders>
              <w:top w:val="single" w:sz="8" w:space="0" w:color="auto"/>
              <w:left w:val="nil"/>
              <w:bottom w:val="single" w:sz="8" w:space="0" w:color="auto"/>
              <w:right w:val="single" w:sz="8" w:space="0" w:color="000000"/>
            </w:tcBorders>
            <w:vAlign w:val="center"/>
            <w:hideMark/>
          </w:tcPr>
          <w:p w14:paraId="68DE0C9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7D848562"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5792E7C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1" w:type="dxa"/>
            <w:gridSpan w:val="3"/>
            <w:tcBorders>
              <w:top w:val="single" w:sz="8" w:space="0" w:color="auto"/>
              <w:left w:val="nil"/>
              <w:bottom w:val="single" w:sz="8" w:space="0" w:color="auto"/>
              <w:right w:val="single" w:sz="8" w:space="0" w:color="000000"/>
            </w:tcBorders>
            <w:vAlign w:val="center"/>
            <w:hideMark/>
          </w:tcPr>
          <w:p w14:paraId="39D362D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Industrial</w:t>
            </w:r>
          </w:p>
        </w:tc>
      </w:tr>
      <w:tr w:rsidR="00614438" w:rsidRPr="00AA7A53" w14:paraId="4A3E4E89"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5FFDFD4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2DEA9696"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1B9FD3C2"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Economy</w:t>
            </w:r>
          </w:p>
          <w:p w14:paraId="5D8B7618"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tc>
      </w:tr>
      <w:tr w:rsidR="00614438" w:rsidRPr="00AA7A53" w14:paraId="392510EB"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5357B31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667F351A"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6077D20A"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5E06E57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1" w:type="dxa"/>
            <w:gridSpan w:val="3"/>
            <w:tcBorders>
              <w:top w:val="single" w:sz="8" w:space="0" w:color="auto"/>
              <w:left w:val="nil"/>
              <w:bottom w:val="single" w:sz="8" w:space="0" w:color="auto"/>
              <w:right w:val="single" w:sz="8" w:space="0" w:color="000000"/>
            </w:tcBorders>
            <w:vAlign w:val="center"/>
            <w:hideMark/>
          </w:tcPr>
          <w:p w14:paraId="499E7EEB" w14:textId="77777777" w:rsidR="00614438" w:rsidRPr="00AA7A53" w:rsidRDefault="00614438" w:rsidP="00AA7A53">
            <w:pPr>
              <w:numPr>
                <w:ilvl w:val="0"/>
                <w:numId w:val="97"/>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Number of industrial plants that underwent improvement of energy efficiency </w:t>
            </w:r>
          </w:p>
        </w:tc>
      </w:tr>
      <w:tr w:rsidR="00614438" w:rsidRPr="00AA7A53" w14:paraId="6227AF65" w14:textId="77777777" w:rsidTr="00614438">
        <w:trPr>
          <w:gridAfter w:val="1"/>
          <w:wAfter w:w="222" w:type="dxa"/>
          <w:trHeight w:val="491"/>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6FC1AD3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1" w:type="dxa"/>
            <w:gridSpan w:val="3"/>
            <w:tcBorders>
              <w:top w:val="single" w:sz="8" w:space="0" w:color="auto"/>
              <w:left w:val="nil"/>
              <w:bottom w:val="single" w:sz="8" w:space="0" w:color="auto"/>
              <w:right w:val="single" w:sz="8" w:space="0" w:color="000000"/>
            </w:tcBorders>
            <w:vAlign w:val="center"/>
            <w:hideMark/>
          </w:tcPr>
          <w:p w14:paraId="741ED9D0" w14:textId="0EF30B78" w:rsidR="00614438" w:rsidRPr="00AA7A53" w:rsidRDefault="00614438" w:rsidP="00AA7A53">
            <w:pPr>
              <w:numPr>
                <w:ilvl w:val="0"/>
                <w:numId w:val="97"/>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Decarbonisation (the delivered energy savings will decrease the consumed quantities of fossil fuels leading to the respective GHG emission reduction </w:t>
            </w:r>
            <w:r w:rsidR="00F51689"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utilised RES technologies will increase the RES share in heating and cooling)</w:t>
            </w:r>
          </w:p>
          <w:p w14:paraId="5E9701AA" w14:textId="77777777" w:rsidR="00614438" w:rsidRPr="00AA7A53" w:rsidRDefault="00614438" w:rsidP="00AA7A53">
            <w:pPr>
              <w:numPr>
                <w:ilvl w:val="0"/>
                <w:numId w:val="97"/>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085B94B5" w14:textId="77777777" w:rsidTr="00614438">
        <w:trPr>
          <w:gridAfter w:val="1"/>
          <w:wAfter w:w="222" w:type="dxa"/>
          <w:trHeight w:val="458"/>
        </w:trPr>
        <w:tc>
          <w:tcPr>
            <w:tcW w:w="3317" w:type="dxa"/>
            <w:vMerge w:val="restart"/>
            <w:tcBorders>
              <w:top w:val="nil"/>
              <w:left w:val="single" w:sz="8" w:space="0" w:color="auto"/>
              <w:bottom w:val="single" w:sz="8" w:space="0" w:color="000000"/>
              <w:right w:val="single" w:sz="8" w:space="0" w:color="auto"/>
            </w:tcBorders>
            <w:shd w:val="clear" w:color="auto" w:fill="244062"/>
            <w:vAlign w:val="center"/>
            <w:hideMark/>
          </w:tcPr>
          <w:p w14:paraId="2780B15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0F1F8BC1" w14:textId="77777777" w:rsidR="00614438" w:rsidRPr="00AA7A53" w:rsidRDefault="00614438" w:rsidP="00AA7A53">
            <w:pPr>
              <w:numPr>
                <w:ilvl w:val="0"/>
                <w:numId w:val="97"/>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48413358" w14:textId="77777777" w:rsidR="00614438" w:rsidRPr="00AA7A53" w:rsidRDefault="00614438" w:rsidP="00AA7A53">
            <w:pPr>
              <w:numPr>
                <w:ilvl w:val="0"/>
                <w:numId w:val="97"/>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0C648FE3"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3C64A026"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B6094B6"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4336123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DA52C18"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08F09FC8"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22E647F"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18D20F64"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3BCEECA2" w14:textId="77777777" w:rsidTr="00614438">
        <w:trPr>
          <w:trHeight w:val="25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54997A7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1" w:type="dxa"/>
            <w:gridSpan w:val="3"/>
            <w:tcBorders>
              <w:top w:val="single" w:sz="8" w:space="0" w:color="auto"/>
              <w:left w:val="nil"/>
              <w:bottom w:val="single" w:sz="8" w:space="0" w:color="auto"/>
              <w:right w:val="single" w:sz="8" w:space="0" w:color="000000"/>
            </w:tcBorders>
            <w:vAlign w:val="center"/>
            <w:hideMark/>
          </w:tcPr>
          <w:p w14:paraId="1EFC4110" w14:textId="1FE81D5E" w:rsidR="00614438" w:rsidRPr="00AA7A53" w:rsidRDefault="00614438" w:rsidP="00AA7A53">
            <w:pPr>
              <w:spacing w:after="0"/>
              <w:ind w:left="720"/>
              <w:jc w:val="both"/>
              <w:rPr>
                <w:rFonts w:ascii="Times New Roman" w:hAnsi="Times New Roman" w:cs="Times New Roman"/>
                <w:sz w:val="20"/>
                <w:szCs w:val="20"/>
              </w:rPr>
            </w:pPr>
          </w:p>
        </w:tc>
        <w:tc>
          <w:tcPr>
            <w:tcW w:w="222" w:type="dxa"/>
            <w:vAlign w:val="center"/>
            <w:hideMark/>
          </w:tcPr>
          <w:p w14:paraId="4E58B2C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0E0C6E8"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0C58DE1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1" w:type="dxa"/>
            <w:gridSpan w:val="3"/>
            <w:tcBorders>
              <w:top w:val="single" w:sz="8" w:space="0" w:color="auto"/>
              <w:left w:val="nil"/>
              <w:bottom w:val="single" w:sz="8" w:space="0" w:color="auto"/>
              <w:right w:val="single" w:sz="8" w:space="0" w:color="000000"/>
            </w:tcBorders>
            <w:vAlign w:val="center"/>
            <w:hideMark/>
          </w:tcPr>
          <w:p w14:paraId="484DE18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3.366 B€</w:t>
            </w:r>
          </w:p>
        </w:tc>
        <w:tc>
          <w:tcPr>
            <w:tcW w:w="222" w:type="dxa"/>
            <w:vAlign w:val="center"/>
            <w:hideMark/>
          </w:tcPr>
          <w:p w14:paraId="6ED15CC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E94566D" w14:textId="77777777" w:rsidTr="00614438">
        <w:trPr>
          <w:trHeight w:val="158"/>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7A3BAE4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1" w:type="dxa"/>
            <w:gridSpan w:val="3"/>
            <w:tcBorders>
              <w:top w:val="single" w:sz="8" w:space="0" w:color="auto"/>
              <w:left w:val="nil"/>
              <w:bottom w:val="single" w:sz="8" w:space="0" w:color="auto"/>
              <w:right w:val="single" w:sz="8" w:space="0" w:color="000000"/>
            </w:tcBorders>
            <w:vAlign w:val="center"/>
            <w:hideMark/>
          </w:tcPr>
          <w:p w14:paraId="5E9A180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5898F24D" w14:textId="77777777" w:rsidR="00614438" w:rsidRPr="00AA7A53" w:rsidRDefault="00614438" w:rsidP="00AA7A53">
            <w:pPr>
              <w:spacing w:after="0"/>
              <w:jc w:val="both"/>
              <w:rPr>
                <w:rFonts w:ascii="Times New Roman" w:hAnsi="Times New Roman" w:cs="Times New Roman"/>
                <w:sz w:val="20"/>
                <w:szCs w:val="20"/>
                <w:lang w:val="en-GB"/>
              </w:rPr>
            </w:pPr>
          </w:p>
        </w:tc>
      </w:tr>
    </w:tbl>
    <w:p w14:paraId="1BC4875D"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96"/>
        <w:gridCol w:w="1050"/>
        <w:gridCol w:w="939"/>
        <w:gridCol w:w="4173"/>
        <w:gridCol w:w="222"/>
      </w:tblGrid>
      <w:tr w:rsidR="00614438" w:rsidRPr="00AA7A53" w14:paraId="058ACAB2" w14:textId="77777777" w:rsidTr="00614438">
        <w:trPr>
          <w:gridAfter w:val="1"/>
          <w:wAfter w:w="222" w:type="dxa"/>
          <w:trHeight w:val="780"/>
        </w:trPr>
        <w:tc>
          <w:tcPr>
            <w:tcW w:w="3318"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5D89C6B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099827D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PM_EE22</w:t>
            </w:r>
          </w:p>
        </w:tc>
        <w:tc>
          <w:tcPr>
            <w:tcW w:w="943" w:type="dxa"/>
            <w:tcBorders>
              <w:top w:val="single" w:sz="8" w:space="0" w:color="auto"/>
              <w:left w:val="nil"/>
              <w:bottom w:val="single" w:sz="8" w:space="0" w:color="auto"/>
              <w:right w:val="single" w:sz="8" w:space="0" w:color="auto"/>
            </w:tcBorders>
            <w:shd w:val="clear" w:color="auto" w:fill="244062"/>
            <w:vAlign w:val="center"/>
            <w:hideMark/>
          </w:tcPr>
          <w:p w14:paraId="2D3DAED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1" w:type="dxa"/>
            <w:tcBorders>
              <w:top w:val="single" w:sz="8" w:space="0" w:color="auto"/>
              <w:left w:val="nil"/>
              <w:bottom w:val="single" w:sz="8" w:space="0" w:color="auto"/>
              <w:right w:val="single" w:sz="8" w:space="0" w:color="auto"/>
            </w:tcBorders>
            <w:shd w:val="clear" w:color="auto" w:fill="E7E6E6" w:themeFill="background2"/>
            <w:vAlign w:val="center"/>
            <w:hideMark/>
          </w:tcPr>
          <w:p w14:paraId="32691D03" w14:textId="076B87D8"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Regulatory measures for the promotion of energy efficiency in </w:t>
            </w:r>
            <w:r w:rsidR="00F51689" w:rsidRPr="00AA7A53">
              <w:rPr>
                <w:rFonts w:ascii="Times New Roman" w:hAnsi="Times New Roman" w:cs="Times New Roman"/>
                <w:sz w:val="20"/>
                <w:szCs w:val="20"/>
                <w:lang w:val="en-GB"/>
              </w:rPr>
              <w:t xml:space="preserve">the </w:t>
            </w:r>
            <w:r w:rsidRPr="00AA7A53">
              <w:rPr>
                <w:rFonts w:ascii="Times New Roman" w:hAnsi="Times New Roman" w:cs="Times New Roman"/>
                <w:sz w:val="20"/>
                <w:szCs w:val="20"/>
                <w:lang w:val="en-GB"/>
              </w:rPr>
              <w:t>industrial sector</w:t>
            </w:r>
          </w:p>
        </w:tc>
      </w:tr>
      <w:tr w:rsidR="00614438" w:rsidRPr="00AA7A53" w14:paraId="254186A8" w14:textId="77777777" w:rsidTr="00614438">
        <w:trPr>
          <w:gridAfter w:val="1"/>
          <w:wAfter w:w="222" w:type="dxa"/>
          <w:trHeight w:val="960"/>
        </w:trPr>
        <w:tc>
          <w:tcPr>
            <w:tcW w:w="3318" w:type="dxa"/>
            <w:tcBorders>
              <w:top w:val="nil"/>
              <w:left w:val="single" w:sz="8" w:space="0" w:color="auto"/>
              <w:bottom w:val="single" w:sz="8" w:space="0" w:color="auto"/>
              <w:right w:val="nil"/>
            </w:tcBorders>
            <w:shd w:val="clear" w:color="auto" w:fill="244062"/>
            <w:vAlign w:val="center"/>
            <w:hideMark/>
          </w:tcPr>
          <w:p w14:paraId="388EB08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Main objective:</w:t>
            </w:r>
          </w:p>
        </w:tc>
        <w:tc>
          <w:tcPr>
            <w:tcW w:w="6140" w:type="dxa"/>
            <w:gridSpan w:val="3"/>
            <w:tcBorders>
              <w:top w:val="single" w:sz="8" w:space="0" w:color="auto"/>
              <w:left w:val="nil"/>
              <w:bottom w:val="single" w:sz="8" w:space="0" w:color="auto"/>
              <w:right w:val="single" w:sz="8" w:space="0" w:color="000000"/>
            </w:tcBorders>
            <w:vAlign w:val="center"/>
            <w:hideMark/>
          </w:tcPr>
          <w:p w14:paraId="55172F24" w14:textId="19262C41"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Implementation of the following articles of the Directive (EU) 2012/27, as amended by Directive (EU) 2018/2002:</w:t>
            </w:r>
          </w:p>
          <w:p w14:paraId="75785AD5" w14:textId="77777777" w:rsidR="00614438" w:rsidRPr="00AA7A53" w:rsidRDefault="00614438" w:rsidP="00AA7A53">
            <w:pPr>
              <w:numPr>
                <w:ilvl w:val="0"/>
                <w:numId w:val="97"/>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tc>
      </w:tr>
      <w:tr w:rsidR="00614438" w:rsidRPr="00AA7A53" w14:paraId="2E6F435B" w14:textId="77777777" w:rsidTr="00614438">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5DD7967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Quantified objective:</w:t>
            </w:r>
          </w:p>
        </w:tc>
        <w:tc>
          <w:tcPr>
            <w:tcW w:w="6140" w:type="dxa"/>
            <w:gridSpan w:val="3"/>
            <w:tcBorders>
              <w:top w:val="single" w:sz="8" w:space="0" w:color="auto"/>
              <w:left w:val="nil"/>
              <w:bottom w:val="single" w:sz="8" w:space="0" w:color="auto"/>
              <w:right w:val="single" w:sz="8" w:space="0" w:color="000000"/>
            </w:tcBorders>
            <w:vAlign w:val="center"/>
            <w:hideMark/>
          </w:tcPr>
          <w:p w14:paraId="32B3953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the quantified objective of PM_EE21</w:t>
            </w:r>
          </w:p>
        </w:tc>
      </w:tr>
      <w:tr w:rsidR="00614438" w:rsidRPr="00AA7A53" w14:paraId="63460F83" w14:textId="77777777" w:rsidTr="00614438">
        <w:trPr>
          <w:gridAfter w:val="1"/>
          <w:wAfter w:w="222" w:type="dxa"/>
          <w:trHeight w:val="112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7D77C9A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0" w:type="dxa"/>
            <w:gridSpan w:val="3"/>
            <w:tcBorders>
              <w:top w:val="single" w:sz="8" w:space="0" w:color="auto"/>
              <w:left w:val="nil"/>
              <w:bottom w:val="single" w:sz="8" w:space="0" w:color="auto"/>
              <w:right w:val="single" w:sz="8" w:space="0" w:color="000000"/>
            </w:tcBorders>
            <w:vAlign w:val="center"/>
            <w:hideMark/>
          </w:tcPr>
          <w:p w14:paraId="777F21F1" w14:textId="0BF2DB9D"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PM_EE22 will facilitate the further deployment of the best available technologies in compliance with the respective legislation (Industrial Emission Directive), while the development of the appropriate monitoring and surveillance mechanism will be considered as a vital prerequisite for the implementation of the measure. Moreover, the application of the eco-design requirements will ensure the penetration of energy efficient technologies and equipment. The measure must be in corelation with </w:t>
            </w:r>
            <w:r w:rsidR="007C2771" w:rsidRPr="00AA7A53">
              <w:rPr>
                <w:rFonts w:ascii="Times New Roman" w:hAnsi="Times New Roman" w:cs="Times New Roman"/>
                <w:sz w:val="20"/>
                <w:szCs w:val="20"/>
                <w:lang w:val="en-GB"/>
              </w:rPr>
              <w:t>the measure</w:t>
            </w:r>
            <w:r w:rsidRPr="00AA7A53">
              <w:rPr>
                <w:rFonts w:ascii="Times New Roman" w:hAnsi="Times New Roman" w:cs="Times New Roman"/>
                <w:sz w:val="20"/>
                <w:szCs w:val="20"/>
                <w:lang w:val="en-GB"/>
              </w:rPr>
              <w:t xml:space="preserve"> EE</w:t>
            </w:r>
            <w:r w:rsidR="007C2771" w:rsidRPr="00AA7A53">
              <w:rPr>
                <w:rFonts w:ascii="Times New Roman" w:hAnsi="Times New Roman" w:cs="Times New Roman"/>
                <w:sz w:val="20"/>
                <w:szCs w:val="20"/>
                <w:lang w:val="en-GB"/>
              </w:rPr>
              <w:t>_</w:t>
            </w:r>
            <w:r w:rsidRPr="00AA7A53">
              <w:rPr>
                <w:rFonts w:ascii="Times New Roman" w:hAnsi="Times New Roman" w:cs="Times New Roman"/>
                <w:sz w:val="20"/>
                <w:szCs w:val="20"/>
                <w:lang w:val="en-GB"/>
              </w:rPr>
              <w:t>28.</w:t>
            </w:r>
          </w:p>
        </w:tc>
      </w:tr>
      <w:tr w:rsidR="00614438" w:rsidRPr="00AA7A53" w14:paraId="2414F4D9" w14:textId="77777777" w:rsidTr="00614438">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11CE034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Implementation Timeframe</w:t>
            </w:r>
          </w:p>
        </w:tc>
        <w:tc>
          <w:tcPr>
            <w:tcW w:w="6140" w:type="dxa"/>
            <w:gridSpan w:val="3"/>
            <w:tcBorders>
              <w:top w:val="single" w:sz="8" w:space="0" w:color="auto"/>
              <w:left w:val="nil"/>
              <w:bottom w:val="single" w:sz="8" w:space="0" w:color="auto"/>
              <w:right w:val="single" w:sz="8" w:space="0" w:color="000000"/>
            </w:tcBorders>
            <w:vAlign w:val="center"/>
            <w:hideMark/>
          </w:tcPr>
          <w:p w14:paraId="275FDFAF" w14:textId="02BCF5A2"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w:t>
            </w:r>
            <w:r w:rsidR="007C2771" w:rsidRPr="00AA7A53">
              <w:rPr>
                <w:rFonts w:ascii="Times New Roman" w:hAnsi="Times New Roman" w:cs="Times New Roman"/>
                <w:sz w:val="20"/>
                <w:szCs w:val="20"/>
                <w:lang w:val="en-GB"/>
              </w:rPr>
              <w:t>30</w:t>
            </w:r>
          </w:p>
        </w:tc>
      </w:tr>
      <w:tr w:rsidR="00614438" w:rsidRPr="00AA7A53" w14:paraId="2FEB20D5" w14:textId="77777777" w:rsidTr="00614438">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5301EC1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0" w:type="dxa"/>
            <w:gridSpan w:val="3"/>
            <w:tcBorders>
              <w:top w:val="single" w:sz="8" w:space="0" w:color="auto"/>
              <w:left w:val="nil"/>
              <w:bottom w:val="single" w:sz="8" w:space="0" w:color="auto"/>
              <w:right w:val="single" w:sz="8" w:space="0" w:color="000000"/>
            </w:tcBorders>
            <w:vAlign w:val="center"/>
            <w:hideMark/>
          </w:tcPr>
          <w:p w14:paraId="0BCC191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Regulatory</w:t>
            </w:r>
          </w:p>
        </w:tc>
      </w:tr>
      <w:tr w:rsidR="00614438" w:rsidRPr="00AA7A53" w14:paraId="0CDA1367" w14:textId="77777777" w:rsidTr="00614438">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6A575BE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0" w:type="dxa"/>
            <w:gridSpan w:val="3"/>
            <w:tcBorders>
              <w:top w:val="single" w:sz="8" w:space="0" w:color="auto"/>
              <w:left w:val="nil"/>
              <w:bottom w:val="single" w:sz="8" w:space="0" w:color="auto"/>
              <w:right w:val="single" w:sz="8" w:space="0" w:color="000000"/>
            </w:tcBorders>
            <w:vAlign w:val="center"/>
            <w:hideMark/>
          </w:tcPr>
          <w:p w14:paraId="346E770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Industrial</w:t>
            </w:r>
          </w:p>
        </w:tc>
      </w:tr>
      <w:tr w:rsidR="00614438" w:rsidRPr="00AA7A53" w14:paraId="28A45790" w14:textId="77777777" w:rsidTr="00614438">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25271C8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0" w:type="dxa"/>
            <w:gridSpan w:val="3"/>
            <w:tcBorders>
              <w:top w:val="single" w:sz="8" w:space="0" w:color="auto"/>
              <w:left w:val="nil"/>
              <w:bottom w:val="single" w:sz="8" w:space="0" w:color="auto"/>
              <w:right w:val="single" w:sz="8" w:space="0" w:color="000000"/>
            </w:tcBorders>
            <w:vAlign w:val="center"/>
            <w:hideMark/>
          </w:tcPr>
          <w:p w14:paraId="687F27A9" w14:textId="77777777" w:rsidR="00614438" w:rsidRPr="00AA7A53" w:rsidRDefault="00614438" w:rsidP="00AA7A53">
            <w:pPr>
              <w:numPr>
                <w:ilvl w:val="0"/>
                <w:numId w:val="9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71216172" w14:textId="77777777" w:rsidR="00614438" w:rsidRPr="00AA7A53" w:rsidRDefault="00614438" w:rsidP="00AA7A53">
            <w:pPr>
              <w:numPr>
                <w:ilvl w:val="0"/>
                <w:numId w:val="9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environmental protection</w:t>
            </w:r>
          </w:p>
        </w:tc>
      </w:tr>
      <w:tr w:rsidR="00614438" w:rsidRPr="00AA7A53" w14:paraId="4A1B5FF6" w14:textId="77777777" w:rsidTr="00614438">
        <w:trPr>
          <w:gridAfter w:val="1"/>
          <w:wAfter w:w="222" w:type="dxa"/>
          <w:trHeight w:val="315"/>
        </w:trPr>
        <w:tc>
          <w:tcPr>
            <w:tcW w:w="3318" w:type="dxa"/>
            <w:tcBorders>
              <w:top w:val="nil"/>
              <w:left w:val="single" w:sz="8" w:space="0" w:color="auto"/>
              <w:bottom w:val="single" w:sz="8" w:space="0" w:color="auto"/>
              <w:right w:val="nil"/>
            </w:tcBorders>
            <w:shd w:val="clear" w:color="auto" w:fill="244062"/>
            <w:vAlign w:val="center"/>
            <w:hideMark/>
          </w:tcPr>
          <w:p w14:paraId="43C0009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0" w:type="dxa"/>
            <w:gridSpan w:val="3"/>
            <w:tcBorders>
              <w:top w:val="single" w:sz="8" w:space="0" w:color="auto"/>
              <w:left w:val="nil"/>
              <w:bottom w:val="single" w:sz="8" w:space="0" w:color="auto"/>
              <w:right w:val="single" w:sz="8" w:space="0" w:color="000000"/>
            </w:tcBorders>
            <w:vAlign w:val="center"/>
            <w:hideMark/>
          </w:tcPr>
          <w:p w14:paraId="37E43D95" w14:textId="3CDB7A18" w:rsidR="00614438" w:rsidRPr="00AA7A53" w:rsidRDefault="00614438" w:rsidP="00AA7A53">
            <w:pPr>
              <w:numPr>
                <w:ilvl w:val="0"/>
                <w:numId w:val="97"/>
              </w:numPr>
              <w:spacing w:after="0"/>
              <w:jc w:val="both"/>
              <w:rPr>
                <w:rFonts w:ascii="Times New Roman" w:hAnsi="Times New Roman" w:cs="Times New Roman"/>
                <w:sz w:val="20"/>
                <w:szCs w:val="20"/>
              </w:rPr>
            </w:pPr>
          </w:p>
        </w:tc>
      </w:tr>
      <w:tr w:rsidR="00614438" w:rsidRPr="00AA7A53" w14:paraId="7ED546C6" w14:textId="77777777" w:rsidTr="00614438">
        <w:trPr>
          <w:gridAfter w:val="1"/>
          <w:wAfter w:w="222" w:type="dxa"/>
          <w:trHeight w:val="315"/>
        </w:trPr>
        <w:tc>
          <w:tcPr>
            <w:tcW w:w="3318" w:type="dxa"/>
            <w:tcBorders>
              <w:top w:val="nil"/>
              <w:left w:val="single" w:sz="8" w:space="0" w:color="auto"/>
              <w:bottom w:val="single" w:sz="8" w:space="0" w:color="auto"/>
              <w:right w:val="nil"/>
            </w:tcBorders>
            <w:shd w:val="clear" w:color="auto" w:fill="244062"/>
            <w:vAlign w:val="center"/>
            <w:hideMark/>
          </w:tcPr>
          <w:p w14:paraId="173D2A4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0" w:type="dxa"/>
            <w:gridSpan w:val="3"/>
            <w:tcBorders>
              <w:top w:val="single" w:sz="8" w:space="0" w:color="auto"/>
              <w:left w:val="nil"/>
              <w:bottom w:val="single" w:sz="8" w:space="0" w:color="auto"/>
              <w:right w:val="single" w:sz="8" w:space="0" w:color="000000"/>
            </w:tcBorders>
            <w:vAlign w:val="center"/>
            <w:hideMark/>
          </w:tcPr>
          <w:p w14:paraId="208A9079" w14:textId="77777777" w:rsidR="00614438" w:rsidRPr="00AA7A53" w:rsidRDefault="00614438" w:rsidP="00AA7A53">
            <w:pPr>
              <w:numPr>
                <w:ilvl w:val="0"/>
                <w:numId w:val="97"/>
              </w:numPr>
              <w:spacing w:after="0"/>
              <w:jc w:val="both"/>
              <w:rPr>
                <w:rFonts w:ascii="Times New Roman" w:hAnsi="Times New Roman" w:cs="Times New Roman"/>
                <w:sz w:val="20"/>
                <w:szCs w:val="20"/>
              </w:rPr>
            </w:pPr>
            <w:r w:rsidRPr="00AA7A53">
              <w:rPr>
                <w:rFonts w:ascii="Times New Roman" w:hAnsi="Times New Roman" w:cs="Times New Roman"/>
                <w:sz w:val="20"/>
                <w:szCs w:val="20"/>
              </w:rPr>
              <w:t>Developed legislative and regulatory framework</w:t>
            </w:r>
          </w:p>
        </w:tc>
      </w:tr>
      <w:tr w:rsidR="00614438" w:rsidRPr="00AA7A53" w14:paraId="2FA4506A" w14:textId="77777777" w:rsidTr="00614438">
        <w:trPr>
          <w:gridAfter w:val="1"/>
          <w:wAfter w:w="222" w:type="dxa"/>
          <w:trHeight w:val="454"/>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57090B7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0" w:type="dxa"/>
            <w:gridSpan w:val="3"/>
            <w:tcBorders>
              <w:top w:val="single" w:sz="8" w:space="0" w:color="auto"/>
              <w:left w:val="nil"/>
              <w:bottom w:val="single" w:sz="8" w:space="0" w:color="auto"/>
              <w:right w:val="single" w:sz="8" w:space="0" w:color="000000"/>
            </w:tcBorders>
            <w:vAlign w:val="center"/>
            <w:hideMark/>
          </w:tcPr>
          <w:p w14:paraId="1108F573" w14:textId="34A89BAD" w:rsidR="00614438" w:rsidRPr="00AA7A53" w:rsidRDefault="00614438" w:rsidP="00AA7A53">
            <w:pPr>
              <w:numPr>
                <w:ilvl w:val="0"/>
                <w:numId w:val="97"/>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w:t>
            </w:r>
            <w:r w:rsidR="007C2771" w:rsidRPr="00AA7A53">
              <w:rPr>
                <w:rFonts w:ascii="Times New Roman" w:hAnsi="Times New Roman" w:cs="Times New Roman"/>
                <w:sz w:val="20"/>
                <w:szCs w:val="20"/>
              </w:rPr>
              <w:t>,</w:t>
            </w:r>
            <w:r w:rsidRPr="00AA7A53">
              <w:rPr>
                <w:rFonts w:ascii="Times New Roman" w:hAnsi="Times New Roman" w:cs="Times New Roman"/>
                <w:sz w:val="20"/>
                <w:szCs w:val="20"/>
              </w:rPr>
              <w:t xml:space="preserve"> leading to the respective GHG emission reduction </w:t>
            </w:r>
            <w:r w:rsidR="007C2771"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utilised RES technologies will increase the RES share in heating and cooling)</w:t>
            </w:r>
          </w:p>
          <w:p w14:paraId="1FBCF8DF" w14:textId="43691AA2" w:rsidR="00614438" w:rsidRPr="00AA7A53" w:rsidRDefault="00614438" w:rsidP="00AA7A53">
            <w:pPr>
              <w:numPr>
                <w:ilvl w:val="0"/>
                <w:numId w:val="97"/>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w:t>
            </w:r>
            <w:r w:rsidR="007C2771" w:rsidRPr="00AA7A53">
              <w:rPr>
                <w:rFonts w:ascii="Times New Roman" w:hAnsi="Times New Roman" w:cs="Times New Roman"/>
                <w:sz w:val="20"/>
                <w:szCs w:val="20"/>
              </w:rPr>
              <w:t>,</w:t>
            </w:r>
            <w:r w:rsidRPr="00AA7A53">
              <w:rPr>
                <w:rFonts w:ascii="Times New Roman" w:hAnsi="Times New Roman" w:cs="Times New Roman"/>
                <w:sz w:val="20"/>
                <w:szCs w:val="20"/>
              </w:rPr>
              <w:t xml:space="preserve"> reducing energy import dependency from third countries)</w:t>
            </w:r>
          </w:p>
        </w:tc>
      </w:tr>
      <w:tr w:rsidR="00614438" w:rsidRPr="00AA7A53" w14:paraId="52D42B6C" w14:textId="77777777" w:rsidTr="00614438">
        <w:trPr>
          <w:gridAfter w:val="1"/>
          <w:wAfter w:w="222" w:type="dxa"/>
          <w:trHeight w:val="458"/>
        </w:trPr>
        <w:tc>
          <w:tcPr>
            <w:tcW w:w="3318" w:type="dxa"/>
            <w:vMerge w:val="restart"/>
            <w:tcBorders>
              <w:top w:val="nil"/>
              <w:left w:val="single" w:sz="8" w:space="0" w:color="auto"/>
              <w:bottom w:val="single" w:sz="8" w:space="0" w:color="000000"/>
              <w:right w:val="single" w:sz="8" w:space="0" w:color="auto"/>
            </w:tcBorders>
            <w:shd w:val="clear" w:color="auto" w:fill="244062"/>
            <w:vAlign w:val="center"/>
            <w:hideMark/>
          </w:tcPr>
          <w:p w14:paraId="4DADBE5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D6BBC31" w14:textId="77777777" w:rsidR="00614438" w:rsidRPr="00AA7A53" w:rsidRDefault="00614438" w:rsidP="00AA7A53">
            <w:pPr>
              <w:numPr>
                <w:ilvl w:val="0"/>
                <w:numId w:val="97"/>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491F5A33" w14:textId="77777777" w:rsidR="00614438" w:rsidRPr="00AA7A53" w:rsidRDefault="00614438" w:rsidP="00AA7A53">
            <w:pPr>
              <w:numPr>
                <w:ilvl w:val="0"/>
                <w:numId w:val="97"/>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744E1715"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3092A05B"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41E9FE6"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25E8F00E"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90A20D4"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72D88433"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754973A"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033A9245"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1DAE0875" w14:textId="77777777" w:rsidTr="00614438">
        <w:trPr>
          <w:trHeight w:val="780"/>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149A54F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0" w:type="dxa"/>
            <w:gridSpan w:val="3"/>
            <w:tcBorders>
              <w:top w:val="single" w:sz="8" w:space="0" w:color="auto"/>
              <w:left w:val="nil"/>
              <w:bottom w:val="single" w:sz="8" w:space="0" w:color="auto"/>
              <w:right w:val="single" w:sz="8" w:space="0" w:color="000000"/>
            </w:tcBorders>
            <w:vAlign w:val="center"/>
            <w:hideMark/>
          </w:tcPr>
          <w:p w14:paraId="7FBA3A27" w14:textId="1E8922FE" w:rsidR="00614438" w:rsidRPr="00AA7A53" w:rsidRDefault="00614438" w:rsidP="00AA7A53">
            <w:pPr>
              <w:spacing w:after="0"/>
              <w:ind w:left="720"/>
              <w:jc w:val="both"/>
              <w:rPr>
                <w:rFonts w:ascii="Times New Roman" w:hAnsi="Times New Roman" w:cs="Times New Roman"/>
                <w:sz w:val="20"/>
                <w:szCs w:val="20"/>
              </w:rPr>
            </w:pPr>
          </w:p>
          <w:p w14:paraId="2655F3BD" w14:textId="77777777" w:rsidR="00614438" w:rsidRPr="00AA7A53" w:rsidRDefault="00614438" w:rsidP="00AA7A53">
            <w:pPr>
              <w:numPr>
                <w:ilvl w:val="0"/>
                <w:numId w:val="97"/>
              </w:numPr>
              <w:spacing w:after="0"/>
              <w:jc w:val="both"/>
              <w:rPr>
                <w:rFonts w:ascii="Times New Roman" w:hAnsi="Times New Roman" w:cs="Times New Roman"/>
                <w:sz w:val="20"/>
                <w:szCs w:val="20"/>
              </w:rPr>
            </w:pPr>
            <w:r w:rsidRPr="00AA7A53">
              <w:rPr>
                <w:rFonts w:ascii="Times New Roman" w:hAnsi="Times New Roman" w:cs="Times New Roman"/>
                <w:sz w:val="20"/>
                <w:szCs w:val="20"/>
              </w:rPr>
              <w:t>Industrial Policy Strategy of the Republic of Serbia from 2021 to 2030</w:t>
            </w:r>
          </w:p>
          <w:p w14:paraId="4A746004" w14:textId="77777777" w:rsidR="00614438" w:rsidRPr="00AA7A53" w:rsidRDefault="00614438" w:rsidP="00AA7A53">
            <w:pPr>
              <w:numPr>
                <w:ilvl w:val="0"/>
                <w:numId w:val="97"/>
              </w:numPr>
              <w:spacing w:after="0"/>
              <w:jc w:val="both"/>
              <w:rPr>
                <w:rFonts w:ascii="Times New Roman" w:hAnsi="Times New Roman" w:cs="Times New Roman"/>
                <w:sz w:val="20"/>
                <w:szCs w:val="20"/>
              </w:rPr>
            </w:pPr>
            <w:r w:rsidRPr="00AA7A53">
              <w:rPr>
                <w:rFonts w:ascii="Times New Roman" w:hAnsi="Times New Roman" w:cs="Times New Roman"/>
                <w:sz w:val="20"/>
                <w:szCs w:val="20"/>
              </w:rPr>
              <w:t>Sustainable Urban Development Strategy of the Republic of Serbia until 2030</w:t>
            </w:r>
          </w:p>
          <w:p w14:paraId="6D9468CB" w14:textId="77777777" w:rsidR="00614438" w:rsidRPr="00AA7A53" w:rsidRDefault="00614438" w:rsidP="00AA7A53">
            <w:pPr>
              <w:numPr>
                <w:ilvl w:val="0"/>
                <w:numId w:val="97"/>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 Efficiency and Rational Use of Energy</w:t>
            </w:r>
          </w:p>
        </w:tc>
        <w:tc>
          <w:tcPr>
            <w:tcW w:w="222" w:type="dxa"/>
            <w:vAlign w:val="center"/>
            <w:hideMark/>
          </w:tcPr>
          <w:p w14:paraId="718530C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323AE78" w14:textId="77777777" w:rsidTr="00614438">
        <w:trPr>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38873E3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0" w:type="dxa"/>
            <w:gridSpan w:val="3"/>
            <w:tcBorders>
              <w:top w:val="single" w:sz="8" w:space="0" w:color="auto"/>
              <w:left w:val="nil"/>
              <w:bottom w:val="single" w:sz="8" w:space="0" w:color="auto"/>
              <w:right w:val="single" w:sz="8" w:space="0" w:color="000000"/>
            </w:tcBorders>
            <w:vAlign w:val="center"/>
            <w:hideMark/>
          </w:tcPr>
          <w:p w14:paraId="376A389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Budget incorporated into PM_EE21</w:t>
            </w:r>
          </w:p>
        </w:tc>
        <w:tc>
          <w:tcPr>
            <w:tcW w:w="222" w:type="dxa"/>
            <w:vAlign w:val="center"/>
            <w:hideMark/>
          </w:tcPr>
          <w:p w14:paraId="0109E1AF"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5B11E22" w14:textId="77777777" w:rsidTr="00614438">
        <w:trPr>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3AE91EC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0" w:type="dxa"/>
            <w:gridSpan w:val="3"/>
            <w:tcBorders>
              <w:top w:val="single" w:sz="8" w:space="0" w:color="auto"/>
              <w:left w:val="nil"/>
              <w:bottom w:val="single" w:sz="8" w:space="0" w:color="auto"/>
              <w:right w:val="single" w:sz="8" w:space="0" w:color="000000"/>
            </w:tcBorders>
            <w:vAlign w:val="center"/>
            <w:hideMark/>
          </w:tcPr>
          <w:p w14:paraId="1C4E1D3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7BC4BDC5" w14:textId="77777777" w:rsidR="00614438" w:rsidRPr="00AA7A53" w:rsidRDefault="00614438" w:rsidP="00AA7A53">
            <w:pPr>
              <w:spacing w:after="0"/>
              <w:jc w:val="both"/>
              <w:rPr>
                <w:rFonts w:ascii="Times New Roman" w:hAnsi="Times New Roman" w:cs="Times New Roman"/>
                <w:sz w:val="20"/>
                <w:szCs w:val="20"/>
                <w:lang w:val="en-GB"/>
              </w:rPr>
            </w:pPr>
          </w:p>
        </w:tc>
      </w:tr>
    </w:tbl>
    <w:p w14:paraId="36DDEA06"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88"/>
        <w:gridCol w:w="1050"/>
        <w:gridCol w:w="939"/>
        <w:gridCol w:w="4181"/>
        <w:gridCol w:w="222"/>
      </w:tblGrid>
      <w:tr w:rsidR="00614438" w:rsidRPr="00AA7A53" w14:paraId="332A93DD" w14:textId="77777777" w:rsidTr="00614438">
        <w:trPr>
          <w:gridAfter w:val="1"/>
          <w:wAfter w:w="222" w:type="dxa"/>
          <w:trHeight w:val="780"/>
        </w:trPr>
        <w:tc>
          <w:tcPr>
            <w:tcW w:w="3311"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7A67C2B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Policy measure code:</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79A4EA5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PM_EE23</w:t>
            </w:r>
          </w:p>
        </w:tc>
        <w:tc>
          <w:tcPr>
            <w:tcW w:w="943" w:type="dxa"/>
            <w:tcBorders>
              <w:top w:val="single" w:sz="8" w:space="0" w:color="auto"/>
              <w:left w:val="nil"/>
              <w:bottom w:val="single" w:sz="8" w:space="0" w:color="auto"/>
              <w:right w:val="single" w:sz="8" w:space="0" w:color="auto"/>
            </w:tcBorders>
            <w:shd w:val="clear" w:color="auto" w:fill="244062"/>
            <w:vAlign w:val="center"/>
            <w:hideMark/>
          </w:tcPr>
          <w:p w14:paraId="46BE4CE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8" w:type="dxa"/>
            <w:tcBorders>
              <w:top w:val="single" w:sz="8" w:space="0" w:color="auto"/>
              <w:left w:val="nil"/>
              <w:bottom w:val="single" w:sz="8" w:space="0" w:color="auto"/>
              <w:right w:val="single" w:sz="8" w:space="0" w:color="auto"/>
            </w:tcBorders>
            <w:shd w:val="clear" w:color="auto" w:fill="E7E6E6" w:themeFill="background2"/>
            <w:vAlign w:val="center"/>
            <w:hideMark/>
          </w:tcPr>
          <w:p w14:paraId="0D989F79" w14:textId="47424850"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Supplementary actions for the promotion of energy efficiency </w:t>
            </w:r>
            <w:r w:rsidR="007C2771" w:rsidRPr="00AA7A53">
              <w:rPr>
                <w:rFonts w:ascii="Times New Roman" w:hAnsi="Times New Roman" w:cs="Times New Roman"/>
                <w:sz w:val="20"/>
                <w:szCs w:val="20"/>
                <w:lang w:val="en-GB"/>
              </w:rPr>
              <w:t xml:space="preserve">the </w:t>
            </w:r>
            <w:r w:rsidRPr="00AA7A53">
              <w:rPr>
                <w:rFonts w:ascii="Times New Roman" w:hAnsi="Times New Roman" w:cs="Times New Roman"/>
                <w:sz w:val="20"/>
                <w:szCs w:val="20"/>
                <w:lang w:val="en-GB"/>
              </w:rPr>
              <w:t xml:space="preserve">in industrial sector </w:t>
            </w:r>
          </w:p>
        </w:tc>
      </w:tr>
      <w:tr w:rsidR="00614438" w:rsidRPr="00AA7A53" w14:paraId="227C18D0" w14:textId="77777777" w:rsidTr="00614438">
        <w:trPr>
          <w:gridAfter w:val="1"/>
          <w:wAfter w:w="222" w:type="dxa"/>
          <w:trHeight w:val="453"/>
        </w:trPr>
        <w:tc>
          <w:tcPr>
            <w:tcW w:w="3311" w:type="dxa"/>
            <w:tcBorders>
              <w:top w:val="nil"/>
              <w:left w:val="single" w:sz="8" w:space="0" w:color="auto"/>
              <w:bottom w:val="single" w:sz="8" w:space="0" w:color="auto"/>
              <w:right w:val="nil"/>
            </w:tcBorders>
            <w:shd w:val="clear" w:color="auto" w:fill="244062"/>
            <w:vAlign w:val="center"/>
            <w:hideMark/>
          </w:tcPr>
          <w:p w14:paraId="037753E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Main objective:</w:t>
            </w:r>
          </w:p>
        </w:tc>
        <w:tc>
          <w:tcPr>
            <w:tcW w:w="6147" w:type="dxa"/>
            <w:gridSpan w:val="3"/>
            <w:tcBorders>
              <w:top w:val="single" w:sz="8" w:space="0" w:color="auto"/>
              <w:left w:val="nil"/>
              <w:bottom w:val="single" w:sz="8" w:space="0" w:color="auto"/>
              <w:right w:val="single" w:sz="8" w:space="0" w:color="000000"/>
            </w:tcBorders>
            <w:vAlign w:val="center"/>
            <w:hideMark/>
          </w:tcPr>
          <w:p w14:paraId="2B66D167" w14:textId="25C3C809" w:rsidR="00614438" w:rsidRPr="00AA7A53" w:rsidRDefault="00614438" w:rsidP="00AA7A53">
            <w:pPr>
              <w:spacing w:after="0"/>
              <w:jc w:val="both"/>
              <w:rPr>
                <w:rFonts w:ascii="Times New Roman" w:hAnsi="Times New Roman" w:cs="Times New Roman"/>
                <w:sz w:val="20"/>
                <w:szCs w:val="20"/>
              </w:rPr>
            </w:pPr>
            <w:r w:rsidRPr="00AA7A53">
              <w:rPr>
                <w:rFonts w:ascii="Times New Roman" w:hAnsi="Times New Roman" w:cs="Times New Roman"/>
                <w:sz w:val="20"/>
                <w:szCs w:val="20"/>
                <w:lang w:val="en-GB"/>
              </w:rPr>
              <w:t>Implementation of articles of the Directive (EU) 2012/27, as amended by Directive (EU) 2018/2002</w:t>
            </w:r>
            <w:r w:rsidR="007C2771" w:rsidRPr="00AA7A53">
              <w:rPr>
                <w:rFonts w:ascii="Times New Roman" w:hAnsi="Times New Roman" w:cs="Times New Roman"/>
                <w:sz w:val="20"/>
                <w:szCs w:val="20"/>
                <w:lang w:val="en-GB"/>
              </w:rPr>
              <w:t xml:space="preserve">, namely, </w:t>
            </w:r>
            <w:r w:rsidRPr="00AA7A53">
              <w:rPr>
                <w:rFonts w:ascii="Times New Roman" w:hAnsi="Times New Roman" w:cs="Times New Roman"/>
                <w:sz w:val="20"/>
                <w:szCs w:val="20"/>
              </w:rPr>
              <w:t>Article 3</w:t>
            </w:r>
          </w:p>
        </w:tc>
      </w:tr>
      <w:tr w:rsidR="00614438" w:rsidRPr="00AA7A53" w14:paraId="4D3CBB34" w14:textId="77777777" w:rsidTr="00614438">
        <w:trPr>
          <w:gridAfter w:val="1"/>
          <w:wAfter w:w="222"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0DD0A67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Quantified objective:</w:t>
            </w:r>
          </w:p>
        </w:tc>
        <w:tc>
          <w:tcPr>
            <w:tcW w:w="6147" w:type="dxa"/>
            <w:gridSpan w:val="3"/>
            <w:tcBorders>
              <w:top w:val="single" w:sz="8" w:space="0" w:color="auto"/>
              <w:left w:val="nil"/>
              <w:bottom w:val="single" w:sz="8" w:space="0" w:color="auto"/>
              <w:right w:val="single" w:sz="8" w:space="0" w:color="000000"/>
            </w:tcBorders>
            <w:vAlign w:val="center"/>
            <w:hideMark/>
          </w:tcPr>
          <w:p w14:paraId="188F51A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the quantified objective of PM_EE21</w:t>
            </w:r>
          </w:p>
        </w:tc>
      </w:tr>
      <w:tr w:rsidR="00614438" w:rsidRPr="00AA7A53" w14:paraId="4B78F7FD" w14:textId="77777777" w:rsidTr="00614438">
        <w:trPr>
          <w:gridAfter w:val="1"/>
          <w:wAfter w:w="222" w:type="dxa"/>
          <w:trHeight w:val="429"/>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2DE6889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7" w:type="dxa"/>
            <w:gridSpan w:val="3"/>
            <w:tcBorders>
              <w:top w:val="single" w:sz="8" w:space="0" w:color="auto"/>
              <w:left w:val="nil"/>
              <w:bottom w:val="single" w:sz="8" w:space="0" w:color="auto"/>
              <w:right w:val="single" w:sz="8" w:space="0" w:color="000000"/>
            </w:tcBorders>
            <w:vAlign w:val="center"/>
            <w:hideMark/>
          </w:tcPr>
          <w:p w14:paraId="0011F1E1" w14:textId="2E7C2EE0"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PM_EE23 will boost the implementation of various measures for the promotion of energy efficiency in </w:t>
            </w:r>
            <w:r w:rsidR="007C2771" w:rsidRPr="00AA7A53">
              <w:rPr>
                <w:rFonts w:ascii="Times New Roman" w:hAnsi="Times New Roman" w:cs="Times New Roman"/>
                <w:sz w:val="20"/>
                <w:szCs w:val="20"/>
                <w:lang w:val="en-GB"/>
              </w:rPr>
              <w:t xml:space="preserve">the </w:t>
            </w:r>
            <w:r w:rsidRPr="00AA7A53">
              <w:rPr>
                <w:rFonts w:ascii="Times New Roman" w:hAnsi="Times New Roman" w:cs="Times New Roman"/>
                <w:sz w:val="20"/>
                <w:szCs w:val="20"/>
                <w:lang w:val="en-GB"/>
              </w:rPr>
              <w:t>industrial sector</w:t>
            </w:r>
            <w:r w:rsidR="007C2771"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such as the establishment of industrial-business zones served by centralized CHP and central heat generation and distribution systems, the deployment of cogeneration systems, the promotion of circular economy including the exploitation of waste heat and the extended digitalization of the industrial processes. The further exploitation of renewables for electricity, heating and cooling production and the promotion of other alternative fuels will contribute to the improvement of energy efficiency maximizing the synergies with the RES dimension. The promotion of the planned interventions will be achieved either through the development of the appropriate infrastructure or the provision of financial and fiscal incentives.</w:t>
            </w:r>
          </w:p>
        </w:tc>
      </w:tr>
      <w:tr w:rsidR="00614438" w:rsidRPr="00AA7A53" w14:paraId="72F04487" w14:textId="77777777" w:rsidTr="00614438">
        <w:trPr>
          <w:gridAfter w:val="1"/>
          <w:wAfter w:w="222"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7ACE880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7" w:type="dxa"/>
            <w:gridSpan w:val="3"/>
            <w:tcBorders>
              <w:top w:val="single" w:sz="8" w:space="0" w:color="auto"/>
              <w:left w:val="nil"/>
              <w:bottom w:val="single" w:sz="8" w:space="0" w:color="auto"/>
              <w:right w:val="single" w:sz="8" w:space="0" w:color="000000"/>
            </w:tcBorders>
            <w:vAlign w:val="center"/>
            <w:hideMark/>
          </w:tcPr>
          <w:p w14:paraId="6045DB0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6203920D" w14:textId="77777777" w:rsidTr="00614438">
        <w:trPr>
          <w:gridAfter w:val="1"/>
          <w:wAfter w:w="222"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0681D69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7" w:type="dxa"/>
            <w:gridSpan w:val="3"/>
            <w:tcBorders>
              <w:top w:val="single" w:sz="8" w:space="0" w:color="auto"/>
              <w:left w:val="nil"/>
              <w:bottom w:val="single" w:sz="8" w:space="0" w:color="auto"/>
              <w:right w:val="single" w:sz="8" w:space="0" w:color="000000"/>
            </w:tcBorders>
            <w:vAlign w:val="center"/>
            <w:hideMark/>
          </w:tcPr>
          <w:p w14:paraId="3E12604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6D0068D8" w14:textId="77777777" w:rsidTr="00614438">
        <w:trPr>
          <w:gridAfter w:val="1"/>
          <w:wAfter w:w="222"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3E06E0E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7" w:type="dxa"/>
            <w:gridSpan w:val="3"/>
            <w:tcBorders>
              <w:top w:val="single" w:sz="8" w:space="0" w:color="auto"/>
              <w:left w:val="nil"/>
              <w:bottom w:val="single" w:sz="8" w:space="0" w:color="auto"/>
              <w:right w:val="single" w:sz="8" w:space="0" w:color="000000"/>
            </w:tcBorders>
            <w:vAlign w:val="center"/>
            <w:hideMark/>
          </w:tcPr>
          <w:p w14:paraId="28EED22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Industrial</w:t>
            </w:r>
          </w:p>
        </w:tc>
      </w:tr>
      <w:tr w:rsidR="00614438" w:rsidRPr="00AA7A53" w14:paraId="61C20F03" w14:textId="77777777" w:rsidTr="00614438">
        <w:trPr>
          <w:gridAfter w:val="1"/>
          <w:wAfter w:w="222"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43C3286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7" w:type="dxa"/>
            <w:gridSpan w:val="3"/>
            <w:tcBorders>
              <w:top w:val="single" w:sz="8" w:space="0" w:color="auto"/>
              <w:left w:val="nil"/>
              <w:bottom w:val="single" w:sz="8" w:space="0" w:color="auto"/>
              <w:right w:val="single" w:sz="8" w:space="0" w:color="000000"/>
            </w:tcBorders>
            <w:vAlign w:val="center"/>
            <w:hideMark/>
          </w:tcPr>
          <w:p w14:paraId="30F18355"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3C482926"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Environmental Protection</w:t>
            </w:r>
          </w:p>
          <w:p w14:paraId="375F6568"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Economy</w:t>
            </w:r>
          </w:p>
        </w:tc>
      </w:tr>
      <w:tr w:rsidR="00614438" w:rsidRPr="00AA7A53" w14:paraId="38737735" w14:textId="77777777" w:rsidTr="00614438">
        <w:trPr>
          <w:gridAfter w:val="1"/>
          <w:wAfter w:w="222" w:type="dxa"/>
          <w:trHeight w:val="315"/>
        </w:trPr>
        <w:tc>
          <w:tcPr>
            <w:tcW w:w="3311" w:type="dxa"/>
            <w:tcBorders>
              <w:top w:val="nil"/>
              <w:left w:val="single" w:sz="8" w:space="0" w:color="auto"/>
              <w:bottom w:val="single" w:sz="8" w:space="0" w:color="auto"/>
              <w:right w:val="nil"/>
            </w:tcBorders>
            <w:shd w:val="clear" w:color="auto" w:fill="244062"/>
            <w:vAlign w:val="center"/>
            <w:hideMark/>
          </w:tcPr>
          <w:p w14:paraId="6CC6C3D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7" w:type="dxa"/>
            <w:gridSpan w:val="3"/>
            <w:tcBorders>
              <w:top w:val="single" w:sz="8" w:space="0" w:color="auto"/>
              <w:left w:val="nil"/>
              <w:bottom w:val="single" w:sz="8" w:space="0" w:color="auto"/>
              <w:right w:val="single" w:sz="8" w:space="0" w:color="000000"/>
            </w:tcBorders>
            <w:vAlign w:val="center"/>
            <w:hideMark/>
          </w:tcPr>
          <w:p w14:paraId="20535869"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2370A3E2" w14:textId="77777777" w:rsidTr="00614438">
        <w:trPr>
          <w:gridAfter w:val="1"/>
          <w:wAfter w:w="222" w:type="dxa"/>
          <w:trHeight w:val="315"/>
        </w:trPr>
        <w:tc>
          <w:tcPr>
            <w:tcW w:w="3311" w:type="dxa"/>
            <w:tcBorders>
              <w:top w:val="nil"/>
              <w:left w:val="single" w:sz="8" w:space="0" w:color="auto"/>
              <w:bottom w:val="single" w:sz="8" w:space="0" w:color="auto"/>
              <w:right w:val="nil"/>
            </w:tcBorders>
            <w:shd w:val="clear" w:color="auto" w:fill="244062"/>
            <w:vAlign w:val="center"/>
            <w:hideMark/>
          </w:tcPr>
          <w:p w14:paraId="40B0F58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7" w:type="dxa"/>
            <w:gridSpan w:val="3"/>
            <w:tcBorders>
              <w:top w:val="single" w:sz="8" w:space="0" w:color="auto"/>
              <w:left w:val="nil"/>
              <w:bottom w:val="single" w:sz="8" w:space="0" w:color="auto"/>
              <w:right w:val="single" w:sz="8" w:space="0" w:color="000000"/>
            </w:tcBorders>
            <w:vAlign w:val="center"/>
            <w:hideMark/>
          </w:tcPr>
          <w:p w14:paraId="5FC854F8"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Number of industrial units</w:t>
            </w:r>
          </w:p>
        </w:tc>
      </w:tr>
      <w:tr w:rsidR="00614438" w:rsidRPr="00AA7A53" w14:paraId="5B9E3E74" w14:textId="77777777" w:rsidTr="00614438">
        <w:trPr>
          <w:gridAfter w:val="1"/>
          <w:wAfter w:w="222" w:type="dxa"/>
          <w:trHeight w:val="52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334BDD4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Other relevant Energy Union dimension(s) affected</w:t>
            </w:r>
          </w:p>
        </w:tc>
        <w:tc>
          <w:tcPr>
            <w:tcW w:w="6147" w:type="dxa"/>
            <w:gridSpan w:val="3"/>
            <w:tcBorders>
              <w:top w:val="single" w:sz="8" w:space="0" w:color="auto"/>
              <w:left w:val="nil"/>
              <w:bottom w:val="single" w:sz="8" w:space="0" w:color="auto"/>
              <w:right w:val="single" w:sz="8" w:space="0" w:color="000000"/>
            </w:tcBorders>
            <w:vAlign w:val="center"/>
            <w:hideMark/>
          </w:tcPr>
          <w:p w14:paraId="007403BF" w14:textId="77777777" w:rsidR="00614438" w:rsidRPr="00AA7A53" w:rsidRDefault="00614438" w:rsidP="00AA7A53">
            <w:pPr>
              <w:numPr>
                <w:ilvl w:val="0"/>
                <w:numId w:val="98"/>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 leading to the respective GHG emission reduction &amp; the utilised RES technologies will increase the RES share in heating and cooling)</w:t>
            </w:r>
          </w:p>
          <w:p w14:paraId="7DC076E6" w14:textId="77777777" w:rsidR="00614438" w:rsidRPr="00AA7A53" w:rsidRDefault="00614438" w:rsidP="00AA7A53">
            <w:pPr>
              <w:numPr>
                <w:ilvl w:val="0"/>
                <w:numId w:val="98"/>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58DBFB9F" w14:textId="77777777" w:rsidTr="00614438">
        <w:trPr>
          <w:gridAfter w:val="1"/>
          <w:wAfter w:w="222" w:type="dxa"/>
          <w:trHeight w:val="458"/>
        </w:trPr>
        <w:tc>
          <w:tcPr>
            <w:tcW w:w="3311" w:type="dxa"/>
            <w:vMerge w:val="restart"/>
            <w:tcBorders>
              <w:top w:val="nil"/>
              <w:left w:val="single" w:sz="8" w:space="0" w:color="auto"/>
              <w:bottom w:val="single" w:sz="8" w:space="0" w:color="000000"/>
              <w:right w:val="single" w:sz="8" w:space="0" w:color="auto"/>
            </w:tcBorders>
            <w:shd w:val="clear" w:color="auto" w:fill="244062"/>
            <w:vAlign w:val="center"/>
            <w:hideMark/>
          </w:tcPr>
          <w:p w14:paraId="60CED8E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7"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A642447" w14:textId="63D43FB0" w:rsidR="00614438" w:rsidRPr="00AA7A53" w:rsidRDefault="00614438" w:rsidP="00AA7A53">
            <w:pPr>
              <w:numPr>
                <w:ilvl w:val="0"/>
                <w:numId w:val="98"/>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2012/27</w:t>
            </w:r>
            <w:r w:rsidR="00865CF5" w:rsidRPr="00AA7A53">
              <w:rPr>
                <w:rFonts w:ascii="Times New Roman" w:hAnsi="Times New Roman" w:cs="Times New Roman"/>
                <w:sz w:val="20"/>
                <w:szCs w:val="20"/>
              </w:rPr>
              <w:t>/EU</w:t>
            </w:r>
          </w:p>
          <w:p w14:paraId="6ED0BC7D" w14:textId="5A7CED5B" w:rsidR="00614438" w:rsidRPr="00AA7A53" w:rsidRDefault="00614438" w:rsidP="00AA7A53">
            <w:pPr>
              <w:numPr>
                <w:ilvl w:val="0"/>
                <w:numId w:val="98"/>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2018/2002</w:t>
            </w:r>
            <w:r w:rsidR="00865CF5" w:rsidRPr="00AA7A53">
              <w:rPr>
                <w:rFonts w:ascii="Times New Roman" w:hAnsi="Times New Roman" w:cs="Times New Roman"/>
                <w:sz w:val="20"/>
                <w:szCs w:val="20"/>
              </w:rPr>
              <w:t>/EU</w:t>
            </w:r>
          </w:p>
        </w:tc>
      </w:tr>
      <w:tr w:rsidR="00614438" w:rsidRPr="00AA7A53" w14:paraId="0BEC660A"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0A50F87A"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F592182"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7967531D"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06D136F"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071353B2"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B7E80C6"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0F1EECBF"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2B4FD540" w14:textId="77777777" w:rsidTr="00614438">
        <w:trPr>
          <w:trHeight w:val="780"/>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638F5E1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7" w:type="dxa"/>
            <w:gridSpan w:val="3"/>
            <w:tcBorders>
              <w:top w:val="single" w:sz="8" w:space="0" w:color="auto"/>
              <w:left w:val="nil"/>
              <w:bottom w:val="single" w:sz="8" w:space="0" w:color="auto"/>
              <w:right w:val="single" w:sz="8" w:space="0" w:color="000000"/>
            </w:tcBorders>
            <w:vAlign w:val="center"/>
            <w:hideMark/>
          </w:tcPr>
          <w:p w14:paraId="61414A49" w14:textId="77777777" w:rsidR="00614438" w:rsidRPr="00AA7A53" w:rsidRDefault="00614438" w:rsidP="00AA7A53">
            <w:pPr>
              <w:numPr>
                <w:ilvl w:val="0"/>
                <w:numId w:val="98"/>
              </w:numPr>
              <w:spacing w:after="0"/>
              <w:jc w:val="both"/>
              <w:rPr>
                <w:rFonts w:ascii="Times New Roman" w:hAnsi="Times New Roman" w:cs="Times New Roman"/>
                <w:sz w:val="20"/>
                <w:szCs w:val="20"/>
              </w:rPr>
            </w:pPr>
            <w:r w:rsidRPr="00AA7A53">
              <w:rPr>
                <w:rFonts w:ascii="Times New Roman" w:hAnsi="Times New Roman" w:cs="Times New Roman"/>
                <w:sz w:val="20"/>
                <w:szCs w:val="20"/>
              </w:rPr>
              <w:t>Industrial Policy Strategy of the Republic of Serbia from 2021 to 2030</w:t>
            </w:r>
          </w:p>
          <w:p w14:paraId="20CBADA2" w14:textId="77777777" w:rsidR="00614438" w:rsidRPr="00AA7A53" w:rsidRDefault="00614438" w:rsidP="00AA7A53">
            <w:pPr>
              <w:numPr>
                <w:ilvl w:val="0"/>
                <w:numId w:val="98"/>
              </w:numPr>
              <w:spacing w:after="0"/>
              <w:jc w:val="both"/>
              <w:rPr>
                <w:rFonts w:ascii="Times New Roman" w:hAnsi="Times New Roman" w:cs="Times New Roman"/>
                <w:sz w:val="20"/>
                <w:szCs w:val="20"/>
              </w:rPr>
            </w:pPr>
            <w:r w:rsidRPr="00AA7A53">
              <w:rPr>
                <w:rFonts w:ascii="Times New Roman" w:hAnsi="Times New Roman" w:cs="Times New Roman"/>
                <w:sz w:val="20"/>
                <w:szCs w:val="20"/>
              </w:rPr>
              <w:t>Sustainable Urban Development Strategy of the Republic of Serbia until 2030</w:t>
            </w:r>
          </w:p>
        </w:tc>
        <w:tc>
          <w:tcPr>
            <w:tcW w:w="222" w:type="dxa"/>
            <w:vAlign w:val="center"/>
            <w:hideMark/>
          </w:tcPr>
          <w:p w14:paraId="40D0F4E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3EE5FDB" w14:textId="77777777" w:rsidTr="00614438">
        <w:trPr>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30B4CCD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7" w:type="dxa"/>
            <w:gridSpan w:val="3"/>
            <w:tcBorders>
              <w:top w:val="single" w:sz="8" w:space="0" w:color="auto"/>
              <w:left w:val="nil"/>
              <w:bottom w:val="single" w:sz="8" w:space="0" w:color="auto"/>
              <w:right w:val="single" w:sz="8" w:space="0" w:color="000000"/>
            </w:tcBorders>
            <w:vAlign w:val="center"/>
            <w:hideMark/>
          </w:tcPr>
          <w:p w14:paraId="2323571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Budget incorporated into PM_EE21</w:t>
            </w:r>
          </w:p>
        </w:tc>
        <w:tc>
          <w:tcPr>
            <w:tcW w:w="222" w:type="dxa"/>
            <w:vAlign w:val="center"/>
            <w:hideMark/>
          </w:tcPr>
          <w:p w14:paraId="1DD08797"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9D139AD" w14:textId="77777777" w:rsidTr="00614438">
        <w:trPr>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4AE030A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7" w:type="dxa"/>
            <w:gridSpan w:val="3"/>
            <w:tcBorders>
              <w:top w:val="single" w:sz="8" w:space="0" w:color="auto"/>
              <w:left w:val="nil"/>
              <w:bottom w:val="single" w:sz="8" w:space="0" w:color="auto"/>
              <w:right w:val="single" w:sz="8" w:space="0" w:color="000000"/>
            </w:tcBorders>
            <w:vAlign w:val="center"/>
            <w:hideMark/>
          </w:tcPr>
          <w:p w14:paraId="15B70CD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2A74B1AE" w14:textId="77777777" w:rsidR="00614438" w:rsidRPr="00AA7A53" w:rsidRDefault="00614438" w:rsidP="00AA7A53">
            <w:pPr>
              <w:spacing w:after="0"/>
              <w:jc w:val="both"/>
              <w:rPr>
                <w:rFonts w:ascii="Times New Roman" w:hAnsi="Times New Roman" w:cs="Times New Roman"/>
                <w:sz w:val="20"/>
                <w:szCs w:val="20"/>
                <w:lang w:val="en-GB"/>
              </w:rPr>
            </w:pPr>
          </w:p>
        </w:tc>
      </w:tr>
    </w:tbl>
    <w:p w14:paraId="4A9E770A" w14:textId="77777777" w:rsidR="00614438" w:rsidRPr="00AA7A53" w:rsidRDefault="00614438" w:rsidP="00AA7A53">
      <w:pPr>
        <w:spacing w:after="0"/>
        <w:jc w:val="both"/>
        <w:rPr>
          <w:rFonts w:ascii="Times New Roman" w:hAnsi="Times New Roman" w:cs="Times New Roman"/>
          <w:sz w:val="20"/>
          <w:szCs w:val="20"/>
          <w:u w:val="single"/>
          <w:lang w:val="en-GB"/>
        </w:rPr>
      </w:pPr>
    </w:p>
    <w:p w14:paraId="3C49A8A1" w14:textId="77777777" w:rsidR="00614438" w:rsidRPr="00865CF5" w:rsidRDefault="00614438" w:rsidP="00865CF5">
      <w:pPr>
        <w:ind w:firstLine="720"/>
        <w:jc w:val="both"/>
        <w:rPr>
          <w:rFonts w:ascii="Times New Roman" w:hAnsi="Times New Roman" w:cs="Times New Roman"/>
          <w:sz w:val="24"/>
          <w:szCs w:val="24"/>
          <w:lang w:val="en-GB"/>
        </w:rPr>
      </w:pPr>
      <w:r w:rsidRPr="00865CF5">
        <w:rPr>
          <w:rFonts w:ascii="Times New Roman" w:hAnsi="Times New Roman" w:cs="Times New Roman"/>
          <w:sz w:val="24"/>
          <w:szCs w:val="24"/>
          <w:lang w:val="en-GB"/>
        </w:rPr>
        <w:t>Agricultural sector</w:t>
      </w:r>
    </w:p>
    <w:p w14:paraId="70D6F4D6" w14:textId="6DD08562" w:rsidR="00614438" w:rsidRPr="00AA7A53" w:rsidRDefault="00614438" w:rsidP="00AA7A53">
      <w:pPr>
        <w:spacing w:after="0"/>
        <w:ind w:firstLine="720"/>
        <w:jc w:val="both"/>
        <w:rPr>
          <w:rFonts w:ascii="Times New Roman" w:hAnsi="Times New Roman" w:cs="Times New Roman"/>
          <w:sz w:val="20"/>
          <w:szCs w:val="20"/>
          <w:lang w:val="en-GB"/>
        </w:rPr>
      </w:pPr>
      <w:r w:rsidRPr="00614438">
        <w:rPr>
          <w:rFonts w:ascii="Times New Roman" w:hAnsi="Times New Roman" w:cs="Times New Roman"/>
          <w:sz w:val="24"/>
          <w:szCs w:val="24"/>
          <w:lang w:val="en-GB"/>
        </w:rPr>
        <w:t xml:space="preserve">Specialised financial incentives will be designed for increasing the energy efficiency in agricultural machineries, irrigation systems, livestock farming and greenhouses, and fisheries. Moreover, the further penetration of RES and the production and exploitation of biomass respectively will be encouraged, while the provision of advisory services and the </w:t>
      </w:r>
      <w:r w:rsidR="00554D76">
        <w:rPr>
          <w:rFonts w:ascii="Times New Roman" w:hAnsi="Times New Roman" w:cs="Times New Roman"/>
          <w:sz w:val="24"/>
          <w:szCs w:val="24"/>
          <w:lang w:val="en-GB"/>
        </w:rPr>
        <w:t>implementation</w:t>
      </w:r>
      <w:r w:rsidRPr="00614438">
        <w:rPr>
          <w:rFonts w:ascii="Times New Roman" w:hAnsi="Times New Roman" w:cs="Times New Roman"/>
          <w:sz w:val="24"/>
          <w:szCs w:val="24"/>
          <w:lang w:val="en-GB"/>
        </w:rPr>
        <w:t xml:space="preserve"> of energy audits to farmers will be </w:t>
      </w:r>
      <w:r w:rsidR="00865CF5">
        <w:rPr>
          <w:rFonts w:ascii="Times New Roman" w:hAnsi="Times New Roman" w:cs="Times New Roman"/>
          <w:sz w:val="24"/>
          <w:szCs w:val="24"/>
          <w:lang w:val="en-GB"/>
        </w:rPr>
        <w:t>offered</w:t>
      </w:r>
      <w:r w:rsidRPr="00614438">
        <w:rPr>
          <w:rFonts w:ascii="Times New Roman" w:hAnsi="Times New Roman" w:cs="Times New Roman"/>
          <w:sz w:val="24"/>
          <w:szCs w:val="24"/>
          <w:lang w:val="en-GB"/>
        </w:rPr>
        <w:t xml:space="preserve"> in order to improve the existing level of knowledge in the agricultural sector.</w:t>
      </w:r>
    </w:p>
    <w:tbl>
      <w:tblPr>
        <w:tblW w:w="9680" w:type="dxa"/>
        <w:tblLook w:val="04A0" w:firstRow="1" w:lastRow="0" w:firstColumn="1" w:lastColumn="0" w:noHBand="0" w:noVBand="1"/>
      </w:tblPr>
      <w:tblGrid>
        <w:gridCol w:w="3295"/>
        <w:gridCol w:w="1050"/>
        <w:gridCol w:w="939"/>
        <w:gridCol w:w="4174"/>
        <w:gridCol w:w="222"/>
      </w:tblGrid>
      <w:tr w:rsidR="00614438" w:rsidRPr="00AA7A53" w14:paraId="43A18729" w14:textId="77777777" w:rsidTr="00614438">
        <w:trPr>
          <w:gridAfter w:val="1"/>
          <w:wAfter w:w="222" w:type="dxa"/>
          <w:trHeight w:val="780"/>
        </w:trPr>
        <w:tc>
          <w:tcPr>
            <w:tcW w:w="331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017BB97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0286F0A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PM_EE24</w:t>
            </w:r>
          </w:p>
        </w:tc>
        <w:tc>
          <w:tcPr>
            <w:tcW w:w="943" w:type="dxa"/>
            <w:tcBorders>
              <w:top w:val="single" w:sz="8" w:space="0" w:color="auto"/>
              <w:left w:val="nil"/>
              <w:bottom w:val="single" w:sz="8" w:space="0" w:color="auto"/>
              <w:right w:val="single" w:sz="8" w:space="0" w:color="auto"/>
            </w:tcBorders>
            <w:shd w:val="clear" w:color="auto" w:fill="244062"/>
            <w:vAlign w:val="center"/>
            <w:hideMark/>
          </w:tcPr>
          <w:p w14:paraId="0DCB427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2" w:type="dxa"/>
            <w:tcBorders>
              <w:top w:val="single" w:sz="8" w:space="0" w:color="auto"/>
              <w:left w:val="nil"/>
              <w:bottom w:val="single" w:sz="8" w:space="0" w:color="auto"/>
              <w:right w:val="single" w:sz="8" w:space="0" w:color="auto"/>
            </w:tcBorders>
            <w:shd w:val="clear" w:color="auto" w:fill="E7E6E6" w:themeFill="background2"/>
            <w:vAlign w:val="center"/>
            <w:hideMark/>
          </w:tcPr>
          <w:p w14:paraId="49C27223" w14:textId="6538D4A0"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Support schemes for the promotion of energy efficiency in </w:t>
            </w:r>
            <w:r w:rsidR="00865CF5" w:rsidRPr="00AA7A53">
              <w:rPr>
                <w:rFonts w:ascii="Times New Roman" w:hAnsi="Times New Roman" w:cs="Times New Roman"/>
                <w:sz w:val="20"/>
                <w:szCs w:val="20"/>
                <w:lang w:val="en-GB"/>
              </w:rPr>
              <w:t xml:space="preserve">the </w:t>
            </w:r>
            <w:r w:rsidRPr="00AA7A53">
              <w:rPr>
                <w:rFonts w:ascii="Times New Roman" w:hAnsi="Times New Roman" w:cs="Times New Roman"/>
                <w:sz w:val="20"/>
                <w:szCs w:val="20"/>
                <w:lang w:val="en-GB"/>
              </w:rPr>
              <w:t>agricultural sector</w:t>
            </w:r>
          </w:p>
        </w:tc>
      </w:tr>
      <w:tr w:rsidR="00614438" w:rsidRPr="00AA7A53" w14:paraId="482798E5" w14:textId="77777777" w:rsidTr="00614438">
        <w:trPr>
          <w:gridAfter w:val="1"/>
          <w:wAfter w:w="222" w:type="dxa"/>
          <w:trHeight w:val="496"/>
        </w:trPr>
        <w:tc>
          <w:tcPr>
            <w:tcW w:w="3317" w:type="dxa"/>
            <w:tcBorders>
              <w:top w:val="nil"/>
              <w:left w:val="single" w:sz="8" w:space="0" w:color="auto"/>
              <w:bottom w:val="single" w:sz="8" w:space="0" w:color="auto"/>
              <w:right w:val="nil"/>
            </w:tcBorders>
            <w:shd w:val="clear" w:color="auto" w:fill="244062"/>
            <w:vAlign w:val="center"/>
            <w:hideMark/>
          </w:tcPr>
          <w:p w14:paraId="26CB1B5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41" w:type="dxa"/>
            <w:gridSpan w:val="3"/>
            <w:tcBorders>
              <w:top w:val="single" w:sz="8" w:space="0" w:color="auto"/>
              <w:left w:val="nil"/>
              <w:bottom w:val="single" w:sz="8" w:space="0" w:color="auto"/>
              <w:right w:val="single" w:sz="8" w:space="0" w:color="000000"/>
            </w:tcBorders>
            <w:vAlign w:val="center"/>
            <w:hideMark/>
          </w:tcPr>
          <w:p w14:paraId="58E4C493" w14:textId="6393E3C2"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 as amended by Directive (EU) 2018/2002:</w:t>
            </w:r>
          </w:p>
          <w:p w14:paraId="5B5631CA" w14:textId="77777777" w:rsidR="00614438" w:rsidRPr="00AA7A53" w:rsidRDefault="00614438" w:rsidP="00AA7A53">
            <w:pPr>
              <w:numPr>
                <w:ilvl w:val="0"/>
                <w:numId w:val="99"/>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14C0EBED" w14:textId="77777777" w:rsidR="00614438" w:rsidRPr="00AA7A53" w:rsidRDefault="00614438" w:rsidP="00AA7A53">
            <w:pPr>
              <w:numPr>
                <w:ilvl w:val="0"/>
                <w:numId w:val="99"/>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tc>
      </w:tr>
      <w:tr w:rsidR="00614438" w:rsidRPr="00AA7A53" w14:paraId="11FCBAC3"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3221731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41" w:type="dxa"/>
            <w:gridSpan w:val="3"/>
            <w:tcBorders>
              <w:top w:val="single" w:sz="8" w:space="0" w:color="auto"/>
              <w:left w:val="nil"/>
              <w:bottom w:val="single" w:sz="8" w:space="0" w:color="auto"/>
              <w:right w:val="single" w:sz="8" w:space="0" w:color="000000"/>
            </w:tcBorders>
            <w:vAlign w:val="center"/>
            <w:hideMark/>
          </w:tcPr>
          <w:p w14:paraId="48481FE7" w14:textId="1E720F28"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Contribution to fulfilling the expected final energy consumption levels in </w:t>
            </w:r>
            <w:r w:rsidR="00865CF5" w:rsidRPr="00AA7A53">
              <w:rPr>
                <w:rFonts w:ascii="Times New Roman" w:hAnsi="Times New Roman" w:cs="Times New Roman"/>
                <w:sz w:val="20"/>
                <w:szCs w:val="20"/>
                <w:lang w:val="en-GB"/>
              </w:rPr>
              <w:t xml:space="preserve">the </w:t>
            </w:r>
            <w:r w:rsidRPr="00AA7A53">
              <w:rPr>
                <w:rFonts w:ascii="Times New Roman" w:hAnsi="Times New Roman" w:cs="Times New Roman"/>
                <w:sz w:val="20"/>
                <w:szCs w:val="20"/>
                <w:lang w:val="en-GB"/>
              </w:rPr>
              <w:t>agricultural sector</w:t>
            </w:r>
          </w:p>
        </w:tc>
      </w:tr>
      <w:tr w:rsidR="00614438" w:rsidRPr="00AA7A53" w14:paraId="27EA7164" w14:textId="77777777" w:rsidTr="00614438">
        <w:trPr>
          <w:gridAfter w:val="1"/>
          <w:wAfter w:w="222" w:type="dxa"/>
          <w:trHeight w:val="996"/>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2795762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1" w:type="dxa"/>
            <w:gridSpan w:val="3"/>
            <w:tcBorders>
              <w:top w:val="single" w:sz="8" w:space="0" w:color="auto"/>
              <w:left w:val="nil"/>
              <w:bottom w:val="single" w:sz="8" w:space="0" w:color="auto"/>
              <w:right w:val="single" w:sz="8" w:space="0" w:color="000000"/>
            </w:tcBorders>
            <w:vAlign w:val="center"/>
            <w:hideMark/>
          </w:tcPr>
          <w:p w14:paraId="2BE26932" w14:textId="72B2248E"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PM_EE24 will provide financial incentives for increasing energy efficiency in agricultural machineries, irrigation systems, livestock farming and greenhouses, and fisheries. Moreover, the further penetration of renewables for the generation of electricity and thermal energy and the production and exploitation of biomass</w:t>
            </w:r>
            <w:r w:rsidR="00865CF5"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respectively</w:t>
            </w:r>
            <w:r w:rsidR="00865CF5"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will be encouraged. The existing measures regarding the lending of the abandoned agricultural land for the further deployment of renewables, the financial support for the on-site consumption of the produced electricity and thermal energy by renewables and the provision of incentives for the connection of the agricultural farms and businesses with the district heating systems will be continued, where feasible, ensuring the improved cost-effectiveness. In the case that the contribution of the financial aid is not sufficient for fulfilling the established targets, additional financial, regulatory and fiscal measures must be planned. The most cost-effective measures must be initiated</w:t>
            </w:r>
            <w:r w:rsidR="00865CF5"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setting as priority the adoption of targeted tax deductions, the mandatory replacement of certain technologies and the provision of tools facilitating the access to the required funds such as credit lines, guarantees and soft loans.</w:t>
            </w:r>
          </w:p>
        </w:tc>
      </w:tr>
      <w:tr w:rsidR="00614438" w:rsidRPr="00AA7A53" w14:paraId="6408E530"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680CD51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1" w:type="dxa"/>
            <w:gridSpan w:val="3"/>
            <w:tcBorders>
              <w:top w:val="single" w:sz="8" w:space="0" w:color="auto"/>
              <w:left w:val="nil"/>
              <w:bottom w:val="single" w:sz="8" w:space="0" w:color="auto"/>
              <w:right w:val="single" w:sz="8" w:space="0" w:color="000000"/>
            </w:tcBorders>
            <w:vAlign w:val="center"/>
            <w:hideMark/>
          </w:tcPr>
          <w:p w14:paraId="4F57529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4F3EB567"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444D5D5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1" w:type="dxa"/>
            <w:gridSpan w:val="3"/>
            <w:tcBorders>
              <w:top w:val="single" w:sz="8" w:space="0" w:color="auto"/>
              <w:left w:val="nil"/>
              <w:bottom w:val="single" w:sz="8" w:space="0" w:color="auto"/>
              <w:right w:val="single" w:sz="8" w:space="0" w:color="000000"/>
            </w:tcBorders>
            <w:vAlign w:val="center"/>
            <w:hideMark/>
          </w:tcPr>
          <w:p w14:paraId="6701E86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088C287B"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33C20A6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Sectors covered/affected</w:t>
            </w:r>
          </w:p>
        </w:tc>
        <w:tc>
          <w:tcPr>
            <w:tcW w:w="6141" w:type="dxa"/>
            <w:gridSpan w:val="3"/>
            <w:tcBorders>
              <w:top w:val="single" w:sz="8" w:space="0" w:color="auto"/>
              <w:left w:val="nil"/>
              <w:bottom w:val="single" w:sz="8" w:space="0" w:color="auto"/>
              <w:right w:val="single" w:sz="8" w:space="0" w:color="000000"/>
            </w:tcBorders>
            <w:vAlign w:val="center"/>
            <w:hideMark/>
          </w:tcPr>
          <w:p w14:paraId="3616176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Agriculture</w:t>
            </w:r>
          </w:p>
        </w:tc>
      </w:tr>
      <w:tr w:rsidR="00614438" w:rsidRPr="00AA7A53" w14:paraId="448F2900"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03F99F4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1A60EB52" w14:textId="77777777" w:rsidR="00614438" w:rsidRPr="00AA7A53" w:rsidRDefault="00614438" w:rsidP="00AA7A53">
            <w:pPr>
              <w:numPr>
                <w:ilvl w:val="0"/>
                <w:numId w:val="10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Agriculture, Forestry and Water Economy</w:t>
            </w:r>
          </w:p>
          <w:p w14:paraId="133071EC" w14:textId="22A8A267" w:rsidR="00614438" w:rsidRPr="00AA7A53" w:rsidRDefault="00614438" w:rsidP="00AA7A53">
            <w:pPr>
              <w:spacing w:after="0"/>
              <w:ind w:left="720"/>
              <w:jc w:val="both"/>
              <w:rPr>
                <w:rFonts w:ascii="Times New Roman" w:hAnsi="Times New Roman" w:cs="Times New Roman"/>
                <w:sz w:val="20"/>
                <w:szCs w:val="20"/>
              </w:rPr>
            </w:pPr>
          </w:p>
        </w:tc>
      </w:tr>
      <w:tr w:rsidR="00614438" w:rsidRPr="00AA7A53" w14:paraId="46021FDA"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4324BCA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7366B386" w14:textId="77777777" w:rsidR="00614438" w:rsidRPr="00AA7A53" w:rsidRDefault="00614438" w:rsidP="00AA7A53">
            <w:pPr>
              <w:numPr>
                <w:ilvl w:val="0"/>
                <w:numId w:val="100"/>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 </w:t>
            </w:r>
          </w:p>
        </w:tc>
      </w:tr>
      <w:tr w:rsidR="00614438" w:rsidRPr="00AA7A53" w14:paraId="1C12F1C3"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5A8CD7E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1" w:type="dxa"/>
            <w:gridSpan w:val="3"/>
            <w:tcBorders>
              <w:top w:val="single" w:sz="8" w:space="0" w:color="auto"/>
              <w:left w:val="nil"/>
              <w:bottom w:val="single" w:sz="8" w:space="0" w:color="auto"/>
              <w:right w:val="single" w:sz="8" w:space="0" w:color="000000"/>
            </w:tcBorders>
            <w:vAlign w:val="center"/>
            <w:hideMark/>
          </w:tcPr>
          <w:p w14:paraId="68443786" w14:textId="77777777" w:rsidR="00614438" w:rsidRPr="00AA7A53" w:rsidRDefault="00614438" w:rsidP="00AA7A53">
            <w:pPr>
              <w:numPr>
                <w:ilvl w:val="0"/>
                <w:numId w:val="100"/>
              </w:numPr>
              <w:spacing w:after="0"/>
              <w:jc w:val="both"/>
              <w:rPr>
                <w:rFonts w:ascii="Times New Roman" w:hAnsi="Times New Roman" w:cs="Times New Roman"/>
                <w:sz w:val="20"/>
                <w:szCs w:val="20"/>
              </w:rPr>
            </w:pPr>
            <w:r w:rsidRPr="00AA7A53">
              <w:rPr>
                <w:rFonts w:ascii="Times New Roman" w:hAnsi="Times New Roman" w:cs="Times New Roman"/>
                <w:sz w:val="20"/>
                <w:szCs w:val="20"/>
              </w:rPr>
              <w:t>Number of affected agricultural units</w:t>
            </w:r>
          </w:p>
        </w:tc>
      </w:tr>
      <w:tr w:rsidR="00614438" w:rsidRPr="00AA7A53" w14:paraId="6BF601DE" w14:textId="77777777" w:rsidTr="00614438">
        <w:trPr>
          <w:gridAfter w:val="1"/>
          <w:wAfter w:w="222" w:type="dxa"/>
          <w:trHeight w:val="56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1DD196C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1" w:type="dxa"/>
            <w:gridSpan w:val="3"/>
            <w:tcBorders>
              <w:top w:val="single" w:sz="8" w:space="0" w:color="auto"/>
              <w:left w:val="nil"/>
              <w:bottom w:val="single" w:sz="8" w:space="0" w:color="auto"/>
              <w:right w:val="single" w:sz="8" w:space="0" w:color="000000"/>
            </w:tcBorders>
            <w:vAlign w:val="center"/>
            <w:hideMark/>
          </w:tcPr>
          <w:p w14:paraId="0C919747" w14:textId="04F9BFE0" w:rsidR="00614438" w:rsidRPr="00AA7A53" w:rsidRDefault="00614438" w:rsidP="00AA7A53">
            <w:pPr>
              <w:numPr>
                <w:ilvl w:val="0"/>
                <w:numId w:val="100"/>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Decarbonisation (the delivered energy savings will decrease the consumed quantities of fossil fuels leading to the respective GHG emission reduction </w:t>
            </w:r>
            <w:r w:rsidR="00865CF5"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utilised RES technologies will increase the RES share in heating and cooling)</w:t>
            </w:r>
          </w:p>
          <w:p w14:paraId="48652980" w14:textId="77777777" w:rsidR="00614438" w:rsidRPr="00AA7A53" w:rsidRDefault="00614438" w:rsidP="00AA7A53">
            <w:pPr>
              <w:numPr>
                <w:ilvl w:val="0"/>
                <w:numId w:val="100"/>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4D1F96FB" w14:textId="77777777" w:rsidTr="00614438">
        <w:trPr>
          <w:gridAfter w:val="1"/>
          <w:wAfter w:w="222" w:type="dxa"/>
          <w:trHeight w:val="458"/>
        </w:trPr>
        <w:tc>
          <w:tcPr>
            <w:tcW w:w="3317" w:type="dxa"/>
            <w:vMerge w:val="restart"/>
            <w:tcBorders>
              <w:top w:val="nil"/>
              <w:left w:val="single" w:sz="8" w:space="0" w:color="auto"/>
              <w:bottom w:val="single" w:sz="8" w:space="0" w:color="000000"/>
              <w:right w:val="single" w:sz="8" w:space="0" w:color="auto"/>
            </w:tcBorders>
            <w:shd w:val="clear" w:color="auto" w:fill="244062"/>
            <w:vAlign w:val="center"/>
            <w:hideMark/>
          </w:tcPr>
          <w:p w14:paraId="57B290D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86B7739" w14:textId="77777777" w:rsidR="00614438" w:rsidRPr="00AA7A53" w:rsidRDefault="00614438" w:rsidP="00AA7A53">
            <w:pPr>
              <w:numPr>
                <w:ilvl w:val="0"/>
                <w:numId w:val="10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4DC9ADDB" w14:textId="77777777" w:rsidR="00614438" w:rsidRPr="00AA7A53" w:rsidRDefault="00614438" w:rsidP="00AA7A53">
            <w:pPr>
              <w:numPr>
                <w:ilvl w:val="0"/>
                <w:numId w:val="10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00E5137D"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4FEFEEA7"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2A363D8"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113A33E2"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3C54265"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6F29403B"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C91FC84"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27911451"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4DE6928F" w14:textId="77777777" w:rsidTr="00614438">
        <w:trPr>
          <w:trHeight w:val="387"/>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4190BD6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1" w:type="dxa"/>
            <w:gridSpan w:val="3"/>
            <w:tcBorders>
              <w:top w:val="single" w:sz="8" w:space="0" w:color="auto"/>
              <w:left w:val="nil"/>
              <w:bottom w:val="single" w:sz="8" w:space="0" w:color="auto"/>
              <w:right w:val="single" w:sz="8" w:space="0" w:color="000000"/>
            </w:tcBorders>
            <w:vAlign w:val="center"/>
            <w:hideMark/>
          </w:tcPr>
          <w:p w14:paraId="308954F9" w14:textId="77777777" w:rsidR="00614438" w:rsidRPr="00AA7A53" w:rsidRDefault="00614438" w:rsidP="00AA7A53">
            <w:pPr>
              <w:numPr>
                <w:ilvl w:val="0"/>
                <w:numId w:val="100"/>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Agricultural Land</w:t>
            </w:r>
          </w:p>
          <w:p w14:paraId="1F8D91C0" w14:textId="03C37D82" w:rsidR="00614438" w:rsidRPr="00AA7A53" w:rsidRDefault="00614438" w:rsidP="00AA7A53">
            <w:pPr>
              <w:numPr>
                <w:ilvl w:val="0"/>
                <w:numId w:val="100"/>
              </w:numPr>
              <w:spacing w:after="0"/>
              <w:jc w:val="both"/>
              <w:rPr>
                <w:rFonts w:ascii="Times New Roman" w:hAnsi="Times New Roman" w:cs="Times New Roman"/>
                <w:sz w:val="20"/>
                <w:szCs w:val="20"/>
              </w:rPr>
            </w:pPr>
            <w:r w:rsidRPr="00AA7A53">
              <w:rPr>
                <w:rFonts w:ascii="Times New Roman" w:hAnsi="Times New Roman" w:cs="Times New Roman"/>
                <w:sz w:val="20"/>
                <w:szCs w:val="20"/>
              </w:rPr>
              <w:t>Rulebook on the Conditions and Procedure for Leasing and Lending State-Owned Agricultural Land</w:t>
            </w:r>
            <w:r w:rsidR="00BA7190" w:rsidRPr="00AA7A53">
              <w:rPr>
                <w:rFonts w:ascii="Times New Roman" w:hAnsi="Times New Roman" w:cs="Times New Roman"/>
                <w:sz w:val="20"/>
                <w:szCs w:val="20"/>
              </w:rPr>
              <w:t xml:space="preserve"> </w:t>
            </w:r>
            <w:r w:rsidR="00BA7190" w:rsidRPr="00AA7A53">
              <w:rPr>
                <w:rFonts w:ascii="Times New Roman" w:hAnsi="Times New Roman" w:cs="Times New Roman"/>
                <w:color w:val="000000"/>
                <w:sz w:val="20"/>
                <w:szCs w:val="20"/>
              </w:rPr>
              <w:t>(”Official Gazette of RS”, no. 16/17, 111/17, 18/19, 45/19, 3/20, 25/20, 133/20, 63/21 and 63/23).</w:t>
            </w:r>
          </w:p>
          <w:p w14:paraId="151D3C8F" w14:textId="77777777" w:rsidR="00614438" w:rsidRPr="00AA7A53" w:rsidRDefault="00614438" w:rsidP="00AA7A53">
            <w:pPr>
              <w:numPr>
                <w:ilvl w:val="0"/>
                <w:numId w:val="100"/>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on the Incentives for Investment in the Processing and Marketing of Agricultural and Food Products in the Sector of Production of Strong Alcoholic Beverages</w:t>
            </w:r>
          </w:p>
          <w:p w14:paraId="1DA8EA35" w14:textId="77777777" w:rsidR="00614438" w:rsidRPr="00AA7A53" w:rsidRDefault="00614438" w:rsidP="00AA7A53">
            <w:pPr>
              <w:numPr>
                <w:ilvl w:val="0"/>
                <w:numId w:val="100"/>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on the Incentives for Investment in Processing and Marketing of Agricultural and Food Products in the Sector of Wine Production</w:t>
            </w:r>
          </w:p>
          <w:p w14:paraId="742DA5D4" w14:textId="77777777" w:rsidR="00614438" w:rsidRPr="00AA7A53" w:rsidRDefault="00614438" w:rsidP="00AA7A53">
            <w:pPr>
              <w:numPr>
                <w:ilvl w:val="0"/>
                <w:numId w:val="100"/>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on the Incentives for Investment in Tangible Property of Agricultural Farms for the Procurement of New Machines and Equipment for Improving Primary Production of Plants</w:t>
            </w:r>
          </w:p>
          <w:p w14:paraId="46927026" w14:textId="77777777" w:rsidR="00BA7190" w:rsidRPr="00AA7A53" w:rsidRDefault="00614438" w:rsidP="00AA7A53">
            <w:pPr>
              <w:numPr>
                <w:ilvl w:val="0"/>
                <w:numId w:val="100"/>
              </w:numPr>
              <w:spacing w:after="0"/>
              <w:jc w:val="both"/>
              <w:rPr>
                <w:rFonts w:ascii="Times New Roman" w:hAnsi="Times New Roman" w:cs="Times New Roman"/>
                <w:sz w:val="20"/>
                <w:szCs w:val="20"/>
              </w:rPr>
            </w:pPr>
            <w:r w:rsidRPr="00AA7A53">
              <w:rPr>
                <w:rFonts w:ascii="Times New Roman" w:hAnsi="Times New Roman" w:cs="Times New Roman"/>
                <w:sz w:val="20"/>
                <w:szCs w:val="20"/>
              </w:rPr>
              <w:t>Rulebook on the Incentives for Investment in Tangible Property of Agricultural Farms for the Procurement of New Machines and Equipment for Improvement of Primary Agricultural Production in Livestock Farming</w:t>
            </w:r>
          </w:p>
          <w:p w14:paraId="1C391B94" w14:textId="77777777" w:rsidR="00614438" w:rsidRPr="00AA7A53" w:rsidRDefault="00614438" w:rsidP="00AA7A53">
            <w:pPr>
              <w:numPr>
                <w:ilvl w:val="0"/>
                <w:numId w:val="100"/>
              </w:numPr>
              <w:spacing w:after="0"/>
              <w:jc w:val="both"/>
              <w:rPr>
                <w:rFonts w:ascii="Times New Roman" w:hAnsi="Times New Roman" w:cs="Times New Roman"/>
                <w:sz w:val="20"/>
                <w:szCs w:val="20"/>
              </w:rPr>
            </w:pPr>
            <w:r w:rsidRPr="00AA7A53">
              <w:rPr>
                <w:rFonts w:ascii="Times New Roman" w:hAnsi="Times New Roman" w:cs="Times New Roman"/>
                <w:sz w:val="20"/>
                <w:szCs w:val="20"/>
              </w:rPr>
              <w:t>Rulebook on the Incentives for Programmes for Income Diversification and Improving the Quality of Life in Rural Areas Through Support to Young Farmers</w:t>
            </w:r>
          </w:p>
          <w:p w14:paraId="163FA729" w14:textId="2377B1CC" w:rsidR="00BA7190" w:rsidRPr="00AA7A53" w:rsidRDefault="00BA7190" w:rsidP="00AA7A53">
            <w:pPr>
              <w:numPr>
                <w:ilvl w:val="0"/>
                <w:numId w:val="100"/>
              </w:numPr>
              <w:spacing w:after="0"/>
              <w:jc w:val="both"/>
              <w:rPr>
                <w:rFonts w:ascii="Times New Roman" w:hAnsi="Times New Roman" w:cs="Times New Roman"/>
                <w:sz w:val="20"/>
                <w:szCs w:val="20"/>
              </w:rPr>
            </w:pPr>
            <w:r w:rsidRPr="00AA7A53">
              <w:rPr>
                <w:rFonts w:ascii="Times New Roman" w:hAnsi="Times New Roman" w:cs="Times New Roman"/>
                <w:sz w:val="20"/>
                <w:szCs w:val="20"/>
              </w:rPr>
              <w:t>IPARD III program of the Republic of Serbia for the period 2021 - 2027</w:t>
            </w:r>
          </w:p>
        </w:tc>
        <w:tc>
          <w:tcPr>
            <w:tcW w:w="222" w:type="dxa"/>
            <w:vAlign w:val="center"/>
            <w:hideMark/>
          </w:tcPr>
          <w:p w14:paraId="22FC8E29"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4B2FA7B"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219165B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1" w:type="dxa"/>
            <w:gridSpan w:val="3"/>
            <w:tcBorders>
              <w:top w:val="single" w:sz="8" w:space="0" w:color="auto"/>
              <w:left w:val="nil"/>
              <w:bottom w:val="single" w:sz="8" w:space="0" w:color="auto"/>
              <w:right w:val="single" w:sz="8" w:space="0" w:color="000000"/>
            </w:tcBorders>
            <w:vAlign w:val="center"/>
            <w:hideMark/>
          </w:tcPr>
          <w:p w14:paraId="61F821A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2.678 B€</w:t>
            </w:r>
          </w:p>
        </w:tc>
        <w:tc>
          <w:tcPr>
            <w:tcW w:w="222" w:type="dxa"/>
            <w:vAlign w:val="center"/>
            <w:hideMark/>
          </w:tcPr>
          <w:p w14:paraId="072FED6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062E686"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714022C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1" w:type="dxa"/>
            <w:gridSpan w:val="3"/>
            <w:tcBorders>
              <w:top w:val="single" w:sz="8" w:space="0" w:color="auto"/>
              <w:left w:val="nil"/>
              <w:bottom w:val="single" w:sz="8" w:space="0" w:color="auto"/>
              <w:right w:val="single" w:sz="8" w:space="0" w:color="000000"/>
            </w:tcBorders>
            <w:vAlign w:val="center"/>
            <w:hideMark/>
          </w:tcPr>
          <w:p w14:paraId="44828A2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5EF9CE0E" w14:textId="77777777" w:rsidR="00614438" w:rsidRPr="00AA7A53" w:rsidRDefault="00614438" w:rsidP="00AA7A53">
            <w:pPr>
              <w:spacing w:after="0"/>
              <w:jc w:val="both"/>
              <w:rPr>
                <w:rFonts w:ascii="Times New Roman" w:hAnsi="Times New Roman" w:cs="Times New Roman"/>
                <w:sz w:val="20"/>
                <w:szCs w:val="20"/>
                <w:lang w:val="en-GB"/>
              </w:rPr>
            </w:pPr>
          </w:p>
        </w:tc>
      </w:tr>
    </w:tbl>
    <w:p w14:paraId="5D326AAF"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300"/>
        <w:gridCol w:w="1050"/>
        <w:gridCol w:w="940"/>
        <w:gridCol w:w="4168"/>
        <w:gridCol w:w="222"/>
      </w:tblGrid>
      <w:tr w:rsidR="00614438" w:rsidRPr="00AA7A53" w14:paraId="3F251E4B" w14:textId="77777777" w:rsidTr="00614438">
        <w:trPr>
          <w:gridAfter w:val="1"/>
          <w:wAfter w:w="222" w:type="dxa"/>
          <w:trHeight w:val="780"/>
        </w:trPr>
        <w:tc>
          <w:tcPr>
            <w:tcW w:w="3321"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7233AAC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432B105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PM_EE25</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661E020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2840205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Advisory services and energy audits for farmers</w:t>
            </w:r>
          </w:p>
        </w:tc>
      </w:tr>
      <w:tr w:rsidR="00614438" w:rsidRPr="00AA7A53" w14:paraId="5DD589D9" w14:textId="77777777" w:rsidTr="00614438">
        <w:trPr>
          <w:gridAfter w:val="1"/>
          <w:wAfter w:w="222" w:type="dxa"/>
          <w:trHeight w:val="565"/>
        </w:trPr>
        <w:tc>
          <w:tcPr>
            <w:tcW w:w="3321" w:type="dxa"/>
            <w:tcBorders>
              <w:top w:val="nil"/>
              <w:left w:val="single" w:sz="8" w:space="0" w:color="auto"/>
              <w:bottom w:val="single" w:sz="8" w:space="0" w:color="auto"/>
              <w:right w:val="nil"/>
            </w:tcBorders>
            <w:shd w:val="clear" w:color="auto" w:fill="244062"/>
            <w:vAlign w:val="center"/>
            <w:hideMark/>
          </w:tcPr>
          <w:p w14:paraId="0E07ECA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37" w:type="dxa"/>
            <w:gridSpan w:val="3"/>
            <w:tcBorders>
              <w:top w:val="single" w:sz="8" w:space="0" w:color="auto"/>
              <w:left w:val="nil"/>
              <w:bottom w:val="single" w:sz="8" w:space="0" w:color="auto"/>
              <w:right w:val="single" w:sz="8" w:space="0" w:color="000000"/>
            </w:tcBorders>
            <w:vAlign w:val="center"/>
            <w:hideMark/>
          </w:tcPr>
          <w:p w14:paraId="610F82FC" w14:textId="17E180D2"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 as amended by Directive (EU) 2018/2002:</w:t>
            </w:r>
          </w:p>
          <w:p w14:paraId="2B20EB18" w14:textId="77777777" w:rsidR="00614438" w:rsidRPr="00AA7A53" w:rsidRDefault="00614438" w:rsidP="00AA7A53">
            <w:pPr>
              <w:numPr>
                <w:ilvl w:val="0"/>
                <w:numId w:val="101"/>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28E7C0A0" w14:textId="77777777" w:rsidR="00614438" w:rsidRPr="00AA7A53" w:rsidRDefault="00614438" w:rsidP="00AA7A53">
            <w:pPr>
              <w:numPr>
                <w:ilvl w:val="0"/>
                <w:numId w:val="101"/>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tc>
      </w:tr>
      <w:tr w:rsidR="00614438" w:rsidRPr="00AA7A53" w14:paraId="5248CC0D" w14:textId="77777777" w:rsidTr="00614438">
        <w:trPr>
          <w:gridAfter w:val="1"/>
          <w:wAfter w:w="222" w:type="dxa"/>
          <w:trHeight w:val="315"/>
        </w:trPr>
        <w:tc>
          <w:tcPr>
            <w:tcW w:w="3321" w:type="dxa"/>
            <w:tcBorders>
              <w:top w:val="nil"/>
              <w:left w:val="single" w:sz="8" w:space="0" w:color="auto"/>
              <w:bottom w:val="single" w:sz="8" w:space="0" w:color="auto"/>
              <w:right w:val="single" w:sz="8" w:space="0" w:color="auto"/>
            </w:tcBorders>
            <w:shd w:val="clear" w:color="auto" w:fill="244062"/>
            <w:vAlign w:val="center"/>
            <w:hideMark/>
          </w:tcPr>
          <w:p w14:paraId="64162DD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37" w:type="dxa"/>
            <w:gridSpan w:val="3"/>
            <w:tcBorders>
              <w:top w:val="single" w:sz="8" w:space="0" w:color="auto"/>
              <w:left w:val="nil"/>
              <w:bottom w:val="single" w:sz="8" w:space="0" w:color="auto"/>
              <w:right w:val="single" w:sz="8" w:space="0" w:color="000000"/>
            </w:tcBorders>
            <w:vAlign w:val="center"/>
            <w:hideMark/>
          </w:tcPr>
          <w:p w14:paraId="41EA3D9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the quantified objective of PM_EE24</w:t>
            </w:r>
          </w:p>
        </w:tc>
      </w:tr>
      <w:tr w:rsidR="00614438" w:rsidRPr="00AA7A53" w14:paraId="2948D684" w14:textId="77777777" w:rsidTr="00614438">
        <w:trPr>
          <w:gridAfter w:val="1"/>
          <w:wAfter w:w="222" w:type="dxa"/>
          <w:trHeight w:val="868"/>
        </w:trPr>
        <w:tc>
          <w:tcPr>
            <w:tcW w:w="3321" w:type="dxa"/>
            <w:tcBorders>
              <w:top w:val="nil"/>
              <w:left w:val="single" w:sz="8" w:space="0" w:color="auto"/>
              <w:bottom w:val="single" w:sz="8" w:space="0" w:color="auto"/>
              <w:right w:val="single" w:sz="8" w:space="0" w:color="auto"/>
            </w:tcBorders>
            <w:shd w:val="clear" w:color="auto" w:fill="244062"/>
            <w:vAlign w:val="center"/>
            <w:hideMark/>
          </w:tcPr>
          <w:p w14:paraId="4DC8E98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37" w:type="dxa"/>
            <w:gridSpan w:val="3"/>
            <w:tcBorders>
              <w:top w:val="single" w:sz="8" w:space="0" w:color="auto"/>
              <w:left w:val="nil"/>
              <w:bottom w:val="single" w:sz="8" w:space="0" w:color="auto"/>
              <w:right w:val="single" w:sz="8" w:space="0" w:color="000000"/>
            </w:tcBorders>
            <w:vAlign w:val="center"/>
            <w:hideMark/>
          </w:tcPr>
          <w:p w14:paraId="2FB40C4E" w14:textId="3FA5A3D5"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PM_EE25 will encourage the provision of advisory services and the </w:t>
            </w:r>
            <w:r w:rsidR="00554D76" w:rsidRPr="00AA7A53">
              <w:rPr>
                <w:rFonts w:ascii="Times New Roman" w:hAnsi="Times New Roman" w:cs="Times New Roman"/>
                <w:sz w:val="20"/>
                <w:szCs w:val="20"/>
                <w:lang w:val="en-GB"/>
              </w:rPr>
              <w:t>implementation</w:t>
            </w:r>
            <w:r w:rsidRPr="00AA7A53">
              <w:rPr>
                <w:rFonts w:ascii="Times New Roman" w:hAnsi="Times New Roman" w:cs="Times New Roman"/>
                <w:sz w:val="20"/>
                <w:szCs w:val="20"/>
                <w:lang w:val="en-GB"/>
              </w:rPr>
              <w:t xml:space="preserve"> of energy audits to the performed agricultural activities in order to improve the existing level of knowledge in the agricultural sector.</w:t>
            </w:r>
          </w:p>
        </w:tc>
      </w:tr>
      <w:tr w:rsidR="00614438" w:rsidRPr="00AA7A53" w14:paraId="3A36681A" w14:textId="77777777" w:rsidTr="00614438">
        <w:trPr>
          <w:gridAfter w:val="1"/>
          <w:wAfter w:w="222" w:type="dxa"/>
          <w:trHeight w:val="315"/>
        </w:trPr>
        <w:tc>
          <w:tcPr>
            <w:tcW w:w="3321" w:type="dxa"/>
            <w:tcBorders>
              <w:top w:val="nil"/>
              <w:left w:val="single" w:sz="8" w:space="0" w:color="auto"/>
              <w:bottom w:val="single" w:sz="8" w:space="0" w:color="auto"/>
              <w:right w:val="single" w:sz="8" w:space="0" w:color="auto"/>
            </w:tcBorders>
            <w:shd w:val="clear" w:color="auto" w:fill="244062"/>
            <w:vAlign w:val="center"/>
            <w:hideMark/>
          </w:tcPr>
          <w:p w14:paraId="6A5A590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37" w:type="dxa"/>
            <w:gridSpan w:val="3"/>
            <w:tcBorders>
              <w:top w:val="single" w:sz="8" w:space="0" w:color="auto"/>
              <w:left w:val="nil"/>
              <w:bottom w:val="single" w:sz="8" w:space="0" w:color="auto"/>
              <w:right w:val="single" w:sz="8" w:space="0" w:color="000000"/>
            </w:tcBorders>
            <w:vAlign w:val="center"/>
            <w:hideMark/>
          </w:tcPr>
          <w:p w14:paraId="27170C0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6466325B" w14:textId="77777777" w:rsidTr="00614438">
        <w:trPr>
          <w:gridAfter w:val="1"/>
          <w:wAfter w:w="222" w:type="dxa"/>
          <w:trHeight w:val="315"/>
        </w:trPr>
        <w:tc>
          <w:tcPr>
            <w:tcW w:w="3321" w:type="dxa"/>
            <w:tcBorders>
              <w:top w:val="nil"/>
              <w:left w:val="single" w:sz="8" w:space="0" w:color="auto"/>
              <w:bottom w:val="single" w:sz="8" w:space="0" w:color="auto"/>
              <w:right w:val="single" w:sz="8" w:space="0" w:color="auto"/>
            </w:tcBorders>
            <w:shd w:val="clear" w:color="auto" w:fill="244062"/>
            <w:vAlign w:val="center"/>
            <w:hideMark/>
          </w:tcPr>
          <w:p w14:paraId="5444805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37" w:type="dxa"/>
            <w:gridSpan w:val="3"/>
            <w:tcBorders>
              <w:top w:val="single" w:sz="8" w:space="0" w:color="auto"/>
              <w:left w:val="nil"/>
              <w:bottom w:val="single" w:sz="8" w:space="0" w:color="auto"/>
              <w:right w:val="single" w:sz="8" w:space="0" w:color="000000"/>
            </w:tcBorders>
            <w:vAlign w:val="center"/>
            <w:hideMark/>
          </w:tcPr>
          <w:p w14:paraId="62FB793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639E8149" w14:textId="77777777" w:rsidTr="00614438">
        <w:trPr>
          <w:gridAfter w:val="1"/>
          <w:wAfter w:w="222" w:type="dxa"/>
          <w:trHeight w:val="315"/>
        </w:trPr>
        <w:tc>
          <w:tcPr>
            <w:tcW w:w="3321" w:type="dxa"/>
            <w:tcBorders>
              <w:top w:val="nil"/>
              <w:left w:val="single" w:sz="8" w:space="0" w:color="auto"/>
              <w:bottom w:val="single" w:sz="8" w:space="0" w:color="auto"/>
              <w:right w:val="single" w:sz="8" w:space="0" w:color="auto"/>
            </w:tcBorders>
            <w:shd w:val="clear" w:color="auto" w:fill="244062"/>
            <w:vAlign w:val="center"/>
            <w:hideMark/>
          </w:tcPr>
          <w:p w14:paraId="3FA6C52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Sectors covered/affected</w:t>
            </w:r>
          </w:p>
        </w:tc>
        <w:tc>
          <w:tcPr>
            <w:tcW w:w="6137" w:type="dxa"/>
            <w:gridSpan w:val="3"/>
            <w:tcBorders>
              <w:top w:val="single" w:sz="8" w:space="0" w:color="auto"/>
              <w:left w:val="nil"/>
              <w:bottom w:val="single" w:sz="8" w:space="0" w:color="auto"/>
              <w:right w:val="single" w:sz="8" w:space="0" w:color="000000"/>
            </w:tcBorders>
            <w:vAlign w:val="center"/>
            <w:hideMark/>
          </w:tcPr>
          <w:p w14:paraId="7BE6E2F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Agriculture</w:t>
            </w:r>
          </w:p>
        </w:tc>
      </w:tr>
      <w:tr w:rsidR="00614438" w:rsidRPr="00AA7A53" w14:paraId="33316007" w14:textId="77777777" w:rsidTr="00614438">
        <w:trPr>
          <w:gridAfter w:val="1"/>
          <w:wAfter w:w="222" w:type="dxa"/>
          <w:trHeight w:val="315"/>
        </w:trPr>
        <w:tc>
          <w:tcPr>
            <w:tcW w:w="3321" w:type="dxa"/>
            <w:tcBorders>
              <w:top w:val="nil"/>
              <w:left w:val="single" w:sz="8" w:space="0" w:color="auto"/>
              <w:bottom w:val="single" w:sz="8" w:space="0" w:color="auto"/>
              <w:right w:val="single" w:sz="8" w:space="0" w:color="auto"/>
            </w:tcBorders>
            <w:shd w:val="clear" w:color="auto" w:fill="244062"/>
            <w:vAlign w:val="center"/>
            <w:hideMark/>
          </w:tcPr>
          <w:p w14:paraId="52D2C01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37" w:type="dxa"/>
            <w:gridSpan w:val="3"/>
            <w:tcBorders>
              <w:top w:val="single" w:sz="8" w:space="0" w:color="auto"/>
              <w:left w:val="nil"/>
              <w:bottom w:val="single" w:sz="8" w:space="0" w:color="auto"/>
              <w:right w:val="single" w:sz="8" w:space="0" w:color="000000"/>
            </w:tcBorders>
            <w:vAlign w:val="center"/>
            <w:hideMark/>
          </w:tcPr>
          <w:p w14:paraId="7A1FDB6A"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Agriculture, Forestry and Water Economy</w:t>
            </w:r>
          </w:p>
        </w:tc>
      </w:tr>
      <w:tr w:rsidR="00614438" w:rsidRPr="00AA7A53" w14:paraId="1BE91E32" w14:textId="77777777" w:rsidTr="00614438">
        <w:trPr>
          <w:gridAfter w:val="1"/>
          <w:wAfter w:w="222" w:type="dxa"/>
          <w:trHeight w:val="315"/>
        </w:trPr>
        <w:tc>
          <w:tcPr>
            <w:tcW w:w="3321" w:type="dxa"/>
            <w:tcBorders>
              <w:top w:val="nil"/>
              <w:left w:val="single" w:sz="8" w:space="0" w:color="auto"/>
              <w:bottom w:val="single" w:sz="8" w:space="0" w:color="auto"/>
              <w:right w:val="nil"/>
            </w:tcBorders>
            <w:shd w:val="clear" w:color="auto" w:fill="244062"/>
            <w:vAlign w:val="center"/>
            <w:hideMark/>
          </w:tcPr>
          <w:p w14:paraId="083DC36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37" w:type="dxa"/>
            <w:gridSpan w:val="3"/>
            <w:tcBorders>
              <w:top w:val="single" w:sz="8" w:space="0" w:color="auto"/>
              <w:left w:val="nil"/>
              <w:bottom w:val="single" w:sz="8" w:space="0" w:color="auto"/>
              <w:right w:val="single" w:sz="8" w:space="0" w:color="000000"/>
            </w:tcBorders>
            <w:vAlign w:val="center"/>
            <w:hideMark/>
          </w:tcPr>
          <w:p w14:paraId="447D7472"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 </w:t>
            </w:r>
          </w:p>
        </w:tc>
      </w:tr>
      <w:tr w:rsidR="00614438" w:rsidRPr="00AA7A53" w14:paraId="44DE2179" w14:textId="77777777" w:rsidTr="00614438">
        <w:trPr>
          <w:gridAfter w:val="1"/>
          <w:wAfter w:w="222" w:type="dxa"/>
          <w:trHeight w:val="315"/>
        </w:trPr>
        <w:tc>
          <w:tcPr>
            <w:tcW w:w="3321" w:type="dxa"/>
            <w:tcBorders>
              <w:top w:val="nil"/>
              <w:left w:val="single" w:sz="8" w:space="0" w:color="auto"/>
              <w:bottom w:val="single" w:sz="8" w:space="0" w:color="auto"/>
              <w:right w:val="nil"/>
            </w:tcBorders>
            <w:shd w:val="clear" w:color="auto" w:fill="244062"/>
            <w:vAlign w:val="center"/>
            <w:hideMark/>
          </w:tcPr>
          <w:p w14:paraId="5938236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37" w:type="dxa"/>
            <w:gridSpan w:val="3"/>
            <w:tcBorders>
              <w:top w:val="single" w:sz="8" w:space="0" w:color="auto"/>
              <w:left w:val="nil"/>
              <w:bottom w:val="single" w:sz="8" w:space="0" w:color="auto"/>
              <w:right w:val="single" w:sz="8" w:space="0" w:color="000000"/>
            </w:tcBorders>
            <w:vAlign w:val="center"/>
            <w:hideMark/>
          </w:tcPr>
          <w:p w14:paraId="59B30BF2"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Number of affected agricultural units</w:t>
            </w:r>
          </w:p>
        </w:tc>
      </w:tr>
      <w:tr w:rsidR="00614438" w:rsidRPr="00AA7A53" w14:paraId="69706F82" w14:textId="77777777" w:rsidTr="00614438">
        <w:trPr>
          <w:gridAfter w:val="1"/>
          <w:wAfter w:w="222" w:type="dxa"/>
          <w:trHeight w:val="325"/>
        </w:trPr>
        <w:tc>
          <w:tcPr>
            <w:tcW w:w="3321" w:type="dxa"/>
            <w:tcBorders>
              <w:top w:val="nil"/>
              <w:left w:val="single" w:sz="8" w:space="0" w:color="auto"/>
              <w:bottom w:val="single" w:sz="8" w:space="0" w:color="auto"/>
              <w:right w:val="single" w:sz="8" w:space="0" w:color="auto"/>
            </w:tcBorders>
            <w:shd w:val="clear" w:color="auto" w:fill="244062"/>
            <w:vAlign w:val="center"/>
            <w:hideMark/>
          </w:tcPr>
          <w:p w14:paraId="18B701A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37" w:type="dxa"/>
            <w:gridSpan w:val="3"/>
            <w:tcBorders>
              <w:top w:val="single" w:sz="8" w:space="0" w:color="auto"/>
              <w:left w:val="nil"/>
              <w:bottom w:val="single" w:sz="8" w:space="0" w:color="auto"/>
              <w:right w:val="single" w:sz="8" w:space="0" w:color="000000"/>
            </w:tcBorders>
            <w:vAlign w:val="center"/>
            <w:hideMark/>
          </w:tcPr>
          <w:p w14:paraId="3FC6AC85" w14:textId="5D00EE56" w:rsidR="00614438" w:rsidRPr="00AA7A53" w:rsidRDefault="00614438" w:rsidP="00AA7A53">
            <w:pPr>
              <w:numPr>
                <w:ilvl w:val="0"/>
                <w:numId w:val="102"/>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Decarbonisation (the delivered energy savings will decrease the consumed quantities of fossil fuels leading to the respective GHG emission reduction </w:t>
            </w:r>
            <w:r w:rsidR="00BA7190"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utilised RES technologies will increase the RES share in heating and cooling)</w:t>
            </w:r>
          </w:p>
          <w:p w14:paraId="43D55025" w14:textId="77777777" w:rsidR="00614438" w:rsidRPr="00AA7A53" w:rsidRDefault="00614438" w:rsidP="00AA7A53">
            <w:pPr>
              <w:numPr>
                <w:ilvl w:val="0"/>
                <w:numId w:val="102"/>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02F33F12" w14:textId="77777777" w:rsidTr="00614438">
        <w:trPr>
          <w:gridAfter w:val="1"/>
          <w:wAfter w:w="222" w:type="dxa"/>
          <w:trHeight w:val="458"/>
        </w:trPr>
        <w:tc>
          <w:tcPr>
            <w:tcW w:w="3321" w:type="dxa"/>
            <w:vMerge w:val="restart"/>
            <w:tcBorders>
              <w:top w:val="nil"/>
              <w:left w:val="single" w:sz="8" w:space="0" w:color="auto"/>
              <w:bottom w:val="single" w:sz="8" w:space="0" w:color="000000"/>
              <w:right w:val="single" w:sz="8" w:space="0" w:color="auto"/>
            </w:tcBorders>
            <w:shd w:val="clear" w:color="auto" w:fill="244062"/>
            <w:vAlign w:val="center"/>
            <w:hideMark/>
          </w:tcPr>
          <w:p w14:paraId="1972C6C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37"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340F0D2" w14:textId="4D0CAD43" w:rsidR="00614438" w:rsidRPr="00AA7A53" w:rsidRDefault="00614438" w:rsidP="00AA7A53">
            <w:pPr>
              <w:numPr>
                <w:ilvl w:val="0"/>
                <w:numId w:val="102"/>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2012/27</w:t>
            </w:r>
            <w:r w:rsidR="00BA7190" w:rsidRPr="00AA7A53">
              <w:rPr>
                <w:rFonts w:ascii="Times New Roman" w:hAnsi="Times New Roman" w:cs="Times New Roman"/>
                <w:sz w:val="20"/>
                <w:szCs w:val="20"/>
              </w:rPr>
              <w:t>/EU</w:t>
            </w:r>
          </w:p>
          <w:p w14:paraId="4D63A665" w14:textId="2EF815ED" w:rsidR="00614438" w:rsidRPr="00AA7A53" w:rsidRDefault="00614438" w:rsidP="00AA7A53">
            <w:pPr>
              <w:numPr>
                <w:ilvl w:val="0"/>
                <w:numId w:val="102"/>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2018/2002</w:t>
            </w:r>
            <w:r w:rsidR="00BA7190" w:rsidRPr="00AA7A53">
              <w:rPr>
                <w:rFonts w:ascii="Times New Roman" w:hAnsi="Times New Roman" w:cs="Times New Roman"/>
                <w:sz w:val="20"/>
                <w:szCs w:val="20"/>
              </w:rPr>
              <w:t>/EU</w:t>
            </w:r>
          </w:p>
        </w:tc>
      </w:tr>
      <w:tr w:rsidR="00614438" w:rsidRPr="00AA7A53" w14:paraId="4E42A092"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48C748DD"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0433063"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4CA4183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4572909"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6D16D4A8"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FE92625"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4E692FAF"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462CC327" w14:textId="77777777" w:rsidTr="00614438">
        <w:trPr>
          <w:trHeight w:val="373"/>
        </w:trPr>
        <w:tc>
          <w:tcPr>
            <w:tcW w:w="3321" w:type="dxa"/>
            <w:tcBorders>
              <w:top w:val="nil"/>
              <w:left w:val="single" w:sz="8" w:space="0" w:color="auto"/>
              <w:bottom w:val="single" w:sz="8" w:space="0" w:color="auto"/>
              <w:right w:val="single" w:sz="8" w:space="0" w:color="auto"/>
            </w:tcBorders>
            <w:shd w:val="clear" w:color="auto" w:fill="244062"/>
            <w:vAlign w:val="center"/>
            <w:hideMark/>
          </w:tcPr>
          <w:p w14:paraId="0ECE1DA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37" w:type="dxa"/>
            <w:gridSpan w:val="3"/>
            <w:tcBorders>
              <w:top w:val="single" w:sz="8" w:space="0" w:color="auto"/>
              <w:left w:val="nil"/>
              <w:bottom w:val="single" w:sz="8" w:space="0" w:color="auto"/>
              <w:right w:val="single" w:sz="8" w:space="0" w:color="000000"/>
            </w:tcBorders>
            <w:vAlign w:val="center"/>
            <w:hideMark/>
          </w:tcPr>
          <w:p w14:paraId="14547247" w14:textId="006C3635" w:rsidR="00614438" w:rsidRPr="00AA7A53" w:rsidRDefault="00614438" w:rsidP="00AA7A53">
            <w:pPr>
              <w:spacing w:after="0"/>
              <w:ind w:left="720"/>
              <w:jc w:val="both"/>
              <w:rPr>
                <w:rFonts w:ascii="Times New Roman" w:hAnsi="Times New Roman" w:cs="Times New Roman"/>
                <w:sz w:val="20"/>
                <w:szCs w:val="20"/>
              </w:rPr>
            </w:pPr>
          </w:p>
        </w:tc>
        <w:tc>
          <w:tcPr>
            <w:tcW w:w="222" w:type="dxa"/>
            <w:vAlign w:val="center"/>
            <w:hideMark/>
          </w:tcPr>
          <w:p w14:paraId="06B0C2C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6D0C803" w14:textId="77777777" w:rsidTr="00614438">
        <w:trPr>
          <w:trHeight w:val="315"/>
        </w:trPr>
        <w:tc>
          <w:tcPr>
            <w:tcW w:w="3321" w:type="dxa"/>
            <w:tcBorders>
              <w:top w:val="nil"/>
              <w:left w:val="single" w:sz="8" w:space="0" w:color="auto"/>
              <w:bottom w:val="single" w:sz="8" w:space="0" w:color="auto"/>
              <w:right w:val="single" w:sz="8" w:space="0" w:color="auto"/>
            </w:tcBorders>
            <w:shd w:val="clear" w:color="auto" w:fill="244062"/>
            <w:vAlign w:val="center"/>
            <w:hideMark/>
          </w:tcPr>
          <w:p w14:paraId="3E4782D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37" w:type="dxa"/>
            <w:gridSpan w:val="3"/>
            <w:tcBorders>
              <w:top w:val="single" w:sz="8" w:space="0" w:color="auto"/>
              <w:left w:val="nil"/>
              <w:bottom w:val="single" w:sz="8" w:space="0" w:color="auto"/>
              <w:right w:val="single" w:sz="8" w:space="0" w:color="000000"/>
            </w:tcBorders>
            <w:vAlign w:val="center"/>
            <w:hideMark/>
          </w:tcPr>
          <w:p w14:paraId="58742E0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Budget incorporated into PM_EE24</w:t>
            </w:r>
          </w:p>
        </w:tc>
        <w:tc>
          <w:tcPr>
            <w:tcW w:w="222" w:type="dxa"/>
            <w:vAlign w:val="center"/>
            <w:hideMark/>
          </w:tcPr>
          <w:p w14:paraId="7C15AE68"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7AF0519" w14:textId="77777777" w:rsidTr="00614438">
        <w:trPr>
          <w:trHeight w:val="315"/>
        </w:trPr>
        <w:tc>
          <w:tcPr>
            <w:tcW w:w="3321" w:type="dxa"/>
            <w:tcBorders>
              <w:top w:val="nil"/>
              <w:left w:val="single" w:sz="8" w:space="0" w:color="auto"/>
              <w:bottom w:val="single" w:sz="8" w:space="0" w:color="auto"/>
              <w:right w:val="single" w:sz="8" w:space="0" w:color="auto"/>
            </w:tcBorders>
            <w:shd w:val="clear" w:color="auto" w:fill="244062"/>
            <w:vAlign w:val="center"/>
            <w:hideMark/>
          </w:tcPr>
          <w:p w14:paraId="7295FB3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37" w:type="dxa"/>
            <w:gridSpan w:val="3"/>
            <w:tcBorders>
              <w:top w:val="single" w:sz="8" w:space="0" w:color="auto"/>
              <w:left w:val="nil"/>
              <w:bottom w:val="single" w:sz="8" w:space="0" w:color="auto"/>
              <w:right w:val="single" w:sz="8" w:space="0" w:color="000000"/>
            </w:tcBorders>
            <w:vAlign w:val="center"/>
            <w:hideMark/>
          </w:tcPr>
          <w:p w14:paraId="7ED3954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161250B6" w14:textId="77777777" w:rsidR="00614438" w:rsidRPr="00AA7A53" w:rsidRDefault="00614438" w:rsidP="00AA7A53">
            <w:pPr>
              <w:spacing w:after="0"/>
              <w:jc w:val="both"/>
              <w:rPr>
                <w:rFonts w:ascii="Times New Roman" w:hAnsi="Times New Roman" w:cs="Times New Roman"/>
                <w:sz w:val="20"/>
                <w:szCs w:val="20"/>
                <w:lang w:val="en-GB"/>
              </w:rPr>
            </w:pPr>
          </w:p>
        </w:tc>
      </w:tr>
    </w:tbl>
    <w:p w14:paraId="706365A6" w14:textId="77777777" w:rsidR="00614438" w:rsidRPr="00AA7A53" w:rsidRDefault="00614438" w:rsidP="00AA7A53">
      <w:pPr>
        <w:spacing w:after="0"/>
        <w:jc w:val="both"/>
        <w:rPr>
          <w:rFonts w:ascii="Times New Roman" w:hAnsi="Times New Roman" w:cs="Times New Roman"/>
          <w:sz w:val="20"/>
          <w:szCs w:val="20"/>
          <w:u w:val="single"/>
          <w:lang w:val="en-GB"/>
        </w:rPr>
      </w:pPr>
    </w:p>
    <w:p w14:paraId="303F7BC7" w14:textId="77777777" w:rsidR="00614438" w:rsidRPr="00BA7190" w:rsidRDefault="00614438" w:rsidP="00BA7190">
      <w:pPr>
        <w:ind w:firstLine="720"/>
        <w:jc w:val="both"/>
        <w:rPr>
          <w:rFonts w:ascii="Times New Roman" w:hAnsi="Times New Roman" w:cs="Times New Roman"/>
          <w:sz w:val="24"/>
          <w:szCs w:val="24"/>
          <w:lang w:val="en-GB"/>
        </w:rPr>
      </w:pPr>
      <w:r w:rsidRPr="00BA7190">
        <w:rPr>
          <w:rFonts w:ascii="Times New Roman" w:hAnsi="Times New Roman" w:cs="Times New Roman"/>
          <w:sz w:val="24"/>
          <w:szCs w:val="24"/>
          <w:lang w:val="en-GB"/>
        </w:rPr>
        <w:t>Cross-cutting</w:t>
      </w:r>
    </w:p>
    <w:p w14:paraId="0E7C5F7B" w14:textId="2BA82BB7" w:rsidR="00614438" w:rsidRPr="00614438" w:rsidRDefault="00614438" w:rsidP="00BA7190">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Various awareness-raising activities will be organised </w:t>
      </w:r>
      <w:r w:rsidR="00BA7190">
        <w:rPr>
          <w:rFonts w:ascii="Times New Roman" w:hAnsi="Times New Roman" w:cs="Times New Roman"/>
          <w:sz w:val="24"/>
          <w:szCs w:val="24"/>
          <w:lang w:val="en-GB"/>
        </w:rPr>
        <w:t xml:space="preserve">with the aim to </w:t>
      </w:r>
      <w:r w:rsidRPr="00614438">
        <w:rPr>
          <w:rFonts w:ascii="Times New Roman" w:hAnsi="Times New Roman" w:cs="Times New Roman"/>
          <w:sz w:val="24"/>
          <w:szCs w:val="24"/>
          <w:lang w:val="en-GB"/>
        </w:rPr>
        <w:t>enhanc</w:t>
      </w:r>
      <w:r w:rsidR="00BA7190">
        <w:rPr>
          <w:rFonts w:ascii="Times New Roman" w:hAnsi="Times New Roman" w:cs="Times New Roman"/>
          <w:sz w:val="24"/>
          <w:szCs w:val="24"/>
          <w:lang w:val="en-GB"/>
        </w:rPr>
        <w:t>e</w:t>
      </w:r>
      <w:r w:rsidRPr="00614438">
        <w:rPr>
          <w:rFonts w:ascii="Times New Roman" w:hAnsi="Times New Roman" w:cs="Times New Roman"/>
          <w:sz w:val="24"/>
          <w:szCs w:val="24"/>
          <w:lang w:val="en-GB"/>
        </w:rPr>
        <w:t xml:space="preserve"> the existing level of knowledge of all end-users. Priority should be given also </w:t>
      </w:r>
      <w:r w:rsidR="00BA7190">
        <w:rPr>
          <w:rFonts w:ascii="Times New Roman" w:hAnsi="Times New Roman" w:cs="Times New Roman"/>
          <w:sz w:val="24"/>
          <w:szCs w:val="24"/>
          <w:lang w:val="en-GB"/>
        </w:rPr>
        <w:t>t</w:t>
      </w:r>
      <w:r w:rsidRPr="00614438">
        <w:rPr>
          <w:rFonts w:ascii="Times New Roman" w:hAnsi="Times New Roman" w:cs="Times New Roman"/>
          <w:sz w:val="24"/>
          <w:szCs w:val="24"/>
          <w:lang w:val="en-GB"/>
        </w:rPr>
        <w:t>o the substitution of inefficient appliances and technologies with new energy efficient ones</w:t>
      </w:r>
      <w:r w:rsidR="00BA7190">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along with the effective application of energy labelling and eco-design </w:t>
      </w:r>
      <w:r w:rsidR="00BA7190">
        <w:rPr>
          <w:rFonts w:ascii="Times New Roman" w:hAnsi="Times New Roman" w:cs="Times New Roman"/>
          <w:sz w:val="24"/>
          <w:szCs w:val="24"/>
          <w:lang w:val="en-GB"/>
        </w:rPr>
        <w:t>d</w:t>
      </w:r>
      <w:r w:rsidRPr="00614438">
        <w:rPr>
          <w:rFonts w:ascii="Times New Roman" w:hAnsi="Times New Roman" w:cs="Times New Roman"/>
          <w:sz w:val="24"/>
          <w:szCs w:val="24"/>
          <w:lang w:val="en-GB"/>
        </w:rPr>
        <w:t>irectives.</w:t>
      </w:r>
    </w:p>
    <w:p w14:paraId="5467B186" w14:textId="672D3E9E" w:rsidR="00614438" w:rsidRPr="00614438" w:rsidRDefault="00614438" w:rsidP="00BA7190">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w:t>
      </w:r>
      <w:r w:rsidR="00554D76">
        <w:rPr>
          <w:rFonts w:ascii="Times New Roman" w:hAnsi="Times New Roman" w:cs="Times New Roman"/>
          <w:sz w:val="24"/>
          <w:szCs w:val="24"/>
          <w:lang w:val="en-GB"/>
        </w:rPr>
        <w:t>implementation</w:t>
      </w:r>
      <w:r w:rsidRPr="00614438">
        <w:rPr>
          <w:rFonts w:ascii="Times New Roman" w:hAnsi="Times New Roman" w:cs="Times New Roman"/>
          <w:sz w:val="24"/>
          <w:szCs w:val="24"/>
          <w:lang w:val="en-GB"/>
        </w:rPr>
        <w:t xml:space="preserve"> of energy audits and the development of energy management systems in all end-use sectors including non-SMEs and households will be fostered. Moreover, the implementation of the derived recommendations both b</w:t>
      </w:r>
      <w:r w:rsidR="00BA7190">
        <w:rPr>
          <w:rFonts w:ascii="Times New Roman" w:hAnsi="Times New Roman" w:cs="Times New Roman"/>
          <w:sz w:val="24"/>
          <w:szCs w:val="24"/>
          <w:lang w:val="en-GB"/>
        </w:rPr>
        <w:t>ased on</w:t>
      </w:r>
      <w:r w:rsidRPr="00614438">
        <w:rPr>
          <w:rFonts w:ascii="Times New Roman" w:hAnsi="Times New Roman" w:cs="Times New Roman"/>
          <w:sz w:val="24"/>
          <w:szCs w:val="24"/>
          <w:lang w:val="en-GB"/>
        </w:rPr>
        <w:t xml:space="preserve"> energy audits and energy management systems will be supported</w:t>
      </w:r>
      <w:r w:rsidR="00BA7190">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either through the provision of financial aid or through the mandatory implementation under the prerequisite that specific preconditions are fulfilled.</w:t>
      </w:r>
    </w:p>
    <w:p w14:paraId="2912323B" w14:textId="4E64ECC6" w:rsidR="00614438" w:rsidRPr="00614438" w:rsidRDefault="00614438" w:rsidP="00BA7190">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smooth and efficient application of green public procurement procedures will be ensured, while the energy efficiency in street lighting </w:t>
      </w:r>
      <w:r w:rsidR="00BA7190">
        <w:rPr>
          <w:rFonts w:ascii="Times New Roman" w:hAnsi="Times New Roman" w:cs="Times New Roman"/>
          <w:sz w:val="24"/>
          <w:szCs w:val="24"/>
          <w:lang w:val="en-GB"/>
        </w:rPr>
        <w:t>by</w:t>
      </w:r>
      <w:r w:rsidRPr="00614438">
        <w:rPr>
          <w:rFonts w:ascii="Times New Roman" w:hAnsi="Times New Roman" w:cs="Times New Roman"/>
          <w:sz w:val="24"/>
          <w:szCs w:val="24"/>
          <w:lang w:val="en-GB"/>
        </w:rPr>
        <w:t xml:space="preserve"> install</w:t>
      </w:r>
      <w:r w:rsidR="00BA7190">
        <w:rPr>
          <w:rFonts w:ascii="Times New Roman" w:hAnsi="Times New Roman" w:cs="Times New Roman"/>
          <w:sz w:val="24"/>
          <w:szCs w:val="24"/>
          <w:lang w:val="en-GB"/>
        </w:rPr>
        <w:t>i</w:t>
      </w:r>
      <w:r w:rsidRPr="00614438">
        <w:rPr>
          <w:rFonts w:ascii="Times New Roman" w:hAnsi="Times New Roman" w:cs="Times New Roman"/>
          <w:sz w:val="24"/>
          <w:szCs w:val="24"/>
          <w:lang w:val="en-GB"/>
        </w:rPr>
        <w:t>n</w:t>
      </w:r>
      <w:r w:rsidR="00BA7190">
        <w:rPr>
          <w:rFonts w:ascii="Times New Roman" w:hAnsi="Times New Roman" w:cs="Times New Roman"/>
          <w:sz w:val="24"/>
          <w:szCs w:val="24"/>
          <w:lang w:val="en-GB"/>
        </w:rPr>
        <w:t>g</w:t>
      </w:r>
      <w:r w:rsidRPr="00614438">
        <w:rPr>
          <w:rFonts w:ascii="Times New Roman" w:hAnsi="Times New Roman" w:cs="Times New Roman"/>
          <w:sz w:val="24"/>
          <w:szCs w:val="24"/>
          <w:lang w:val="en-GB"/>
        </w:rPr>
        <w:t xml:space="preserve"> energy efficient luminaries will continue to be improved through specialised financial support schemes </w:t>
      </w:r>
      <w:r w:rsidR="00BA7190">
        <w:rPr>
          <w:rFonts w:ascii="Times New Roman" w:hAnsi="Times New Roman" w:cs="Times New Roman"/>
          <w:sz w:val="24"/>
          <w:szCs w:val="24"/>
          <w:lang w:val="en-GB"/>
        </w:rPr>
        <w:t>from</w:t>
      </w:r>
      <w:r w:rsidRPr="00614438">
        <w:rPr>
          <w:rFonts w:ascii="Times New Roman" w:hAnsi="Times New Roman" w:cs="Times New Roman"/>
          <w:sz w:val="24"/>
          <w:szCs w:val="24"/>
          <w:lang w:val="en-GB"/>
        </w:rPr>
        <w:t xml:space="preserve"> public funds</w:t>
      </w:r>
      <w:r w:rsidR="00BA7190">
        <w:rPr>
          <w:rFonts w:ascii="Times New Roman" w:hAnsi="Times New Roman" w:cs="Times New Roman"/>
          <w:sz w:val="24"/>
          <w:szCs w:val="24"/>
          <w:lang w:val="en-GB"/>
        </w:rPr>
        <w:t xml:space="preserve">, </w:t>
      </w:r>
      <w:r w:rsidR="00554D76">
        <w:rPr>
          <w:rFonts w:ascii="Times New Roman" w:hAnsi="Times New Roman" w:cs="Times New Roman"/>
          <w:sz w:val="24"/>
          <w:szCs w:val="24"/>
          <w:lang w:val="en-GB"/>
        </w:rPr>
        <w:t xml:space="preserve">in </w:t>
      </w:r>
      <w:r w:rsidR="00554D76" w:rsidRPr="00614438">
        <w:rPr>
          <w:rFonts w:ascii="Times New Roman" w:hAnsi="Times New Roman" w:cs="Times New Roman"/>
          <w:sz w:val="24"/>
          <w:szCs w:val="24"/>
          <w:lang w:val="en-GB"/>
        </w:rPr>
        <w:t>addition</w:t>
      </w:r>
      <w:r w:rsidRPr="00614438">
        <w:rPr>
          <w:rFonts w:ascii="Times New Roman" w:hAnsi="Times New Roman" w:cs="Times New Roman"/>
          <w:sz w:val="24"/>
          <w:szCs w:val="24"/>
          <w:lang w:val="en-GB"/>
        </w:rPr>
        <w:t xml:space="preserve"> to the energy performance contracts.</w:t>
      </w:r>
    </w:p>
    <w:p w14:paraId="3A1DBF06" w14:textId="1BF99DCF" w:rsidR="00614438" w:rsidRPr="00614438" w:rsidRDefault="00614438" w:rsidP="00BA7190">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promotion of energy efficiency in </w:t>
      </w:r>
      <w:r w:rsidR="00BA7190">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water sector will be assisted</w:t>
      </w:r>
      <w:r w:rsidR="00BA7190">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focusing on the examination of the energy-water nexus, the implementation of water management techniques, the installation of water-efficient end-use equipment and the conduction of other energy conservation measures in compliance with the Principle "Energy efficiency first".</w:t>
      </w:r>
    </w:p>
    <w:p w14:paraId="13B0740F" w14:textId="0CF6A58D" w:rsidR="00614438" w:rsidRPr="00614438" w:rsidRDefault="00BA7190" w:rsidP="00554D76">
      <w:pPr>
        <w:ind w:firstLine="720"/>
        <w:jc w:val="both"/>
        <w:rPr>
          <w:rFonts w:ascii="Times New Roman" w:hAnsi="Times New Roman" w:cs="Times New Roman"/>
          <w:sz w:val="24"/>
          <w:szCs w:val="24"/>
          <w:lang w:val="en-GB"/>
        </w:rPr>
      </w:pPr>
      <w:r w:rsidRPr="00554D76">
        <w:rPr>
          <w:rFonts w:ascii="Times New Roman" w:hAnsi="Times New Roman" w:cs="Times New Roman"/>
          <w:sz w:val="24"/>
          <w:szCs w:val="24"/>
          <w:lang w:val="en-GB"/>
        </w:rPr>
        <w:t>The i</w:t>
      </w:r>
      <w:r w:rsidR="00614438" w:rsidRPr="00554D76">
        <w:rPr>
          <w:rFonts w:ascii="Times New Roman" w:hAnsi="Times New Roman" w:cs="Times New Roman"/>
          <w:sz w:val="24"/>
          <w:szCs w:val="24"/>
          <w:lang w:val="en-GB"/>
        </w:rPr>
        <w:t>mprovement of the existing and, when needed, establishment of new qualification, accreditation and certification schemes for all the energy efficiency professionals (providers of energy services, energy advisors</w:t>
      </w:r>
      <w:r w:rsidR="00554D76">
        <w:rPr>
          <w:rFonts w:ascii="Times New Roman" w:hAnsi="Times New Roman" w:cs="Times New Roman"/>
          <w:sz w:val="24"/>
          <w:szCs w:val="24"/>
          <w:lang w:val="en-GB"/>
        </w:rPr>
        <w:t>,</w:t>
      </w:r>
      <w:r w:rsidR="00614438" w:rsidRPr="00554D76">
        <w:rPr>
          <w:rFonts w:ascii="Times New Roman" w:hAnsi="Times New Roman" w:cs="Times New Roman"/>
          <w:sz w:val="24"/>
          <w:szCs w:val="24"/>
          <w:lang w:val="en-GB"/>
        </w:rPr>
        <w:t xml:space="preserve"> energy managers and installers of energy-related building elements) will be carried out</w:t>
      </w:r>
      <w:r w:rsidRPr="00554D76">
        <w:rPr>
          <w:rFonts w:ascii="Times New Roman" w:hAnsi="Times New Roman" w:cs="Times New Roman"/>
          <w:sz w:val="24"/>
          <w:szCs w:val="24"/>
          <w:lang w:val="en-GB"/>
        </w:rPr>
        <w:t>,</w:t>
      </w:r>
      <w:r w:rsidR="00614438" w:rsidRPr="00554D76">
        <w:rPr>
          <w:rFonts w:ascii="Times New Roman" w:hAnsi="Times New Roman" w:cs="Times New Roman"/>
          <w:sz w:val="24"/>
          <w:szCs w:val="24"/>
          <w:lang w:val="en-GB"/>
        </w:rPr>
        <w:t xml:space="preserve"> by </w:t>
      </w:r>
      <w:r w:rsidR="00554D76">
        <w:rPr>
          <w:rFonts w:ascii="Times New Roman" w:hAnsi="Times New Roman" w:cs="Times New Roman"/>
          <w:sz w:val="24"/>
          <w:szCs w:val="24"/>
          <w:lang w:val="en-GB"/>
        </w:rPr>
        <w:t xml:space="preserve">means of </w:t>
      </w:r>
      <w:r w:rsidR="00614438" w:rsidRPr="00554D76">
        <w:rPr>
          <w:rFonts w:ascii="Times New Roman" w:hAnsi="Times New Roman" w:cs="Times New Roman"/>
          <w:sz w:val="24"/>
          <w:szCs w:val="24"/>
          <w:lang w:val="en-GB"/>
        </w:rPr>
        <w:t>specialised training programs, the development of tools and the provision of technical support.</w:t>
      </w:r>
      <w:r w:rsidR="00554D76">
        <w:rPr>
          <w:rFonts w:ascii="Times New Roman" w:hAnsi="Times New Roman" w:cs="Times New Roman"/>
          <w:sz w:val="24"/>
          <w:szCs w:val="24"/>
          <w:lang w:val="en-GB"/>
        </w:rPr>
        <w:t xml:space="preserve"> </w:t>
      </w:r>
      <w:r w:rsidR="00614438" w:rsidRPr="00614438">
        <w:rPr>
          <w:rFonts w:ascii="Times New Roman" w:hAnsi="Times New Roman" w:cs="Times New Roman"/>
          <w:sz w:val="24"/>
          <w:szCs w:val="24"/>
          <w:lang w:val="en-GB"/>
        </w:rPr>
        <w:t xml:space="preserve">Moreover, regulatory measures and financing programs will be initiated for promoting/modernizing high efficient CHP units and district heating/cooling </w:t>
      </w:r>
      <w:r w:rsidR="00554D76">
        <w:rPr>
          <w:rFonts w:ascii="Times New Roman" w:hAnsi="Times New Roman" w:cs="Times New Roman"/>
          <w:sz w:val="24"/>
          <w:szCs w:val="24"/>
          <w:lang w:val="en-GB"/>
        </w:rPr>
        <w:t>systems</w:t>
      </w:r>
      <w:r w:rsidR="00614438" w:rsidRPr="00614438">
        <w:rPr>
          <w:rFonts w:ascii="Times New Roman" w:hAnsi="Times New Roman" w:cs="Times New Roman"/>
          <w:sz w:val="24"/>
          <w:szCs w:val="24"/>
          <w:lang w:val="en-GB"/>
        </w:rPr>
        <w:t>. Finally, the technical and administrative capacity of the involved policy makers will be reinforced in order to facilitate the effective design, implementation, monitoring and evaluation of the energy efficiency measures through specialized trainings, sophisticated tools and materials.</w:t>
      </w:r>
    </w:p>
    <w:p w14:paraId="73611786" w14:textId="35ED4C73" w:rsidR="00614438" w:rsidRPr="00AA7A53" w:rsidRDefault="00614438" w:rsidP="00AA7A53">
      <w:pPr>
        <w:spacing w:after="0"/>
        <w:ind w:firstLine="720"/>
        <w:jc w:val="both"/>
        <w:rPr>
          <w:rFonts w:ascii="Times New Roman" w:hAnsi="Times New Roman" w:cs="Times New Roman"/>
          <w:sz w:val="20"/>
          <w:szCs w:val="20"/>
          <w:u w:val="single"/>
          <w:lang w:val="en-GB"/>
        </w:rPr>
      </w:pPr>
      <w:r w:rsidRPr="00614438">
        <w:rPr>
          <w:rFonts w:ascii="Times New Roman" w:hAnsi="Times New Roman" w:cs="Times New Roman"/>
          <w:sz w:val="24"/>
          <w:szCs w:val="24"/>
          <w:lang w:val="en-GB"/>
        </w:rPr>
        <w:lastRenderedPageBreak/>
        <w:t>Last but not least, the model of smart and carbon neutral cities until 2030 will be promoted through the establishment of a holistic approach</w:t>
      </w:r>
      <w:r w:rsidR="00554D76">
        <w:rPr>
          <w:rFonts w:ascii="Times New Roman" w:hAnsi="Times New Roman" w:cs="Times New Roman"/>
          <w:sz w:val="24"/>
          <w:szCs w:val="24"/>
          <w:lang w:val="en-GB"/>
        </w:rPr>
        <w:t>, by</w:t>
      </w:r>
      <w:r w:rsidRPr="00614438">
        <w:rPr>
          <w:rFonts w:ascii="Times New Roman" w:hAnsi="Times New Roman" w:cs="Times New Roman"/>
          <w:sz w:val="24"/>
          <w:szCs w:val="24"/>
          <w:lang w:val="en-GB"/>
        </w:rPr>
        <w:t xml:space="preserve"> considering the planning and implementation of policy measures in the building, transport and network sectors.</w:t>
      </w:r>
    </w:p>
    <w:tbl>
      <w:tblPr>
        <w:tblW w:w="9680" w:type="dxa"/>
        <w:tblLook w:val="04A0" w:firstRow="1" w:lastRow="0" w:firstColumn="1" w:lastColumn="0" w:noHBand="0" w:noVBand="1"/>
      </w:tblPr>
      <w:tblGrid>
        <w:gridCol w:w="3317"/>
        <w:gridCol w:w="986"/>
        <w:gridCol w:w="943"/>
        <w:gridCol w:w="4212"/>
        <w:gridCol w:w="222"/>
      </w:tblGrid>
      <w:tr w:rsidR="00614438" w:rsidRPr="00AA7A53" w14:paraId="753B5BF6" w14:textId="77777777" w:rsidTr="00614438">
        <w:trPr>
          <w:gridAfter w:val="1"/>
          <w:wAfter w:w="222" w:type="dxa"/>
          <w:trHeight w:val="780"/>
        </w:trPr>
        <w:tc>
          <w:tcPr>
            <w:tcW w:w="331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6ED052B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4902D53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PM_EE9</w:t>
            </w:r>
          </w:p>
        </w:tc>
        <w:tc>
          <w:tcPr>
            <w:tcW w:w="943" w:type="dxa"/>
            <w:tcBorders>
              <w:top w:val="single" w:sz="8" w:space="0" w:color="auto"/>
              <w:left w:val="nil"/>
              <w:bottom w:val="single" w:sz="8" w:space="0" w:color="auto"/>
              <w:right w:val="single" w:sz="8" w:space="0" w:color="auto"/>
            </w:tcBorders>
            <w:shd w:val="clear" w:color="auto" w:fill="244062"/>
            <w:vAlign w:val="center"/>
            <w:hideMark/>
          </w:tcPr>
          <w:p w14:paraId="0CBB17A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2" w:type="dxa"/>
            <w:tcBorders>
              <w:top w:val="single" w:sz="8" w:space="0" w:color="auto"/>
              <w:left w:val="nil"/>
              <w:bottom w:val="single" w:sz="8" w:space="0" w:color="auto"/>
              <w:right w:val="single" w:sz="8" w:space="0" w:color="auto"/>
            </w:tcBorders>
            <w:shd w:val="clear" w:color="auto" w:fill="E7E6E6" w:themeFill="background2"/>
            <w:vAlign w:val="center"/>
            <w:hideMark/>
          </w:tcPr>
          <w:p w14:paraId="0087CFC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energy efficient appliances in households</w:t>
            </w:r>
          </w:p>
        </w:tc>
      </w:tr>
      <w:tr w:rsidR="00614438" w:rsidRPr="00AA7A53" w14:paraId="12F664FD" w14:textId="77777777" w:rsidTr="00614438">
        <w:trPr>
          <w:gridAfter w:val="1"/>
          <w:wAfter w:w="222" w:type="dxa"/>
          <w:trHeight w:val="690"/>
        </w:trPr>
        <w:tc>
          <w:tcPr>
            <w:tcW w:w="3317" w:type="dxa"/>
            <w:tcBorders>
              <w:top w:val="nil"/>
              <w:left w:val="single" w:sz="8" w:space="0" w:color="auto"/>
              <w:bottom w:val="single" w:sz="8" w:space="0" w:color="auto"/>
              <w:right w:val="nil"/>
            </w:tcBorders>
            <w:shd w:val="clear" w:color="auto" w:fill="244062"/>
            <w:vAlign w:val="center"/>
            <w:hideMark/>
          </w:tcPr>
          <w:p w14:paraId="0143D59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41" w:type="dxa"/>
            <w:gridSpan w:val="3"/>
            <w:tcBorders>
              <w:top w:val="single" w:sz="8" w:space="0" w:color="auto"/>
              <w:left w:val="nil"/>
              <w:bottom w:val="single" w:sz="8" w:space="0" w:color="auto"/>
              <w:right w:val="single" w:sz="8" w:space="0" w:color="000000"/>
            </w:tcBorders>
            <w:vAlign w:val="center"/>
            <w:hideMark/>
          </w:tcPr>
          <w:p w14:paraId="226501F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2012/27/EU, as amended by Directive (EU) 2018/2002:</w:t>
            </w:r>
          </w:p>
          <w:p w14:paraId="1808C529" w14:textId="77777777" w:rsidR="00614438" w:rsidRPr="00AA7A53" w:rsidRDefault="00614438" w:rsidP="00AA7A53">
            <w:pPr>
              <w:numPr>
                <w:ilvl w:val="0"/>
                <w:numId w:val="71"/>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23807ADE" w14:textId="77777777" w:rsidR="00614438" w:rsidRPr="00AA7A53" w:rsidRDefault="00614438" w:rsidP="00AA7A53">
            <w:pPr>
              <w:numPr>
                <w:ilvl w:val="0"/>
                <w:numId w:val="71"/>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tc>
      </w:tr>
      <w:tr w:rsidR="00614438" w:rsidRPr="00AA7A53" w14:paraId="15A3FEEB"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118D00F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41" w:type="dxa"/>
            <w:gridSpan w:val="3"/>
            <w:tcBorders>
              <w:top w:val="single" w:sz="8" w:space="0" w:color="auto"/>
              <w:left w:val="nil"/>
              <w:bottom w:val="single" w:sz="8" w:space="0" w:color="auto"/>
              <w:right w:val="single" w:sz="8" w:space="0" w:color="000000"/>
            </w:tcBorders>
            <w:vAlign w:val="center"/>
            <w:hideMark/>
          </w:tcPr>
          <w:p w14:paraId="6969A9C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fulfilling the expected final energy consumption levels in residential sector</w:t>
            </w:r>
          </w:p>
        </w:tc>
      </w:tr>
      <w:tr w:rsidR="00614438" w:rsidRPr="00AA7A53" w14:paraId="386C91B1" w14:textId="77777777" w:rsidTr="00614438">
        <w:trPr>
          <w:gridAfter w:val="1"/>
          <w:wAfter w:w="222" w:type="dxa"/>
          <w:trHeight w:val="1282"/>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4F774CA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1" w:type="dxa"/>
            <w:gridSpan w:val="3"/>
            <w:tcBorders>
              <w:top w:val="single" w:sz="8" w:space="0" w:color="auto"/>
              <w:left w:val="nil"/>
              <w:bottom w:val="single" w:sz="8" w:space="0" w:color="auto"/>
              <w:right w:val="single" w:sz="8" w:space="0" w:color="000000"/>
            </w:tcBorders>
            <w:vAlign w:val="center"/>
            <w:hideMark/>
          </w:tcPr>
          <w:p w14:paraId="2EC43686" w14:textId="69650465"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PM_EE9 will promote the substitution of inefficient appliances and technologies with new energy</w:t>
            </w:r>
            <w:r w:rsidR="008603A7"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efficient ones in the case that the application of the Energy Labelling and Eco-Design Directives is not adequate</w:t>
            </w:r>
            <w:r w:rsidR="008603A7"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through measures, such as the provision of subsidies of the existing inefficient electric appliances with new more efficient. The planned measure will </w:t>
            </w:r>
            <w:r w:rsidR="008603A7" w:rsidRPr="00AA7A53">
              <w:rPr>
                <w:rFonts w:ascii="Times New Roman" w:hAnsi="Times New Roman" w:cs="Times New Roman"/>
                <w:sz w:val="20"/>
                <w:szCs w:val="20"/>
                <w:lang w:val="en-GB"/>
              </w:rPr>
              <w:t xml:space="preserve">also </w:t>
            </w:r>
            <w:r w:rsidRPr="00AA7A53">
              <w:rPr>
                <w:rFonts w:ascii="Times New Roman" w:hAnsi="Times New Roman" w:cs="Times New Roman"/>
                <w:sz w:val="20"/>
                <w:szCs w:val="20"/>
                <w:lang w:val="en-GB"/>
              </w:rPr>
              <w:t>be utilised so as to combat energy poverty.</w:t>
            </w:r>
          </w:p>
        </w:tc>
      </w:tr>
      <w:tr w:rsidR="00614438" w:rsidRPr="00AA7A53" w14:paraId="2F448031"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381DF31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1" w:type="dxa"/>
            <w:gridSpan w:val="3"/>
            <w:tcBorders>
              <w:top w:val="single" w:sz="8" w:space="0" w:color="auto"/>
              <w:left w:val="nil"/>
              <w:bottom w:val="single" w:sz="8" w:space="0" w:color="auto"/>
              <w:right w:val="single" w:sz="8" w:space="0" w:color="000000"/>
            </w:tcBorders>
            <w:vAlign w:val="center"/>
            <w:hideMark/>
          </w:tcPr>
          <w:p w14:paraId="70029CC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789005C7"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71F696D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1" w:type="dxa"/>
            <w:gridSpan w:val="3"/>
            <w:tcBorders>
              <w:top w:val="single" w:sz="8" w:space="0" w:color="auto"/>
              <w:left w:val="nil"/>
              <w:bottom w:val="single" w:sz="8" w:space="0" w:color="auto"/>
              <w:right w:val="single" w:sz="8" w:space="0" w:color="000000"/>
            </w:tcBorders>
            <w:vAlign w:val="center"/>
            <w:hideMark/>
          </w:tcPr>
          <w:p w14:paraId="1C04A08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2BAF0912"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483AAB3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1" w:type="dxa"/>
            <w:gridSpan w:val="3"/>
            <w:tcBorders>
              <w:top w:val="single" w:sz="8" w:space="0" w:color="auto"/>
              <w:left w:val="nil"/>
              <w:bottom w:val="single" w:sz="8" w:space="0" w:color="auto"/>
              <w:right w:val="single" w:sz="8" w:space="0" w:color="000000"/>
            </w:tcBorders>
            <w:vAlign w:val="center"/>
            <w:hideMark/>
          </w:tcPr>
          <w:p w14:paraId="0DC723A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Residential, commercial</w:t>
            </w:r>
          </w:p>
        </w:tc>
      </w:tr>
      <w:tr w:rsidR="00614438" w:rsidRPr="00AA7A53" w14:paraId="596F2FAE"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74FBBDB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78AB29CA" w14:textId="63667805" w:rsidR="00614438" w:rsidRPr="00AA7A53" w:rsidRDefault="00614438" w:rsidP="00AA7A53">
            <w:pPr>
              <w:numPr>
                <w:ilvl w:val="0"/>
                <w:numId w:val="103"/>
              </w:numPr>
              <w:spacing w:after="0"/>
              <w:jc w:val="both"/>
              <w:rPr>
                <w:rFonts w:ascii="Times New Roman" w:hAnsi="Times New Roman" w:cs="Times New Roman"/>
                <w:sz w:val="20"/>
                <w:szCs w:val="20"/>
              </w:rPr>
            </w:pPr>
            <w:r w:rsidRPr="00AA7A53">
              <w:rPr>
                <w:rFonts w:ascii="Times New Roman" w:hAnsi="Times New Roman" w:cs="Times New Roman"/>
                <w:sz w:val="20"/>
                <w:szCs w:val="20"/>
              </w:rPr>
              <w:t>EE Directorate</w:t>
            </w:r>
          </w:p>
        </w:tc>
      </w:tr>
      <w:tr w:rsidR="00614438" w:rsidRPr="00AA7A53" w14:paraId="5ECBF835"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1985057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1F2EBB16" w14:textId="77777777" w:rsidR="00614438" w:rsidRPr="00AA7A53" w:rsidRDefault="00614438" w:rsidP="00AA7A53">
            <w:pPr>
              <w:numPr>
                <w:ilvl w:val="0"/>
                <w:numId w:val="103"/>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5C1F5E4D"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51FDF27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1" w:type="dxa"/>
            <w:gridSpan w:val="3"/>
            <w:tcBorders>
              <w:top w:val="single" w:sz="8" w:space="0" w:color="auto"/>
              <w:left w:val="nil"/>
              <w:bottom w:val="single" w:sz="8" w:space="0" w:color="auto"/>
              <w:right w:val="single" w:sz="8" w:space="0" w:color="000000"/>
            </w:tcBorders>
            <w:vAlign w:val="center"/>
            <w:hideMark/>
          </w:tcPr>
          <w:p w14:paraId="164B26E2" w14:textId="3685A7FF" w:rsidR="00614438" w:rsidRPr="00AA7A53" w:rsidRDefault="00614438" w:rsidP="00AA7A53">
            <w:pPr>
              <w:numPr>
                <w:ilvl w:val="0"/>
                <w:numId w:val="103"/>
              </w:numPr>
              <w:spacing w:after="0"/>
              <w:jc w:val="both"/>
              <w:rPr>
                <w:rFonts w:ascii="Times New Roman" w:hAnsi="Times New Roman" w:cs="Times New Roman"/>
                <w:sz w:val="20"/>
                <w:szCs w:val="20"/>
              </w:rPr>
            </w:pPr>
            <w:r w:rsidRPr="00AA7A53">
              <w:rPr>
                <w:rFonts w:ascii="Times New Roman" w:hAnsi="Times New Roman" w:cs="Times New Roman"/>
                <w:sz w:val="20"/>
                <w:szCs w:val="20"/>
              </w:rPr>
              <w:t>Number of substituted appliances</w:t>
            </w:r>
          </w:p>
        </w:tc>
      </w:tr>
      <w:tr w:rsidR="00614438" w:rsidRPr="00AA7A53" w14:paraId="21379541" w14:textId="77777777" w:rsidTr="00614438">
        <w:trPr>
          <w:gridAfter w:val="1"/>
          <w:wAfter w:w="222" w:type="dxa"/>
          <w:trHeight w:val="387"/>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3A71A4A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1" w:type="dxa"/>
            <w:gridSpan w:val="3"/>
            <w:tcBorders>
              <w:top w:val="single" w:sz="8" w:space="0" w:color="auto"/>
              <w:left w:val="nil"/>
              <w:bottom w:val="single" w:sz="8" w:space="0" w:color="auto"/>
              <w:right w:val="single" w:sz="8" w:space="0" w:color="000000"/>
            </w:tcBorders>
            <w:vAlign w:val="center"/>
            <w:hideMark/>
          </w:tcPr>
          <w:p w14:paraId="34C5D3F0" w14:textId="77777777" w:rsidR="00614438" w:rsidRPr="00AA7A53" w:rsidRDefault="00614438" w:rsidP="00AA7A53">
            <w:pPr>
              <w:numPr>
                <w:ilvl w:val="0"/>
                <w:numId w:val="103"/>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 leading to the respective GHG emission reduction)</w:t>
            </w:r>
          </w:p>
          <w:p w14:paraId="2460660C" w14:textId="77777777" w:rsidR="00614438" w:rsidRPr="00AA7A53" w:rsidRDefault="00614438" w:rsidP="00AA7A53">
            <w:pPr>
              <w:numPr>
                <w:ilvl w:val="0"/>
                <w:numId w:val="103"/>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5EB37DF0" w14:textId="77777777" w:rsidTr="00614438">
        <w:trPr>
          <w:gridAfter w:val="1"/>
          <w:wAfter w:w="222" w:type="dxa"/>
          <w:trHeight w:val="458"/>
        </w:trPr>
        <w:tc>
          <w:tcPr>
            <w:tcW w:w="3317" w:type="dxa"/>
            <w:vMerge w:val="restart"/>
            <w:tcBorders>
              <w:top w:val="nil"/>
              <w:left w:val="single" w:sz="8" w:space="0" w:color="auto"/>
              <w:bottom w:val="single" w:sz="8" w:space="0" w:color="000000"/>
              <w:right w:val="single" w:sz="8" w:space="0" w:color="auto"/>
            </w:tcBorders>
            <w:shd w:val="clear" w:color="auto" w:fill="244062"/>
            <w:vAlign w:val="center"/>
            <w:hideMark/>
          </w:tcPr>
          <w:p w14:paraId="6C65AF9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40EDB13" w14:textId="77777777" w:rsidR="00614438" w:rsidRPr="00AA7A53" w:rsidRDefault="00614438" w:rsidP="00AA7A53">
            <w:pPr>
              <w:numPr>
                <w:ilvl w:val="0"/>
                <w:numId w:val="104"/>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18F734DB" w14:textId="77777777" w:rsidR="00614438" w:rsidRPr="00AA7A53" w:rsidRDefault="00614438" w:rsidP="00AA7A53">
            <w:pPr>
              <w:numPr>
                <w:ilvl w:val="0"/>
                <w:numId w:val="104"/>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56FA65FF"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26F34BDC"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EB2116F"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7053B958"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C777D16"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5F27B962"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1FFC4F6"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1C33DB79"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094ABEB9" w14:textId="77777777" w:rsidTr="00614438">
        <w:trPr>
          <w:trHeight w:val="151"/>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5F067D7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1" w:type="dxa"/>
            <w:gridSpan w:val="3"/>
            <w:tcBorders>
              <w:top w:val="single" w:sz="8" w:space="0" w:color="auto"/>
              <w:left w:val="nil"/>
              <w:bottom w:val="single" w:sz="8" w:space="0" w:color="auto"/>
              <w:right w:val="single" w:sz="8" w:space="0" w:color="000000"/>
            </w:tcBorders>
            <w:vAlign w:val="center"/>
            <w:hideMark/>
          </w:tcPr>
          <w:p w14:paraId="1707710F" w14:textId="77777777" w:rsidR="00614438" w:rsidRPr="00AA7A53" w:rsidRDefault="00614438" w:rsidP="00AA7A53">
            <w:pPr>
              <w:numPr>
                <w:ilvl w:val="0"/>
                <w:numId w:val="75"/>
              </w:numPr>
              <w:spacing w:after="0"/>
              <w:jc w:val="both"/>
              <w:rPr>
                <w:rFonts w:ascii="Times New Roman" w:hAnsi="Times New Roman" w:cs="Times New Roman"/>
                <w:sz w:val="20"/>
                <w:szCs w:val="20"/>
              </w:rPr>
            </w:pPr>
            <w:r w:rsidRPr="00AA7A53">
              <w:rPr>
                <w:rFonts w:ascii="Times New Roman" w:hAnsi="Times New Roman" w:cs="Times New Roman"/>
                <w:sz w:val="20"/>
                <w:szCs w:val="20"/>
              </w:rPr>
              <w:t>4th NEEAP (Draft)</w:t>
            </w:r>
          </w:p>
        </w:tc>
        <w:tc>
          <w:tcPr>
            <w:tcW w:w="222" w:type="dxa"/>
            <w:vAlign w:val="center"/>
            <w:hideMark/>
          </w:tcPr>
          <w:p w14:paraId="1388FC7B"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CD8E9B8"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13836FF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1" w:type="dxa"/>
            <w:gridSpan w:val="3"/>
            <w:tcBorders>
              <w:top w:val="single" w:sz="8" w:space="0" w:color="auto"/>
              <w:left w:val="nil"/>
              <w:bottom w:val="single" w:sz="8" w:space="0" w:color="auto"/>
              <w:right w:val="single" w:sz="8" w:space="0" w:color="000000"/>
            </w:tcBorders>
            <w:vAlign w:val="center"/>
            <w:hideMark/>
          </w:tcPr>
          <w:p w14:paraId="346BF9E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1,494 M€</w:t>
            </w:r>
          </w:p>
        </w:tc>
        <w:tc>
          <w:tcPr>
            <w:tcW w:w="222" w:type="dxa"/>
            <w:vAlign w:val="center"/>
            <w:hideMark/>
          </w:tcPr>
          <w:p w14:paraId="2D5EE737"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4684587"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188B0F4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1" w:type="dxa"/>
            <w:gridSpan w:val="3"/>
            <w:tcBorders>
              <w:top w:val="single" w:sz="8" w:space="0" w:color="auto"/>
              <w:left w:val="nil"/>
              <w:bottom w:val="single" w:sz="8" w:space="0" w:color="auto"/>
              <w:right w:val="single" w:sz="8" w:space="0" w:color="000000"/>
            </w:tcBorders>
            <w:vAlign w:val="center"/>
            <w:hideMark/>
          </w:tcPr>
          <w:p w14:paraId="29D63C6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1AD765C7" w14:textId="77777777" w:rsidR="00614438" w:rsidRPr="00AA7A53" w:rsidRDefault="00614438" w:rsidP="00AA7A53">
            <w:pPr>
              <w:spacing w:after="0"/>
              <w:jc w:val="both"/>
              <w:rPr>
                <w:rFonts w:ascii="Times New Roman" w:hAnsi="Times New Roman" w:cs="Times New Roman"/>
                <w:sz w:val="20"/>
                <w:szCs w:val="20"/>
                <w:lang w:val="en-GB"/>
              </w:rPr>
            </w:pPr>
          </w:p>
        </w:tc>
      </w:tr>
    </w:tbl>
    <w:p w14:paraId="3F403BC3"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51"/>
        <w:gridCol w:w="1170"/>
        <w:gridCol w:w="931"/>
        <w:gridCol w:w="4106"/>
        <w:gridCol w:w="222"/>
      </w:tblGrid>
      <w:tr w:rsidR="00614438" w:rsidRPr="00AA7A53" w14:paraId="3DD14FEA" w14:textId="77777777" w:rsidTr="00614438">
        <w:trPr>
          <w:gridAfter w:val="1"/>
          <w:wAfter w:w="222" w:type="dxa"/>
          <w:trHeight w:val="780"/>
        </w:trPr>
        <w:tc>
          <w:tcPr>
            <w:tcW w:w="3251"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1E417B0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170" w:type="dxa"/>
            <w:tcBorders>
              <w:top w:val="single" w:sz="8" w:space="0" w:color="auto"/>
              <w:left w:val="nil"/>
              <w:bottom w:val="single" w:sz="8" w:space="0" w:color="auto"/>
              <w:right w:val="single" w:sz="8" w:space="0" w:color="auto"/>
            </w:tcBorders>
            <w:shd w:val="clear" w:color="auto" w:fill="E7E6E6" w:themeFill="background2"/>
            <w:vAlign w:val="center"/>
            <w:hideMark/>
          </w:tcPr>
          <w:p w14:paraId="5118ED6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PM_EE28</w:t>
            </w:r>
          </w:p>
        </w:tc>
        <w:tc>
          <w:tcPr>
            <w:tcW w:w="931" w:type="dxa"/>
            <w:tcBorders>
              <w:top w:val="single" w:sz="8" w:space="0" w:color="auto"/>
              <w:left w:val="nil"/>
              <w:bottom w:val="single" w:sz="8" w:space="0" w:color="auto"/>
              <w:right w:val="single" w:sz="8" w:space="0" w:color="auto"/>
            </w:tcBorders>
            <w:shd w:val="clear" w:color="auto" w:fill="244062"/>
            <w:vAlign w:val="center"/>
            <w:hideMark/>
          </w:tcPr>
          <w:p w14:paraId="4458043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06" w:type="dxa"/>
            <w:tcBorders>
              <w:top w:val="single" w:sz="8" w:space="0" w:color="auto"/>
              <w:left w:val="nil"/>
              <w:bottom w:val="single" w:sz="8" w:space="0" w:color="auto"/>
              <w:right w:val="single" w:sz="8" w:space="0" w:color="auto"/>
            </w:tcBorders>
            <w:shd w:val="clear" w:color="auto" w:fill="E7E6E6" w:themeFill="background2"/>
            <w:vAlign w:val="center"/>
            <w:hideMark/>
          </w:tcPr>
          <w:p w14:paraId="7FA6D1F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Mandatory conduction of energy audits and development of energy management systems</w:t>
            </w:r>
          </w:p>
        </w:tc>
      </w:tr>
      <w:tr w:rsidR="00614438" w:rsidRPr="00AA7A53" w14:paraId="44DC398C" w14:textId="77777777" w:rsidTr="00614438">
        <w:trPr>
          <w:gridAfter w:val="1"/>
          <w:wAfter w:w="222" w:type="dxa"/>
          <w:trHeight w:val="625"/>
        </w:trPr>
        <w:tc>
          <w:tcPr>
            <w:tcW w:w="3251" w:type="dxa"/>
            <w:tcBorders>
              <w:top w:val="nil"/>
              <w:left w:val="single" w:sz="8" w:space="0" w:color="auto"/>
              <w:bottom w:val="single" w:sz="8" w:space="0" w:color="auto"/>
              <w:right w:val="nil"/>
            </w:tcBorders>
            <w:shd w:val="clear" w:color="auto" w:fill="244062"/>
            <w:vAlign w:val="center"/>
            <w:hideMark/>
          </w:tcPr>
          <w:p w14:paraId="21F3889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07" w:type="dxa"/>
            <w:gridSpan w:val="3"/>
            <w:tcBorders>
              <w:top w:val="single" w:sz="8" w:space="0" w:color="auto"/>
              <w:left w:val="nil"/>
              <w:bottom w:val="single" w:sz="8" w:space="0" w:color="auto"/>
              <w:right w:val="single" w:sz="8" w:space="0" w:color="000000"/>
            </w:tcBorders>
            <w:vAlign w:val="center"/>
            <w:hideMark/>
          </w:tcPr>
          <w:p w14:paraId="16CB043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Implementation of the following articles of the Directive (EU) 2012/27/EU, as amended by Directive (EU) 2018/2002:</w:t>
            </w:r>
          </w:p>
          <w:p w14:paraId="056E384F" w14:textId="77777777" w:rsidR="00614438" w:rsidRPr="00AA7A53" w:rsidRDefault="00614438" w:rsidP="00AA7A53">
            <w:pPr>
              <w:numPr>
                <w:ilvl w:val="0"/>
                <w:numId w:val="105"/>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7072DF40" w14:textId="77777777" w:rsidR="00614438" w:rsidRPr="00AA7A53" w:rsidRDefault="00614438" w:rsidP="00AA7A53">
            <w:pPr>
              <w:numPr>
                <w:ilvl w:val="0"/>
                <w:numId w:val="105"/>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p w14:paraId="01EB8F11" w14:textId="77777777" w:rsidR="00614438" w:rsidRPr="00AA7A53" w:rsidRDefault="00614438" w:rsidP="00AA7A53">
            <w:pPr>
              <w:numPr>
                <w:ilvl w:val="0"/>
                <w:numId w:val="105"/>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8</w:t>
            </w:r>
          </w:p>
        </w:tc>
      </w:tr>
      <w:tr w:rsidR="00614438" w:rsidRPr="00AA7A53" w14:paraId="7C90FBCF" w14:textId="77777777" w:rsidTr="00614438">
        <w:trPr>
          <w:gridAfter w:val="1"/>
          <w:wAfter w:w="222" w:type="dxa"/>
          <w:trHeight w:val="315"/>
        </w:trPr>
        <w:tc>
          <w:tcPr>
            <w:tcW w:w="3251" w:type="dxa"/>
            <w:tcBorders>
              <w:top w:val="nil"/>
              <w:left w:val="single" w:sz="8" w:space="0" w:color="auto"/>
              <w:bottom w:val="single" w:sz="8" w:space="0" w:color="auto"/>
              <w:right w:val="single" w:sz="8" w:space="0" w:color="auto"/>
            </w:tcBorders>
            <w:shd w:val="clear" w:color="auto" w:fill="244062"/>
            <w:vAlign w:val="center"/>
            <w:hideMark/>
          </w:tcPr>
          <w:p w14:paraId="4F98767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07" w:type="dxa"/>
            <w:gridSpan w:val="3"/>
            <w:tcBorders>
              <w:top w:val="single" w:sz="8" w:space="0" w:color="auto"/>
              <w:left w:val="nil"/>
              <w:bottom w:val="single" w:sz="8" w:space="0" w:color="auto"/>
              <w:right w:val="single" w:sz="8" w:space="0" w:color="000000"/>
            </w:tcBorders>
            <w:vAlign w:val="center"/>
            <w:hideMark/>
          </w:tcPr>
          <w:p w14:paraId="2704C1F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fulfilling the expected final energy consumption levels</w:t>
            </w:r>
          </w:p>
        </w:tc>
      </w:tr>
      <w:tr w:rsidR="00614438" w:rsidRPr="00AA7A53" w14:paraId="619BBEC9" w14:textId="77777777" w:rsidTr="00614438">
        <w:trPr>
          <w:gridAfter w:val="1"/>
          <w:wAfter w:w="222" w:type="dxa"/>
          <w:trHeight w:val="559"/>
        </w:trPr>
        <w:tc>
          <w:tcPr>
            <w:tcW w:w="3251" w:type="dxa"/>
            <w:tcBorders>
              <w:top w:val="nil"/>
              <w:left w:val="single" w:sz="8" w:space="0" w:color="auto"/>
              <w:bottom w:val="single" w:sz="8" w:space="0" w:color="auto"/>
              <w:right w:val="single" w:sz="8" w:space="0" w:color="auto"/>
            </w:tcBorders>
            <w:shd w:val="clear" w:color="auto" w:fill="244062"/>
            <w:vAlign w:val="center"/>
            <w:hideMark/>
          </w:tcPr>
          <w:p w14:paraId="61193C6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07" w:type="dxa"/>
            <w:gridSpan w:val="3"/>
            <w:tcBorders>
              <w:top w:val="single" w:sz="8" w:space="0" w:color="auto"/>
              <w:left w:val="nil"/>
              <w:bottom w:val="single" w:sz="8" w:space="0" w:color="auto"/>
              <w:right w:val="single" w:sz="8" w:space="0" w:color="000000"/>
            </w:tcBorders>
            <w:vAlign w:val="center"/>
            <w:hideMark/>
          </w:tcPr>
          <w:p w14:paraId="202FB767" w14:textId="339E8B9C"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PM_EE28 will foresee the continuation of the mandatory development of energy management systems</w:t>
            </w:r>
            <w:r w:rsidR="008603A7" w:rsidRPr="00AA7A53">
              <w:rPr>
                <w:rFonts w:ascii="Times New Roman" w:hAnsi="Times New Roman" w:cs="Times New Roman"/>
                <w:sz w:val="20"/>
                <w:szCs w:val="20"/>
                <w:lang w:val="en-GB"/>
              </w:rPr>
              <w:t xml:space="preserve"> (EMS)</w:t>
            </w:r>
            <w:r w:rsidRPr="00AA7A53">
              <w:rPr>
                <w:rFonts w:ascii="Times New Roman" w:hAnsi="Times New Roman" w:cs="Times New Roman"/>
                <w:sz w:val="20"/>
                <w:szCs w:val="20"/>
                <w:lang w:val="en-GB"/>
              </w:rPr>
              <w:t xml:space="preserve"> and the </w:t>
            </w:r>
            <w:r w:rsidR="008603A7" w:rsidRPr="00AA7A53">
              <w:rPr>
                <w:rFonts w:ascii="Times New Roman" w:hAnsi="Times New Roman" w:cs="Times New Roman"/>
                <w:sz w:val="20"/>
                <w:szCs w:val="20"/>
                <w:lang w:val="en-GB"/>
              </w:rPr>
              <w:t>carrying out</w:t>
            </w:r>
            <w:r w:rsidRPr="00AA7A53">
              <w:rPr>
                <w:rFonts w:ascii="Times New Roman" w:hAnsi="Times New Roman" w:cs="Times New Roman"/>
                <w:sz w:val="20"/>
                <w:szCs w:val="20"/>
                <w:lang w:val="en-GB"/>
              </w:rPr>
              <w:t xml:space="preserve"> of energy audits to the obligated parties for Energy Management System (e.g. big energy consumers from industrial and commercial sector, as well as public sector). The potential expansion of the measure to additional designated parties will </w:t>
            </w:r>
            <w:r w:rsidRPr="00AA7A53">
              <w:rPr>
                <w:rFonts w:ascii="Times New Roman" w:hAnsi="Times New Roman" w:cs="Times New Roman"/>
                <w:sz w:val="20"/>
                <w:szCs w:val="20"/>
                <w:lang w:val="en-GB"/>
              </w:rPr>
              <w:lastRenderedPageBreak/>
              <w:t>be scrutinized</w:t>
            </w:r>
            <w:r w:rsidR="008603A7"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including the application of Directive (EU) 2012/27 requirements in regards to the energy audits implementation. The aim of the measure is the identification of the most cost-effective energy efficiency interventions, while their financing will be aligned with the planned support scheme. In the following period, obligated </w:t>
            </w:r>
            <w:r w:rsidR="008603A7" w:rsidRPr="00AA7A53">
              <w:rPr>
                <w:rFonts w:ascii="Times New Roman" w:hAnsi="Times New Roman" w:cs="Times New Roman"/>
                <w:sz w:val="20"/>
                <w:szCs w:val="20"/>
                <w:lang w:val="en-GB"/>
              </w:rPr>
              <w:t xml:space="preserve">EMS </w:t>
            </w:r>
            <w:r w:rsidRPr="00AA7A53">
              <w:rPr>
                <w:rFonts w:ascii="Times New Roman" w:hAnsi="Times New Roman" w:cs="Times New Roman"/>
                <w:sz w:val="20"/>
                <w:szCs w:val="20"/>
                <w:lang w:val="en-GB"/>
              </w:rPr>
              <w:t xml:space="preserve">parties </w:t>
            </w:r>
            <w:r w:rsidR="008603A7" w:rsidRPr="00AA7A53">
              <w:rPr>
                <w:rFonts w:ascii="Times New Roman" w:hAnsi="Times New Roman" w:cs="Times New Roman"/>
                <w:sz w:val="20"/>
                <w:szCs w:val="20"/>
                <w:lang w:val="en-GB"/>
              </w:rPr>
              <w:t>w</w:t>
            </w:r>
            <w:r w:rsidRPr="00AA7A53">
              <w:rPr>
                <w:rFonts w:ascii="Times New Roman" w:hAnsi="Times New Roman" w:cs="Times New Roman"/>
                <w:sz w:val="20"/>
                <w:szCs w:val="20"/>
                <w:lang w:val="en-GB"/>
              </w:rPr>
              <w:t xml:space="preserve">ill </w:t>
            </w:r>
            <w:r w:rsidR="008603A7" w:rsidRPr="00AA7A53">
              <w:rPr>
                <w:rFonts w:ascii="Times New Roman" w:hAnsi="Times New Roman" w:cs="Times New Roman"/>
                <w:sz w:val="20"/>
                <w:szCs w:val="20"/>
                <w:lang w:val="en-GB"/>
              </w:rPr>
              <w:t>b</w:t>
            </w:r>
            <w:r w:rsidRPr="00AA7A53">
              <w:rPr>
                <w:rFonts w:ascii="Times New Roman" w:hAnsi="Times New Roman" w:cs="Times New Roman"/>
                <w:sz w:val="20"/>
                <w:szCs w:val="20"/>
                <w:lang w:val="en-GB"/>
              </w:rPr>
              <w:t xml:space="preserve">e </w:t>
            </w:r>
            <w:r w:rsidR="008603A7" w:rsidRPr="00AA7A53">
              <w:rPr>
                <w:rFonts w:ascii="Times New Roman" w:hAnsi="Times New Roman" w:cs="Times New Roman"/>
                <w:sz w:val="20"/>
                <w:szCs w:val="20"/>
                <w:lang w:val="en-GB"/>
              </w:rPr>
              <w:t xml:space="preserve">obliged </w:t>
            </w:r>
            <w:r w:rsidRPr="00AA7A53">
              <w:rPr>
                <w:rFonts w:ascii="Times New Roman" w:hAnsi="Times New Roman" w:cs="Times New Roman"/>
                <w:sz w:val="20"/>
                <w:szCs w:val="20"/>
                <w:lang w:val="en-GB"/>
              </w:rPr>
              <w:t xml:space="preserve">to appoint the required number of energy managers and plan/implement measures to reduce energy consumption in accordance with the requirements set by the Government, as well as to report to the Ministry on the implemented measures. If necessary, in the coming period the regulatory framework for the implementation of the Energy Management System will be improved. In order to monitor the </w:t>
            </w:r>
            <w:r w:rsidR="008603A7" w:rsidRPr="00AA7A53">
              <w:rPr>
                <w:rFonts w:ascii="Times New Roman" w:hAnsi="Times New Roman" w:cs="Times New Roman"/>
                <w:sz w:val="20"/>
                <w:szCs w:val="20"/>
                <w:lang w:val="en-GB"/>
              </w:rPr>
              <w:t xml:space="preserve">implementation of </w:t>
            </w:r>
            <w:r w:rsidRPr="00AA7A53">
              <w:rPr>
                <w:rFonts w:ascii="Times New Roman" w:hAnsi="Times New Roman" w:cs="Times New Roman"/>
                <w:sz w:val="20"/>
                <w:szCs w:val="20"/>
                <w:lang w:val="en-GB"/>
              </w:rPr>
              <w:t>measures, the Ministry of Mining and Energy will ensure the operation of the necessary information systems. Finally, the appointment of energy managers will be mandatory for the public and municipal buildings</w:t>
            </w:r>
            <w:r w:rsidR="008603A7" w:rsidRPr="00AA7A53">
              <w:rPr>
                <w:rFonts w:ascii="Times New Roman" w:hAnsi="Times New Roman" w:cs="Times New Roman"/>
                <w:sz w:val="20"/>
                <w:szCs w:val="20"/>
                <w:lang w:val="en-GB"/>
              </w:rPr>
              <w:t>, which will,</w:t>
            </w:r>
            <w:r w:rsidRPr="00AA7A53">
              <w:rPr>
                <w:rFonts w:ascii="Times New Roman" w:hAnsi="Times New Roman" w:cs="Times New Roman"/>
                <w:sz w:val="20"/>
                <w:szCs w:val="20"/>
                <w:lang w:val="en-GB"/>
              </w:rPr>
              <w:t xml:space="preserve"> among other duties</w:t>
            </w:r>
            <w:r w:rsidR="008603A7" w:rsidRPr="00AA7A53">
              <w:rPr>
                <w:rFonts w:ascii="Times New Roman" w:hAnsi="Times New Roman" w:cs="Times New Roman"/>
                <w:sz w:val="20"/>
                <w:szCs w:val="20"/>
                <w:lang w:val="en-GB"/>
              </w:rPr>
              <w:t xml:space="preserve">, </w:t>
            </w:r>
            <w:r w:rsidRPr="00AA7A53">
              <w:rPr>
                <w:rFonts w:ascii="Times New Roman" w:hAnsi="Times New Roman" w:cs="Times New Roman"/>
                <w:sz w:val="20"/>
                <w:szCs w:val="20"/>
                <w:lang w:val="en-GB"/>
              </w:rPr>
              <w:t>monitor final energy consumption, the identification of the most-cost effective energy efficiency interventions, the surveillance of the implemented works for the energy renovation of the buildings and the development of energy management systems.</w:t>
            </w:r>
          </w:p>
        </w:tc>
      </w:tr>
      <w:tr w:rsidR="00614438" w:rsidRPr="00AA7A53" w14:paraId="592EC216" w14:textId="77777777" w:rsidTr="00614438">
        <w:trPr>
          <w:gridAfter w:val="1"/>
          <w:wAfter w:w="222" w:type="dxa"/>
          <w:trHeight w:val="315"/>
        </w:trPr>
        <w:tc>
          <w:tcPr>
            <w:tcW w:w="3251" w:type="dxa"/>
            <w:tcBorders>
              <w:top w:val="nil"/>
              <w:left w:val="single" w:sz="8" w:space="0" w:color="auto"/>
              <w:bottom w:val="single" w:sz="8" w:space="0" w:color="auto"/>
              <w:right w:val="single" w:sz="8" w:space="0" w:color="auto"/>
            </w:tcBorders>
            <w:shd w:val="clear" w:color="auto" w:fill="244062"/>
            <w:vAlign w:val="center"/>
            <w:hideMark/>
          </w:tcPr>
          <w:p w14:paraId="2EF3131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Implementation Timeframe</w:t>
            </w:r>
          </w:p>
        </w:tc>
        <w:tc>
          <w:tcPr>
            <w:tcW w:w="6207" w:type="dxa"/>
            <w:gridSpan w:val="3"/>
            <w:tcBorders>
              <w:top w:val="single" w:sz="8" w:space="0" w:color="auto"/>
              <w:left w:val="nil"/>
              <w:bottom w:val="single" w:sz="8" w:space="0" w:color="auto"/>
              <w:right w:val="single" w:sz="8" w:space="0" w:color="000000"/>
            </w:tcBorders>
            <w:vAlign w:val="center"/>
            <w:hideMark/>
          </w:tcPr>
          <w:p w14:paraId="3E302CA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38DE077E" w14:textId="77777777" w:rsidTr="00614438">
        <w:trPr>
          <w:gridAfter w:val="1"/>
          <w:wAfter w:w="222" w:type="dxa"/>
          <w:trHeight w:val="315"/>
        </w:trPr>
        <w:tc>
          <w:tcPr>
            <w:tcW w:w="3251" w:type="dxa"/>
            <w:tcBorders>
              <w:top w:val="nil"/>
              <w:left w:val="single" w:sz="8" w:space="0" w:color="auto"/>
              <w:bottom w:val="single" w:sz="8" w:space="0" w:color="auto"/>
              <w:right w:val="single" w:sz="8" w:space="0" w:color="auto"/>
            </w:tcBorders>
            <w:shd w:val="clear" w:color="auto" w:fill="244062"/>
            <w:vAlign w:val="center"/>
            <w:hideMark/>
          </w:tcPr>
          <w:p w14:paraId="71D8ACA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07" w:type="dxa"/>
            <w:gridSpan w:val="3"/>
            <w:tcBorders>
              <w:top w:val="single" w:sz="8" w:space="0" w:color="auto"/>
              <w:left w:val="nil"/>
              <w:bottom w:val="single" w:sz="8" w:space="0" w:color="auto"/>
              <w:right w:val="single" w:sz="8" w:space="0" w:color="000000"/>
            </w:tcBorders>
            <w:vAlign w:val="center"/>
            <w:hideMark/>
          </w:tcPr>
          <w:p w14:paraId="206409F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 and Investment</w:t>
            </w:r>
          </w:p>
        </w:tc>
      </w:tr>
      <w:tr w:rsidR="00614438" w:rsidRPr="00AA7A53" w14:paraId="6FA95A66" w14:textId="77777777" w:rsidTr="00614438">
        <w:trPr>
          <w:gridAfter w:val="1"/>
          <w:wAfter w:w="222" w:type="dxa"/>
          <w:trHeight w:val="315"/>
        </w:trPr>
        <w:tc>
          <w:tcPr>
            <w:tcW w:w="3251" w:type="dxa"/>
            <w:tcBorders>
              <w:top w:val="nil"/>
              <w:left w:val="single" w:sz="8" w:space="0" w:color="auto"/>
              <w:bottom w:val="single" w:sz="8" w:space="0" w:color="auto"/>
              <w:right w:val="single" w:sz="8" w:space="0" w:color="auto"/>
            </w:tcBorders>
            <w:shd w:val="clear" w:color="auto" w:fill="244062"/>
            <w:vAlign w:val="center"/>
            <w:hideMark/>
          </w:tcPr>
          <w:p w14:paraId="38D2354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07" w:type="dxa"/>
            <w:gridSpan w:val="3"/>
            <w:tcBorders>
              <w:top w:val="single" w:sz="8" w:space="0" w:color="auto"/>
              <w:left w:val="nil"/>
              <w:bottom w:val="single" w:sz="8" w:space="0" w:color="auto"/>
              <w:right w:val="single" w:sz="8" w:space="0" w:color="000000"/>
            </w:tcBorders>
            <w:vAlign w:val="center"/>
            <w:hideMark/>
          </w:tcPr>
          <w:p w14:paraId="7353C49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Public, commercial, industrial</w:t>
            </w:r>
          </w:p>
        </w:tc>
      </w:tr>
      <w:tr w:rsidR="00614438" w:rsidRPr="00AA7A53" w14:paraId="47E1F49E" w14:textId="77777777" w:rsidTr="00614438">
        <w:trPr>
          <w:gridAfter w:val="1"/>
          <w:wAfter w:w="222" w:type="dxa"/>
          <w:trHeight w:val="315"/>
        </w:trPr>
        <w:tc>
          <w:tcPr>
            <w:tcW w:w="3251" w:type="dxa"/>
            <w:tcBorders>
              <w:top w:val="nil"/>
              <w:left w:val="single" w:sz="8" w:space="0" w:color="auto"/>
              <w:bottom w:val="single" w:sz="8" w:space="0" w:color="auto"/>
              <w:right w:val="single" w:sz="8" w:space="0" w:color="auto"/>
            </w:tcBorders>
            <w:shd w:val="clear" w:color="auto" w:fill="244062"/>
            <w:vAlign w:val="center"/>
            <w:hideMark/>
          </w:tcPr>
          <w:p w14:paraId="4EFDE5F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07" w:type="dxa"/>
            <w:gridSpan w:val="3"/>
            <w:tcBorders>
              <w:top w:val="single" w:sz="8" w:space="0" w:color="auto"/>
              <w:left w:val="nil"/>
              <w:bottom w:val="single" w:sz="8" w:space="0" w:color="auto"/>
              <w:right w:val="single" w:sz="8" w:space="0" w:color="000000"/>
            </w:tcBorders>
            <w:vAlign w:val="center"/>
            <w:hideMark/>
          </w:tcPr>
          <w:p w14:paraId="2ACA8A09" w14:textId="77777777" w:rsidR="008603A7" w:rsidRPr="00AA7A53" w:rsidRDefault="00614438" w:rsidP="00AA7A53">
            <w:pPr>
              <w:numPr>
                <w:ilvl w:val="0"/>
                <w:numId w:val="10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7D6C8973" w14:textId="2001D860" w:rsidR="00614438" w:rsidRPr="00AA7A53" w:rsidRDefault="00614438" w:rsidP="00AA7A53">
            <w:pPr>
              <w:numPr>
                <w:ilvl w:val="0"/>
                <w:numId w:val="106"/>
              </w:numPr>
              <w:spacing w:after="0"/>
              <w:jc w:val="both"/>
              <w:rPr>
                <w:rFonts w:ascii="Times New Roman" w:hAnsi="Times New Roman" w:cs="Times New Roman"/>
                <w:sz w:val="20"/>
                <w:szCs w:val="20"/>
              </w:rPr>
            </w:pPr>
            <w:r w:rsidRPr="00AA7A53">
              <w:rPr>
                <w:rFonts w:ascii="Times New Roman" w:hAnsi="Times New Roman" w:cs="Times New Roman"/>
                <w:sz w:val="20"/>
                <w:szCs w:val="20"/>
                <w:lang w:val="sr-Latn-CS"/>
              </w:rPr>
              <w:t>EE Directorate</w:t>
            </w:r>
          </w:p>
        </w:tc>
      </w:tr>
      <w:tr w:rsidR="00614438" w:rsidRPr="00AA7A53" w14:paraId="1D997AD4" w14:textId="77777777" w:rsidTr="00614438">
        <w:trPr>
          <w:gridAfter w:val="1"/>
          <w:wAfter w:w="222" w:type="dxa"/>
          <w:trHeight w:val="315"/>
        </w:trPr>
        <w:tc>
          <w:tcPr>
            <w:tcW w:w="3251" w:type="dxa"/>
            <w:tcBorders>
              <w:top w:val="nil"/>
              <w:left w:val="single" w:sz="8" w:space="0" w:color="auto"/>
              <w:bottom w:val="single" w:sz="8" w:space="0" w:color="auto"/>
              <w:right w:val="nil"/>
            </w:tcBorders>
            <w:shd w:val="clear" w:color="auto" w:fill="244062"/>
            <w:vAlign w:val="center"/>
            <w:hideMark/>
          </w:tcPr>
          <w:p w14:paraId="4272245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07" w:type="dxa"/>
            <w:gridSpan w:val="3"/>
            <w:tcBorders>
              <w:top w:val="single" w:sz="8" w:space="0" w:color="auto"/>
              <w:left w:val="nil"/>
              <w:bottom w:val="single" w:sz="8" w:space="0" w:color="auto"/>
              <w:right w:val="single" w:sz="8" w:space="0" w:color="000000"/>
            </w:tcBorders>
            <w:vAlign w:val="center"/>
            <w:hideMark/>
          </w:tcPr>
          <w:p w14:paraId="2FE920BB" w14:textId="77777777" w:rsidR="00614438" w:rsidRPr="00AA7A53" w:rsidRDefault="00614438" w:rsidP="00AA7A53">
            <w:pPr>
              <w:numPr>
                <w:ilvl w:val="0"/>
                <w:numId w:val="106"/>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1484BD16" w14:textId="77777777" w:rsidTr="00614438">
        <w:trPr>
          <w:gridAfter w:val="1"/>
          <w:wAfter w:w="222" w:type="dxa"/>
          <w:trHeight w:val="315"/>
        </w:trPr>
        <w:tc>
          <w:tcPr>
            <w:tcW w:w="3251" w:type="dxa"/>
            <w:tcBorders>
              <w:top w:val="nil"/>
              <w:left w:val="single" w:sz="8" w:space="0" w:color="auto"/>
              <w:bottom w:val="single" w:sz="8" w:space="0" w:color="auto"/>
              <w:right w:val="nil"/>
            </w:tcBorders>
            <w:shd w:val="clear" w:color="auto" w:fill="244062"/>
            <w:vAlign w:val="center"/>
            <w:hideMark/>
          </w:tcPr>
          <w:p w14:paraId="2409E92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07" w:type="dxa"/>
            <w:gridSpan w:val="3"/>
            <w:tcBorders>
              <w:top w:val="single" w:sz="8" w:space="0" w:color="auto"/>
              <w:left w:val="nil"/>
              <w:bottom w:val="single" w:sz="8" w:space="0" w:color="auto"/>
              <w:right w:val="single" w:sz="8" w:space="0" w:color="000000"/>
            </w:tcBorders>
            <w:vAlign w:val="center"/>
            <w:hideMark/>
          </w:tcPr>
          <w:p w14:paraId="2B41C08D" w14:textId="77777777" w:rsidR="00614438" w:rsidRPr="00AA7A53" w:rsidRDefault="00614438" w:rsidP="00AA7A53">
            <w:pPr>
              <w:numPr>
                <w:ilvl w:val="0"/>
                <w:numId w:val="106"/>
              </w:numPr>
              <w:spacing w:after="0"/>
              <w:jc w:val="both"/>
              <w:rPr>
                <w:rFonts w:ascii="Times New Roman" w:hAnsi="Times New Roman" w:cs="Times New Roman"/>
                <w:sz w:val="20"/>
                <w:szCs w:val="20"/>
              </w:rPr>
            </w:pPr>
            <w:r w:rsidRPr="00AA7A53">
              <w:rPr>
                <w:rFonts w:ascii="Times New Roman" w:hAnsi="Times New Roman" w:cs="Times New Roman"/>
                <w:sz w:val="20"/>
                <w:szCs w:val="20"/>
              </w:rPr>
              <w:t>Number of conducted energy audits</w:t>
            </w:r>
          </w:p>
        </w:tc>
      </w:tr>
      <w:tr w:rsidR="00614438" w:rsidRPr="00AA7A53" w14:paraId="64EB2DCC" w14:textId="77777777" w:rsidTr="00614438">
        <w:trPr>
          <w:gridAfter w:val="1"/>
          <w:wAfter w:w="222" w:type="dxa"/>
          <w:trHeight w:val="425"/>
        </w:trPr>
        <w:tc>
          <w:tcPr>
            <w:tcW w:w="3251" w:type="dxa"/>
            <w:tcBorders>
              <w:top w:val="nil"/>
              <w:left w:val="single" w:sz="8" w:space="0" w:color="auto"/>
              <w:bottom w:val="single" w:sz="8" w:space="0" w:color="auto"/>
              <w:right w:val="single" w:sz="8" w:space="0" w:color="auto"/>
            </w:tcBorders>
            <w:shd w:val="clear" w:color="auto" w:fill="244062"/>
            <w:vAlign w:val="center"/>
            <w:hideMark/>
          </w:tcPr>
          <w:p w14:paraId="4356C2F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07" w:type="dxa"/>
            <w:gridSpan w:val="3"/>
            <w:tcBorders>
              <w:top w:val="single" w:sz="8" w:space="0" w:color="auto"/>
              <w:left w:val="nil"/>
              <w:bottom w:val="single" w:sz="8" w:space="0" w:color="auto"/>
              <w:right w:val="single" w:sz="8" w:space="0" w:color="000000"/>
            </w:tcBorders>
            <w:vAlign w:val="center"/>
            <w:hideMark/>
          </w:tcPr>
          <w:p w14:paraId="7283677B" w14:textId="6BA7F00E" w:rsidR="00614438" w:rsidRPr="00AA7A53" w:rsidRDefault="00614438" w:rsidP="00AA7A53">
            <w:pPr>
              <w:numPr>
                <w:ilvl w:val="0"/>
                <w:numId w:val="106"/>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Decarbonisation (the delivered energy savings will decrease the consumed quantities of fossil fuels leading to the respective GHG emission reduction </w:t>
            </w:r>
            <w:r w:rsidR="008603A7"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utilised RES technologies will increase the RES share in heating and cooling)</w:t>
            </w:r>
          </w:p>
          <w:p w14:paraId="3625D863" w14:textId="77777777" w:rsidR="00614438" w:rsidRPr="00AA7A53" w:rsidRDefault="00614438" w:rsidP="00AA7A53">
            <w:pPr>
              <w:numPr>
                <w:ilvl w:val="0"/>
                <w:numId w:val="106"/>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6456FD65" w14:textId="77777777" w:rsidTr="00614438">
        <w:trPr>
          <w:gridAfter w:val="1"/>
          <w:wAfter w:w="222" w:type="dxa"/>
          <w:trHeight w:val="458"/>
        </w:trPr>
        <w:tc>
          <w:tcPr>
            <w:tcW w:w="3251" w:type="dxa"/>
            <w:vMerge w:val="restart"/>
            <w:tcBorders>
              <w:top w:val="nil"/>
              <w:left w:val="single" w:sz="8" w:space="0" w:color="auto"/>
              <w:bottom w:val="single" w:sz="8" w:space="0" w:color="000000"/>
              <w:right w:val="single" w:sz="8" w:space="0" w:color="auto"/>
            </w:tcBorders>
            <w:shd w:val="clear" w:color="auto" w:fill="244062"/>
            <w:vAlign w:val="center"/>
            <w:hideMark/>
          </w:tcPr>
          <w:p w14:paraId="2D48D12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07"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D8CFADE" w14:textId="77777777" w:rsidR="00614438" w:rsidRPr="00AA7A53" w:rsidRDefault="00614438" w:rsidP="00AA7A53">
            <w:pPr>
              <w:numPr>
                <w:ilvl w:val="0"/>
                <w:numId w:val="106"/>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048102D9" w14:textId="77777777" w:rsidR="00614438" w:rsidRPr="00AA7A53" w:rsidRDefault="00614438" w:rsidP="00AA7A53">
            <w:pPr>
              <w:numPr>
                <w:ilvl w:val="0"/>
                <w:numId w:val="106"/>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352D4CAD"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7843FF3A"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3A357B8"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0C690D3B"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1BDED19"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25E36430"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F874906"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24093EE0"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23C24912" w14:textId="77777777" w:rsidTr="00614438">
        <w:trPr>
          <w:trHeight w:val="600"/>
        </w:trPr>
        <w:tc>
          <w:tcPr>
            <w:tcW w:w="3251" w:type="dxa"/>
            <w:tcBorders>
              <w:top w:val="nil"/>
              <w:left w:val="single" w:sz="8" w:space="0" w:color="auto"/>
              <w:bottom w:val="single" w:sz="8" w:space="0" w:color="auto"/>
              <w:right w:val="single" w:sz="8" w:space="0" w:color="auto"/>
            </w:tcBorders>
            <w:shd w:val="clear" w:color="auto" w:fill="244062"/>
            <w:vAlign w:val="center"/>
            <w:hideMark/>
          </w:tcPr>
          <w:p w14:paraId="3E3D83C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07" w:type="dxa"/>
            <w:gridSpan w:val="3"/>
            <w:tcBorders>
              <w:top w:val="single" w:sz="8" w:space="0" w:color="auto"/>
              <w:left w:val="nil"/>
              <w:bottom w:val="single" w:sz="8" w:space="0" w:color="auto"/>
              <w:right w:val="single" w:sz="8" w:space="0" w:color="000000"/>
            </w:tcBorders>
            <w:vAlign w:val="center"/>
            <w:hideMark/>
          </w:tcPr>
          <w:p w14:paraId="58F4CC12" w14:textId="77777777" w:rsidR="00614438" w:rsidRPr="00AA7A53" w:rsidRDefault="00614438" w:rsidP="00AA7A53">
            <w:pPr>
              <w:numPr>
                <w:ilvl w:val="0"/>
                <w:numId w:val="106"/>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 Efficiency and Rational Use of Energy</w:t>
            </w:r>
          </w:p>
          <w:p w14:paraId="4245AE86" w14:textId="77777777" w:rsidR="00614438" w:rsidRPr="00AA7A53" w:rsidRDefault="00614438" w:rsidP="00AA7A53">
            <w:pPr>
              <w:numPr>
                <w:ilvl w:val="0"/>
                <w:numId w:val="106"/>
              </w:numPr>
              <w:spacing w:after="0"/>
              <w:jc w:val="both"/>
              <w:rPr>
                <w:rFonts w:ascii="Times New Roman" w:hAnsi="Times New Roman" w:cs="Times New Roman"/>
                <w:sz w:val="20"/>
                <w:szCs w:val="20"/>
              </w:rPr>
            </w:pPr>
            <w:r w:rsidRPr="00AA7A53">
              <w:rPr>
                <w:rFonts w:ascii="Times New Roman" w:hAnsi="Times New Roman" w:cs="Times New Roman"/>
                <w:sz w:val="20"/>
                <w:szCs w:val="20"/>
              </w:rPr>
              <w:t>4th NEEAP</w:t>
            </w:r>
          </w:p>
        </w:tc>
        <w:tc>
          <w:tcPr>
            <w:tcW w:w="222" w:type="dxa"/>
            <w:vAlign w:val="center"/>
            <w:hideMark/>
          </w:tcPr>
          <w:p w14:paraId="0645184F"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07CB640" w14:textId="77777777" w:rsidTr="00614438">
        <w:trPr>
          <w:trHeight w:val="315"/>
        </w:trPr>
        <w:tc>
          <w:tcPr>
            <w:tcW w:w="3251" w:type="dxa"/>
            <w:tcBorders>
              <w:top w:val="nil"/>
              <w:left w:val="single" w:sz="8" w:space="0" w:color="auto"/>
              <w:bottom w:val="single" w:sz="8" w:space="0" w:color="auto"/>
              <w:right w:val="single" w:sz="8" w:space="0" w:color="auto"/>
            </w:tcBorders>
            <w:shd w:val="clear" w:color="auto" w:fill="244062"/>
            <w:vAlign w:val="center"/>
            <w:hideMark/>
          </w:tcPr>
          <w:p w14:paraId="6F79FE1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07" w:type="dxa"/>
            <w:gridSpan w:val="3"/>
            <w:tcBorders>
              <w:top w:val="single" w:sz="8" w:space="0" w:color="auto"/>
              <w:left w:val="nil"/>
              <w:bottom w:val="single" w:sz="8" w:space="0" w:color="auto"/>
              <w:right w:val="single" w:sz="8" w:space="0" w:color="000000"/>
            </w:tcBorders>
            <w:vAlign w:val="center"/>
            <w:hideMark/>
          </w:tcPr>
          <w:p w14:paraId="3616C92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Budget incorporated into all end-use measures – savings under consideration</w:t>
            </w:r>
          </w:p>
        </w:tc>
        <w:tc>
          <w:tcPr>
            <w:tcW w:w="222" w:type="dxa"/>
            <w:vAlign w:val="center"/>
            <w:hideMark/>
          </w:tcPr>
          <w:p w14:paraId="232F8136"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FC37CDE" w14:textId="77777777" w:rsidTr="00614438">
        <w:trPr>
          <w:trHeight w:val="315"/>
        </w:trPr>
        <w:tc>
          <w:tcPr>
            <w:tcW w:w="3251" w:type="dxa"/>
            <w:tcBorders>
              <w:top w:val="nil"/>
              <w:left w:val="single" w:sz="8" w:space="0" w:color="auto"/>
              <w:bottom w:val="single" w:sz="8" w:space="0" w:color="auto"/>
              <w:right w:val="single" w:sz="8" w:space="0" w:color="auto"/>
            </w:tcBorders>
            <w:shd w:val="clear" w:color="auto" w:fill="244062"/>
            <w:vAlign w:val="center"/>
            <w:hideMark/>
          </w:tcPr>
          <w:p w14:paraId="7B68B9F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07" w:type="dxa"/>
            <w:gridSpan w:val="3"/>
            <w:tcBorders>
              <w:top w:val="single" w:sz="8" w:space="0" w:color="auto"/>
              <w:left w:val="nil"/>
              <w:bottom w:val="single" w:sz="8" w:space="0" w:color="auto"/>
              <w:right w:val="single" w:sz="8" w:space="0" w:color="000000"/>
            </w:tcBorders>
            <w:vAlign w:val="center"/>
            <w:hideMark/>
          </w:tcPr>
          <w:p w14:paraId="7BB26D2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07115A57" w14:textId="77777777" w:rsidR="00614438" w:rsidRPr="00AA7A53" w:rsidRDefault="00614438" w:rsidP="00AA7A53">
            <w:pPr>
              <w:spacing w:after="0"/>
              <w:jc w:val="both"/>
              <w:rPr>
                <w:rFonts w:ascii="Times New Roman" w:hAnsi="Times New Roman" w:cs="Times New Roman"/>
                <w:sz w:val="20"/>
                <w:szCs w:val="20"/>
                <w:lang w:val="en-GB"/>
              </w:rPr>
            </w:pPr>
          </w:p>
        </w:tc>
      </w:tr>
    </w:tbl>
    <w:p w14:paraId="499A3281"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95"/>
        <w:gridCol w:w="1050"/>
        <w:gridCol w:w="939"/>
        <w:gridCol w:w="4174"/>
        <w:gridCol w:w="222"/>
      </w:tblGrid>
      <w:tr w:rsidR="00614438" w:rsidRPr="00AA7A53" w14:paraId="18FD0DDE" w14:textId="77777777" w:rsidTr="00614438">
        <w:trPr>
          <w:gridAfter w:val="1"/>
          <w:wAfter w:w="222" w:type="dxa"/>
          <w:trHeight w:val="780"/>
        </w:trPr>
        <w:tc>
          <w:tcPr>
            <w:tcW w:w="331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B90613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2CEF745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PM_EE29</w:t>
            </w:r>
          </w:p>
        </w:tc>
        <w:tc>
          <w:tcPr>
            <w:tcW w:w="943" w:type="dxa"/>
            <w:tcBorders>
              <w:top w:val="single" w:sz="8" w:space="0" w:color="auto"/>
              <w:left w:val="nil"/>
              <w:bottom w:val="single" w:sz="8" w:space="0" w:color="auto"/>
              <w:right w:val="single" w:sz="8" w:space="0" w:color="auto"/>
            </w:tcBorders>
            <w:shd w:val="clear" w:color="auto" w:fill="244062"/>
            <w:vAlign w:val="center"/>
            <w:hideMark/>
          </w:tcPr>
          <w:p w14:paraId="794E3DB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2" w:type="dxa"/>
            <w:tcBorders>
              <w:top w:val="single" w:sz="8" w:space="0" w:color="auto"/>
              <w:left w:val="nil"/>
              <w:bottom w:val="single" w:sz="8" w:space="0" w:color="auto"/>
              <w:right w:val="single" w:sz="8" w:space="0" w:color="auto"/>
            </w:tcBorders>
            <w:shd w:val="clear" w:color="auto" w:fill="E7E6E6" w:themeFill="background2"/>
            <w:vAlign w:val="center"/>
            <w:hideMark/>
          </w:tcPr>
          <w:p w14:paraId="49A34E3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energy audits in SMEs and in households</w:t>
            </w:r>
          </w:p>
        </w:tc>
      </w:tr>
      <w:tr w:rsidR="00614438" w:rsidRPr="00AA7A53" w14:paraId="10F1ABAD" w14:textId="77777777" w:rsidTr="00614438">
        <w:trPr>
          <w:gridAfter w:val="1"/>
          <w:wAfter w:w="222" w:type="dxa"/>
          <w:trHeight w:val="525"/>
        </w:trPr>
        <w:tc>
          <w:tcPr>
            <w:tcW w:w="3317" w:type="dxa"/>
            <w:tcBorders>
              <w:top w:val="nil"/>
              <w:left w:val="single" w:sz="8" w:space="0" w:color="auto"/>
              <w:bottom w:val="single" w:sz="8" w:space="0" w:color="auto"/>
              <w:right w:val="nil"/>
            </w:tcBorders>
            <w:shd w:val="clear" w:color="auto" w:fill="244062"/>
            <w:vAlign w:val="center"/>
            <w:hideMark/>
          </w:tcPr>
          <w:p w14:paraId="3F09CEB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41" w:type="dxa"/>
            <w:gridSpan w:val="3"/>
            <w:tcBorders>
              <w:top w:val="single" w:sz="8" w:space="0" w:color="auto"/>
              <w:left w:val="nil"/>
              <w:bottom w:val="single" w:sz="8" w:space="0" w:color="auto"/>
              <w:right w:val="single" w:sz="8" w:space="0" w:color="000000"/>
            </w:tcBorders>
            <w:vAlign w:val="center"/>
            <w:hideMark/>
          </w:tcPr>
          <w:p w14:paraId="764C5736" w14:textId="04C9A02F"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 as amended by Directive (EU) 2018/2002:</w:t>
            </w:r>
          </w:p>
          <w:p w14:paraId="69BAA1CF" w14:textId="77777777" w:rsidR="00614438" w:rsidRPr="00AA7A53" w:rsidRDefault="00614438" w:rsidP="00AA7A53">
            <w:pPr>
              <w:numPr>
                <w:ilvl w:val="0"/>
                <w:numId w:val="107"/>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37DE7152" w14:textId="77777777" w:rsidR="00614438" w:rsidRPr="00AA7A53" w:rsidRDefault="00614438" w:rsidP="00AA7A53">
            <w:pPr>
              <w:numPr>
                <w:ilvl w:val="0"/>
                <w:numId w:val="107"/>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p w14:paraId="6BAE1893" w14:textId="77777777" w:rsidR="00614438" w:rsidRPr="00AA7A53" w:rsidRDefault="00614438" w:rsidP="00AA7A53">
            <w:pPr>
              <w:numPr>
                <w:ilvl w:val="0"/>
                <w:numId w:val="107"/>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8</w:t>
            </w:r>
          </w:p>
        </w:tc>
      </w:tr>
      <w:tr w:rsidR="00614438" w:rsidRPr="00AA7A53" w14:paraId="3A532595"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2253D17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41" w:type="dxa"/>
            <w:gridSpan w:val="3"/>
            <w:tcBorders>
              <w:top w:val="single" w:sz="8" w:space="0" w:color="auto"/>
              <w:left w:val="nil"/>
              <w:bottom w:val="single" w:sz="8" w:space="0" w:color="auto"/>
              <w:right w:val="single" w:sz="8" w:space="0" w:color="000000"/>
            </w:tcBorders>
            <w:vAlign w:val="center"/>
            <w:hideMark/>
          </w:tcPr>
          <w:p w14:paraId="0497458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PM_EE1 – PM_EE3</w:t>
            </w:r>
          </w:p>
        </w:tc>
      </w:tr>
      <w:tr w:rsidR="00614438" w:rsidRPr="00AA7A53" w14:paraId="337A4834" w14:textId="77777777" w:rsidTr="00614438">
        <w:trPr>
          <w:gridAfter w:val="1"/>
          <w:wAfter w:w="222" w:type="dxa"/>
          <w:trHeight w:val="1992"/>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22D5A14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Description:</w:t>
            </w:r>
          </w:p>
        </w:tc>
        <w:tc>
          <w:tcPr>
            <w:tcW w:w="6141" w:type="dxa"/>
            <w:gridSpan w:val="3"/>
            <w:tcBorders>
              <w:top w:val="single" w:sz="8" w:space="0" w:color="auto"/>
              <w:left w:val="nil"/>
              <w:bottom w:val="single" w:sz="8" w:space="0" w:color="auto"/>
              <w:right w:val="single" w:sz="8" w:space="0" w:color="000000"/>
            </w:tcBorders>
            <w:vAlign w:val="center"/>
            <w:hideMark/>
          </w:tcPr>
          <w:p w14:paraId="78997DC1" w14:textId="5AF45748"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PM_EE29 will</w:t>
            </w:r>
            <w:r w:rsidR="005E0FAD" w:rsidRPr="00AA7A53">
              <w:rPr>
                <w:rFonts w:ascii="Times New Roman" w:hAnsi="Times New Roman" w:cs="Times New Roman"/>
                <w:sz w:val="20"/>
                <w:szCs w:val="20"/>
                <w:lang w:val="en-GB"/>
              </w:rPr>
              <w:t xml:space="preserve"> provide</w:t>
            </w:r>
            <w:r w:rsidRPr="00AA7A53">
              <w:rPr>
                <w:rFonts w:ascii="Times New Roman" w:hAnsi="Times New Roman" w:cs="Times New Roman"/>
                <w:sz w:val="20"/>
                <w:szCs w:val="20"/>
                <w:lang w:val="en-GB"/>
              </w:rPr>
              <w:t xml:space="preserve"> </w:t>
            </w:r>
            <w:r w:rsidR="005E0FAD" w:rsidRPr="00AA7A53">
              <w:rPr>
                <w:rFonts w:ascii="Times New Roman" w:hAnsi="Times New Roman" w:cs="Times New Roman"/>
                <w:sz w:val="20"/>
                <w:szCs w:val="20"/>
                <w:lang w:val="en-GB"/>
              </w:rPr>
              <w:t xml:space="preserve">financial </w:t>
            </w:r>
            <w:r w:rsidRPr="00AA7A53">
              <w:rPr>
                <w:rFonts w:ascii="Times New Roman" w:hAnsi="Times New Roman" w:cs="Times New Roman"/>
                <w:sz w:val="20"/>
                <w:szCs w:val="20"/>
                <w:lang w:val="en-GB"/>
              </w:rPr>
              <w:t xml:space="preserve">support </w:t>
            </w:r>
            <w:r w:rsidR="005E0FAD" w:rsidRPr="00AA7A53">
              <w:rPr>
                <w:rFonts w:ascii="Times New Roman" w:hAnsi="Times New Roman" w:cs="Times New Roman"/>
                <w:sz w:val="20"/>
                <w:szCs w:val="20"/>
                <w:lang w:val="en-GB"/>
              </w:rPr>
              <w:t>for carrying out</w:t>
            </w:r>
            <w:r w:rsidRPr="00AA7A53">
              <w:rPr>
                <w:rFonts w:ascii="Times New Roman" w:hAnsi="Times New Roman" w:cs="Times New Roman"/>
                <w:sz w:val="20"/>
                <w:szCs w:val="20"/>
                <w:lang w:val="en-GB"/>
              </w:rPr>
              <w:t xml:space="preserve"> </w:t>
            </w:r>
            <w:r w:rsidR="005E0FAD" w:rsidRPr="00AA7A53">
              <w:rPr>
                <w:rFonts w:ascii="Times New Roman" w:hAnsi="Times New Roman" w:cs="Times New Roman"/>
                <w:sz w:val="20"/>
                <w:szCs w:val="20"/>
                <w:lang w:val="en-GB"/>
              </w:rPr>
              <w:t>the</w:t>
            </w:r>
            <w:r w:rsidRPr="00AA7A53">
              <w:rPr>
                <w:rFonts w:ascii="Times New Roman" w:hAnsi="Times New Roman" w:cs="Times New Roman"/>
                <w:sz w:val="20"/>
                <w:szCs w:val="20"/>
                <w:lang w:val="en-GB"/>
              </w:rPr>
              <w:t xml:space="preserve"> energy audits in all final energy consumption sectors</w:t>
            </w:r>
            <w:r w:rsidR="005E0FAD"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including SMEs and households. Especially for the case of households, a pilot program will be launched</w:t>
            </w:r>
            <w:r w:rsidR="005E0FAD" w:rsidRPr="00AA7A53">
              <w:rPr>
                <w:rFonts w:ascii="Times New Roman" w:hAnsi="Times New Roman" w:cs="Times New Roman"/>
                <w:sz w:val="20"/>
                <w:szCs w:val="20"/>
                <w:lang w:val="en-GB"/>
              </w:rPr>
              <w:t>, which will</w:t>
            </w:r>
            <w:r w:rsidRPr="00AA7A53">
              <w:rPr>
                <w:rFonts w:ascii="Times New Roman" w:hAnsi="Times New Roman" w:cs="Times New Roman"/>
                <w:sz w:val="20"/>
                <w:szCs w:val="20"/>
                <w:lang w:val="en-GB"/>
              </w:rPr>
              <w:t xml:space="preserve"> cover the implementation cost</w:t>
            </w:r>
            <w:r w:rsidR="005E0FAD"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in order to increase their awareness and to promote their further </w:t>
            </w:r>
            <w:r w:rsidR="005E0FAD" w:rsidRPr="00AA7A53">
              <w:rPr>
                <w:rFonts w:ascii="Times New Roman" w:hAnsi="Times New Roman" w:cs="Times New Roman"/>
                <w:sz w:val="20"/>
                <w:szCs w:val="20"/>
                <w:lang w:val="en-GB"/>
              </w:rPr>
              <w:t>implementation</w:t>
            </w:r>
            <w:r w:rsidRPr="00AA7A53">
              <w:rPr>
                <w:rFonts w:ascii="Times New Roman" w:hAnsi="Times New Roman" w:cs="Times New Roman"/>
                <w:sz w:val="20"/>
                <w:szCs w:val="20"/>
                <w:lang w:val="en-GB"/>
              </w:rPr>
              <w:t xml:space="preserve"> according to the provisions of the EED. A similar program can be initiated also for the case of SMEs covering partly the implementation cost. Furthermore, the derived recommendations can be supported either through the provision of financial aid.</w:t>
            </w:r>
          </w:p>
        </w:tc>
      </w:tr>
      <w:tr w:rsidR="00614438" w:rsidRPr="00AA7A53" w14:paraId="46D05AD9"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7530CCB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1" w:type="dxa"/>
            <w:gridSpan w:val="3"/>
            <w:tcBorders>
              <w:top w:val="single" w:sz="8" w:space="0" w:color="auto"/>
              <w:left w:val="nil"/>
              <w:bottom w:val="single" w:sz="8" w:space="0" w:color="auto"/>
              <w:right w:val="single" w:sz="8" w:space="0" w:color="000000"/>
            </w:tcBorders>
            <w:vAlign w:val="center"/>
            <w:hideMark/>
          </w:tcPr>
          <w:p w14:paraId="6C2AF39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48DBDC6C"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423A131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1" w:type="dxa"/>
            <w:gridSpan w:val="3"/>
            <w:tcBorders>
              <w:top w:val="single" w:sz="8" w:space="0" w:color="auto"/>
              <w:left w:val="nil"/>
              <w:bottom w:val="single" w:sz="8" w:space="0" w:color="auto"/>
              <w:right w:val="single" w:sz="8" w:space="0" w:color="000000"/>
            </w:tcBorders>
            <w:vAlign w:val="center"/>
            <w:hideMark/>
          </w:tcPr>
          <w:p w14:paraId="48FA640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5F0C113E"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35A3F57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1" w:type="dxa"/>
            <w:gridSpan w:val="3"/>
            <w:tcBorders>
              <w:top w:val="single" w:sz="8" w:space="0" w:color="auto"/>
              <w:left w:val="nil"/>
              <w:bottom w:val="single" w:sz="8" w:space="0" w:color="auto"/>
              <w:right w:val="single" w:sz="8" w:space="0" w:color="000000"/>
            </w:tcBorders>
            <w:vAlign w:val="center"/>
            <w:hideMark/>
          </w:tcPr>
          <w:p w14:paraId="6E0C0AE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Commercial, residential</w:t>
            </w:r>
          </w:p>
        </w:tc>
      </w:tr>
      <w:tr w:rsidR="00614438" w:rsidRPr="00AA7A53" w14:paraId="04DA8819"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6CFE6E2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2C1A0DCB" w14:textId="77777777" w:rsidR="005E0FAD" w:rsidRPr="00AA7A53" w:rsidRDefault="00614438" w:rsidP="00AA7A53">
            <w:pPr>
              <w:numPr>
                <w:ilvl w:val="0"/>
                <w:numId w:val="108"/>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77D3FCCB" w14:textId="66258749" w:rsidR="00614438" w:rsidRPr="00AA7A53" w:rsidRDefault="00614438" w:rsidP="00AA7A53">
            <w:pPr>
              <w:numPr>
                <w:ilvl w:val="0"/>
                <w:numId w:val="108"/>
              </w:numPr>
              <w:spacing w:after="0"/>
              <w:jc w:val="both"/>
              <w:rPr>
                <w:rFonts w:ascii="Times New Roman" w:hAnsi="Times New Roman" w:cs="Times New Roman"/>
                <w:sz w:val="20"/>
                <w:szCs w:val="20"/>
              </w:rPr>
            </w:pPr>
            <w:r w:rsidRPr="00AA7A53">
              <w:rPr>
                <w:rFonts w:ascii="Times New Roman" w:hAnsi="Times New Roman" w:cs="Times New Roman"/>
                <w:sz w:val="20"/>
                <w:szCs w:val="20"/>
              </w:rPr>
              <w:t>EE Directorate</w:t>
            </w:r>
          </w:p>
          <w:p w14:paraId="1A95EE0F" w14:textId="77777777" w:rsidR="00614438" w:rsidRPr="00AA7A53" w:rsidRDefault="00614438" w:rsidP="00AA7A53">
            <w:pPr>
              <w:numPr>
                <w:ilvl w:val="0"/>
                <w:numId w:val="108"/>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tc>
      </w:tr>
      <w:tr w:rsidR="00614438" w:rsidRPr="00AA7A53" w14:paraId="03C3C495"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4EA3E7F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0106FA7A" w14:textId="77777777" w:rsidR="00614438" w:rsidRPr="00AA7A53" w:rsidRDefault="00614438" w:rsidP="00AA7A53">
            <w:pPr>
              <w:numPr>
                <w:ilvl w:val="0"/>
                <w:numId w:val="108"/>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7CFA25CD"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08594CB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1" w:type="dxa"/>
            <w:gridSpan w:val="3"/>
            <w:tcBorders>
              <w:top w:val="single" w:sz="8" w:space="0" w:color="auto"/>
              <w:left w:val="nil"/>
              <w:bottom w:val="single" w:sz="8" w:space="0" w:color="auto"/>
              <w:right w:val="single" w:sz="8" w:space="0" w:color="000000"/>
            </w:tcBorders>
            <w:vAlign w:val="center"/>
            <w:hideMark/>
          </w:tcPr>
          <w:p w14:paraId="64DFE8FD" w14:textId="77777777" w:rsidR="00614438" w:rsidRPr="00AA7A53" w:rsidRDefault="00614438" w:rsidP="00AA7A53">
            <w:pPr>
              <w:numPr>
                <w:ilvl w:val="0"/>
                <w:numId w:val="108"/>
              </w:numPr>
              <w:spacing w:after="0"/>
              <w:jc w:val="both"/>
              <w:rPr>
                <w:rFonts w:ascii="Times New Roman" w:hAnsi="Times New Roman" w:cs="Times New Roman"/>
                <w:sz w:val="20"/>
                <w:szCs w:val="20"/>
              </w:rPr>
            </w:pPr>
            <w:r w:rsidRPr="00AA7A53">
              <w:rPr>
                <w:rFonts w:ascii="Times New Roman" w:hAnsi="Times New Roman" w:cs="Times New Roman"/>
                <w:sz w:val="20"/>
                <w:szCs w:val="20"/>
              </w:rPr>
              <w:t>Number of conducted energy audits</w:t>
            </w:r>
          </w:p>
        </w:tc>
      </w:tr>
      <w:tr w:rsidR="00614438" w:rsidRPr="00AA7A53" w14:paraId="6B4832F5" w14:textId="77777777" w:rsidTr="00614438">
        <w:trPr>
          <w:gridAfter w:val="1"/>
          <w:wAfter w:w="222" w:type="dxa"/>
          <w:trHeight w:val="429"/>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2389317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1" w:type="dxa"/>
            <w:gridSpan w:val="3"/>
            <w:tcBorders>
              <w:top w:val="single" w:sz="8" w:space="0" w:color="auto"/>
              <w:left w:val="nil"/>
              <w:bottom w:val="single" w:sz="8" w:space="0" w:color="auto"/>
              <w:right w:val="single" w:sz="8" w:space="0" w:color="000000"/>
            </w:tcBorders>
            <w:vAlign w:val="center"/>
            <w:hideMark/>
          </w:tcPr>
          <w:p w14:paraId="613B9625" w14:textId="3110A13D" w:rsidR="00614438" w:rsidRPr="00AA7A53" w:rsidRDefault="00614438" w:rsidP="00AA7A53">
            <w:pPr>
              <w:numPr>
                <w:ilvl w:val="0"/>
                <w:numId w:val="108"/>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Decarbonisation (the delivered energy savings will decrease the consumed quantities of fossil fuels leading to the respective GHG emission reduction </w:t>
            </w:r>
            <w:r w:rsidR="005E0FAD"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utilised RES technologies will increase the RES share in heating and cooling)</w:t>
            </w:r>
          </w:p>
          <w:p w14:paraId="45FBE335" w14:textId="77777777" w:rsidR="00614438" w:rsidRPr="00AA7A53" w:rsidRDefault="00614438" w:rsidP="00AA7A53">
            <w:pPr>
              <w:numPr>
                <w:ilvl w:val="0"/>
                <w:numId w:val="108"/>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1CFFFBC2" w14:textId="77777777" w:rsidTr="00614438">
        <w:trPr>
          <w:gridAfter w:val="1"/>
          <w:wAfter w:w="222" w:type="dxa"/>
          <w:trHeight w:val="458"/>
        </w:trPr>
        <w:tc>
          <w:tcPr>
            <w:tcW w:w="3317" w:type="dxa"/>
            <w:vMerge w:val="restart"/>
            <w:tcBorders>
              <w:top w:val="nil"/>
              <w:left w:val="single" w:sz="8" w:space="0" w:color="auto"/>
              <w:bottom w:val="single" w:sz="8" w:space="0" w:color="000000"/>
              <w:right w:val="single" w:sz="8" w:space="0" w:color="auto"/>
            </w:tcBorders>
            <w:shd w:val="clear" w:color="auto" w:fill="244062"/>
            <w:vAlign w:val="center"/>
            <w:hideMark/>
          </w:tcPr>
          <w:p w14:paraId="4BD7BE8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2EB49BCE" w14:textId="77777777" w:rsidR="00614438" w:rsidRPr="00AA7A53" w:rsidRDefault="00614438" w:rsidP="00AA7A53">
            <w:pPr>
              <w:numPr>
                <w:ilvl w:val="0"/>
                <w:numId w:val="108"/>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61C9FD1C" w14:textId="77777777" w:rsidR="00614438" w:rsidRPr="00AA7A53" w:rsidRDefault="00614438" w:rsidP="00AA7A53">
            <w:pPr>
              <w:numPr>
                <w:ilvl w:val="0"/>
                <w:numId w:val="108"/>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074B425C"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2369FA20"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3AD5D64"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1CE48EE9"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D750D10"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6D3D825C"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BBEF370"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178DFECF"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36A074AB" w14:textId="77777777" w:rsidTr="00614438">
        <w:trPr>
          <w:trHeight w:val="462"/>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4E82EBB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1" w:type="dxa"/>
            <w:gridSpan w:val="3"/>
            <w:tcBorders>
              <w:top w:val="single" w:sz="8" w:space="0" w:color="auto"/>
              <w:left w:val="nil"/>
              <w:bottom w:val="single" w:sz="8" w:space="0" w:color="auto"/>
              <w:right w:val="single" w:sz="8" w:space="0" w:color="000000"/>
            </w:tcBorders>
            <w:vAlign w:val="center"/>
            <w:hideMark/>
          </w:tcPr>
          <w:p w14:paraId="6E4083E8" w14:textId="595B3B72" w:rsidR="00614438" w:rsidRPr="00AA7A53" w:rsidRDefault="00614438" w:rsidP="00AA7A53">
            <w:pPr>
              <w:numPr>
                <w:ilvl w:val="0"/>
                <w:numId w:val="108"/>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 Efficiency and Rational Use of Energy</w:t>
            </w:r>
          </w:p>
          <w:p w14:paraId="3C115BC9" w14:textId="1476E218" w:rsidR="00614438" w:rsidRPr="00AA7A53" w:rsidRDefault="00614438" w:rsidP="00AA7A53">
            <w:pPr>
              <w:numPr>
                <w:ilvl w:val="0"/>
                <w:numId w:val="108"/>
              </w:numPr>
              <w:spacing w:after="0"/>
              <w:jc w:val="both"/>
              <w:rPr>
                <w:rFonts w:ascii="Times New Roman" w:hAnsi="Times New Roman" w:cs="Times New Roman"/>
                <w:sz w:val="20"/>
                <w:szCs w:val="20"/>
              </w:rPr>
            </w:pPr>
            <w:r w:rsidRPr="00AA7A53">
              <w:rPr>
                <w:rFonts w:ascii="Times New Roman" w:hAnsi="Times New Roman" w:cs="Times New Roman"/>
                <w:sz w:val="20"/>
                <w:szCs w:val="20"/>
              </w:rPr>
              <w:t>Long</w:t>
            </w:r>
            <w:r w:rsidR="005E0FAD" w:rsidRPr="00AA7A53">
              <w:rPr>
                <w:rFonts w:ascii="Times New Roman" w:hAnsi="Times New Roman" w:cs="Times New Roman"/>
                <w:sz w:val="20"/>
                <w:szCs w:val="20"/>
              </w:rPr>
              <w:t>-</w:t>
            </w:r>
            <w:r w:rsidRPr="00AA7A53">
              <w:rPr>
                <w:rFonts w:ascii="Times New Roman" w:hAnsi="Times New Roman" w:cs="Times New Roman"/>
                <w:sz w:val="20"/>
                <w:szCs w:val="20"/>
              </w:rPr>
              <w:t>Term Renovation Strategy</w:t>
            </w:r>
            <w:r w:rsidR="005E0FAD" w:rsidRPr="00AA7A53">
              <w:rPr>
                <w:rFonts w:ascii="Times New Roman" w:hAnsi="Times New Roman" w:cs="Times New Roman"/>
                <w:sz w:val="20"/>
                <w:szCs w:val="20"/>
              </w:rPr>
              <w:t xml:space="preserve"> of the national building stock</w:t>
            </w:r>
          </w:p>
        </w:tc>
        <w:tc>
          <w:tcPr>
            <w:tcW w:w="222" w:type="dxa"/>
            <w:vAlign w:val="center"/>
            <w:hideMark/>
          </w:tcPr>
          <w:p w14:paraId="00FAF548"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8144427"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44A88FB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1" w:type="dxa"/>
            <w:gridSpan w:val="3"/>
            <w:tcBorders>
              <w:top w:val="single" w:sz="8" w:space="0" w:color="auto"/>
              <w:left w:val="nil"/>
              <w:bottom w:val="single" w:sz="8" w:space="0" w:color="auto"/>
              <w:right w:val="single" w:sz="8" w:space="0" w:color="000000"/>
            </w:tcBorders>
            <w:vAlign w:val="center"/>
            <w:hideMark/>
          </w:tcPr>
          <w:p w14:paraId="119E9C14" w14:textId="3985C4F5"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B</w:t>
            </w:r>
            <w:r w:rsidR="005E0FAD" w:rsidRPr="00AA7A53">
              <w:rPr>
                <w:rFonts w:ascii="Times New Roman" w:hAnsi="Times New Roman" w:cs="Times New Roman"/>
                <w:sz w:val="20"/>
                <w:szCs w:val="20"/>
                <w:lang w:val="en-GB"/>
              </w:rPr>
              <w:t>udg</w:t>
            </w:r>
            <w:r w:rsidRPr="00AA7A53">
              <w:rPr>
                <w:rFonts w:ascii="Times New Roman" w:hAnsi="Times New Roman" w:cs="Times New Roman"/>
                <w:sz w:val="20"/>
                <w:szCs w:val="20"/>
                <w:lang w:val="en-GB"/>
              </w:rPr>
              <w:t>e</w:t>
            </w:r>
            <w:r w:rsidR="005E0FAD" w:rsidRPr="00AA7A53">
              <w:rPr>
                <w:rFonts w:ascii="Times New Roman" w:hAnsi="Times New Roman" w:cs="Times New Roman"/>
                <w:sz w:val="20"/>
                <w:szCs w:val="20"/>
                <w:lang w:val="en-GB"/>
              </w:rPr>
              <w:t>t</w:t>
            </w:r>
            <w:r w:rsidRPr="00AA7A53">
              <w:rPr>
                <w:rFonts w:ascii="Times New Roman" w:hAnsi="Times New Roman" w:cs="Times New Roman"/>
                <w:sz w:val="20"/>
                <w:szCs w:val="20"/>
                <w:lang w:val="en-GB"/>
              </w:rPr>
              <w:t xml:space="preserve"> integrated into PM_EE1 and PM_EE3</w:t>
            </w:r>
          </w:p>
        </w:tc>
        <w:tc>
          <w:tcPr>
            <w:tcW w:w="222" w:type="dxa"/>
            <w:vAlign w:val="center"/>
            <w:hideMark/>
          </w:tcPr>
          <w:p w14:paraId="0CD66603"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F488CD4"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5C87557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1" w:type="dxa"/>
            <w:gridSpan w:val="3"/>
            <w:tcBorders>
              <w:top w:val="single" w:sz="8" w:space="0" w:color="auto"/>
              <w:left w:val="nil"/>
              <w:bottom w:val="single" w:sz="8" w:space="0" w:color="auto"/>
              <w:right w:val="single" w:sz="8" w:space="0" w:color="000000"/>
            </w:tcBorders>
            <w:vAlign w:val="center"/>
            <w:hideMark/>
          </w:tcPr>
          <w:p w14:paraId="4EE5E8FB" w14:textId="63C77EEC"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r w:rsidR="005E0FAD" w:rsidRPr="00AA7A53">
              <w:rPr>
                <w:rFonts w:ascii="Times New Roman" w:hAnsi="Times New Roman" w:cs="Times New Roman"/>
                <w:sz w:val="20"/>
                <w:szCs w:val="20"/>
                <w:lang w:val="en-GB"/>
              </w:rPr>
              <w:t xml:space="preserve"> and own funds</w:t>
            </w:r>
          </w:p>
        </w:tc>
        <w:tc>
          <w:tcPr>
            <w:tcW w:w="222" w:type="dxa"/>
            <w:vAlign w:val="center"/>
            <w:hideMark/>
          </w:tcPr>
          <w:p w14:paraId="6527B49B" w14:textId="77777777" w:rsidR="00614438" w:rsidRPr="00AA7A53" w:rsidRDefault="00614438" w:rsidP="00AA7A53">
            <w:pPr>
              <w:spacing w:after="0"/>
              <w:jc w:val="both"/>
              <w:rPr>
                <w:rFonts w:ascii="Times New Roman" w:hAnsi="Times New Roman" w:cs="Times New Roman"/>
                <w:sz w:val="20"/>
                <w:szCs w:val="20"/>
                <w:lang w:val="en-GB"/>
              </w:rPr>
            </w:pPr>
          </w:p>
        </w:tc>
      </w:tr>
    </w:tbl>
    <w:p w14:paraId="5D4F77C8"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97"/>
        <w:gridCol w:w="1050"/>
        <w:gridCol w:w="940"/>
        <w:gridCol w:w="4171"/>
        <w:gridCol w:w="222"/>
      </w:tblGrid>
      <w:tr w:rsidR="00614438" w:rsidRPr="00AA7A53" w14:paraId="21A2CE97" w14:textId="77777777" w:rsidTr="00614438">
        <w:trPr>
          <w:gridAfter w:val="1"/>
          <w:wAfter w:w="222" w:type="dxa"/>
          <w:trHeight w:val="780"/>
        </w:trPr>
        <w:tc>
          <w:tcPr>
            <w:tcW w:w="3318"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4CB31A8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Policy measure code:</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0E0DBC4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PM_EE30</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3FFDE19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0" w:type="dxa"/>
            <w:tcBorders>
              <w:top w:val="single" w:sz="8" w:space="0" w:color="auto"/>
              <w:left w:val="nil"/>
              <w:bottom w:val="single" w:sz="8" w:space="0" w:color="auto"/>
              <w:right w:val="single" w:sz="8" w:space="0" w:color="auto"/>
            </w:tcBorders>
            <w:shd w:val="clear" w:color="auto" w:fill="E7E6E6" w:themeFill="background2"/>
            <w:vAlign w:val="center"/>
            <w:hideMark/>
          </w:tcPr>
          <w:p w14:paraId="09C33A5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Financing programs for the energy upgrading of street lighting </w:t>
            </w:r>
          </w:p>
        </w:tc>
      </w:tr>
      <w:tr w:rsidR="00614438" w:rsidRPr="00AA7A53" w14:paraId="39EFB84D" w14:textId="77777777" w:rsidTr="00614438">
        <w:trPr>
          <w:gridAfter w:val="1"/>
          <w:wAfter w:w="222" w:type="dxa"/>
          <w:trHeight w:val="496"/>
        </w:trPr>
        <w:tc>
          <w:tcPr>
            <w:tcW w:w="3318" w:type="dxa"/>
            <w:tcBorders>
              <w:top w:val="nil"/>
              <w:left w:val="single" w:sz="8" w:space="0" w:color="auto"/>
              <w:bottom w:val="single" w:sz="8" w:space="0" w:color="auto"/>
              <w:right w:val="nil"/>
            </w:tcBorders>
            <w:shd w:val="clear" w:color="auto" w:fill="244062"/>
            <w:vAlign w:val="center"/>
            <w:hideMark/>
          </w:tcPr>
          <w:p w14:paraId="7DDC314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Main objective:</w:t>
            </w:r>
          </w:p>
        </w:tc>
        <w:tc>
          <w:tcPr>
            <w:tcW w:w="6140" w:type="dxa"/>
            <w:gridSpan w:val="3"/>
            <w:tcBorders>
              <w:top w:val="single" w:sz="8" w:space="0" w:color="auto"/>
              <w:left w:val="nil"/>
              <w:bottom w:val="single" w:sz="8" w:space="0" w:color="auto"/>
              <w:right w:val="single" w:sz="8" w:space="0" w:color="000000"/>
            </w:tcBorders>
            <w:vAlign w:val="center"/>
            <w:hideMark/>
          </w:tcPr>
          <w:p w14:paraId="035C2487" w14:textId="4627177E"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w:t>
            </w:r>
            <w:r w:rsidR="005E0FAD"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as amended by Directive (EU) 2018/2002:</w:t>
            </w:r>
          </w:p>
          <w:p w14:paraId="00F20286" w14:textId="77777777" w:rsidR="00614438" w:rsidRPr="00AA7A53" w:rsidRDefault="00614438" w:rsidP="00AA7A53">
            <w:pPr>
              <w:numPr>
                <w:ilvl w:val="0"/>
                <w:numId w:val="109"/>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5F5779FD" w14:textId="77777777" w:rsidR="00614438" w:rsidRPr="00AA7A53" w:rsidRDefault="00614438" w:rsidP="00AA7A53">
            <w:pPr>
              <w:numPr>
                <w:ilvl w:val="0"/>
                <w:numId w:val="109"/>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tc>
      </w:tr>
      <w:tr w:rsidR="00614438" w:rsidRPr="00AA7A53" w14:paraId="5ABD3F67" w14:textId="77777777" w:rsidTr="00614438">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3C7E3BA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Quantified objective:</w:t>
            </w:r>
          </w:p>
        </w:tc>
        <w:tc>
          <w:tcPr>
            <w:tcW w:w="6140" w:type="dxa"/>
            <w:gridSpan w:val="3"/>
            <w:tcBorders>
              <w:top w:val="single" w:sz="8" w:space="0" w:color="auto"/>
              <w:left w:val="nil"/>
              <w:bottom w:val="single" w:sz="8" w:space="0" w:color="auto"/>
              <w:right w:val="single" w:sz="8" w:space="0" w:color="000000"/>
            </w:tcBorders>
            <w:vAlign w:val="center"/>
            <w:hideMark/>
          </w:tcPr>
          <w:p w14:paraId="51C3AC7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Final energy savings (17 ktoe)</w:t>
            </w:r>
          </w:p>
        </w:tc>
      </w:tr>
      <w:tr w:rsidR="00614438" w:rsidRPr="00AA7A53" w14:paraId="78B98EC0" w14:textId="77777777" w:rsidTr="00614438">
        <w:trPr>
          <w:gridAfter w:val="1"/>
          <w:wAfter w:w="222" w:type="dxa"/>
          <w:trHeight w:val="1012"/>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2936464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0" w:type="dxa"/>
            <w:gridSpan w:val="3"/>
            <w:tcBorders>
              <w:top w:val="single" w:sz="8" w:space="0" w:color="auto"/>
              <w:left w:val="nil"/>
              <w:bottom w:val="single" w:sz="8" w:space="0" w:color="auto"/>
              <w:right w:val="single" w:sz="8" w:space="0" w:color="000000"/>
            </w:tcBorders>
            <w:vAlign w:val="center"/>
            <w:hideMark/>
          </w:tcPr>
          <w:p w14:paraId="223224C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PM_EE30 will facilitate the energy efficiency improvement of the street lighting through public funds and specialized financial support schemes, such as low-interest loans and guarantees in conjunction with the activities for the promotion of energy performance contracts within the context of PM_EE26 and when needed through provision of subsidies according to the existing scheme.</w:t>
            </w:r>
          </w:p>
        </w:tc>
      </w:tr>
      <w:tr w:rsidR="00614438" w:rsidRPr="00AA7A53" w14:paraId="467EF683" w14:textId="77777777" w:rsidTr="00614438">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01A65F4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0" w:type="dxa"/>
            <w:gridSpan w:val="3"/>
            <w:tcBorders>
              <w:top w:val="single" w:sz="8" w:space="0" w:color="auto"/>
              <w:left w:val="nil"/>
              <w:bottom w:val="single" w:sz="8" w:space="0" w:color="auto"/>
              <w:right w:val="single" w:sz="8" w:space="0" w:color="000000"/>
            </w:tcBorders>
            <w:vAlign w:val="center"/>
            <w:hideMark/>
          </w:tcPr>
          <w:p w14:paraId="66A0EBB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6407E66B" w14:textId="77777777" w:rsidTr="00614438">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0FC3E5A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0" w:type="dxa"/>
            <w:gridSpan w:val="3"/>
            <w:tcBorders>
              <w:top w:val="single" w:sz="8" w:space="0" w:color="auto"/>
              <w:left w:val="nil"/>
              <w:bottom w:val="single" w:sz="8" w:space="0" w:color="auto"/>
              <w:right w:val="single" w:sz="8" w:space="0" w:color="000000"/>
            </w:tcBorders>
            <w:vAlign w:val="center"/>
            <w:hideMark/>
          </w:tcPr>
          <w:p w14:paraId="694DAD8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1939A198" w14:textId="77777777" w:rsidTr="00614438">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1E1F7BC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0" w:type="dxa"/>
            <w:gridSpan w:val="3"/>
            <w:tcBorders>
              <w:top w:val="single" w:sz="8" w:space="0" w:color="auto"/>
              <w:left w:val="nil"/>
              <w:bottom w:val="single" w:sz="8" w:space="0" w:color="auto"/>
              <w:right w:val="single" w:sz="8" w:space="0" w:color="000000"/>
            </w:tcBorders>
            <w:vAlign w:val="center"/>
            <w:hideMark/>
          </w:tcPr>
          <w:p w14:paraId="38DD34A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Public</w:t>
            </w:r>
          </w:p>
        </w:tc>
      </w:tr>
      <w:tr w:rsidR="00614438" w:rsidRPr="00AA7A53" w14:paraId="6C5C8EF4" w14:textId="77777777" w:rsidTr="00614438">
        <w:trPr>
          <w:gridAfter w:val="1"/>
          <w:wAfter w:w="22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52F8FD2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0" w:type="dxa"/>
            <w:gridSpan w:val="3"/>
            <w:tcBorders>
              <w:top w:val="single" w:sz="8" w:space="0" w:color="auto"/>
              <w:left w:val="nil"/>
              <w:bottom w:val="single" w:sz="8" w:space="0" w:color="auto"/>
              <w:right w:val="single" w:sz="8" w:space="0" w:color="000000"/>
            </w:tcBorders>
            <w:vAlign w:val="center"/>
            <w:hideMark/>
          </w:tcPr>
          <w:p w14:paraId="35150FE5" w14:textId="2FC219A6" w:rsidR="00614438" w:rsidRPr="00AA7A53" w:rsidRDefault="00614438" w:rsidP="00AA7A53">
            <w:pPr>
              <w:numPr>
                <w:ilvl w:val="0"/>
                <w:numId w:val="93"/>
              </w:numPr>
              <w:spacing w:after="0"/>
              <w:jc w:val="both"/>
              <w:rPr>
                <w:rFonts w:ascii="Times New Roman" w:hAnsi="Times New Roman" w:cs="Times New Roman"/>
                <w:sz w:val="20"/>
                <w:szCs w:val="20"/>
              </w:rPr>
            </w:pPr>
            <w:r w:rsidRPr="00AA7A53">
              <w:rPr>
                <w:rFonts w:ascii="Times New Roman" w:hAnsi="Times New Roman" w:cs="Times New Roman"/>
                <w:sz w:val="20"/>
                <w:szCs w:val="20"/>
              </w:rPr>
              <w:t>EE Directorate</w:t>
            </w:r>
          </w:p>
          <w:p w14:paraId="000A807C" w14:textId="77777777" w:rsidR="00614438" w:rsidRPr="00AA7A53" w:rsidRDefault="00614438" w:rsidP="00AA7A53">
            <w:pPr>
              <w:numPr>
                <w:ilvl w:val="0"/>
                <w:numId w:val="93"/>
              </w:numPr>
              <w:spacing w:after="0"/>
              <w:jc w:val="both"/>
              <w:rPr>
                <w:rFonts w:ascii="Times New Roman" w:hAnsi="Times New Roman" w:cs="Times New Roman"/>
                <w:sz w:val="20"/>
                <w:szCs w:val="20"/>
              </w:rPr>
            </w:pPr>
            <w:r w:rsidRPr="00AA7A53">
              <w:rPr>
                <w:rFonts w:ascii="Times New Roman" w:hAnsi="Times New Roman" w:cs="Times New Roman"/>
                <w:sz w:val="20"/>
                <w:szCs w:val="20"/>
              </w:rPr>
              <w:t>Local self-governments</w:t>
            </w:r>
          </w:p>
          <w:p w14:paraId="670600E0" w14:textId="1338195B" w:rsidR="008A2752" w:rsidRPr="00AA7A53" w:rsidRDefault="008A2752" w:rsidP="00AA7A53">
            <w:pPr>
              <w:numPr>
                <w:ilvl w:val="0"/>
                <w:numId w:val="93"/>
              </w:numPr>
              <w:spacing w:after="0"/>
              <w:jc w:val="both"/>
              <w:rPr>
                <w:rFonts w:ascii="Times New Roman" w:hAnsi="Times New Roman" w:cs="Times New Roman"/>
                <w:sz w:val="20"/>
                <w:szCs w:val="20"/>
              </w:rPr>
            </w:pPr>
            <w:r w:rsidRPr="00AA7A53">
              <w:rPr>
                <w:rFonts w:ascii="Times New Roman" w:hAnsi="Times New Roman" w:cs="Times New Roman"/>
                <w:sz w:val="20"/>
                <w:szCs w:val="20"/>
              </w:rPr>
              <w:t>Companies providing energy-related services</w:t>
            </w:r>
          </w:p>
        </w:tc>
      </w:tr>
      <w:tr w:rsidR="00614438" w:rsidRPr="00AA7A53" w14:paraId="3F479C44" w14:textId="77777777" w:rsidTr="00614438">
        <w:trPr>
          <w:gridAfter w:val="1"/>
          <w:wAfter w:w="222" w:type="dxa"/>
          <w:trHeight w:val="315"/>
        </w:trPr>
        <w:tc>
          <w:tcPr>
            <w:tcW w:w="3318" w:type="dxa"/>
            <w:tcBorders>
              <w:top w:val="nil"/>
              <w:left w:val="single" w:sz="8" w:space="0" w:color="auto"/>
              <w:bottom w:val="single" w:sz="8" w:space="0" w:color="auto"/>
              <w:right w:val="nil"/>
            </w:tcBorders>
            <w:shd w:val="clear" w:color="auto" w:fill="244062"/>
            <w:vAlign w:val="center"/>
            <w:hideMark/>
          </w:tcPr>
          <w:p w14:paraId="35E510F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Monitoring Entity</w:t>
            </w:r>
          </w:p>
        </w:tc>
        <w:tc>
          <w:tcPr>
            <w:tcW w:w="6140" w:type="dxa"/>
            <w:gridSpan w:val="3"/>
            <w:tcBorders>
              <w:top w:val="single" w:sz="8" w:space="0" w:color="auto"/>
              <w:left w:val="nil"/>
              <w:bottom w:val="single" w:sz="8" w:space="0" w:color="auto"/>
              <w:right w:val="single" w:sz="8" w:space="0" w:color="000000"/>
            </w:tcBorders>
            <w:vAlign w:val="center"/>
            <w:hideMark/>
          </w:tcPr>
          <w:p w14:paraId="2FC8A3FB" w14:textId="77777777" w:rsidR="00614438" w:rsidRPr="00AA7A53" w:rsidRDefault="00614438" w:rsidP="00AA7A53">
            <w:pPr>
              <w:numPr>
                <w:ilvl w:val="0"/>
                <w:numId w:val="93"/>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3BD411AA" w14:textId="77777777" w:rsidTr="00614438">
        <w:trPr>
          <w:gridAfter w:val="1"/>
          <w:wAfter w:w="222" w:type="dxa"/>
          <w:trHeight w:val="315"/>
        </w:trPr>
        <w:tc>
          <w:tcPr>
            <w:tcW w:w="3318" w:type="dxa"/>
            <w:tcBorders>
              <w:top w:val="nil"/>
              <w:left w:val="single" w:sz="8" w:space="0" w:color="auto"/>
              <w:bottom w:val="single" w:sz="8" w:space="0" w:color="auto"/>
              <w:right w:val="nil"/>
            </w:tcBorders>
            <w:shd w:val="clear" w:color="auto" w:fill="244062"/>
            <w:vAlign w:val="center"/>
            <w:hideMark/>
          </w:tcPr>
          <w:p w14:paraId="3942AC8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0" w:type="dxa"/>
            <w:gridSpan w:val="3"/>
            <w:tcBorders>
              <w:top w:val="single" w:sz="8" w:space="0" w:color="auto"/>
              <w:left w:val="nil"/>
              <w:bottom w:val="single" w:sz="8" w:space="0" w:color="auto"/>
              <w:right w:val="single" w:sz="8" w:space="0" w:color="000000"/>
            </w:tcBorders>
            <w:vAlign w:val="center"/>
            <w:hideMark/>
          </w:tcPr>
          <w:p w14:paraId="4DE0957F" w14:textId="77777777" w:rsidR="00614438" w:rsidRPr="00AA7A53" w:rsidRDefault="00614438" w:rsidP="00AA7A53">
            <w:pPr>
              <w:numPr>
                <w:ilvl w:val="0"/>
                <w:numId w:val="93"/>
              </w:numPr>
              <w:spacing w:after="0"/>
              <w:jc w:val="both"/>
              <w:rPr>
                <w:rFonts w:ascii="Times New Roman" w:hAnsi="Times New Roman" w:cs="Times New Roman"/>
                <w:sz w:val="20"/>
                <w:szCs w:val="20"/>
              </w:rPr>
            </w:pPr>
            <w:r w:rsidRPr="00AA7A53">
              <w:rPr>
                <w:rFonts w:ascii="Times New Roman" w:hAnsi="Times New Roman" w:cs="Times New Roman"/>
                <w:sz w:val="20"/>
                <w:szCs w:val="20"/>
              </w:rPr>
              <w:t>Number of renovated street lighting systems</w:t>
            </w:r>
          </w:p>
        </w:tc>
      </w:tr>
      <w:tr w:rsidR="00614438" w:rsidRPr="00AA7A53" w14:paraId="25023720" w14:textId="77777777" w:rsidTr="00614438">
        <w:trPr>
          <w:gridAfter w:val="1"/>
          <w:wAfter w:w="222" w:type="dxa"/>
          <w:trHeight w:val="520"/>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51B6692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0" w:type="dxa"/>
            <w:gridSpan w:val="3"/>
            <w:tcBorders>
              <w:top w:val="single" w:sz="8" w:space="0" w:color="auto"/>
              <w:left w:val="nil"/>
              <w:bottom w:val="single" w:sz="8" w:space="0" w:color="auto"/>
              <w:right w:val="single" w:sz="8" w:space="0" w:color="000000"/>
            </w:tcBorders>
            <w:vAlign w:val="center"/>
            <w:hideMark/>
          </w:tcPr>
          <w:p w14:paraId="5DEC87BB" w14:textId="6A3177D2" w:rsidR="00614438" w:rsidRPr="00AA7A53" w:rsidRDefault="00614438" w:rsidP="00AA7A53">
            <w:pPr>
              <w:numPr>
                <w:ilvl w:val="0"/>
                <w:numId w:val="93"/>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w:t>
            </w:r>
            <w:r w:rsidR="008A2752" w:rsidRPr="00AA7A53">
              <w:rPr>
                <w:rFonts w:ascii="Times New Roman" w:hAnsi="Times New Roman" w:cs="Times New Roman"/>
                <w:sz w:val="20"/>
                <w:szCs w:val="20"/>
              </w:rPr>
              <w:t>,</w:t>
            </w:r>
            <w:r w:rsidRPr="00AA7A53">
              <w:rPr>
                <w:rFonts w:ascii="Times New Roman" w:hAnsi="Times New Roman" w:cs="Times New Roman"/>
                <w:sz w:val="20"/>
                <w:szCs w:val="20"/>
              </w:rPr>
              <w:t xml:space="preserve"> leading to the respective GHG emission reduction)</w:t>
            </w:r>
          </w:p>
          <w:p w14:paraId="56200239" w14:textId="06CEA33C" w:rsidR="00614438" w:rsidRPr="00AA7A53" w:rsidRDefault="00614438" w:rsidP="00AA7A53">
            <w:pPr>
              <w:numPr>
                <w:ilvl w:val="0"/>
                <w:numId w:val="93"/>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w:t>
            </w:r>
            <w:r w:rsidR="008A2752" w:rsidRPr="00AA7A53">
              <w:rPr>
                <w:rFonts w:ascii="Times New Roman" w:hAnsi="Times New Roman" w:cs="Times New Roman"/>
                <w:sz w:val="20"/>
                <w:szCs w:val="20"/>
              </w:rPr>
              <w:t>,</w:t>
            </w:r>
            <w:r w:rsidRPr="00AA7A53">
              <w:rPr>
                <w:rFonts w:ascii="Times New Roman" w:hAnsi="Times New Roman" w:cs="Times New Roman"/>
                <w:sz w:val="20"/>
                <w:szCs w:val="20"/>
              </w:rPr>
              <w:t xml:space="preserve"> reducing energy import dependency from third countries)</w:t>
            </w:r>
          </w:p>
        </w:tc>
      </w:tr>
      <w:tr w:rsidR="00614438" w:rsidRPr="00AA7A53" w14:paraId="66ED8406" w14:textId="77777777" w:rsidTr="00614438">
        <w:trPr>
          <w:gridAfter w:val="1"/>
          <w:wAfter w:w="222" w:type="dxa"/>
          <w:trHeight w:val="458"/>
        </w:trPr>
        <w:tc>
          <w:tcPr>
            <w:tcW w:w="3318" w:type="dxa"/>
            <w:vMerge w:val="restart"/>
            <w:tcBorders>
              <w:top w:val="nil"/>
              <w:left w:val="single" w:sz="8" w:space="0" w:color="auto"/>
              <w:bottom w:val="single" w:sz="8" w:space="0" w:color="000000"/>
              <w:right w:val="single" w:sz="8" w:space="0" w:color="auto"/>
            </w:tcBorders>
            <w:shd w:val="clear" w:color="auto" w:fill="244062"/>
            <w:vAlign w:val="center"/>
            <w:hideMark/>
          </w:tcPr>
          <w:p w14:paraId="6109881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45B790EF" w14:textId="77777777" w:rsidR="00614438" w:rsidRPr="00AA7A53" w:rsidRDefault="00614438" w:rsidP="00AA7A53">
            <w:pPr>
              <w:numPr>
                <w:ilvl w:val="0"/>
                <w:numId w:val="93"/>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2E3FF6D8" w14:textId="77777777" w:rsidR="00614438" w:rsidRPr="00AA7A53" w:rsidRDefault="00614438" w:rsidP="00AA7A53">
            <w:pPr>
              <w:numPr>
                <w:ilvl w:val="0"/>
                <w:numId w:val="93"/>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47D88829"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40EEC5ED"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32BF695"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689F71A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A34ED70"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58EC5AF8"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E6AC045"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605F11A6"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0A6B91E7" w14:textId="77777777" w:rsidTr="00614438">
        <w:trPr>
          <w:trHeight w:val="569"/>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1B85BD4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0" w:type="dxa"/>
            <w:gridSpan w:val="3"/>
            <w:tcBorders>
              <w:top w:val="single" w:sz="8" w:space="0" w:color="auto"/>
              <w:left w:val="nil"/>
              <w:bottom w:val="single" w:sz="8" w:space="0" w:color="auto"/>
              <w:right w:val="single" w:sz="8" w:space="0" w:color="000000"/>
            </w:tcBorders>
            <w:vAlign w:val="center"/>
            <w:hideMark/>
          </w:tcPr>
          <w:p w14:paraId="74BA18BD" w14:textId="31D46510" w:rsidR="00614438" w:rsidRPr="00AA7A53" w:rsidRDefault="00614438" w:rsidP="00AA7A53">
            <w:pPr>
              <w:spacing w:after="0"/>
              <w:jc w:val="both"/>
              <w:rPr>
                <w:rFonts w:ascii="Times New Roman" w:hAnsi="Times New Roman" w:cs="Times New Roman"/>
                <w:sz w:val="20"/>
                <w:szCs w:val="20"/>
              </w:rPr>
            </w:pPr>
          </w:p>
        </w:tc>
        <w:tc>
          <w:tcPr>
            <w:tcW w:w="222" w:type="dxa"/>
            <w:vAlign w:val="center"/>
            <w:hideMark/>
          </w:tcPr>
          <w:p w14:paraId="2253F85B"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1AFC1B7" w14:textId="77777777" w:rsidTr="00614438">
        <w:trPr>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5BC9126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0" w:type="dxa"/>
            <w:gridSpan w:val="3"/>
            <w:tcBorders>
              <w:top w:val="single" w:sz="8" w:space="0" w:color="auto"/>
              <w:left w:val="nil"/>
              <w:bottom w:val="single" w:sz="8" w:space="0" w:color="auto"/>
              <w:right w:val="single" w:sz="8" w:space="0" w:color="000000"/>
            </w:tcBorders>
            <w:vAlign w:val="center"/>
            <w:hideMark/>
          </w:tcPr>
          <w:p w14:paraId="4BD3B7D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1.669 B€</w:t>
            </w:r>
          </w:p>
        </w:tc>
        <w:tc>
          <w:tcPr>
            <w:tcW w:w="222" w:type="dxa"/>
            <w:vAlign w:val="center"/>
            <w:hideMark/>
          </w:tcPr>
          <w:p w14:paraId="14404BF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43A0976" w14:textId="77777777" w:rsidTr="00614438">
        <w:trPr>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4EA741A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0" w:type="dxa"/>
            <w:gridSpan w:val="3"/>
            <w:tcBorders>
              <w:top w:val="single" w:sz="8" w:space="0" w:color="auto"/>
              <w:left w:val="nil"/>
              <w:bottom w:val="single" w:sz="8" w:space="0" w:color="auto"/>
              <w:right w:val="single" w:sz="8" w:space="0" w:color="000000"/>
            </w:tcBorders>
            <w:vAlign w:val="center"/>
            <w:hideMark/>
          </w:tcPr>
          <w:p w14:paraId="018F6C8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providers of energy services</w:t>
            </w:r>
          </w:p>
        </w:tc>
        <w:tc>
          <w:tcPr>
            <w:tcW w:w="222" w:type="dxa"/>
            <w:vAlign w:val="center"/>
            <w:hideMark/>
          </w:tcPr>
          <w:p w14:paraId="76437059" w14:textId="77777777" w:rsidR="00614438" w:rsidRPr="00AA7A53" w:rsidRDefault="00614438" w:rsidP="00AA7A53">
            <w:pPr>
              <w:spacing w:after="0"/>
              <w:jc w:val="both"/>
              <w:rPr>
                <w:rFonts w:ascii="Times New Roman" w:hAnsi="Times New Roman" w:cs="Times New Roman"/>
                <w:sz w:val="20"/>
                <w:szCs w:val="20"/>
                <w:lang w:val="en-GB"/>
              </w:rPr>
            </w:pPr>
          </w:p>
        </w:tc>
      </w:tr>
    </w:tbl>
    <w:p w14:paraId="1189ADF1"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96"/>
        <w:gridCol w:w="1050"/>
        <w:gridCol w:w="939"/>
        <w:gridCol w:w="4173"/>
        <w:gridCol w:w="222"/>
      </w:tblGrid>
      <w:tr w:rsidR="00614438" w:rsidRPr="00AA7A53" w14:paraId="29A7813E" w14:textId="77777777" w:rsidTr="00614438">
        <w:trPr>
          <w:gridAfter w:val="1"/>
          <w:wAfter w:w="222" w:type="dxa"/>
          <w:trHeight w:val="780"/>
        </w:trPr>
        <w:tc>
          <w:tcPr>
            <w:tcW w:w="331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69E2A14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Policy measure code:</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36514F5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PM_EE31</w:t>
            </w:r>
          </w:p>
        </w:tc>
        <w:tc>
          <w:tcPr>
            <w:tcW w:w="943" w:type="dxa"/>
            <w:tcBorders>
              <w:top w:val="single" w:sz="8" w:space="0" w:color="auto"/>
              <w:left w:val="nil"/>
              <w:bottom w:val="single" w:sz="8" w:space="0" w:color="auto"/>
              <w:right w:val="single" w:sz="8" w:space="0" w:color="auto"/>
            </w:tcBorders>
            <w:shd w:val="clear" w:color="auto" w:fill="244062"/>
            <w:vAlign w:val="center"/>
            <w:hideMark/>
          </w:tcPr>
          <w:p w14:paraId="685DD22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2" w:type="dxa"/>
            <w:tcBorders>
              <w:top w:val="single" w:sz="8" w:space="0" w:color="auto"/>
              <w:left w:val="nil"/>
              <w:bottom w:val="single" w:sz="8" w:space="0" w:color="auto"/>
              <w:right w:val="single" w:sz="8" w:space="0" w:color="auto"/>
            </w:tcBorders>
            <w:shd w:val="clear" w:color="auto" w:fill="E7E6E6" w:themeFill="background2"/>
            <w:vAlign w:val="center"/>
            <w:hideMark/>
          </w:tcPr>
          <w:p w14:paraId="72545E03" w14:textId="4FF3B406"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w:t>
            </w:r>
            <w:r w:rsidR="008A2752" w:rsidRPr="00AA7A53">
              <w:rPr>
                <w:rFonts w:ascii="Times New Roman" w:hAnsi="Times New Roman" w:cs="Times New Roman"/>
                <w:sz w:val="20"/>
                <w:szCs w:val="20"/>
                <w:lang w:val="en-GB"/>
              </w:rPr>
              <w:t>arrying out</w:t>
            </w:r>
            <w:r w:rsidRPr="00AA7A53">
              <w:rPr>
                <w:rFonts w:ascii="Times New Roman" w:hAnsi="Times New Roman" w:cs="Times New Roman"/>
                <w:sz w:val="20"/>
                <w:szCs w:val="20"/>
                <w:lang w:val="en-GB"/>
              </w:rPr>
              <w:t xml:space="preserve"> awareness raising activities</w:t>
            </w:r>
          </w:p>
        </w:tc>
      </w:tr>
      <w:tr w:rsidR="00614438" w:rsidRPr="00AA7A53" w14:paraId="0D7C84CE" w14:textId="77777777" w:rsidTr="00614438">
        <w:trPr>
          <w:gridAfter w:val="1"/>
          <w:wAfter w:w="222" w:type="dxa"/>
          <w:trHeight w:val="564"/>
        </w:trPr>
        <w:tc>
          <w:tcPr>
            <w:tcW w:w="3317" w:type="dxa"/>
            <w:tcBorders>
              <w:top w:val="nil"/>
              <w:left w:val="single" w:sz="8" w:space="0" w:color="auto"/>
              <w:bottom w:val="single" w:sz="8" w:space="0" w:color="auto"/>
              <w:right w:val="nil"/>
            </w:tcBorders>
            <w:shd w:val="clear" w:color="auto" w:fill="244062"/>
            <w:vAlign w:val="center"/>
            <w:hideMark/>
          </w:tcPr>
          <w:p w14:paraId="1A15ED9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Main objective:</w:t>
            </w:r>
          </w:p>
        </w:tc>
        <w:tc>
          <w:tcPr>
            <w:tcW w:w="6141" w:type="dxa"/>
            <w:gridSpan w:val="3"/>
            <w:tcBorders>
              <w:top w:val="single" w:sz="8" w:space="0" w:color="auto"/>
              <w:left w:val="nil"/>
              <w:bottom w:val="single" w:sz="8" w:space="0" w:color="auto"/>
              <w:right w:val="single" w:sz="8" w:space="0" w:color="000000"/>
            </w:tcBorders>
            <w:vAlign w:val="center"/>
            <w:hideMark/>
          </w:tcPr>
          <w:p w14:paraId="5648409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2012/27/EU, as amended by Directive (EU) 2018/2002:</w:t>
            </w:r>
          </w:p>
          <w:p w14:paraId="2CE314C3" w14:textId="77777777" w:rsidR="00614438" w:rsidRPr="00AA7A53" w:rsidRDefault="00614438" w:rsidP="00AA7A53">
            <w:pPr>
              <w:numPr>
                <w:ilvl w:val="0"/>
                <w:numId w:val="110"/>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1EA034E3" w14:textId="77777777" w:rsidR="00614438" w:rsidRPr="00AA7A53" w:rsidRDefault="00614438" w:rsidP="00AA7A53">
            <w:pPr>
              <w:numPr>
                <w:ilvl w:val="0"/>
                <w:numId w:val="110"/>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p w14:paraId="0319BD36" w14:textId="77777777" w:rsidR="00614438" w:rsidRPr="00AA7A53" w:rsidRDefault="00614438" w:rsidP="00AA7A53">
            <w:pPr>
              <w:numPr>
                <w:ilvl w:val="0"/>
                <w:numId w:val="110"/>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17</w:t>
            </w:r>
          </w:p>
        </w:tc>
      </w:tr>
      <w:tr w:rsidR="00614438" w:rsidRPr="00AA7A53" w14:paraId="070295A9"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7CFF918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Quantified objective:</w:t>
            </w:r>
          </w:p>
        </w:tc>
        <w:tc>
          <w:tcPr>
            <w:tcW w:w="6141" w:type="dxa"/>
            <w:gridSpan w:val="3"/>
            <w:tcBorders>
              <w:top w:val="single" w:sz="8" w:space="0" w:color="auto"/>
              <w:left w:val="nil"/>
              <w:bottom w:val="single" w:sz="8" w:space="0" w:color="auto"/>
              <w:right w:val="single" w:sz="8" w:space="0" w:color="000000"/>
            </w:tcBorders>
            <w:vAlign w:val="center"/>
            <w:hideMark/>
          </w:tcPr>
          <w:p w14:paraId="737FC05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fulfilling the expected final energy consumption levels</w:t>
            </w:r>
          </w:p>
        </w:tc>
      </w:tr>
      <w:tr w:rsidR="00614438" w:rsidRPr="00AA7A53" w14:paraId="274E4169" w14:textId="77777777" w:rsidTr="00614438">
        <w:trPr>
          <w:gridAfter w:val="1"/>
          <w:wAfter w:w="222" w:type="dxa"/>
          <w:trHeight w:val="996"/>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093435F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1" w:type="dxa"/>
            <w:gridSpan w:val="3"/>
            <w:tcBorders>
              <w:top w:val="single" w:sz="8" w:space="0" w:color="auto"/>
              <w:left w:val="nil"/>
              <w:bottom w:val="single" w:sz="8" w:space="0" w:color="auto"/>
              <w:right w:val="single" w:sz="8" w:space="0" w:color="000000"/>
            </w:tcBorders>
            <w:vAlign w:val="center"/>
            <w:hideMark/>
          </w:tcPr>
          <w:p w14:paraId="3306CF5F" w14:textId="7A6DE406"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PM_EE31 will promote </w:t>
            </w:r>
            <w:r w:rsidR="008A2752" w:rsidRPr="00AA7A53">
              <w:rPr>
                <w:rFonts w:ascii="Times New Roman" w:hAnsi="Times New Roman" w:cs="Times New Roman"/>
                <w:sz w:val="20"/>
                <w:szCs w:val="20"/>
                <w:lang w:val="en-GB"/>
              </w:rPr>
              <w:t>carrying out</w:t>
            </w:r>
            <w:r w:rsidRPr="00AA7A53">
              <w:rPr>
                <w:rFonts w:ascii="Times New Roman" w:hAnsi="Times New Roman" w:cs="Times New Roman"/>
                <w:sz w:val="20"/>
                <w:szCs w:val="20"/>
                <w:lang w:val="en-GB"/>
              </w:rPr>
              <w:t xml:space="preserve"> awareness raising and dissemination activities in all final energy consumption sectors</w:t>
            </w:r>
            <w:r w:rsidR="008A2752"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with focus on households. In </w:t>
            </w:r>
            <w:r w:rsidR="008A2752" w:rsidRPr="00AA7A53">
              <w:rPr>
                <w:rFonts w:ascii="Times New Roman" w:hAnsi="Times New Roman" w:cs="Times New Roman"/>
                <w:sz w:val="20"/>
                <w:szCs w:val="20"/>
                <w:lang w:val="en-GB"/>
              </w:rPr>
              <w:t xml:space="preserve">the </w:t>
            </w:r>
            <w:r w:rsidRPr="00AA7A53">
              <w:rPr>
                <w:rFonts w:ascii="Times New Roman" w:hAnsi="Times New Roman" w:cs="Times New Roman"/>
                <w:sz w:val="20"/>
                <w:szCs w:val="20"/>
                <w:lang w:val="en-GB"/>
              </w:rPr>
              <w:t>building sector</w:t>
            </w:r>
            <w:r w:rsidR="008A2752"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specialized awareness-raising and dissemination activities will be organized</w:t>
            </w:r>
            <w:r w:rsidR="008A2752"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both for the consumers </w:t>
            </w:r>
            <w:r w:rsidR="008A2752" w:rsidRPr="00AA7A53">
              <w:rPr>
                <w:rFonts w:ascii="Times New Roman" w:hAnsi="Times New Roman" w:cs="Times New Roman"/>
                <w:sz w:val="20"/>
                <w:szCs w:val="20"/>
                <w:lang w:val="en-GB"/>
              </w:rPr>
              <w:t>as well as for</w:t>
            </w:r>
            <w:r w:rsidRPr="00AA7A53">
              <w:rPr>
                <w:rFonts w:ascii="Times New Roman" w:hAnsi="Times New Roman" w:cs="Times New Roman"/>
                <w:sz w:val="20"/>
                <w:szCs w:val="20"/>
                <w:lang w:val="en-GB"/>
              </w:rPr>
              <w:t xml:space="preserve"> the involved engineers, while the establishment of one-stop shop </w:t>
            </w:r>
            <w:r w:rsidR="008A2752" w:rsidRPr="00AA7A53">
              <w:rPr>
                <w:rFonts w:ascii="Times New Roman" w:hAnsi="Times New Roman" w:cs="Times New Roman"/>
                <w:sz w:val="20"/>
                <w:szCs w:val="20"/>
                <w:lang w:val="en-GB"/>
              </w:rPr>
              <w:t xml:space="preserve">systems </w:t>
            </w:r>
            <w:r w:rsidRPr="00AA7A53">
              <w:rPr>
                <w:rFonts w:ascii="Times New Roman" w:hAnsi="Times New Roman" w:cs="Times New Roman"/>
                <w:sz w:val="20"/>
                <w:szCs w:val="20"/>
                <w:lang w:val="en-GB"/>
              </w:rPr>
              <w:t>will be assessed</w:t>
            </w:r>
            <w:r w:rsidR="008A2752"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including the option </w:t>
            </w:r>
            <w:r w:rsidR="008A2752" w:rsidRPr="00AA7A53">
              <w:rPr>
                <w:rFonts w:ascii="Times New Roman" w:hAnsi="Times New Roman" w:cs="Times New Roman"/>
                <w:sz w:val="20"/>
                <w:szCs w:val="20"/>
                <w:lang w:val="en-GB"/>
              </w:rPr>
              <w:t xml:space="preserve">to </w:t>
            </w:r>
            <w:r w:rsidRPr="00AA7A53">
              <w:rPr>
                <w:rFonts w:ascii="Times New Roman" w:hAnsi="Times New Roman" w:cs="Times New Roman"/>
                <w:sz w:val="20"/>
                <w:szCs w:val="20"/>
                <w:lang w:val="en-GB"/>
              </w:rPr>
              <w:t xml:space="preserve">also provide financial support and undertake the implementation of the energy efficiency interventions on behalf of the interested end-users. Moreover, the development of databases with information about the building stock and the implemented energy efficiency interventions and voluntary certification schemes of ecological, green and sustainable buildings can improve the current level of knowledge and awareness. In </w:t>
            </w:r>
            <w:r w:rsidR="008A2752" w:rsidRPr="00AA7A53">
              <w:rPr>
                <w:rFonts w:ascii="Times New Roman" w:hAnsi="Times New Roman" w:cs="Times New Roman"/>
                <w:sz w:val="20"/>
                <w:szCs w:val="20"/>
                <w:lang w:val="en-GB"/>
              </w:rPr>
              <w:t xml:space="preserve">the </w:t>
            </w:r>
            <w:r w:rsidRPr="00AA7A53">
              <w:rPr>
                <w:rFonts w:ascii="Times New Roman" w:hAnsi="Times New Roman" w:cs="Times New Roman"/>
                <w:sz w:val="20"/>
                <w:szCs w:val="20"/>
                <w:lang w:val="en-GB"/>
              </w:rPr>
              <w:t xml:space="preserve">transport sector, thematic campaigns should be conducted, while eco-driving will </w:t>
            </w:r>
            <w:r w:rsidR="00C37390" w:rsidRPr="00AA7A53">
              <w:rPr>
                <w:rFonts w:ascii="Times New Roman" w:hAnsi="Times New Roman" w:cs="Times New Roman"/>
                <w:sz w:val="20"/>
                <w:szCs w:val="20"/>
                <w:lang w:val="en-GB"/>
              </w:rPr>
              <w:t xml:space="preserve">also </w:t>
            </w:r>
            <w:r w:rsidRPr="00AA7A53">
              <w:rPr>
                <w:rFonts w:ascii="Times New Roman" w:hAnsi="Times New Roman" w:cs="Times New Roman"/>
                <w:sz w:val="20"/>
                <w:szCs w:val="20"/>
                <w:lang w:val="en-GB"/>
              </w:rPr>
              <w:t xml:space="preserve">be promoted. In </w:t>
            </w:r>
            <w:r w:rsidR="00C37390" w:rsidRPr="00AA7A53">
              <w:rPr>
                <w:rFonts w:ascii="Times New Roman" w:hAnsi="Times New Roman" w:cs="Times New Roman"/>
                <w:sz w:val="20"/>
                <w:szCs w:val="20"/>
                <w:lang w:val="en-GB"/>
              </w:rPr>
              <w:t xml:space="preserve">the </w:t>
            </w:r>
            <w:r w:rsidRPr="00AA7A53">
              <w:rPr>
                <w:rFonts w:ascii="Times New Roman" w:hAnsi="Times New Roman" w:cs="Times New Roman"/>
                <w:sz w:val="20"/>
                <w:szCs w:val="20"/>
                <w:lang w:val="en-GB"/>
              </w:rPr>
              <w:t xml:space="preserve">agricultural sector, </w:t>
            </w:r>
            <w:r w:rsidR="00C37390" w:rsidRPr="00AA7A53">
              <w:rPr>
                <w:rFonts w:ascii="Times New Roman" w:hAnsi="Times New Roman" w:cs="Times New Roman"/>
                <w:sz w:val="20"/>
                <w:szCs w:val="20"/>
                <w:lang w:val="en-GB"/>
              </w:rPr>
              <w:t xml:space="preserve">training activities for </w:t>
            </w:r>
            <w:r w:rsidRPr="00AA7A53">
              <w:rPr>
                <w:rFonts w:ascii="Times New Roman" w:hAnsi="Times New Roman" w:cs="Times New Roman"/>
                <w:sz w:val="20"/>
                <w:szCs w:val="20"/>
                <w:lang w:val="en-GB"/>
              </w:rPr>
              <w:t xml:space="preserve">farmers will be </w:t>
            </w:r>
            <w:r w:rsidR="00C37390" w:rsidRPr="00AA7A53">
              <w:rPr>
                <w:rFonts w:ascii="Times New Roman" w:hAnsi="Times New Roman" w:cs="Times New Roman"/>
                <w:sz w:val="20"/>
                <w:szCs w:val="20"/>
                <w:lang w:val="en-GB"/>
              </w:rPr>
              <w:t xml:space="preserve">undertaken regarding </w:t>
            </w:r>
            <w:r w:rsidRPr="00AA7A53">
              <w:rPr>
                <w:rFonts w:ascii="Times New Roman" w:hAnsi="Times New Roman" w:cs="Times New Roman"/>
                <w:sz w:val="20"/>
                <w:szCs w:val="20"/>
                <w:lang w:val="en-GB"/>
              </w:rPr>
              <w:t xml:space="preserve">all agricultural technologies within the whole chain of the agricultural products, while special emphasis </w:t>
            </w:r>
            <w:r w:rsidR="003D0375" w:rsidRPr="00AA7A53">
              <w:rPr>
                <w:rFonts w:ascii="Times New Roman" w:hAnsi="Times New Roman" w:cs="Times New Roman"/>
                <w:sz w:val="20"/>
                <w:szCs w:val="20"/>
                <w:lang w:val="en-GB"/>
              </w:rPr>
              <w:t>should</w:t>
            </w:r>
            <w:r w:rsidRPr="00AA7A53">
              <w:rPr>
                <w:rFonts w:ascii="Times New Roman" w:hAnsi="Times New Roman" w:cs="Times New Roman"/>
                <w:sz w:val="20"/>
                <w:szCs w:val="20"/>
                <w:lang w:val="en-GB"/>
              </w:rPr>
              <w:t xml:space="preserve"> be </w:t>
            </w:r>
            <w:r w:rsidR="003D0375" w:rsidRPr="00AA7A53">
              <w:rPr>
                <w:rFonts w:ascii="Times New Roman" w:hAnsi="Times New Roman" w:cs="Times New Roman"/>
                <w:sz w:val="20"/>
                <w:szCs w:val="20"/>
                <w:lang w:val="en-GB"/>
              </w:rPr>
              <w:t>places</w:t>
            </w:r>
            <w:r w:rsidRPr="00AA7A53">
              <w:rPr>
                <w:rFonts w:ascii="Times New Roman" w:hAnsi="Times New Roman" w:cs="Times New Roman"/>
                <w:sz w:val="20"/>
                <w:szCs w:val="20"/>
                <w:lang w:val="en-GB"/>
              </w:rPr>
              <w:t xml:space="preserve"> on the operation of irrigation pumping stations. In </w:t>
            </w:r>
            <w:r w:rsidR="003D0375" w:rsidRPr="00AA7A53">
              <w:rPr>
                <w:rFonts w:ascii="Times New Roman" w:hAnsi="Times New Roman" w:cs="Times New Roman"/>
                <w:sz w:val="20"/>
                <w:szCs w:val="20"/>
                <w:lang w:val="en-GB"/>
              </w:rPr>
              <w:t xml:space="preserve">the </w:t>
            </w:r>
            <w:r w:rsidRPr="00AA7A53">
              <w:rPr>
                <w:rFonts w:ascii="Times New Roman" w:hAnsi="Times New Roman" w:cs="Times New Roman"/>
                <w:sz w:val="20"/>
                <w:szCs w:val="20"/>
                <w:lang w:val="en-GB"/>
              </w:rPr>
              <w:t xml:space="preserve">commercial and industrial sectors, the </w:t>
            </w:r>
            <w:r w:rsidR="003D0375" w:rsidRPr="00AA7A53">
              <w:rPr>
                <w:rFonts w:ascii="Times New Roman" w:hAnsi="Times New Roman" w:cs="Times New Roman"/>
                <w:sz w:val="20"/>
                <w:szCs w:val="20"/>
                <w:lang w:val="en-GB"/>
              </w:rPr>
              <w:t>carrying out</w:t>
            </w:r>
            <w:r w:rsidRPr="00AA7A53">
              <w:rPr>
                <w:rFonts w:ascii="Times New Roman" w:hAnsi="Times New Roman" w:cs="Times New Roman"/>
                <w:sz w:val="20"/>
                <w:szCs w:val="20"/>
                <w:lang w:val="en-GB"/>
              </w:rPr>
              <w:t xml:space="preserve"> of energy audits will increase the current level of knowledge. Targeted awareness raising and educational activities will </w:t>
            </w:r>
            <w:r w:rsidR="003D0375" w:rsidRPr="00AA7A53">
              <w:rPr>
                <w:rFonts w:ascii="Times New Roman" w:hAnsi="Times New Roman" w:cs="Times New Roman"/>
                <w:sz w:val="20"/>
                <w:szCs w:val="20"/>
                <w:lang w:val="en-GB"/>
              </w:rPr>
              <w:t xml:space="preserve">also </w:t>
            </w:r>
            <w:r w:rsidRPr="00AA7A53">
              <w:rPr>
                <w:rFonts w:ascii="Times New Roman" w:hAnsi="Times New Roman" w:cs="Times New Roman"/>
                <w:sz w:val="20"/>
                <w:szCs w:val="20"/>
                <w:lang w:val="en-GB"/>
              </w:rPr>
              <w:t xml:space="preserve">be organised for employees in public buildings. Furthermore, the concept of carbon footprint and impact of energy efficiency measures throughout the entire life cycle of the promoted technologies and equipment should be promoted </w:t>
            </w:r>
            <w:r w:rsidR="003D0375" w:rsidRPr="00AA7A53">
              <w:rPr>
                <w:rFonts w:ascii="Times New Roman" w:hAnsi="Times New Roman" w:cs="Times New Roman"/>
                <w:sz w:val="20"/>
                <w:szCs w:val="20"/>
                <w:lang w:val="en-GB"/>
              </w:rPr>
              <w:t xml:space="preserve">in order to </w:t>
            </w:r>
            <w:r w:rsidRPr="00AA7A53">
              <w:rPr>
                <w:rFonts w:ascii="Times New Roman" w:hAnsi="Times New Roman" w:cs="Times New Roman"/>
                <w:sz w:val="20"/>
                <w:szCs w:val="20"/>
                <w:lang w:val="en-GB"/>
              </w:rPr>
              <w:t>familiariz</w:t>
            </w:r>
            <w:r w:rsidR="003D0375" w:rsidRPr="00AA7A53">
              <w:rPr>
                <w:rFonts w:ascii="Times New Roman" w:hAnsi="Times New Roman" w:cs="Times New Roman"/>
                <w:sz w:val="20"/>
                <w:szCs w:val="20"/>
                <w:lang w:val="en-GB"/>
              </w:rPr>
              <w:t>e</w:t>
            </w:r>
            <w:r w:rsidRPr="00AA7A53">
              <w:rPr>
                <w:rFonts w:ascii="Times New Roman" w:hAnsi="Times New Roman" w:cs="Times New Roman"/>
                <w:sz w:val="20"/>
                <w:szCs w:val="20"/>
                <w:lang w:val="en-GB"/>
              </w:rPr>
              <w:t xml:space="preserve"> the involved stakeholders </w:t>
            </w:r>
            <w:r w:rsidR="003D0375" w:rsidRPr="00AA7A53">
              <w:rPr>
                <w:rFonts w:ascii="Times New Roman" w:hAnsi="Times New Roman" w:cs="Times New Roman"/>
                <w:sz w:val="20"/>
                <w:szCs w:val="20"/>
                <w:lang w:val="en-GB"/>
              </w:rPr>
              <w:t>about</w:t>
            </w:r>
            <w:r w:rsidRPr="00AA7A53">
              <w:rPr>
                <w:rFonts w:ascii="Times New Roman" w:hAnsi="Times New Roman" w:cs="Times New Roman"/>
                <w:sz w:val="20"/>
                <w:szCs w:val="20"/>
                <w:lang w:val="en-GB"/>
              </w:rPr>
              <w:t xml:space="preserve"> the full impact of energy efficiency. Finally, targeted studies will be carried out so as to assess the energy saving potential in various economic activities in the service sector and to disseminate the obtained results</w:t>
            </w:r>
            <w:r w:rsidR="003D0375"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aiming at the mobilization of additional investments.</w:t>
            </w:r>
          </w:p>
        </w:tc>
      </w:tr>
      <w:tr w:rsidR="00614438" w:rsidRPr="00AA7A53" w14:paraId="1397C4DF"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0030211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1" w:type="dxa"/>
            <w:gridSpan w:val="3"/>
            <w:tcBorders>
              <w:top w:val="single" w:sz="8" w:space="0" w:color="auto"/>
              <w:left w:val="nil"/>
              <w:bottom w:val="single" w:sz="8" w:space="0" w:color="auto"/>
              <w:right w:val="single" w:sz="8" w:space="0" w:color="000000"/>
            </w:tcBorders>
            <w:vAlign w:val="center"/>
            <w:hideMark/>
          </w:tcPr>
          <w:p w14:paraId="5171BE2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300B2CAC"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4068487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1" w:type="dxa"/>
            <w:gridSpan w:val="3"/>
            <w:tcBorders>
              <w:top w:val="single" w:sz="8" w:space="0" w:color="auto"/>
              <w:left w:val="nil"/>
              <w:bottom w:val="single" w:sz="8" w:space="0" w:color="auto"/>
              <w:right w:val="single" w:sz="8" w:space="0" w:color="000000"/>
            </w:tcBorders>
            <w:vAlign w:val="center"/>
            <w:hideMark/>
          </w:tcPr>
          <w:p w14:paraId="7BB0286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71398327"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37BD84F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Sectors covered/affected</w:t>
            </w:r>
          </w:p>
        </w:tc>
        <w:tc>
          <w:tcPr>
            <w:tcW w:w="6141" w:type="dxa"/>
            <w:gridSpan w:val="3"/>
            <w:tcBorders>
              <w:top w:val="single" w:sz="8" w:space="0" w:color="auto"/>
              <w:left w:val="nil"/>
              <w:bottom w:val="single" w:sz="8" w:space="0" w:color="auto"/>
              <w:right w:val="single" w:sz="8" w:space="0" w:color="000000"/>
            </w:tcBorders>
            <w:vAlign w:val="center"/>
            <w:hideMark/>
          </w:tcPr>
          <w:p w14:paraId="7CA2162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final energy consumption sectors</w:t>
            </w:r>
          </w:p>
        </w:tc>
      </w:tr>
      <w:tr w:rsidR="00614438" w:rsidRPr="00AA7A53" w14:paraId="3BC460CC"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4669620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59479D0B" w14:textId="77777777" w:rsidR="003D0375" w:rsidRPr="00AA7A53" w:rsidRDefault="00614438" w:rsidP="00AA7A53">
            <w:pPr>
              <w:numPr>
                <w:ilvl w:val="0"/>
                <w:numId w:val="111"/>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0D7969EE" w14:textId="77777777" w:rsidR="00614438" w:rsidRPr="00AA7A53" w:rsidRDefault="00614438" w:rsidP="00AA7A53">
            <w:pPr>
              <w:numPr>
                <w:ilvl w:val="0"/>
                <w:numId w:val="111"/>
              </w:numPr>
              <w:spacing w:after="0"/>
              <w:jc w:val="both"/>
              <w:rPr>
                <w:rFonts w:ascii="Times New Roman" w:hAnsi="Times New Roman" w:cs="Times New Roman"/>
                <w:sz w:val="20"/>
                <w:szCs w:val="20"/>
              </w:rPr>
            </w:pPr>
            <w:r w:rsidRPr="00AA7A53">
              <w:rPr>
                <w:rFonts w:ascii="Times New Roman" w:hAnsi="Times New Roman" w:cs="Times New Roman"/>
                <w:sz w:val="20"/>
                <w:szCs w:val="20"/>
              </w:rPr>
              <w:t>EE Directorate</w:t>
            </w:r>
          </w:p>
          <w:p w14:paraId="53E2B847" w14:textId="1B9B219B" w:rsidR="003D0375" w:rsidRPr="00AA7A53" w:rsidRDefault="003D0375" w:rsidP="00AA7A53">
            <w:pPr>
              <w:numPr>
                <w:ilvl w:val="0"/>
                <w:numId w:val="111"/>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tc>
      </w:tr>
      <w:tr w:rsidR="00614438" w:rsidRPr="00AA7A53" w14:paraId="7BDA261F"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77C2464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730E04C6" w14:textId="77777777" w:rsidR="00614438" w:rsidRPr="00AA7A53" w:rsidRDefault="00614438" w:rsidP="00AA7A53">
            <w:pPr>
              <w:numPr>
                <w:ilvl w:val="0"/>
                <w:numId w:val="111"/>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34B2C653"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7AF57FC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1" w:type="dxa"/>
            <w:gridSpan w:val="3"/>
            <w:tcBorders>
              <w:top w:val="single" w:sz="8" w:space="0" w:color="auto"/>
              <w:left w:val="nil"/>
              <w:bottom w:val="single" w:sz="8" w:space="0" w:color="auto"/>
              <w:right w:val="single" w:sz="8" w:space="0" w:color="000000"/>
            </w:tcBorders>
            <w:vAlign w:val="center"/>
            <w:hideMark/>
          </w:tcPr>
          <w:p w14:paraId="3732D8C5" w14:textId="77777777" w:rsidR="00614438" w:rsidRPr="00AA7A53" w:rsidRDefault="00614438" w:rsidP="00AA7A53">
            <w:pPr>
              <w:numPr>
                <w:ilvl w:val="0"/>
                <w:numId w:val="111"/>
              </w:numPr>
              <w:spacing w:after="0"/>
              <w:jc w:val="both"/>
              <w:rPr>
                <w:rFonts w:ascii="Times New Roman" w:hAnsi="Times New Roman" w:cs="Times New Roman"/>
                <w:sz w:val="20"/>
                <w:szCs w:val="20"/>
              </w:rPr>
            </w:pPr>
            <w:r w:rsidRPr="00AA7A53">
              <w:rPr>
                <w:rFonts w:ascii="Times New Roman" w:hAnsi="Times New Roman" w:cs="Times New Roman"/>
                <w:sz w:val="20"/>
                <w:szCs w:val="20"/>
              </w:rPr>
              <w:t>Number of affected end-users</w:t>
            </w:r>
          </w:p>
        </w:tc>
      </w:tr>
      <w:tr w:rsidR="00614438" w:rsidRPr="00AA7A53" w14:paraId="14C1327A" w14:textId="77777777" w:rsidTr="00614438">
        <w:trPr>
          <w:gridAfter w:val="1"/>
          <w:wAfter w:w="222" w:type="dxa"/>
          <w:trHeight w:val="470"/>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496F1FF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1" w:type="dxa"/>
            <w:gridSpan w:val="3"/>
            <w:tcBorders>
              <w:top w:val="single" w:sz="8" w:space="0" w:color="auto"/>
              <w:left w:val="nil"/>
              <w:bottom w:val="single" w:sz="8" w:space="0" w:color="auto"/>
              <w:right w:val="single" w:sz="8" w:space="0" w:color="000000"/>
            </w:tcBorders>
            <w:vAlign w:val="center"/>
            <w:hideMark/>
          </w:tcPr>
          <w:p w14:paraId="47292675" w14:textId="743B4465" w:rsidR="00614438" w:rsidRPr="00AA7A53" w:rsidRDefault="00614438" w:rsidP="00AA7A53">
            <w:pPr>
              <w:numPr>
                <w:ilvl w:val="0"/>
                <w:numId w:val="111"/>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w:t>
            </w:r>
            <w:r w:rsidR="003D0375" w:rsidRPr="00AA7A53">
              <w:rPr>
                <w:rFonts w:ascii="Times New Roman" w:hAnsi="Times New Roman" w:cs="Times New Roman"/>
                <w:sz w:val="20"/>
                <w:szCs w:val="20"/>
              </w:rPr>
              <w:t>,</w:t>
            </w:r>
            <w:r w:rsidRPr="00AA7A53">
              <w:rPr>
                <w:rFonts w:ascii="Times New Roman" w:hAnsi="Times New Roman" w:cs="Times New Roman"/>
                <w:sz w:val="20"/>
                <w:szCs w:val="20"/>
              </w:rPr>
              <w:t xml:space="preserve"> leading to the respective GHG emission reduction </w:t>
            </w:r>
            <w:r w:rsidR="003D0375"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utilised RES technologies will increase the RES share totally)</w:t>
            </w:r>
          </w:p>
          <w:p w14:paraId="10B54267" w14:textId="3F0314A1" w:rsidR="00614438" w:rsidRPr="00AA7A53" w:rsidRDefault="00614438" w:rsidP="00AA7A53">
            <w:pPr>
              <w:numPr>
                <w:ilvl w:val="0"/>
                <w:numId w:val="111"/>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w:t>
            </w:r>
            <w:r w:rsidR="003D0375" w:rsidRPr="00AA7A53">
              <w:rPr>
                <w:rFonts w:ascii="Times New Roman" w:hAnsi="Times New Roman" w:cs="Times New Roman"/>
                <w:sz w:val="20"/>
                <w:szCs w:val="20"/>
              </w:rPr>
              <w:t>,</w:t>
            </w:r>
            <w:r w:rsidRPr="00AA7A53">
              <w:rPr>
                <w:rFonts w:ascii="Times New Roman" w:hAnsi="Times New Roman" w:cs="Times New Roman"/>
                <w:sz w:val="20"/>
                <w:szCs w:val="20"/>
              </w:rPr>
              <w:t xml:space="preserve"> reducing energy import dependency from third countries)</w:t>
            </w:r>
          </w:p>
        </w:tc>
      </w:tr>
      <w:tr w:rsidR="00614438" w:rsidRPr="00AA7A53" w14:paraId="40AF52ED" w14:textId="77777777" w:rsidTr="00614438">
        <w:trPr>
          <w:gridAfter w:val="1"/>
          <w:wAfter w:w="222" w:type="dxa"/>
          <w:trHeight w:val="458"/>
        </w:trPr>
        <w:tc>
          <w:tcPr>
            <w:tcW w:w="3317" w:type="dxa"/>
            <w:vMerge w:val="restart"/>
            <w:tcBorders>
              <w:top w:val="nil"/>
              <w:left w:val="single" w:sz="8" w:space="0" w:color="auto"/>
              <w:bottom w:val="single" w:sz="8" w:space="0" w:color="000000"/>
              <w:right w:val="single" w:sz="8" w:space="0" w:color="auto"/>
            </w:tcBorders>
            <w:shd w:val="clear" w:color="auto" w:fill="244062"/>
            <w:vAlign w:val="center"/>
            <w:hideMark/>
          </w:tcPr>
          <w:p w14:paraId="52BA299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4ADB6E2F" w14:textId="77777777" w:rsidR="00614438" w:rsidRPr="00AA7A53" w:rsidRDefault="00614438" w:rsidP="00AA7A53">
            <w:pPr>
              <w:numPr>
                <w:ilvl w:val="0"/>
                <w:numId w:val="111"/>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5E50020B" w14:textId="77777777" w:rsidR="00614438" w:rsidRPr="00AA7A53" w:rsidRDefault="00614438" w:rsidP="00AA7A53">
            <w:pPr>
              <w:numPr>
                <w:ilvl w:val="0"/>
                <w:numId w:val="111"/>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p w14:paraId="5F1EEE78" w14:textId="12A12676" w:rsidR="003D0375" w:rsidRPr="00AA7A53" w:rsidRDefault="003D0375" w:rsidP="00AA7A53">
            <w:pPr>
              <w:numPr>
                <w:ilvl w:val="0"/>
                <w:numId w:val="111"/>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2018/844</w:t>
            </w:r>
          </w:p>
        </w:tc>
      </w:tr>
      <w:tr w:rsidR="00614438" w:rsidRPr="00AA7A53" w14:paraId="1AFEAE39"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210D2611"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07A1719"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36D4C10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2CFA104"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376E7169"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301A589"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11382AD3"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0C734777" w14:textId="77777777" w:rsidTr="00614438">
        <w:trPr>
          <w:trHeight w:val="578"/>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6260F16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1" w:type="dxa"/>
            <w:gridSpan w:val="3"/>
            <w:tcBorders>
              <w:top w:val="single" w:sz="8" w:space="0" w:color="auto"/>
              <w:left w:val="nil"/>
              <w:bottom w:val="single" w:sz="8" w:space="0" w:color="auto"/>
              <w:right w:val="single" w:sz="8" w:space="0" w:color="000000"/>
            </w:tcBorders>
            <w:vAlign w:val="center"/>
            <w:hideMark/>
          </w:tcPr>
          <w:p w14:paraId="148D1BF5" w14:textId="77777777" w:rsidR="00614438" w:rsidRPr="00AA7A53" w:rsidRDefault="00614438" w:rsidP="00AA7A53">
            <w:pPr>
              <w:numPr>
                <w:ilvl w:val="0"/>
                <w:numId w:val="111"/>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Long Term </w:t>
            </w:r>
            <w:r w:rsidR="003D0375" w:rsidRPr="00AA7A53">
              <w:rPr>
                <w:rFonts w:ascii="Times New Roman" w:hAnsi="Times New Roman" w:cs="Times New Roman"/>
                <w:sz w:val="20"/>
                <w:szCs w:val="20"/>
              </w:rPr>
              <w:t>Development</w:t>
            </w:r>
            <w:r w:rsidRPr="00AA7A53">
              <w:rPr>
                <w:rFonts w:ascii="Times New Roman" w:hAnsi="Times New Roman" w:cs="Times New Roman"/>
                <w:sz w:val="20"/>
                <w:szCs w:val="20"/>
              </w:rPr>
              <w:t xml:space="preserve"> Strategy</w:t>
            </w:r>
          </w:p>
          <w:p w14:paraId="5A6DCB1F" w14:textId="3557FA6C" w:rsidR="003D0375" w:rsidRPr="00AA7A53" w:rsidRDefault="003D0375" w:rsidP="00AA7A53">
            <w:pPr>
              <w:numPr>
                <w:ilvl w:val="0"/>
                <w:numId w:val="111"/>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 Long-term strategy for encouraging investment in the renovation of the national building fund and the law and by-laws regulating the energy efficiency of buildings</w:t>
            </w:r>
          </w:p>
        </w:tc>
        <w:tc>
          <w:tcPr>
            <w:tcW w:w="222" w:type="dxa"/>
            <w:vAlign w:val="center"/>
            <w:hideMark/>
          </w:tcPr>
          <w:p w14:paraId="4116381B"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445A290"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3D896A0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1" w:type="dxa"/>
            <w:gridSpan w:val="3"/>
            <w:tcBorders>
              <w:top w:val="single" w:sz="8" w:space="0" w:color="auto"/>
              <w:left w:val="nil"/>
              <w:bottom w:val="single" w:sz="8" w:space="0" w:color="auto"/>
              <w:right w:val="single" w:sz="8" w:space="0" w:color="000000"/>
            </w:tcBorders>
            <w:vAlign w:val="center"/>
            <w:hideMark/>
          </w:tcPr>
          <w:p w14:paraId="5BB5B1E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Budget incorporated into all end-use measures</w:t>
            </w:r>
          </w:p>
        </w:tc>
        <w:tc>
          <w:tcPr>
            <w:tcW w:w="222" w:type="dxa"/>
            <w:vAlign w:val="center"/>
            <w:hideMark/>
          </w:tcPr>
          <w:p w14:paraId="64762A67"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EC83156"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1E7A2C6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1" w:type="dxa"/>
            <w:gridSpan w:val="3"/>
            <w:tcBorders>
              <w:top w:val="single" w:sz="8" w:space="0" w:color="auto"/>
              <w:left w:val="nil"/>
              <w:bottom w:val="single" w:sz="8" w:space="0" w:color="auto"/>
              <w:right w:val="single" w:sz="8" w:space="0" w:color="000000"/>
            </w:tcBorders>
            <w:vAlign w:val="center"/>
            <w:hideMark/>
          </w:tcPr>
          <w:p w14:paraId="500741B1" w14:textId="1F98BCFE"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EU and other funds, public funds and </w:t>
            </w:r>
            <w:r w:rsidR="003D0375" w:rsidRPr="00AA7A53">
              <w:rPr>
                <w:rFonts w:ascii="Times New Roman" w:hAnsi="Times New Roman" w:cs="Times New Roman"/>
                <w:sz w:val="20"/>
                <w:szCs w:val="20"/>
                <w:lang w:val="en-GB"/>
              </w:rPr>
              <w:t>providers of energy-related services</w:t>
            </w:r>
          </w:p>
        </w:tc>
        <w:tc>
          <w:tcPr>
            <w:tcW w:w="222" w:type="dxa"/>
            <w:vAlign w:val="center"/>
            <w:hideMark/>
          </w:tcPr>
          <w:p w14:paraId="416FF2F3" w14:textId="77777777" w:rsidR="00614438" w:rsidRPr="00AA7A53" w:rsidRDefault="00614438" w:rsidP="00AA7A53">
            <w:pPr>
              <w:spacing w:after="0"/>
              <w:jc w:val="both"/>
              <w:rPr>
                <w:rFonts w:ascii="Times New Roman" w:hAnsi="Times New Roman" w:cs="Times New Roman"/>
                <w:sz w:val="20"/>
                <w:szCs w:val="20"/>
                <w:lang w:val="en-GB"/>
              </w:rPr>
            </w:pPr>
          </w:p>
        </w:tc>
      </w:tr>
    </w:tbl>
    <w:p w14:paraId="6119A102"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88"/>
        <w:gridCol w:w="1050"/>
        <w:gridCol w:w="938"/>
        <w:gridCol w:w="4182"/>
        <w:gridCol w:w="222"/>
      </w:tblGrid>
      <w:tr w:rsidR="00614438" w:rsidRPr="00AA7A53" w14:paraId="438B0730" w14:textId="77777777" w:rsidTr="00614438">
        <w:trPr>
          <w:gridAfter w:val="1"/>
          <w:wAfter w:w="222" w:type="dxa"/>
          <w:trHeight w:val="780"/>
        </w:trPr>
        <w:tc>
          <w:tcPr>
            <w:tcW w:w="3311"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F42B1C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2CABEAC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PM_EE32</w:t>
            </w:r>
          </w:p>
        </w:tc>
        <w:tc>
          <w:tcPr>
            <w:tcW w:w="942" w:type="dxa"/>
            <w:tcBorders>
              <w:top w:val="single" w:sz="8" w:space="0" w:color="auto"/>
              <w:left w:val="nil"/>
              <w:bottom w:val="single" w:sz="8" w:space="0" w:color="auto"/>
              <w:right w:val="single" w:sz="8" w:space="0" w:color="auto"/>
            </w:tcBorders>
            <w:shd w:val="clear" w:color="auto" w:fill="244062"/>
            <w:vAlign w:val="center"/>
            <w:hideMark/>
          </w:tcPr>
          <w:p w14:paraId="5A5A9DF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9" w:type="dxa"/>
            <w:tcBorders>
              <w:top w:val="single" w:sz="8" w:space="0" w:color="auto"/>
              <w:left w:val="nil"/>
              <w:bottom w:val="single" w:sz="8" w:space="0" w:color="auto"/>
              <w:right w:val="single" w:sz="8" w:space="0" w:color="auto"/>
            </w:tcBorders>
            <w:shd w:val="clear" w:color="auto" w:fill="E7E6E6" w:themeFill="background2"/>
            <w:vAlign w:val="center"/>
            <w:hideMark/>
          </w:tcPr>
          <w:p w14:paraId="616A3BF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energy-efficient products through the implementation of energy labelling and eco-design Directives</w:t>
            </w:r>
          </w:p>
        </w:tc>
      </w:tr>
      <w:tr w:rsidR="00614438" w:rsidRPr="00AA7A53" w14:paraId="62518834" w14:textId="77777777" w:rsidTr="00614438">
        <w:trPr>
          <w:gridAfter w:val="1"/>
          <w:wAfter w:w="222" w:type="dxa"/>
          <w:trHeight w:val="359"/>
        </w:trPr>
        <w:tc>
          <w:tcPr>
            <w:tcW w:w="3311" w:type="dxa"/>
            <w:tcBorders>
              <w:top w:val="nil"/>
              <w:left w:val="single" w:sz="8" w:space="0" w:color="auto"/>
              <w:bottom w:val="single" w:sz="8" w:space="0" w:color="auto"/>
              <w:right w:val="nil"/>
            </w:tcBorders>
            <w:shd w:val="clear" w:color="auto" w:fill="244062"/>
            <w:vAlign w:val="center"/>
            <w:hideMark/>
          </w:tcPr>
          <w:p w14:paraId="479F867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47" w:type="dxa"/>
            <w:gridSpan w:val="3"/>
            <w:tcBorders>
              <w:top w:val="single" w:sz="8" w:space="0" w:color="auto"/>
              <w:left w:val="nil"/>
              <w:bottom w:val="single" w:sz="8" w:space="0" w:color="auto"/>
              <w:right w:val="single" w:sz="8" w:space="0" w:color="000000"/>
            </w:tcBorders>
            <w:vAlign w:val="center"/>
            <w:hideMark/>
          </w:tcPr>
          <w:p w14:paraId="4DF66EC1" w14:textId="051B2BB8"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 as amended by Directive (EU) 2018/2002:</w:t>
            </w:r>
          </w:p>
          <w:p w14:paraId="0203AEB2" w14:textId="77777777" w:rsidR="00614438" w:rsidRPr="00AA7A53" w:rsidRDefault="00614438" w:rsidP="00AA7A53">
            <w:pPr>
              <w:numPr>
                <w:ilvl w:val="0"/>
                <w:numId w:val="112"/>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tc>
      </w:tr>
      <w:tr w:rsidR="00614438" w:rsidRPr="00AA7A53" w14:paraId="0CBD7D0A" w14:textId="77777777" w:rsidTr="00614438">
        <w:trPr>
          <w:gridAfter w:val="1"/>
          <w:wAfter w:w="222"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6CE30CC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47" w:type="dxa"/>
            <w:gridSpan w:val="3"/>
            <w:tcBorders>
              <w:top w:val="single" w:sz="8" w:space="0" w:color="auto"/>
              <w:left w:val="nil"/>
              <w:bottom w:val="single" w:sz="8" w:space="0" w:color="auto"/>
              <w:right w:val="single" w:sz="8" w:space="0" w:color="000000"/>
            </w:tcBorders>
            <w:vAlign w:val="center"/>
            <w:hideMark/>
          </w:tcPr>
          <w:p w14:paraId="5D6F2A7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PM_EE1 – PM_EE3 and PM_EE10</w:t>
            </w:r>
          </w:p>
        </w:tc>
      </w:tr>
      <w:tr w:rsidR="00614438" w:rsidRPr="00AA7A53" w14:paraId="4CE33BB8" w14:textId="77777777" w:rsidTr="00614438">
        <w:trPr>
          <w:gridAfter w:val="1"/>
          <w:wAfter w:w="222" w:type="dxa"/>
          <w:trHeight w:val="547"/>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5C729FA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7" w:type="dxa"/>
            <w:gridSpan w:val="3"/>
            <w:tcBorders>
              <w:top w:val="single" w:sz="8" w:space="0" w:color="auto"/>
              <w:left w:val="nil"/>
              <w:bottom w:val="single" w:sz="8" w:space="0" w:color="auto"/>
              <w:right w:val="single" w:sz="8" w:space="0" w:color="000000"/>
            </w:tcBorders>
            <w:vAlign w:val="center"/>
            <w:hideMark/>
          </w:tcPr>
          <w:p w14:paraId="3462C9C4" w14:textId="3BE5A628"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PM_EE32 will ensure the effective implementation of energy labelling and eco-design Directives. It is necessary to strengthen the capacity of the institutions responsible for market monitoring, which are the implementing entities for the current measure. It is also necessary to strengthen the capacity of conformity assessment bodies and conduct promotional and educational campaigns for all interested parties, including </w:t>
            </w:r>
            <w:r w:rsidR="007F2D63" w:rsidRPr="00AA7A53">
              <w:rPr>
                <w:rFonts w:ascii="Times New Roman" w:hAnsi="Times New Roman" w:cs="Times New Roman"/>
                <w:sz w:val="20"/>
                <w:szCs w:val="20"/>
                <w:lang w:val="en-GB"/>
              </w:rPr>
              <w:t xml:space="preserve">the </w:t>
            </w:r>
            <w:r w:rsidRPr="00AA7A53">
              <w:rPr>
                <w:rFonts w:ascii="Times New Roman" w:hAnsi="Times New Roman" w:cs="Times New Roman"/>
                <w:sz w:val="20"/>
                <w:szCs w:val="20"/>
                <w:lang w:val="en-GB"/>
              </w:rPr>
              <w:t>general public.</w:t>
            </w:r>
          </w:p>
        </w:tc>
      </w:tr>
      <w:tr w:rsidR="00614438" w:rsidRPr="00AA7A53" w14:paraId="1FE95388" w14:textId="77777777" w:rsidTr="00614438">
        <w:trPr>
          <w:gridAfter w:val="1"/>
          <w:wAfter w:w="222"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4476E1A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7" w:type="dxa"/>
            <w:gridSpan w:val="3"/>
            <w:tcBorders>
              <w:top w:val="single" w:sz="8" w:space="0" w:color="auto"/>
              <w:left w:val="nil"/>
              <w:bottom w:val="single" w:sz="8" w:space="0" w:color="auto"/>
              <w:right w:val="single" w:sz="8" w:space="0" w:color="000000"/>
            </w:tcBorders>
            <w:vAlign w:val="center"/>
            <w:hideMark/>
          </w:tcPr>
          <w:p w14:paraId="1FBC8FE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68A0C288" w14:textId="77777777" w:rsidTr="00614438">
        <w:trPr>
          <w:gridAfter w:val="1"/>
          <w:wAfter w:w="222"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55364E3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7" w:type="dxa"/>
            <w:gridSpan w:val="3"/>
            <w:tcBorders>
              <w:top w:val="single" w:sz="8" w:space="0" w:color="auto"/>
              <w:left w:val="nil"/>
              <w:bottom w:val="single" w:sz="8" w:space="0" w:color="auto"/>
              <w:right w:val="single" w:sz="8" w:space="0" w:color="000000"/>
            </w:tcBorders>
            <w:vAlign w:val="center"/>
            <w:hideMark/>
          </w:tcPr>
          <w:p w14:paraId="1F645F1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7405654E" w14:textId="77777777" w:rsidTr="00614438">
        <w:trPr>
          <w:gridAfter w:val="1"/>
          <w:wAfter w:w="222"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7A53B8B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7" w:type="dxa"/>
            <w:gridSpan w:val="3"/>
            <w:tcBorders>
              <w:top w:val="single" w:sz="8" w:space="0" w:color="auto"/>
              <w:left w:val="nil"/>
              <w:bottom w:val="single" w:sz="8" w:space="0" w:color="auto"/>
              <w:right w:val="single" w:sz="8" w:space="0" w:color="000000"/>
            </w:tcBorders>
            <w:vAlign w:val="center"/>
            <w:hideMark/>
          </w:tcPr>
          <w:p w14:paraId="78E13D9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final energy consumption sectors</w:t>
            </w:r>
          </w:p>
        </w:tc>
      </w:tr>
      <w:tr w:rsidR="00614438" w:rsidRPr="00AA7A53" w14:paraId="367053CA" w14:textId="77777777" w:rsidTr="00614438">
        <w:trPr>
          <w:gridAfter w:val="1"/>
          <w:wAfter w:w="222" w:type="dxa"/>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0E0C673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7" w:type="dxa"/>
            <w:gridSpan w:val="3"/>
            <w:tcBorders>
              <w:top w:val="single" w:sz="8" w:space="0" w:color="auto"/>
              <w:left w:val="nil"/>
              <w:bottom w:val="single" w:sz="8" w:space="0" w:color="auto"/>
              <w:right w:val="single" w:sz="8" w:space="0" w:color="000000"/>
            </w:tcBorders>
            <w:vAlign w:val="center"/>
            <w:hideMark/>
          </w:tcPr>
          <w:p w14:paraId="0CE1330E" w14:textId="77777777" w:rsidR="00614438" w:rsidRPr="00AA7A53" w:rsidRDefault="00614438" w:rsidP="00AA7A53">
            <w:pPr>
              <w:numPr>
                <w:ilvl w:val="0"/>
                <w:numId w:val="112"/>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513C4E05" w14:textId="77777777" w:rsidTr="00614438">
        <w:trPr>
          <w:gridAfter w:val="1"/>
          <w:wAfter w:w="222" w:type="dxa"/>
          <w:trHeight w:val="315"/>
        </w:trPr>
        <w:tc>
          <w:tcPr>
            <w:tcW w:w="3311" w:type="dxa"/>
            <w:tcBorders>
              <w:top w:val="nil"/>
              <w:left w:val="single" w:sz="8" w:space="0" w:color="auto"/>
              <w:bottom w:val="single" w:sz="8" w:space="0" w:color="auto"/>
              <w:right w:val="nil"/>
            </w:tcBorders>
            <w:shd w:val="clear" w:color="auto" w:fill="244062"/>
            <w:vAlign w:val="center"/>
            <w:hideMark/>
          </w:tcPr>
          <w:p w14:paraId="0E4B2C9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7" w:type="dxa"/>
            <w:gridSpan w:val="3"/>
            <w:tcBorders>
              <w:top w:val="single" w:sz="8" w:space="0" w:color="auto"/>
              <w:left w:val="nil"/>
              <w:bottom w:val="single" w:sz="8" w:space="0" w:color="auto"/>
              <w:right w:val="single" w:sz="8" w:space="0" w:color="000000"/>
            </w:tcBorders>
            <w:vAlign w:val="center"/>
            <w:hideMark/>
          </w:tcPr>
          <w:p w14:paraId="74FAB69B" w14:textId="77777777" w:rsidR="00614438" w:rsidRPr="00AA7A53" w:rsidRDefault="00614438" w:rsidP="00AA7A53">
            <w:pPr>
              <w:numPr>
                <w:ilvl w:val="0"/>
                <w:numId w:val="112"/>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4A04DBA9" w14:textId="77777777" w:rsidTr="00614438">
        <w:trPr>
          <w:gridAfter w:val="1"/>
          <w:wAfter w:w="222" w:type="dxa"/>
          <w:trHeight w:val="315"/>
        </w:trPr>
        <w:tc>
          <w:tcPr>
            <w:tcW w:w="3311" w:type="dxa"/>
            <w:tcBorders>
              <w:top w:val="nil"/>
              <w:left w:val="single" w:sz="8" w:space="0" w:color="auto"/>
              <w:bottom w:val="single" w:sz="8" w:space="0" w:color="auto"/>
              <w:right w:val="nil"/>
            </w:tcBorders>
            <w:shd w:val="clear" w:color="auto" w:fill="244062"/>
            <w:vAlign w:val="center"/>
            <w:hideMark/>
          </w:tcPr>
          <w:p w14:paraId="1189FD7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7" w:type="dxa"/>
            <w:gridSpan w:val="3"/>
            <w:tcBorders>
              <w:top w:val="single" w:sz="8" w:space="0" w:color="auto"/>
              <w:left w:val="nil"/>
              <w:bottom w:val="single" w:sz="8" w:space="0" w:color="auto"/>
              <w:right w:val="single" w:sz="8" w:space="0" w:color="000000"/>
            </w:tcBorders>
            <w:vAlign w:val="center"/>
            <w:hideMark/>
          </w:tcPr>
          <w:p w14:paraId="75CCB9E7" w14:textId="77777777" w:rsidR="00614438" w:rsidRPr="00AA7A53" w:rsidRDefault="00614438" w:rsidP="00AA7A53">
            <w:pPr>
              <w:numPr>
                <w:ilvl w:val="0"/>
                <w:numId w:val="112"/>
              </w:numPr>
              <w:spacing w:after="0"/>
              <w:jc w:val="both"/>
              <w:rPr>
                <w:rFonts w:ascii="Times New Roman" w:hAnsi="Times New Roman" w:cs="Times New Roman"/>
                <w:sz w:val="20"/>
                <w:szCs w:val="20"/>
              </w:rPr>
            </w:pPr>
            <w:r w:rsidRPr="00AA7A53">
              <w:rPr>
                <w:rFonts w:ascii="Times New Roman" w:hAnsi="Times New Roman" w:cs="Times New Roman"/>
                <w:sz w:val="20"/>
                <w:szCs w:val="20"/>
              </w:rPr>
              <w:t>Number of energy efficiency appliances and equipment</w:t>
            </w:r>
          </w:p>
        </w:tc>
      </w:tr>
      <w:tr w:rsidR="00614438" w:rsidRPr="00AA7A53" w14:paraId="51825C46" w14:textId="77777777" w:rsidTr="00614438">
        <w:trPr>
          <w:gridAfter w:val="1"/>
          <w:wAfter w:w="222" w:type="dxa"/>
          <w:trHeight w:val="50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376BCF4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7" w:type="dxa"/>
            <w:gridSpan w:val="3"/>
            <w:tcBorders>
              <w:top w:val="single" w:sz="8" w:space="0" w:color="auto"/>
              <w:left w:val="nil"/>
              <w:bottom w:val="single" w:sz="8" w:space="0" w:color="auto"/>
              <w:right w:val="single" w:sz="8" w:space="0" w:color="000000"/>
            </w:tcBorders>
            <w:vAlign w:val="center"/>
            <w:hideMark/>
          </w:tcPr>
          <w:p w14:paraId="3DFB3A9F" w14:textId="74243295" w:rsidR="00614438" w:rsidRPr="00AA7A53" w:rsidRDefault="00614438" w:rsidP="00AA7A53">
            <w:pPr>
              <w:numPr>
                <w:ilvl w:val="0"/>
                <w:numId w:val="112"/>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w:t>
            </w:r>
            <w:r w:rsidR="007F2D63" w:rsidRPr="00AA7A53">
              <w:rPr>
                <w:rFonts w:ascii="Times New Roman" w:hAnsi="Times New Roman" w:cs="Times New Roman"/>
                <w:sz w:val="20"/>
                <w:szCs w:val="20"/>
              </w:rPr>
              <w:t>,</w:t>
            </w:r>
            <w:r w:rsidRPr="00AA7A53">
              <w:rPr>
                <w:rFonts w:ascii="Times New Roman" w:hAnsi="Times New Roman" w:cs="Times New Roman"/>
                <w:sz w:val="20"/>
                <w:szCs w:val="20"/>
              </w:rPr>
              <w:t xml:space="preserve"> leading to the respective GHG emission reduction)</w:t>
            </w:r>
          </w:p>
          <w:p w14:paraId="6A04B436" w14:textId="2BB5671B" w:rsidR="00614438" w:rsidRPr="00AA7A53" w:rsidRDefault="00614438" w:rsidP="00AA7A53">
            <w:pPr>
              <w:numPr>
                <w:ilvl w:val="0"/>
                <w:numId w:val="112"/>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w:t>
            </w:r>
            <w:r w:rsidR="007F2D63" w:rsidRPr="00AA7A53">
              <w:rPr>
                <w:rFonts w:ascii="Times New Roman" w:hAnsi="Times New Roman" w:cs="Times New Roman"/>
                <w:sz w:val="20"/>
                <w:szCs w:val="20"/>
              </w:rPr>
              <w:t>,</w:t>
            </w:r>
            <w:r w:rsidRPr="00AA7A53">
              <w:rPr>
                <w:rFonts w:ascii="Times New Roman" w:hAnsi="Times New Roman" w:cs="Times New Roman"/>
                <w:sz w:val="20"/>
                <w:szCs w:val="20"/>
              </w:rPr>
              <w:t xml:space="preserve"> reducing energy import dependency from third countries)</w:t>
            </w:r>
          </w:p>
        </w:tc>
      </w:tr>
      <w:tr w:rsidR="00614438" w:rsidRPr="00AA7A53" w14:paraId="586AB4CB" w14:textId="77777777" w:rsidTr="00614438">
        <w:trPr>
          <w:gridAfter w:val="1"/>
          <w:wAfter w:w="222" w:type="dxa"/>
          <w:trHeight w:val="458"/>
        </w:trPr>
        <w:tc>
          <w:tcPr>
            <w:tcW w:w="3311" w:type="dxa"/>
            <w:vMerge w:val="restart"/>
            <w:tcBorders>
              <w:top w:val="nil"/>
              <w:left w:val="single" w:sz="8" w:space="0" w:color="auto"/>
              <w:bottom w:val="single" w:sz="8" w:space="0" w:color="000000"/>
              <w:right w:val="single" w:sz="8" w:space="0" w:color="auto"/>
            </w:tcBorders>
            <w:shd w:val="clear" w:color="auto" w:fill="244062"/>
            <w:vAlign w:val="center"/>
            <w:hideMark/>
          </w:tcPr>
          <w:p w14:paraId="111ACF6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7"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4C93AAC9" w14:textId="77777777" w:rsidR="00614438" w:rsidRPr="00AA7A53" w:rsidRDefault="00614438" w:rsidP="00AA7A53">
            <w:pPr>
              <w:numPr>
                <w:ilvl w:val="0"/>
                <w:numId w:val="112"/>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580BD156" w14:textId="77777777" w:rsidR="00614438" w:rsidRPr="00AA7A53" w:rsidRDefault="00614438" w:rsidP="00AA7A53">
            <w:pPr>
              <w:numPr>
                <w:ilvl w:val="0"/>
                <w:numId w:val="112"/>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32CFEA9C"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10A6C6CF"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925BEBA"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6812C30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0D2D0B8"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6D683611"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1EF0A62"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5A6E3422"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66FD2832" w14:textId="77777777" w:rsidTr="00614438">
        <w:trPr>
          <w:trHeight w:val="580"/>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429E10E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Relevant National Planning Document (Legal, Regulatory Acts etc)</w:t>
            </w:r>
          </w:p>
        </w:tc>
        <w:tc>
          <w:tcPr>
            <w:tcW w:w="6147" w:type="dxa"/>
            <w:gridSpan w:val="3"/>
            <w:tcBorders>
              <w:top w:val="single" w:sz="8" w:space="0" w:color="auto"/>
              <w:left w:val="nil"/>
              <w:bottom w:val="single" w:sz="8" w:space="0" w:color="auto"/>
              <w:right w:val="single" w:sz="8" w:space="0" w:color="000000"/>
            </w:tcBorders>
            <w:vAlign w:val="center"/>
            <w:hideMark/>
          </w:tcPr>
          <w:p w14:paraId="44FBB454" w14:textId="77777777" w:rsidR="00614438" w:rsidRPr="00AA7A53" w:rsidRDefault="00614438" w:rsidP="00AA7A53">
            <w:pPr>
              <w:numPr>
                <w:ilvl w:val="0"/>
                <w:numId w:val="112"/>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 Efficiency and Rational Use of Energy</w:t>
            </w:r>
          </w:p>
          <w:p w14:paraId="0741D3C2" w14:textId="3C7701AB" w:rsidR="00614438" w:rsidRPr="00AA7A53" w:rsidRDefault="00614438" w:rsidP="00AA7A53">
            <w:pPr>
              <w:numPr>
                <w:ilvl w:val="0"/>
                <w:numId w:val="112"/>
              </w:numPr>
              <w:spacing w:after="0"/>
              <w:jc w:val="both"/>
              <w:rPr>
                <w:rFonts w:ascii="Times New Roman" w:hAnsi="Times New Roman" w:cs="Times New Roman"/>
                <w:sz w:val="20"/>
                <w:szCs w:val="20"/>
              </w:rPr>
            </w:pPr>
          </w:p>
        </w:tc>
        <w:tc>
          <w:tcPr>
            <w:tcW w:w="222" w:type="dxa"/>
            <w:vAlign w:val="center"/>
            <w:hideMark/>
          </w:tcPr>
          <w:p w14:paraId="036579C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C6BB3E5" w14:textId="77777777" w:rsidTr="00614438">
        <w:trPr>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18FBF7C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7" w:type="dxa"/>
            <w:gridSpan w:val="3"/>
            <w:tcBorders>
              <w:top w:val="single" w:sz="8" w:space="0" w:color="auto"/>
              <w:left w:val="nil"/>
              <w:bottom w:val="single" w:sz="8" w:space="0" w:color="auto"/>
              <w:right w:val="single" w:sz="8" w:space="0" w:color="000000"/>
            </w:tcBorders>
            <w:vAlign w:val="center"/>
            <w:hideMark/>
          </w:tcPr>
          <w:p w14:paraId="155C8F0B" w14:textId="40F6E370" w:rsidR="00614438" w:rsidRPr="00AA7A53" w:rsidRDefault="007F2D63"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Will b</w:t>
            </w:r>
            <w:r w:rsidR="00614438" w:rsidRPr="00AA7A53">
              <w:rPr>
                <w:rFonts w:ascii="Times New Roman" w:hAnsi="Times New Roman" w:cs="Times New Roman"/>
                <w:sz w:val="20"/>
                <w:szCs w:val="20"/>
                <w:lang w:val="en-GB"/>
              </w:rPr>
              <w:t xml:space="preserve">e integrated into PM_EE1, PM_EE2, PM_EE3, PM_EE10 and measures for </w:t>
            </w:r>
            <w:r w:rsidRPr="00AA7A53">
              <w:rPr>
                <w:rFonts w:ascii="Times New Roman" w:hAnsi="Times New Roman" w:cs="Times New Roman"/>
                <w:sz w:val="20"/>
                <w:szCs w:val="20"/>
                <w:lang w:val="en-GB"/>
              </w:rPr>
              <w:t xml:space="preserve">the </w:t>
            </w:r>
            <w:r w:rsidR="00614438" w:rsidRPr="00AA7A53">
              <w:rPr>
                <w:rFonts w:ascii="Times New Roman" w:hAnsi="Times New Roman" w:cs="Times New Roman"/>
                <w:sz w:val="20"/>
                <w:szCs w:val="20"/>
                <w:lang w:val="en-GB"/>
              </w:rPr>
              <w:t>industrial sector</w:t>
            </w:r>
          </w:p>
        </w:tc>
        <w:tc>
          <w:tcPr>
            <w:tcW w:w="222" w:type="dxa"/>
            <w:vAlign w:val="center"/>
            <w:hideMark/>
          </w:tcPr>
          <w:p w14:paraId="1AE84A0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CA2FD1D" w14:textId="77777777" w:rsidTr="00614438">
        <w:trPr>
          <w:trHeight w:val="315"/>
        </w:trPr>
        <w:tc>
          <w:tcPr>
            <w:tcW w:w="3311" w:type="dxa"/>
            <w:tcBorders>
              <w:top w:val="nil"/>
              <w:left w:val="single" w:sz="8" w:space="0" w:color="auto"/>
              <w:bottom w:val="single" w:sz="8" w:space="0" w:color="auto"/>
              <w:right w:val="single" w:sz="8" w:space="0" w:color="auto"/>
            </w:tcBorders>
            <w:shd w:val="clear" w:color="auto" w:fill="244062"/>
            <w:vAlign w:val="center"/>
            <w:hideMark/>
          </w:tcPr>
          <w:p w14:paraId="2AE1467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7" w:type="dxa"/>
            <w:gridSpan w:val="3"/>
            <w:tcBorders>
              <w:top w:val="single" w:sz="8" w:space="0" w:color="auto"/>
              <w:left w:val="nil"/>
              <w:bottom w:val="single" w:sz="8" w:space="0" w:color="auto"/>
              <w:right w:val="single" w:sz="8" w:space="0" w:color="000000"/>
            </w:tcBorders>
            <w:vAlign w:val="center"/>
            <w:hideMark/>
          </w:tcPr>
          <w:p w14:paraId="1F59EB4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57A3A94E" w14:textId="77777777" w:rsidR="00614438" w:rsidRPr="00AA7A53" w:rsidRDefault="00614438" w:rsidP="00AA7A53">
            <w:pPr>
              <w:spacing w:after="0"/>
              <w:jc w:val="both"/>
              <w:rPr>
                <w:rFonts w:ascii="Times New Roman" w:hAnsi="Times New Roman" w:cs="Times New Roman"/>
                <w:sz w:val="20"/>
                <w:szCs w:val="20"/>
                <w:lang w:val="en-GB"/>
              </w:rPr>
            </w:pPr>
          </w:p>
        </w:tc>
      </w:tr>
    </w:tbl>
    <w:p w14:paraId="53D50AF7"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90"/>
        <w:gridCol w:w="1050"/>
        <w:gridCol w:w="939"/>
        <w:gridCol w:w="4179"/>
        <w:gridCol w:w="222"/>
      </w:tblGrid>
      <w:tr w:rsidR="00614438" w:rsidRPr="00AA7A53" w14:paraId="0588703E" w14:textId="77777777" w:rsidTr="00614438">
        <w:trPr>
          <w:gridAfter w:val="1"/>
          <w:wAfter w:w="222" w:type="dxa"/>
          <w:trHeight w:val="780"/>
        </w:trPr>
        <w:tc>
          <w:tcPr>
            <w:tcW w:w="3313"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F127FD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73C0553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PM_EE33</w:t>
            </w:r>
          </w:p>
        </w:tc>
        <w:tc>
          <w:tcPr>
            <w:tcW w:w="943" w:type="dxa"/>
            <w:tcBorders>
              <w:top w:val="single" w:sz="8" w:space="0" w:color="auto"/>
              <w:left w:val="nil"/>
              <w:bottom w:val="single" w:sz="8" w:space="0" w:color="auto"/>
              <w:right w:val="single" w:sz="8" w:space="0" w:color="auto"/>
            </w:tcBorders>
            <w:shd w:val="clear" w:color="auto" w:fill="244062"/>
            <w:vAlign w:val="center"/>
            <w:hideMark/>
          </w:tcPr>
          <w:p w14:paraId="3491281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6" w:type="dxa"/>
            <w:tcBorders>
              <w:top w:val="single" w:sz="8" w:space="0" w:color="auto"/>
              <w:left w:val="nil"/>
              <w:bottom w:val="single" w:sz="8" w:space="0" w:color="auto"/>
              <w:right w:val="single" w:sz="8" w:space="0" w:color="auto"/>
            </w:tcBorders>
            <w:shd w:val="clear" w:color="auto" w:fill="E7E6E6" w:themeFill="background2"/>
            <w:vAlign w:val="center"/>
            <w:hideMark/>
          </w:tcPr>
          <w:p w14:paraId="3FBB0A5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green public procurements</w:t>
            </w:r>
          </w:p>
        </w:tc>
      </w:tr>
      <w:tr w:rsidR="00614438" w:rsidRPr="00AA7A53" w14:paraId="5B2F4105" w14:textId="77777777" w:rsidTr="00614438">
        <w:trPr>
          <w:gridAfter w:val="1"/>
          <w:wAfter w:w="222" w:type="dxa"/>
          <w:trHeight w:val="407"/>
        </w:trPr>
        <w:tc>
          <w:tcPr>
            <w:tcW w:w="3313" w:type="dxa"/>
            <w:tcBorders>
              <w:top w:val="nil"/>
              <w:left w:val="single" w:sz="8" w:space="0" w:color="auto"/>
              <w:bottom w:val="single" w:sz="8" w:space="0" w:color="auto"/>
              <w:right w:val="nil"/>
            </w:tcBorders>
            <w:shd w:val="clear" w:color="auto" w:fill="244062"/>
            <w:vAlign w:val="center"/>
            <w:hideMark/>
          </w:tcPr>
          <w:p w14:paraId="5E46BCA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45" w:type="dxa"/>
            <w:gridSpan w:val="3"/>
            <w:tcBorders>
              <w:top w:val="single" w:sz="8" w:space="0" w:color="auto"/>
              <w:left w:val="nil"/>
              <w:bottom w:val="single" w:sz="8" w:space="0" w:color="auto"/>
              <w:right w:val="single" w:sz="8" w:space="0" w:color="000000"/>
            </w:tcBorders>
            <w:vAlign w:val="center"/>
            <w:hideMark/>
          </w:tcPr>
          <w:p w14:paraId="5AC16E53" w14:textId="57977748"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Implementation of the following articles of the Directive (EU) 2012/27, as amended by Directive 2018/2002:</w:t>
            </w:r>
          </w:p>
          <w:p w14:paraId="49B23D72" w14:textId="77777777" w:rsidR="00614438" w:rsidRPr="00AA7A53" w:rsidRDefault="00614438" w:rsidP="00AA7A53">
            <w:pPr>
              <w:numPr>
                <w:ilvl w:val="0"/>
                <w:numId w:val="113"/>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55EC0957" w14:textId="77777777" w:rsidR="00614438" w:rsidRPr="00AA7A53" w:rsidRDefault="00614438" w:rsidP="00AA7A53">
            <w:pPr>
              <w:numPr>
                <w:ilvl w:val="0"/>
                <w:numId w:val="113"/>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6</w:t>
            </w:r>
          </w:p>
        </w:tc>
      </w:tr>
      <w:tr w:rsidR="00614438" w:rsidRPr="00AA7A53" w14:paraId="5D6ED855" w14:textId="77777777" w:rsidTr="00614438">
        <w:trPr>
          <w:gridAfter w:val="1"/>
          <w:wAfter w:w="222" w:type="dxa"/>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3EDE44A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45" w:type="dxa"/>
            <w:gridSpan w:val="3"/>
            <w:tcBorders>
              <w:top w:val="single" w:sz="8" w:space="0" w:color="auto"/>
              <w:left w:val="nil"/>
              <w:bottom w:val="single" w:sz="8" w:space="0" w:color="auto"/>
              <w:right w:val="single" w:sz="8" w:space="0" w:color="000000"/>
            </w:tcBorders>
            <w:vAlign w:val="center"/>
            <w:hideMark/>
          </w:tcPr>
          <w:p w14:paraId="6FFD248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PM_EE2, PM_EE4, PM_EE5, PM_EE6, PM_EE7, PM_EE12, PM_EE14 and PM_EE18</w:t>
            </w:r>
          </w:p>
        </w:tc>
      </w:tr>
      <w:tr w:rsidR="00614438" w:rsidRPr="00AA7A53" w14:paraId="721ACE0A" w14:textId="77777777" w:rsidTr="00614438">
        <w:trPr>
          <w:gridAfter w:val="1"/>
          <w:wAfter w:w="222" w:type="dxa"/>
          <w:trHeight w:val="1064"/>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006E22C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5" w:type="dxa"/>
            <w:gridSpan w:val="3"/>
            <w:tcBorders>
              <w:top w:val="single" w:sz="8" w:space="0" w:color="auto"/>
              <w:left w:val="nil"/>
              <w:bottom w:val="single" w:sz="8" w:space="0" w:color="auto"/>
              <w:right w:val="single" w:sz="8" w:space="0" w:color="000000"/>
            </w:tcBorders>
            <w:vAlign w:val="center"/>
            <w:hideMark/>
          </w:tcPr>
          <w:p w14:paraId="1C39D7DC" w14:textId="1B30B91A"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PM_EE33 will facilitate the smooth and efficient application of green public procurement procedures. The life cycle energy consumption will be utilized as the basic criterion for the promotion of highly energy-efficient technologies and services</w:t>
            </w:r>
            <w:r w:rsidR="007F2D63"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demonstrating simultaneously </w:t>
            </w:r>
            <w:r w:rsidR="007F2D63" w:rsidRPr="00AA7A53">
              <w:rPr>
                <w:rFonts w:ascii="Times New Roman" w:hAnsi="Times New Roman" w:cs="Times New Roman"/>
                <w:sz w:val="20"/>
                <w:szCs w:val="20"/>
                <w:lang w:val="en-GB"/>
              </w:rPr>
              <w:t>an</w:t>
            </w:r>
            <w:r w:rsidRPr="00AA7A53">
              <w:rPr>
                <w:rFonts w:ascii="Times New Roman" w:hAnsi="Times New Roman" w:cs="Times New Roman"/>
                <w:sz w:val="20"/>
                <w:szCs w:val="20"/>
                <w:lang w:val="en-GB"/>
              </w:rPr>
              <w:t xml:space="preserve"> ex</w:t>
            </w:r>
            <w:r w:rsidR="007F2D63" w:rsidRPr="00AA7A53">
              <w:rPr>
                <w:rFonts w:ascii="Times New Roman" w:hAnsi="Times New Roman" w:cs="Times New Roman"/>
                <w:sz w:val="20"/>
                <w:szCs w:val="20"/>
                <w:lang w:val="en-GB"/>
              </w:rPr>
              <w:t>a</w:t>
            </w:r>
            <w:r w:rsidRPr="00AA7A53">
              <w:rPr>
                <w:rFonts w:ascii="Times New Roman" w:hAnsi="Times New Roman" w:cs="Times New Roman"/>
                <w:sz w:val="20"/>
                <w:szCs w:val="20"/>
                <w:lang w:val="en-GB"/>
              </w:rPr>
              <w:t>mpl</w:t>
            </w:r>
            <w:r w:rsidR="007F2D63" w:rsidRPr="00AA7A53">
              <w:rPr>
                <w:rFonts w:ascii="Times New Roman" w:hAnsi="Times New Roman" w:cs="Times New Roman"/>
                <w:sz w:val="20"/>
                <w:szCs w:val="20"/>
                <w:lang w:val="en-GB"/>
              </w:rPr>
              <w:t>e of good practice</w:t>
            </w:r>
            <w:r w:rsidRPr="00AA7A53">
              <w:rPr>
                <w:rFonts w:ascii="Times New Roman" w:hAnsi="Times New Roman" w:cs="Times New Roman"/>
                <w:sz w:val="20"/>
                <w:szCs w:val="20"/>
                <w:lang w:val="en-GB"/>
              </w:rPr>
              <w:t xml:space="preserve"> of the public sector. </w:t>
            </w:r>
          </w:p>
        </w:tc>
      </w:tr>
      <w:tr w:rsidR="00614438" w:rsidRPr="00AA7A53" w14:paraId="3966AE6D" w14:textId="77777777" w:rsidTr="00614438">
        <w:trPr>
          <w:gridAfter w:val="1"/>
          <w:wAfter w:w="222" w:type="dxa"/>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095F470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5" w:type="dxa"/>
            <w:gridSpan w:val="3"/>
            <w:tcBorders>
              <w:top w:val="single" w:sz="8" w:space="0" w:color="auto"/>
              <w:left w:val="nil"/>
              <w:bottom w:val="single" w:sz="8" w:space="0" w:color="auto"/>
              <w:right w:val="single" w:sz="8" w:space="0" w:color="000000"/>
            </w:tcBorders>
            <w:vAlign w:val="center"/>
            <w:hideMark/>
          </w:tcPr>
          <w:p w14:paraId="27350DF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638761C8" w14:textId="77777777" w:rsidTr="00614438">
        <w:trPr>
          <w:gridAfter w:val="1"/>
          <w:wAfter w:w="222" w:type="dxa"/>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333E6DA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5" w:type="dxa"/>
            <w:gridSpan w:val="3"/>
            <w:tcBorders>
              <w:top w:val="single" w:sz="8" w:space="0" w:color="auto"/>
              <w:left w:val="nil"/>
              <w:bottom w:val="single" w:sz="8" w:space="0" w:color="auto"/>
              <w:right w:val="single" w:sz="8" w:space="0" w:color="000000"/>
            </w:tcBorders>
            <w:vAlign w:val="center"/>
            <w:hideMark/>
          </w:tcPr>
          <w:p w14:paraId="7D027D2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0CF5474B" w14:textId="77777777" w:rsidTr="00614438">
        <w:trPr>
          <w:gridAfter w:val="1"/>
          <w:wAfter w:w="222" w:type="dxa"/>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5BBF2D2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5" w:type="dxa"/>
            <w:gridSpan w:val="3"/>
            <w:tcBorders>
              <w:top w:val="single" w:sz="8" w:space="0" w:color="auto"/>
              <w:left w:val="nil"/>
              <w:bottom w:val="single" w:sz="8" w:space="0" w:color="auto"/>
              <w:right w:val="single" w:sz="8" w:space="0" w:color="000000"/>
            </w:tcBorders>
            <w:vAlign w:val="center"/>
            <w:hideMark/>
          </w:tcPr>
          <w:p w14:paraId="5034999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Public</w:t>
            </w:r>
          </w:p>
        </w:tc>
      </w:tr>
      <w:tr w:rsidR="00614438" w:rsidRPr="00AA7A53" w14:paraId="0326F8D1" w14:textId="77777777" w:rsidTr="00614438">
        <w:trPr>
          <w:gridAfter w:val="1"/>
          <w:wAfter w:w="222" w:type="dxa"/>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38BCD16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5" w:type="dxa"/>
            <w:gridSpan w:val="3"/>
            <w:tcBorders>
              <w:top w:val="single" w:sz="8" w:space="0" w:color="auto"/>
              <w:left w:val="nil"/>
              <w:bottom w:val="single" w:sz="8" w:space="0" w:color="auto"/>
              <w:right w:val="single" w:sz="8" w:space="0" w:color="000000"/>
            </w:tcBorders>
            <w:vAlign w:val="center"/>
            <w:hideMark/>
          </w:tcPr>
          <w:p w14:paraId="3EB93481" w14:textId="77777777" w:rsidR="00614438" w:rsidRPr="00AA7A53" w:rsidRDefault="00614438" w:rsidP="00AA7A53">
            <w:pPr>
              <w:numPr>
                <w:ilvl w:val="0"/>
                <w:numId w:val="113"/>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62201087" w14:textId="77777777" w:rsidR="00614438" w:rsidRPr="00AA7A53" w:rsidRDefault="00614438" w:rsidP="00AA7A53">
            <w:pPr>
              <w:numPr>
                <w:ilvl w:val="0"/>
                <w:numId w:val="113"/>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tc>
      </w:tr>
      <w:tr w:rsidR="00614438" w:rsidRPr="00AA7A53" w14:paraId="7451B0F1" w14:textId="77777777" w:rsidTr="00614438">
        <w:trPr>
          <w:gridAfter w:val="1"/>
          <w:wAfter w:w="222" w:type="dxa"/>
          <w:trHeight w:val="315"/>
        </w:trPr>
        <w:tc>
          <w:tcPr>
            <w:tcW w:w="3313" w:type="dxa"/>
            <w:tcBorders>
              <w:top w:val="nil"/>
              <w:left w:val="single" w:sz="8" w:space="0" w:color="auto"/>
              <w:bottom w:val="single" w:sz="8" w:space="0" w:color="auto"/>
              <w:right w:val="nil"/>
            </w:tcBorders>
            <w:shd w:val="clear" w:color="auto" w:fill="244062"/>
            <w:vAlign w:val="center"/>
            <w:hideMark/>
          </w:tcPr>
          <w:p w14:paraId="0924216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5" w:type="dxa"/>
            <w:gridSpan w:val="3"/>
            <w:tcBorders>
              <w:top w:val="single" w:sz="8" w:space="0" w:color="auto"/>
              <w:left w:val="nil"/>
              <w:bottom w:val="single" w:sz="8" w:space="0" w:color="auto"/>
              <w:right w:val="single" w:sz="8" w:space="0" w:color="000000"/>
            </w:tcBorders>
            <w:vAlign w:val="center"/>
            <w:hideMark/>
          </w:tcPr>
          <w:p w14:paraId="4A21233D" w14:textId="77777777" w:rsidR="00614438" w:rsidRPr="00AA7A53" w:rsidRDefault="00614438" w:rsidP="00AA7A53">
            <w:pPr>
              <w:numPr>
                <w:ilvl w:val="0"/>
                <w:numId w:val="113"/>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 </w:t>
            </w:r>
          </w:p>
        </w:tc>
      </w:tr>
      <w:tr w:rsidR="00614438" w:rsidRPr="00AA7A53" w14:paraId="7450E7FD" w14:textId="77777777" w:rsidTr="00614438">
        <w:trPr>
          <w:gridAfter w:val="1"/>
          <w:wAfter w:w="222" w:type="dxa"/>
          <w:trHeight w:val="315"/>
        </w:trPr>
        <w:tc>
          <w:tcPr>
            <w:tcW w:w="3313" w:type="dxa"/>
            <w:tcBorders>
              <w:top w:val="nil"/>
              <w:left w:val="single" w:sz="8" w:space="0" w:color="auto"/>
              <w:bottom w:val="single" w:sz="8" w:space="0" w:color="auto"/>
              <w:right w:val="nil"/>
            </w:tcBorders>
            <w:shd w:val="clear" w:color="auto" w:fill="244062"/>
            <w:vAlign w:val="center"/>
            <w:hideMark/>
          </w:tcPr>
          <w:p w14:paraId="7CFDFDA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5" w:type="dxa"/>
            <w:gridSpan w:val="3"/>
            <w:tcBorders>
              <w:top w:val="single" w:sz="8" w:space="0" w:color="auto"/>
              <w:left w:val="nil"/>
              <w:bottom w:val="single" w:sz="8" w:space="0" w:color="auto"/>
              <w:right w:val="single" w:sz="8" w:space="0" w:color="000000"/>
            </w:tcBorders>
            <w:vAlign w:val="center"/>
            <w:hideMark/>
          </w:tcPr>
          <w:p w14:paraId="36F87297" w14:textId="78A60B5D" w:rsidR="00614438" w:rsidRPr="00AA7A53" w:rsidRDefault="00614438" w:rsidP="00AA7A53">
            <w:pPr>
              <w:numPr>
                <w:ilvl w:val="0"/>
                <w:numId w:val="113"/>
              </w:numPr>
              <w:spacing w:after="0"/>
              <w:jc w:val="both"/>
              <w:rPr>
                <w:rFonts w:ascii="Times New Roman" w:hAnsi="Times New Roman" w:cs="Times New Roman"/>
                <w:sz w:val="20"/>
                <w:szCs w:val="20"/>
              </w:rPr>
            </w:pPr>
            <w:r w:rsidRPr="00AA7A53">
              <w:rPr>
                <w:rFonts w:ascii="Times New Roman" w:hAnsi="Times New Roman" w:cs="Times New Roman"/>
                <w:sz w:val="20"/>
                <w:szCs w:val="20"/>
              </w:rPr>
              <w:t>Number of energy</w:t>
            </w:r>
            <w:r w:rsidR="007F2D63" w:rsidRPr="00AA7A53">
              <w:rPr>
                <w:rFonts w:ascii="Times New Roman" w:hAnsi="Times New Roman" w:cs="Times New Roman"/>
                <w:sz w:val="20"/>
                <w:szCs w:val="20"/>
              </w:rPr>
              <w:t>-</w:t>
            </w:r>
            <w:r w:rsidRPr="00AA7A53">
              <w:rPr>
                <w:rFonts w:ascii="Times New Roman" w:hAnsi="Times New Roman" w:cs="Times New Roman"/>
                <w:sz w:val="20"/>
                <w:szCs w:val="20"/>
              </w:rPr>
              <w:t>efficien</w:t>
            </w:r>
            <w:r w:rsidR="007F2D63" w:rsidRPr="00AA7A53">
              <w:rPr>
                <w:rFonts w:ascii="Times New Roman" w:hAnsi="Times New Roman" w:cs="Times New Roman"/>
                <w:sz w:val="20"/>
                <w:szCs w:val="20"/>
              </w:rPr>
              <w:t>t</w:t>
            </w:r>
            <w:r w:rsidRPr="00AA7A53">
              <w:rPr>
                <w:rFonts w:ascii="Times New Roman" w:hAnsi="Times New Roman" w:cs="Times New Roman"/>
                <w:sz w:val="20"/>
                <w:szCs w:val="20"/>
              </w:rPr>
              <w:t xml:space="preserve"> appliances, equipment and devices being financed within the framework of the green public procurements</w:t>
            </w:r>
          </w:p>
        </w:tc>
      </w:tr>
      <w:tr w:rsidR="00614438" w:rsidRPr="00AA7A53" w14:paraId="41D47A2F" w14:textId="77777777" w:rsidTr="00614438">
        <w:trPr>
          <w:gridAfter w:val="1"/>
          <w:wAfter w:w="222" w:type="dxa"/>
          <w:trHeight w:val="467"/>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5EE0CCA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5" w:type="dxa"/>
            <w:gridSpan w:val="3"/>
            <w:tcBorders>
              <w:top w:val="single" w:sz="8" w:space="0" w:color="auto"/>
              <w:left w:val="nil"/>
              <w:bottom w:val="single" w:sz="8" w:space="0" w:color="auto"/>
              <w:right w:val="single" w:sz="8" w:space="0" w:color="000000"/>
            </w:tcBorders>
            <w:vAlign w:val="center"/>
            <w:hideMark/>
          </w:tcPr>
          <w:p w14:paraId="7117B9F8" w14:textId="1BD20029" w:rsidR="00614438" w:rsidRPr="00AA7A53" w:rsidRDefault="00614438" w:rsidP="00AA7A53">
            <w:pPr>
              <w:numPr>
                <w:ilvl w:val="0"/>
                <w:numId w:val="113"/>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w:t>
            </w:r>
            <w:r w:rsidR="007F2D63" w:rsidRPr="00AA7A53">
              <w:rPr>
                <w:rFonts w:ascii="Times New Roman" w:hAnsi="Times New Roman" w:cs="Times New Roman"/>
                <w:sz w:val="20"/>
                <w:szCs w:val="20"/>
              </w:rPr>
              <w:t>,</w:t>
            </w:r>
            <w:r w:rsidRPr="00AA7A53">
              <w:rPr>
                <w:rFonts w:ascii="Times New Roman" w:hAnsi="Times New Roman" w:cs="Times New Roman"/>
                <w:sz w:val="20"/>
                <w:szCs w:val="20"/>
              </w:rPr>
              <w:t xml:space="preserve"> leading to the respective GHG emission reduction </w:t>
            </w:r>
            <w:r w:rsidR="007F2D63"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utilised RES technologies will increase the RES share totally)</w:t>
            </w:r>
          </w:p>
          <w:p w14:paraId="36464BBE" w14:textId="06F2FCFA" w:rsidR="00614438" w:rsidRPr="00AA7A53" w:rsidRDefault="00614438" w:rsidP="00AA7A53">
            <w:pPr>
              <w:numPr>
                <w:ilvl w:val="0"/>
                <w:numId w:val="113"/>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w:t>
            </w:r>
            <w:r w:rsidR="00DF0618" w:rsidRPr="00AA7A53">
              <w:rPr>
                <w:rFonts w:ascii="Times New Roman" w:hAnsi="Times New Roman" w:cs="Times New Roman"/>
                <w:sz w:val="20"/>
                <w:szCs w:val="20"/>
              </w:rPr>
              <w:t>,</w:t>
            </w:r>
            <w:r w:rsidRPr="00AA7A53">
              <w:rPr>
                <w:rFonts w:ascii="Times New Roman" w:hAnsi="Times New Roman" w:cs="Times New Roman"/>
                <w:sz w:val="20"/>
                <w:szCs w:val="20"/>
              </w:rPr>
              <w:t xml:space="preserve"> reducing energy import dependency from third countries)</w:t>
            </w:r>
          </w:p>
        </w:tc>
      </w:tr>
      <w:tr w:rsidR="00614438" w:rsidRPr="00AA7A53" w14:paraId="19257686" w14:textId="77777777" w:rsidTr="00614438">
        <w:trPr>
          <w:gridAfter w:val="1"/>
          <w:wAfter w:w="222" w:type="dxa"/>
          <w:trHeight w:val="458"/>
        </w:trPr>
        <w:tc>
          <w:tcPr>
            <w:tcW w:w="3313" w:type="dxa"/>
            <w:vMerge w:val="restart"/>
            <w:tcBorders>
              <w:top w:val="nil"/>
              <w:left w:val="single" w:sz="8" w:space="0" w:color="auto"/>
              <w:bottom w:val="single" w:sz="8" w:space="0" w:color="000000"/>
              <w:right w:val="single" w:sz="8" w:space="0" w:color="auto"/>
            </w:tcBorders>
            <w:shd w:val="clear" w:color="auto" w:fill="244062"/>
            <w:vAlign w:val="center"/>
            <w:hideMark/>
          </w:tcPr>
          <w:p w14:paraId="0F6045D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5"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B6386F1" w14:textId="77777777" w:rsidR="00614438" w:rsidRPr="00AA7A53" w:rsidRDefault="00614438" w:rsidP="00AA7A53">
            <w:pPr>
              <w:numPr>
                <w:ilvl w:val="0"/>
                <w:numId w:val="113"/>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343CBCD8" w14:textId="77777777" w:rsidR="00614438" w:rsidRPr="00AA7A53" w:rsidRDefault="00614438" w:rsidP="00AA7A53">
            <w:pPr>
              <w:numPr>
                <w:ilvl w:val="0"/>
                <w:numId w:val="113"/>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15F6504D"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4D40B42B"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64CA605"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0589E3D7"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3F7774E"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25735F5C"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61E078A"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59141F09"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527C15BA" w14:textId="77777777" w:rsidTr="00614438">
        <w:trPr>
          <w:trHeight w:val="581"/>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77A8DFC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5" w:type="dxa"/>
            <w:gridSpan w:val="3"/>
            <w:tcBorders>
              <w:top w:val="single" w:sz="8" w:space="0" w:color="auto"/>
              <w:left w:val="nil"/>
              <w:bottom w:val="single" w:sz="8" w:space="0" w:color="auto"/>
              <w:right w:val="single" w:sz="8" w:space="0" w:color="000000"/>
            </w:tcBorders>
            <w:vAlign w:val="center"/>
            <w:hideMark/>
          </w:tcPr>
          <w:p w14:paraId="249D9343" w14:textId="77777777" w:rsidR="00614438" w:rsidRPr="00AA7A53" w:rsidRDefault="00614438" w:rsidP="00AA7A53">
            <w:pPr>
              <w:numPr>
                <w:ilvl w:val="0"/>
                <w:numId w:val="113"/>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 Efficiency and Rational Use of Energy and relevant by-law</w:t>
            </w:r>
          </w:p>
          <w:p w14:paraId="4C272D35" w14:textId="3292F5A9" w:rsidR="00614438" w:rsidRPr="00AA7A53" w:rsidRDefault="00614438" w:rsidP="00AA7A53">
            <w:pPr>
              <w:numPr>
                <w:ilvl w:val="0"/>
                <w:numId w:val="113"/>
              </w:numPr>
              <w:spacing w:after="0"/>
              <w:jc w:val="both"/>
              <w:rPr>
                <w:rFonts w:ascii="Times New Roman" w:hAnsi="Times New Roman" w:cs="Times New Roman"/>
                <w:sz w:val="20"/>
                <w:szCs w:val="20"/>
              </w:rPr>
            </w:pPr>
          </w:p>
        </w:tc>
        <w:tc>
          <w:tcPr>
            <w:tcW w:w="222" w:type="dxa"/>
            <w:vAlign w:val="center"/>
            <w:hideMark/>
          </w:tcPr>
          <w:p w14:paraId="15FE291E"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F3B61D3" w14:textId="77777777" w:rsidTr="00614438">
        <w:trPr>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7D5A526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5" w:type="dxa"/>
            <w:gridSpan w:val="3"/>
            <w:tcBorders>
              <w:top w:val="single" w:sz="8" w:space="0" w:color="auto"/>
              <w:left w:val="nil"/>
              <w:bottom w:val="single" w:sz="8" w:space="0" w:color="auto"/>
              <w:right w:val="single" w:sz="8" w:space="0" w:color="000000"/>
            </w:tcBorders>
            <w:vAlign w:val="center"/>
            <w:hideMark/>
          </w:tcPr>
          <w:p w14:paraId="0D17ADA8" w14:textId="3E55D734" w:rsidR="00614438" w:rsidRPr="00AA7A53" w:rsidRDefault="00DF061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Will b</w:t>
            </w:r>
            <w:r w:rsidR="00614438" w:rsidRPr="00AA7A53">
              <w:rPr>
                <w:rFonts w:ascii="Times New Roman" w:hAnsi="Times New Roman" w:cs="Times New Roman"/>
                <w:sz w:val="20"/>
                <w:szCs w:val="20"/>
                <w:lang w:val="en-GB"/>
              </w:rPr>
              <w:t>e integrated into PM_EE2, PM_EE4, PM_EE5, PM_EE6, PM_EE7, PM_EE12, PM_EE14 and PM_EE18</w:t>
            </w:r>
          </w:p>
        </w:tc>
        <w:tc>
          <w:tcPr>
            <w:tcW w:w="222" w:type="dxa"/>
            <w:vAlign w:val="center"/>
            <w:hideMark/>
          </w:tcPr>
          <w:p w14:paraId="606DCC16"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0DF650B" w14:textId="77777777" w:rsidTr="00614438">
        <w:trPr>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5424C2D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5" w:type="dxa"/>
            <w:gridSpan w:val="3"/>
            <w:tcBorders>
              <w:top w:val="single" w:sz="8" w:space="0" w:color="auto"/>
              <w:left w:val="nil"/>
              <w:bottom w:val="single" w:sz="8" w:space="0" w:color="auto"/>
              <w:right w:val="single" w:sz="8" w:space="0" w:color="000000"/>
            </w:tcBorders>
            <w:vAlign w:val="center"/>
            <w:hideMark/>
          </w:tcPr>
          <w:p w14:paraId="21531D8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222" w:type="dxa"/>
            <w:vAlign w:val="center"/>
            <w:hideMark/>
          </w:tcPr>
          <w:p w14:paraId="0C9F9337" w14:textId="77777777" w:rsidR="00614438" w:rsidRPr="00AA7A53" w:rsidRDefault="00614438" w:rsidP="00AA7A53">
            <w:pPr>
              <w:spacing w:after="0"/>
              <w:jc w:val="both"/>
              <w:rPr>
                <w:rFonts w:ascii="Times New Roman" w:hAnsi="Times New Roman" w:cs="Times New Roman"/>
                <w:sz w:val="20"/>
                <w:szCs w:val="20"/>
                <w:lang w:val="en-GB"/>
              </w:rPr>
            </w:pPr>
          </w:p>
        </w:tc>
      </w:tr>
    </w:tbl>
    <w:p w14:paraId="75343C72"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72"/>
        <w:gridCol w:w="1050"/>
        <w:gridCol w:w="935"/>
        <w:gridCol w:w="4201"/>
        <w:gridCol w:w="222"/>
      </w:tblGrid>
      <w:tr w:rsidR="00614438" w:rsidRPr="00AA7A53" w14:paraId="017B8FB8" w14:textId="77777777" w:rsidTr="00614438">
        <w:trPr>
          <w:gridAfter w:val="1"/>
          <w:wAfter w:w="222" w:type="dxa"/>
          <w:trHeight w:val="780"/>
        </w:trPr>
        <w:tc>
          <w:tcPr>
            <w:tcW w:w="3298"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6FFFDF5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4629000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PM_EE34</w:t>
            </w:r>
          </w:p>
        </w:tc>
        <w:tc>
          <w:tcPr>
            <w:tcW w:w="940" w:type="dxa"/>
            <w:tcBorders>
              <w:top w:val="single" w:sz="8" w:space="0" w:color="auto"/>
              <w:left w:val="nil"/>
              <w:bottom w:val="single" w:sz="8" w:space="0" w:color="auto"/>
              <w:right w:val="single" w:sz="8" w:space="0" w:color="auto"/>
            </w:tcBorders>
            <w:shd w:val="clear" w:color="auto" w:fill="244062"/>
            <w:vAlign w:val="center"/>
            <w:hideMark/>
          </w:tcPr>
          <w:p w14:paraId="2DF2CF2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34" w:type="dxa"/>
            <w:tcBorders>
              <w:top w:val="single" w:sz="8" w:space="0" w:color="auto"/>
              <w:left w:val="nil"/>
              <w:bottom w:val="single" w:sz="8" w:space="0" w:color="auto"/>
              <w:right w:val="single" w:sz="8" w:space="0" w:color="auto"/>
            </w:tcBorders>
            <w:shd w:val="clear" w:color="auto" w:fill="E7E6E6" w:themeFill="background2"/>
            <w:vAlign w:val="center"/>
            <w:hideMark/>
          </w:tcPr>
          <w:p w14:paraId="5701F75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Regulatory measures and financing programs for promoting/modernizing high efficient CHP units and district heating/cooling networks</w:t>
            </w:r>
          </w:p>
        </w:tc>
      </w:tr>
      <w:tr w:rsidR="00614438" w:rsidRPr="00AA7A53" w14:paraId="569C0856" w14:textId="77777777" w:rsidTr="00614438">
        <w:trPr>
          <w:gridAfter w:val="1"/>
          <w:wAfter w:w="222" w:type="dxa"/>
          <w:trHeight w:val="355"/>
        </w:trPr>
        <w:tc>
          <w:tcPr>
            <w:tcW w:w="3298" w:type="dxa"/>
            <w:tcBorders>
              <w:top w:val="nil"/>
              <w:left w:val="single" w:sz="8" w:space="0" w:color="auto"/>
              <w:bottom w:val="single" w:sz="8" w:space="0" w:color="auto"/>
              <w:right w:val="nil"/>
            </w:tcBorders>
            <w:shd w:val="clear" w:color="auto" w:fill="244062"/>
            <w:vAlign w:val="center"/>
            <w:hideMark/>
          </w:tcPr>
          <w:p w14:paraId="7C452CA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60" w:type="dxa"/>
            <w:gridSpan w:val="3"/>
            <w:tcBorders>
              <w:top w:val="single" w:sz="8" w:space="0" w:color="auto"/>
              <w:left w:val="nil"/>
              <w:bottom w:val="single" w:sz="8" w:space="0" w:color="auto"/>
              <w:right w:val="single" w:sz="8" w:space="0" w:color="000000"/>
            </w:tcBorders>
            <w:vAlign w:val="center"/>
            <w:hideMark/>
          </w:tcPr>
          <w:p w14:paraId="04CF0652" w14:textId="01D4E130"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Implementation of the following articles of the Directive (EU) 2012/27, as amended by Directive (EU) 2018/2002:</w:t>
            </w:r>
          </w:p>
          <w:p w14:paraId="15323C5A" w14:textId="77777777" w:rsidR="00614438" w:rsidRPr="00AA7A53" w:rsidRDefault="00614438" w:rsidP="00AA7A53">
            <w:pPr>
              <w:numPr>
                <w:ilvl w:val="0"/>
                <w:numId w:val="114"/>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434203E4" w14:textId="77777777" w:rsidR="00614438" w:rsidRPr="00AA7A53" w:rsidRDefault="00614438" w:rsidP="00AA7A53">
            <w:pPr>
              <w:numPr>
                <w:ilvl w:val="0"/>
                <w:numId w:val="114"/>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14</w:t>
            </w:r>
          </w:p>
        </w:tc>
      </w:tr>
      <w:tr w:rsidR="00614438" w:rsidRPr="00AA7A53" w14:paraId="7BDF899F" w14:textId="77777777" w:rsidTr="00614438">
        <w:trPr>
          <w:gridAfter w:val="1"/>
          <w:wAfter w:w="222" w:type="dxa"/>
          <w:trHeight w:val="315"/>
        </w:trPr>
        <w:tc>
          <w:tcPr>
            <w:tcW w:w="3298" w:type="dxa"/>
            <w:tcBorders>
              <w:top w:val="nil"/>
              <w:left w:val="single" w:sz="8" w:space="0" w:color="auto"/>
              <w:bottom w:val="single" w:sz="8" w:space="0" w:color="auto"/>
              <w:right w:val="single" w:sz="8" w:space="0" w:color="auto"/>
            </w:tcBorders>
            <w:shd w:val="clear" w:color="auto" w:fill="244062"/>
            <w:vAlign w:val="center"/>
            <w:hideMark/>
          </w:tcPr>
          <w:p w14:paraId="3AF8A22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 xml:space="preserve">Quantified objective: </w:t>
            </w:r>
          </w:p>
        </w:tc>
        <w:tc>
          <w:tcPr>
            <w:tcW w:w="6160" w:type="dxa"/>
            <w:gridSpan w:val="3"/>
            <w:tcBorders>
              <w:top w:val="single" w:sz="8" w:space="0" w:color="auto"/>
              <w:left w:val="nil"/>
              <w:bottom w:val="single" w:sz="8" w:space="0" w:color="auto"/>
              <w:right w:val="single" w:sz="8" w:space="0" w:color="000000"/>
            </w:tcBorders>
            <w:vAlign w:val="center"/>
            <w:hideMark/>
          </w:tcPr>
          <w:p w14:paraId="6F71CD5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23 MW (Electricity output: 31 ktoe, Heat output for district heating: 6 ktoe, Industrial heat output: 13 ktoe)</w:t>
            </w:r>
          </w:p>
        </w:tc>
      </w:tr>
      <w:tr w:rsidR="00614438" w:rsidRPr="00AA7A53" w14:paraId="7CD75D59" w14:textId="77777777" w:rsidTr="00614438">
        <w:trPr>
          <w:gridAfter w:val="1"/>
          <w:wAfter w:w="222" w:type="dxa"/>
          <w:trHeight w:val="1437"/>
        </w:trPr>
        <w:tc>
          <w:tcPr>
            <w:tcW w:w="3298" w:type="dxa"/>
            <w:tcBorders>
              <w:top w:val="nil"/>
              <w:left w:val="single" w:sz="8" w:space="0" w:color="auto"/>
              <w:bottom w:val="single" w:sz="8" w:space="0" w:color="auto"/>
              <w:right w:val="single" w:sz="8" w:space="0" w:color="auto"/>
            </w:tcBorders>
            <w:shd w:val="clear" w:color="auto" w:fill="244062"/>
            <w:vAlign w:val="center"/>
            <w:hideMark/>
          </w:tcPr>
          <w:p w14:paraId="49AFA54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60" w:type="dxa"/>
            <w:gridSpan w:val="3"/>
            <w:tcBorders>
              <w:top w:val="single" w:sz="8" w:space="0" w:color="auto"/>
              <w:left w:val="nil"/>
              <w:bottom w:val="single" w:sz="8" w:space="0" w:color="auto"/>
              <w:right w:val="single" w:sz="8" w:space="0" w:color="000000"/>
            </w:tcBorders>
            <w:vAlign w:val="center"/>
            <w:hideMark/>
          </w:tcPr>
          <w:p w14:paraId="73F799E2" w14:textId="544ED4C9"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PM_EE34 will launch financial programs for the installation of new and the modernization of existing high efficient CHP units and district heating/cooling networks.</w:t>
            </w:r>
            <w:r w:rsidR="00DF0618" w:rsidRPr="00AA7A53">
              <w:rPr>
                <w:rFonts w:ascii="Times New Roman" w:hAnsi="Times New Roman" w:cs="Times New Roman"/>
                <w:sz w:val="20"/>
                <w:szCs w:val="20"/>
                <w:lang w:val="en-GB"/>
              </w:rPr>
              <w:t xml:space="preserve"> In</w:t>
            </w:r>
            <w:r w:rsidRPr="00AA7A53">
              <w:rPr>
                <w:rFonts w:ascii="Times New Roman" w:hAnsi="Times New Roman" w:cs="Times New Roman"/>
                <w:sz w:val="20"/>
                <w:szCs w:val="20"/>
                <w:lang w:val="en-GB"/>
              </w:rPr>
              <w:t xml:space="preserve"> </w:t>
            </w:r>
            <w:r w:rsidR="00DF0618" w:rsidRPr="00AA7A53">
              <w:rPr>
                <w:rFonts w:ascii="Times New Roman" w:hAnsi="Times New Roman" w:cs="Times New Roman"/>
                <w:sz w:val="20"/>
                <w:szCs w:val="20"/>
                <w:lang w:val="en-GB"/>
              </w:rPr>
              <w:t xml:space="preserve">the </w:t>
            </w:r>
            <w:r w:rsidRPr="00AA7A53">
              <w:rPr>
                <w:rFonts w:ascii="Times New Roman" w:hAnsi="Times New Roman" w:cs="Times New Roman"/>
                <w:sz w:val="20"/>
                <w:szCs w:val="20"/>
                <w:lang w:val="en-GB"/>
              </w:rPr>
              <w:t>case of the new high efficient CHP units, planned incentives will be carried out in alignment with the Law on Energy Efficiency and Rational Use of Energy.</w:t>
            </w:r>
            <w:r w:rsidR="00DF0618" w:rsidRPr="00AA7A53">
              <w:rPr>
                <w:rFonts w:ascii="Times New Roman" w:hAnsi="Times New Roman" w:cs="Times New Roman"/>
                <w:sz w:val="20"/>
                <w:szCs w:val="20"/>
                <w:lang w:val="en-GB"/>
              </w:rPr>
              <w:t xml:space="preserve"> </w:t>
            </w:r>
            <w:r w:rsidRPr="00AA7A53">
              <w:rPr>
                <w:rFonts w:ascii="Times New Roman" w:hAnsi="Times New Roman" w:cs="Times New Roman"/>
                <w:sz w:val="20"/>
                <w:szCs w:val="20"/>
                <w:lang w:val="en-GB"/>
              </w:rPr>
              <w:t>Furthermore, energy plants, which are being built of refurbished, must fulfil prescribed minimal energy efficiency requirements</w:t>
            </w:r>
            <w:r w:rsidR="00DF0618"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according of the Law on Energy Efficiency and Rational Use of Energy.</w:t>
            </w:r>
            <w:r w:rsidR="00DF0618" w:rsidRPr="00AA7A53">
              <w:rPr>
                <w:rFonts w:ascii="Times New Roman" w:hAnsi="Times New Roman" w:cs="Times New Roman"/>
                <w:sz w:val="20"/>
                <w:szCs w:val="20"/>
                <w:lang w:val="en-GB"/>
              </w:rPr>
              <w:t xml:space="preserve"> </w:t>
            </w:r>
            <w:r w:rsidRPr="00AA7A53">
              <w:rPr>
                <w:rFonts w:ascii="Times New Roman" w:hAnsi="Times New Roman" w:cs="Times New Roman"/>
                <w:sz w:val="20"/>
                <w:szCs w:val="20"/>
                <w:lang w:val="en-GB"/>
              </w:rPr>
              <w:t xml:space="preserve">Emphasis will be </w:t>
            </w:r>
            <w:r w:rsidR="00DF0618" w:rsidRPr="00AA7A53">
              <w:rPr>
                <w:rFonts w:ascii="Times New Roman" w:hAnsi="Times New Roman" w:cs="Times New Roman"/>
                <w:sz w:val="20"/>
                <w:szCs w:val="20"/>
                <w:lang w:val="en-GB"/>
              </w:rPr>
              <w:t>places</w:t>
            </w:r>
            <w:r w:rsidRPr="00AA7A53">
              <w:rPr>
                <w:rFonts w:ascii="Times New Roman" w:hAnsi="Times New Roman" w:cs="Times New Roman"/>
                <w:sz w:val="20"/>
                <w:szCs w:val="20"/>
                <w:lang w:val="en-GB"/>
              </w:rPr>
              <w:t xml:space="preserve"> on exploiting waste heat mainly by the industrial activities in the materialised high efficient CHP units and district heating/cooling networks. The foreseen investments will be designed in conjunction with the respective one within the framework of PM_EE23.</w:t>
            </w:r>
          </w:p>
        </w:tc>
      </w:tr>
      <w:tr w:rsidR="00614438" w:rsidRPr="00AA7A53" w14:paraId="5FF95470" w14:textId="77777777" w:rsidTr="00614438">
        <w:trPr>
          <w:gridAfter w:val="1"/>
          <w:wAfter w:w="222" w:type="dxa"/>
          <w:trHeight w:val="315"/>
        </w:trPr>
        <w:tc>
          <w:tcPr>
            <w:tcW w:w="3298" w:type="dxa"/>
            <w:tcBorders>
              <w:top w:val="nil"/>
              <w:left w:val="single" w:sz="8" w:space="0" w:color="auto"/>
              <w:bottom w:val="single" w:sz="8" w:space="0" w:color="auto"/>
              <w:right w:val="single" w:sz="8" w:space="0" w:color="auto"/>
            </w:tcBorders>
            <w:shd w:val="clear" w:color="auto" w:fill="244062"/>
            <w:vAlign w:val="center"/>
            <w:hideMark/>
          </w:tcPr>
          <w:p w14:paraId="6D250F0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60" w:type="dxa"/>
            <w:gridSpan w:val="3"/>
            <w:tcBorders>
              <w:top w:val="single" w:sz="8" w:space="0" w:color="auto"/>
              <w:left w:val="nil"/>
              <w:bottom w:val="single" w:sz="8" w:space="0" w:color="auto"/>
              <w:right w:val="single" w:sz="8" w:space="0" w:color="000000"/>
            </w:tcBorders>
            <w:vAlign w:val="center"/>
            <w:hideMark/>
          </w:tcPr>
          <w:p w14:paraId="41BF38F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360C6B11" w14:textId="77777777" w:rsidTr="00614438">
        <w:trPr>
          <w:gridAfter w:val="1"/>
          <w:wAfter w:w="222" w:type="dxa"/>
          <w:trHeight w:val="315"/>
        </w:trPr>
        <w:tc>
          <w:tcPr>
            <w:tcW w:w="3298" w:type="dxa"/>
            <w:tcBorders>
              <w:top w:val="nil"/>
              <w:left w:val="single" w:sz="8" w:space="0" w:color="auto"/>
              <w:bottom w:val="single" w:sz="8" w:space="0" w:color="auto"/>
              <w:right w:val="single" w:sz="8" w:space="0" w:color="auto"/>
            </w:tcBorders>
            <w:shd w:val="clear" w:color="auto" w:fill="244062"/>
            <w:vAlign w:val="center"/>
            <w:hideMark/>
          </w:tcPr>
          <w:p w14:paraId="7B293E6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60" w:type="dxa"/>
            <w:gridSpan w:val="3"/>
            <w:tcBorders>
              <w:top w:val="single" w:sz="8" w:space="0" w:color="auto"/>
              <w:left w:val="nil"/>
              <w:bottom w:val="single" w:sz="8" w:space="0" w:color="auto"/>
              <w:right w:val="single" w:sz="8" w:space="0" w:color="000000"/>
            </w:tcBorders>
            <w:vAlign w:val="center"/>
            <w:hideMark/>
          </w:tcPr>
          <w:p w14:paraId="784CD17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 and Investment Implementation</w:t>
            </w:r>
          </w:p>
        </w:tc>
      </w:tr>
      <w:tr w:rsidR="00614438" w:rsidRPr="00AA7A53" w14:paraId="3A81DD3C" w14:textId="77777777" w:rsidTr="00614438">
        <w:trPr>
          <w:gridAfter w:val="1"/>
          <w:wAfter w:w="222" w:type="dxa"/>
          <w:trHeight w:val="315"/>
        </w:trPr>
        <w:tc>
          <w:tcPr>
            <w:tcW w:w="3298" w:type="dxa"/>
            <w:tcBorders>
              <w:top w:val="nil"/>
              <w:left w:val="single" w:sz="8" w:space="0" w:color="auto"/>
              <w:bottom w:val="single" w:sz="8" w:space="0" w:color="auto"/>
              <w:right w:val="single" w:sz="8" w:space="0" w:color="auto"/>
            </w:tcBorders>
            <w:shd w:val="clear" w:color="auto" w:fill="244062"/>
            <w:vAlign w:val="center"/>
            <w:hideMark/>
          </w:tcPr>
          <w:p w14:paraId="157444D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60" w:type="dxa"/>
            <w:gridSpan w:val="3"/>
            <w:tcBorders>
              <w:top w:val="single" w:sz="8" w:space="0" w:color="auto"/>
              <w:left w:val="nil"/>
              <w:bottom w:val="single" w:sz="8" w:space="0" w:color="auto"/>
              <w:right w:val="single" w:sz="8" w:space="0" w:color="000000"/>
            </w:tcBorders>
            <w:vAlign w:val="center"/>
            <w:hideMark/>
          </w:tcPr>
          <w:p w14:paraId="2882BC6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final energy consumption sectors</w:t>
            </w:r>
          </w:p>
        </w:tc>
      </w:tr>
      <w:tr w:rsidR="00614438" w:rsidRPr="00AA7A53" w14:paraId="0DA6B8F7" w14:textId="77777777" w:rsidTr="00614438">
        <w:trPr>
          <w:gridAfter w:val="1"/>
          <w:wAfter w:w="222" w:type="dxa"/>
          <w:trHeight w:val="315"/>
        </w:trPr>
        <w:tc>
          <w:tcPr>
            <w:tcW w:w="3298" w:type="dxa"/>
            <w:tcBorders>
              <w:top w:val="nil"/>
              <w:left w:val="single" w:sz="8" w:space="0" w:color="auto"/>
              <w:bottom w:val="single" w:sz="8" w:space="0" w:color="auto"/>
              <w:right w:val="single" w:sz="8" w:space="0" w:color="auto"/>
            </w:tcBorders>
            <w:shd w:val="clear" w:color="auto" w:fill="244062"/>
            <w:vAlign w:val="center"/>
            <w:hideMark/>
          </w:tcPr>
          <w:p w14:paraId="2311144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60" w:type="dxa"/>
            <w:gridSpan w:val="3"/>
            <w:tcBorders>
              <w:top w:val="single" w:sz="8" w:space="0" w:color="auto"/>
              <w:left w:val="nil"/>
              <w:bottom w:val="single" w:sz="8" w:space="0" w:color="auto"/>
              <w:right w:val="single" w:sz="8" w:space="0" w:color="000000"/>
            </w:tcBorders>
            <w:vAlign w:val="center"/>
            <w:hideMark/>
          </w:tcPr>
          <w:p w14:paraId="6D3E5BDB" w14:textId="77777777" w:rsidR="00DF0618" w:rsidRPr="00AA7A53" w:rsidRDefault="00614438" w:rsidP="00AA7A53">
            <w:pPr>
              <w:numPr>
                <w:ilvl w:val="0"/>
                <w:numId w:val="114"/>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61439439" w14:textId="6004F67F" w:rsidR="00614438" w:rsidRPr="00AA7A53" w:rsidRDefault="00614438" w:rsidP="00AA7A53">
            <w:pPr>
              <w:numPr>
                <w:ilvl w:val="0"/>
                <w:numId w:val="114"/>
              </w:numPr>
              <w:spacing w:after="0"/>
              <w:jc w:val="both"/>
              <w:rPr>
                <w:rFonts w:ascii="Times New Roman" w:hAnsi="Times New Roman" w:cs="Times New Roman"/>
                <w:sz w:val="20"/>
                <w:szCs w:val="20"/>
              </w:rPr>
            </w:pPr>
            <w:r w:rsidRPr="00AA7A53">
              <w:rPr>
                <w:rFonts w:ascii="Times New Roman" w:hAnsi="Times New Roman" w:cs="Times New Roman"/>
                <w:sz w:val="20"/>
                <w:szCs w:val="20"/>
              </w:rPr>
              <w:t>EE Directorate</w:t>
            </w:r>
          </w:p>
          <w:p w14:paraId="789A43E4" w14:textId="77777777" w:rsidR="00614438" w:rsidRPr="00AA7A53" w:rsidRDefault="00614438" w:rsidP="00AA7A53">
            <w:pPr>
              <w:numPr>
                <w:ilvl w:val="0"/>
                <w:numId w:val="114"/>
              </w:numPr>
              <w:spacing w:after="0"/>
              <w:jc w:val="both"/>
              <w:rPr>
                <w:rFonts w:ascii="Times New Roman" w:hAnsi="Times New Roman" w:cs="Times New Roman"/>
                <w:sz w:val="20"/>
                <w:szCs w:val="20"/>
              </w:rPr>
            </w:pPr>
            <w:r w:rsidRPr="00AA7A53">
              <w:rPr>
                <w:rFonts w:ascii="Times New Roman" w:hAnsi="Times New Roman" w:cs="Times New Roman"/>
                <w:sz w:val="20"/>
                <w:szCs w:val="20"/>
              </w:rPr>
              <w:t>Local self-governments</w:t>
            </w:r>
          </w:p>
          <w:p w14:paraId="512B8554" w14:textId="77777777" w:rsidR="00614438" w:rsidRPr="00AA7A53" w:rsidRDefault="00614438" w:rsidP="00AA7A53">
            <w:pPr>
              <w:numPr>
                <w:ilvl w:val="0"/>
                <w:numId w:val="114"/>
              </w:numPr>
              <w:spacing w:after="0"/>
              <w:jc w:val="both"/>
              <w:rPr>
                <w:rFonts w:ascii="Times New Roman" w:hAnsi="Times New Roman" w:cs="Times New Roman"/>
                <w:sz w:val="20"/>
                <w:szCs w:val="20"/>
              </w:rPr>
            </w:pPr>
            <w:r w:rsidRPr="00AA7A53">
              <w:rPr>
                <w:rFonts w:ascii="Times New Roman" w:hAnsi="Times New Roman" w:cs="Times New Roman"/>
                <w:sz w:val="20"/>
                <w:szCs w:val="20"/>
              </w:rPr>
              <w:t>Heating plants</w:t>
            </w:r>
          </w:p>
        </w:tc>
      </w:tr>
      <w:tr w:rsidR="00614438" w:rsidRPr="00AA7A53" w14:paraId="121C03AC" w14:textId="77777777" w:rsidTr="00614438">
        <w:trPr>
          <w:gridAfter w:val="1"/>
          <w:wAfter w:w="222" w:type="dxa"/>
          <w:trHeight w:val="315"/>
        </w:trPr>
        <w:tc>
          <w:tcPr>
            <w:tcW w:w="3298" w:type="dxa"/>
            <w:tcBorders>
              <w:top w:val="nil"/>
              <w:left w:val="single" w:sz="8" w:space="0" w:color="auto"/>
              <w:bottom w:val="single" w:sz="8" w:space="0" w:color="auto"/>
              <w:right w:val="nil"/>
            </w:tcBorders>
            <w:shd w:val="clear" w:color="auto" w:fill="244062"/>
            <w:vAlign w:val="center"/>
            <w:hideMark/>
          </w:tcPr>
          <w:p w14:paraId="5012A03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60" w:type="dxa"/>
            <w:gridSpan w:val="3"/>
            <w:tcBorders>
              <w:top w:val="single" w:sz="8" w:space="0" w:color="auto"/>
              <w:left w:val="nil"/>
              <w:bottom w:val="single" w:sz="8" w:space="0" w:color="auto"/>
              <w:right w:val="single" w:sz="8" w:space="0" w:color="000000"/>
            </w:tcBorders>
            <w:vAlign w:val="center"/>
            <w:hideMark/>
          </w:tcPr>
          <w:p w14:paraId="75993891" w14:textId="77777777" w:rsidR="00614438" w:rsidRPr="00AA7A53" w:rsidRDefault="00614438" w:rsidP="00AA7A53">
            <w:pPr>
              <w:numPr>
                <w:ilvl w:val="0"/>
                <w:numId w:val="114"/>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 </w:t>
            </w:r>
          </w:p>
        </w:tc>
      </w:tr>
      <w:tr w:rsidR="00614438" w:rsidRPr="00AA7A53" w14:paraId="57ED777B" w14:textId="77777777" w:rsidTr="00614438">
        <w:trPr>
          <w:gridAfter w:val="1"/>
          <w:wAfter w:w="222" w:type="dxa"/>
          <w:trHeight w:val="315"/>
        </w:trPr>
        <w:tc>
          <w:tcPr>
            <w:tcW w:w="3298" w:type="dxa"/>
            <w:tcBorders>
              <w:top w:val="nil"/>
              <w:left w:val="single" w:sz="8" w:space="0" w:color="auto"/>
              <w:bottom w:val="single" w:sz="8" w:space="0" w:color="auto"/>
              <w:right w:val="nil"/>
            </w:tcBorders>
            <w:shd w:val="clear" w:color="auto" w:fill="244062"/>
            <w:vAlign w:val="center"/>
            <w:hideMark/>
          </w:tcPr>
          <w:p w14:paraId="57C58DA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60" w:type="dxa"/>
            <w:gridSpan w:val="3"/>
            <w:tcBorders>
              <w:top w:val="single" w:sz="8" w:space="0" w:color="auto"/>
              <w:left w:val="nil"/>
              <w:bottom w:val="single" w:sz="8" w:space="0" w:color="auto"/>
              <w:right w:val="single" w:sz="8" w:space="0" w:color="000000"/>
            </w:tcBorders>
            <w:vAlign w:val="center"/>
            <w:hideMark/>
          </w:tcPr>
          <w:p w14:paraId="50D884BB" w14:textId="77777777" w:rsidR="00614438" w:rsidRPr="00AA7A53" w:rsidRDefault="00614438" w:rsidP="00AA7A53">
            <w:pPr>
              <w:numPr>
                <w:ilvl w:val="0"/>
                <w:numId w:val="114"/>
              </w:numPr>
              <w:spacing w:after="0"/>
              <w:jc w:val="both"/>
              <w:rPr>
                <w:rFonts w:ascii="Times New Roman" w:hAnsi="Times New Roman" w:cs="Times New Roman"/>
                <w:sz w:val="20"/>
                <w:szCs w:val="20"/>
              </w:rPr>
            </w:pPr>
            <w:r w:rsidRPr="00AA7A53">
              <w:rPr>
                <w:rFonts w:ascii="Times New Roman" w:hAnsi="Times New Roman" w:cs="Times New Roman"/>
                <w:sz w:val="20"/>
                <w:szCs w:val="20"/>
              </w:rPr>
              <w:t>Installed capacity of new high efficient CHP units in accordance with the Law on Energy Efficiency and Rational Use of Energy</w:t>
            </w:r>
          </w:p>
          <w:p w14:paraId="1D68C8D6" w14:textId="77777777" w:rsidR="00614438" w:rsidRPr="00AA7A53" w:rsidRDefault="00614438" w:rsidP="00AA7A53">
            <w:pPr>
              <w:numPr>
                <w:ilvl w:val="0"/>
                <w:numId w:val="114"/>
              </w:numPr>
              <w:spacing w:after="0"/>
              <w:jc w:val="both"/>
              <w:rPr>
                <w:rFonts w:ascii="Times New Roman" w:hAnsi="Times New Roman" w:cs="Times New Roman"/>
                <w:sz w:val="20"/>
                <w:szCs w:val="20"/>
              </w:rPr>
            </w:pPr>
            <w:r w:rsidRPr="00AA7A53">
              <w:rPr>
                <w:rFonts w:ascii="Times New Roman" w:hAnsi="Times New Roman" w:cs="Times New Roman"/>
                <w:sz w:val="20"/>
                <w:szCs w:val="20"/>
              </w:rPr>
              <w:t>Installed capacity of modernized CHP units and district heating/cooling networks</w:t>
            </w:r>
          </w:p>
        </w:tc>
      </w:tr>
      <w:tr w:rsidR="00614438" w:rsidRPr="00AA7A53" w14:paraId="7F2F42F7" w14:textId="77777777" w:rsidTr="00614438">
        <w:trPr>
          <w:gridAfter w:val="1"/>
          <w:wAfter w:w="222" w:type="dxa"/>
          <w:trHeight w:val="494"/>
        </w:trPr>
        <w:tc>
          <w:tcPr>
            <w:tcW w:w="3298" w:type="dxa"/>
            <w:tcBorders>
              <w:top w:val="nil"/>
              <w:left w:val="single" w:sz="8" w:space="0" w:color="auto"/>
              <w:bottom w:val="single" w:sz="8" w:space="0" w:color="auto"/>
              <w:right w:val="single" w:sz="8" w:space="0" w:color="auto"/>
            </w:tcBorders>
            <w:shd w:val="clear" w:color="auto" w:fill="244062"/>
            <w:vAlign w:val="center"/>
            <w:hideMark/>
          </w:tcPr>
          <w:p w14:paraId="4C0D9D4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60" w:type="dxa"/>
            <w:gridSpan w:val="3"/>
            <w:tcBorders>
              <w:top w:val="single" w:sz="8" w:space="0" w:color="auto"/>
              <w:left w:val="nil"/>
              <w:bottom w:val="single" w:sz="8" w:space="0" w:color="auto"/>
              <w:right w:val="single" w:sz="8" w:space="0" w:color="000000"/>
            </w:tcBorders>
            <w:vAlign w:val="center"/>
            <w:hideMark/>
          </w:tcPr>
          <w:p w14:paraId="415850DD" w14:textId="35E1CBC8" w:rsidR="00614438" w:rsidRPr="00AA7A53" w:rsidRDefault="00614438" w:rsidP="00AA7A53">
            <w:pPr>
              <w:numPr>
                <w:ilvl w:val="0"/>
                <w:numId w:val="114"/>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w:t>
            </w:r>
            <w:r w:rsidR="00DF0618" w:rsidRPr="00AA7A53">
              <w:rPr>
                <w:rFonts w:ascii="Times New Roman" w:hAnsi="Times New Roman" w:cs="Times New Roman"/>
                <w:sz w:val="20"/>
                <w:szCs w:val="20"/>
              </w:rPr>
              <w:t>,</w:t>
            </w:r>
            <w:r w:rsidRPr="00AA7A53">
              <w:rPr>
                <w:rFonts w:ascii="Times New Roman" w:hAnsi="Times New Roman" w:cs="Times New Roman"/>
                <w:sz w:val="20"/>
                <w:szCs w:val="20"/>
              </w:rPr>
              <w:t xml:space="preserve"> leading to the respective GHG emission reduction </w:t>
            </w:r>
            <w:r w:rsidR="00DF0618"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utilised RES technologies will increase the RES share in heating and cooling)</w:t>
            </w:r>
          </w:p>
          <w:p w14:paraId="74230978" w14:textId="32539804" w:rsidR="00614438" w:rsidRPr="00AA7A53" w:rsidRDefault="00614438" w:rsidP="00AA7A53">
            <w:pPr>
              <w:numPr>
                <w:ilvl w:val="0"/>
                <w:numId w:val="114"/>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w:t>
            </w:r>
            <w:r w:rsidR="00DF0618" w:rsidRPr="00AA7A53">
              <w:rPr>
                <w:rFonts w:ascii="Times New Roman" w:hAnsi="Times New Roman" w:cs="Times New Roman"/>
                <w:sz w:val="20"/>
                <w:szCs w:val="20"/>
              </w:rPr>
              <w:t>,</w:t>
            </w:r>
            <w:r w:rsidRPr="00AA7A53">
              <w:rPr>
                <w:rFonts w:ascii="Times New Roman" w:hAnsi="Times New Roman" w:cs="Times New Roman"/>
                <w:sz w:val="20"/>
                <w:szCs w:val="20"/>
              </w:rPr>
              <w:t xml:space="preserve"> reducing energy import dependency from third countries)</w:t>
            </w:r>
          </w:p>
        </w:tc>
      </w:tr>
      <w:tr w:rsidR="00614438" w:rsidRPr="00AA7A53" w14:paraId="46F918D6" w14:textId="77777777" w:rsidTr="00614438">
        <w:trPr>
          <w:gridAfter w:val="1"/>
          <w:wAfter w:w="222" w:type="dxa"/>
          <w:trHeight w:val="458"/>
        </w:trPr>
        <w:tc>
          <w:tcPr>
            <w:tcW w:w="3298" w:type="dxa"/>
            <w:vMerge w:val="restart"/>
            <w:tcBorders>
              <w:top w:val="nil"/>
              <w:left w:val="single" w:sz="8" w:space="0" w:color="auto"/>
              <w:bottom w:val="single" w:sz="8" w:space="0" w:color="000000"/>
              <w:right w:val="single" w:sz="8" w:space="0" w:color="auto"/>
            </w:tcBorders>
            <w:shd w:val="clear" w:color="auto" w:fill="244062"/>
            <w:vAlign w:val="center"/>
            <w:hideMark/>
          </w:tcPr>
          <w:p w14:paraId="5329000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6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6F307F3" w14:textId="77777777" w:rsidR="00614438" w:rsidRPr="00AA7A53" w:rsidRDefault="00614438" w:rsidP="00AA7A53">
            <w:pPr>
              <w:numPr>
                <w:ilvl w:val="0"/>
                <w:numId w:val="114"/>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1484D557" w14:textId="77777777" w:rsidR="00614438" w:rsidRPr="00AA7A53" w:rsidRDefault="00614438" w:rsidP="00AA7A53">
            <w:pPr>
              <w:numPr>
                <w:ilvl w:val="0"/>
                <w:numId w:val="114"/>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41F56D03"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5D3AA65A"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E0CB804"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38FC4BD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90171A8"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7F63EEFE"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7D47D7C"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6DDED795"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23DC3B89" w14:textId="77777777" w:rsidTr="00614438">
        <w:trPr>
          <w:trHeight w:val="629"/>
        </w:trPr>
        <w:tc>
          <w:tcPr>
            <w:tcW w:w="3298" w:type="dxa"/>
            <w:tcBorders>
              <w:top w:val="nil"/>
              <w:left w:val="single" w:sz="8" w:space="0" w:color="auto"/>
              <w:bottom w:val="single" w:sz="8" w:space="0" w:color="auto"/>
              <w:right w:val="single" w:sz="8" w:space="0" w:color="auto"/>
            </w:tcBorders>
            <w:shd w:val="clear" w:color="auto" w:fill="244062"/>
            <w:vAlign w:val="center"/>
            <w:hideMark/>
          </w:tcPr>
          <w:p w14:paraId="6771FDB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60" w:type="dxa"/>
            <w:gridSpan w:val="3"/>
            <w:tcBorders>
              <w:top w:val="single" w:sz="8" w:space="0" w:color="auto"/>
              <w:left w:val="nil"/>
              <w:bottom w:val="single" w:sz="8" w:space="0" w:color="auto"/>
              <w:right w:val="single" w:sz="8" w:space="0" w:color="000000"/>
            </w:tcBorders>
            <w:vAlign w:val="center"/>
            <w:hideMark/>
          </w:tcPr>
          <w:p w14:paraId="1B1E49F7" w14:textId="77777777" w:rsidR="00614438" w:rsidRPr="00AA7A53" w:rsidRDefault="00614438" w:rsidP="00AA7A53">
            <w:pPr>
              <w:numPr>
                <w:ilvl w:val="0"/>
                <w:numId w:val="114"/>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 Efficiency and Rational Use of Energy</w:t>
            </w:r>
          </w:p>
          <w:p w14:paraId="74085A53" w14:textId="39039540" w:rsidR="00614438" w:rsidRPr="00AA7A53" w:rsidRDefault="00614438" w:rsidP="00AA7A53">
            <w:pPr>
              <w:numPr>
                <w:ilvl w:val="0"/>
                <w:numId w:val="114"/>
              </w:numPr>
              <w:spacing w:after="0"/>
              <w:jc w:val="both"/>
              <w:rPr>
                <w:rFonts w:ascii="Times New Roman" w:hAnsi="Times New Roman" w:cs="Times New Roman"/>
                <w:sz w:val="20"/>
                <w:szCs w:val="20"/>
              </w:rPr>
            </w:pPr>
          </w:p>
        </w:tc>
        <w:tc>
          <w:tcPr>
            <w:tcW w:w="222" w:type="dxa"/>
            <w:vAlign w:val="center"/>
            <w:hideMark/>
          </w:tcPr>
          <w:p w14:paraId="7F7E1AEF"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EF707B6" w14:textId="77777777" w:rsidTr="00614438">
        <w:trPr>
          <w:trHeight w:val="315"/>
        </w:trPr>
        <w:tc>
          <w:tcPr>
            <w:tcW w:w="3298" w:type="dxa"/>
            <w:tcBorders>
              <w:top w:val="nil"/>
              <w:left w:val="single" w:sz="8" w:space="0" w:color="auto"/>
              <w:bottom w:val="single" w:sz="8" w:space="0" w:color="auto"/>
              <w:right w:val="single" w:sz="8" w:space="0" w:color="auto"/>
            </w:tcBorders>
            <w:shd w:val="clear" w:color="auto" w:fill="244062"/>
            <w:vAlign w:val="center"/>
            <w:hideMark/>
          </w:tcPr>
          <w:p w14:paraId="52E4C23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60" w:type="dxa"/>
            <w:gridSpan w:val="3"/>
            <w:tcBorders>
              <w:top w:val="single" w:sz="8" w:space="0" w:color="auto"/>
              <w:left w:val="nil"/>
              <w:bottom w:val="single" w:sz="8" w:space="0" w:color="auto"/>
              <w:right w:val="single" w:sz="8" w:space="0" w:color="000000"/>
            </w:tcBorders>
            <w:vAlign w:val="center"/>
            <w:hideMark/>
          </w:tcPr>
          <w:p w14:paraId="2CFBDB2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35m €</w:t>
            </w:r>
          </w:p>
        </w:tc>
        <w:tc>
          <w:tcPr>
            <w:tcW w:w="222" w:type="dxa"/>
            <w:vAlign w:val="center"/>
            <w:hideMark/>
          </w:tcPr>
          <w:p w14:paraId="5514185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F9A26DC" w14:textId="77777777" w:rsidTr="00614438">
        <w:trPr>
          <w:trHeight w:val="315"/>
        </w:trPr>
        <w:tc>
          <w:tcPr>
            <w:tcW w:w="3298" w:type="dxa"/>
            <w:tcBorders>
              <w:top w:val="nil"/>
              <w:left w:val="single" w:sz="8" w:space="0" w:color="auto"/>
              <w:bottom w:val="single" w:sz="8" w:space="0" w:color="auto"/>
              <w:right w:val="single" w:sz="8" w:space="0" w:color="auto"/>
            </w:tcBorders>
            <w:shd w:val="clear" w:color="auto" w:fill="244062"/>
            <w:vAlign w:val="center"/>
            <w:hideMark/>
          </w:tcPr>
          <w:p w14:paraId="65EFDB3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60" w:type="dxa"/>
            <w:gridSpan w:val="3"/>
            <w:tcBorders>
              <w:top w:val="single" w:sz="8" w:space="0" w:color="auto"/>
              <w:left w:val="nil"/>
              <w:bottom w:val="single" w:sz="8" w:space="0" w:color="auto"/>
              <w:right w:val="single" w:sz="8" w:space="0" w:color="000000"/>
            </w:tcBorders>
            <w:vAlign w:val="center"/>
            <w:hideMark/>
          </w:tcPr>
          <w:p w14:paraId="3DB9777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0F28E9B3" w14:textId="77777777" w:rsidR="00614438" w:rsidRPr="00AA7A53" w:rsidRDefault="00614438" w:rsidP="00AA7A53">
            <w:pPr>
              <w:spacing w:after="0"/>
              <w:jc w:val="both"/>
              <w:rPr>
                <w:rFonts w:ascii="Times New Roman" w:hAnsi="Times New Roman" w:cs="Times New Roman"/>
                <w:sz w:val="20"/>
                <w:szCs w:val="20"/>
                <w:lang w:val="en-GB"/>
              </w:rPr>
            </w:pPr>
          </w:p>
        </w:tc>
      </w:tr>
    </w:tbl>
    <w:p w14:paraId="47D18D8E"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92"/>
        <w:gridCol w:w="1050"/>
        <w:gridCol w:w="939"/>
        <w:gridCol w:w="4177"/>
        <w:gridCol w:w="222"/>
      </w:tblGrid>
      <w:tr w:rsidR="00614438" w:rsidRPr="00AA7A53" w14:paraId="2C388E45" w14:textId="77777777" w:rsidTr="00614438">
        <w:trPr>
          <w:gridAfter w:val="1"/>
          <w:wAfter w:w="222" w:type="dxa"/>
          <w:trHeight w:val="780"/>
        </w:trPr>
        <w:tc>
          <w:tcPr>
            <w:tcW w:w="3315"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4D304CF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Policy measure code:</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5104708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PM_EE35</w:t>
            </w:r>
          </w:p>
        </w:tc>
        <w:tc>
          <w:tcPr>
            <w:tcW w:w="943" w:type="dxa"/>
            <w:tcBorders>
              <w:top w:val="single" w:sz="8" w:space="0" w:color="auto"/>
              <w:left w:val="nil"/>
              <w:bottom w:val="single" w:sz="8" w:space="0" w:color="auto"/>
              <w:right w:val="single" w:sz="8" w:space="0" w:color="auto"/>
            </w:tcBorders>
            <w:shd w:val="clear" w:color="auto" w:fill="244062"/>
            <w:vAlign w:val="center"/>
            <w:hideMark/>
          </w:tcPr>
          <w:p w14:paraId="325E912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70F2C33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Improvement and further development of a scheme for the qualification, accreditation and certification of energy efficiency professionals</w:t>
            </w:r>
          </w:p>
        </w:tc>
      </w:tr>
      <w:tr w:rsidR="00614438" w:rsidRPr="00AA7A53" w14:paraId="5DEF45B1" w14:textId="77777777" w:rsidTr="00614438">
        <w:trPr>
          <w:gridAfter w:val="1"/>
          <w:wAfter w:w="222" w:type="dxa"/>
          <w:trHeight w:val="385"/>
        </w:trPr>
        <w:tc>
          <w:tcPr>
            <w:tcW w:w="3315" w:type="dxa"/>
            <w:tcBorders>
              <w:top w:val="nil"/>
              <w:left w:val="single" w:sz="8" w:space="0" w:color="auto"/>
              <w:bottom w:val="single" w:sz="8" w:space="0" w:color="auto"/>
              <w:right w:val="nil"/>
            </w:tcBorders>
            <w:shd w:val="clear" w:color="auto" w:fill="244062"/>
            <w:vAlign w:val="center"/>
            <w:hideMark/>
          </w:tcPr>
          <w:p w14:paraId="10B6ACD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Main objective:</w:t>
            </w:r>
          </w:p>
        </w:tc>
        <w:tc>
          <w:tcPr>
            <w:tcW w:w="6143" w:type="dxa"/>
            <w:gridSpan w:val="3"/>
            <w:tcBorders>
              <w:top w:val="single" w:sz="8" w:space="0" w:color="auto"/>
              <w:left w:val="nil"/>
              <w:bottom w:val="single" w:sz="8" w:space="0" w:color="auto"/>
              <w:right w:val="single" w:sz="8" w:space="0" w:color="000000"/>
            </w:tcBorders>
            <w:vAlign w:val="center"/>
            <w:hideMark/>
          </w:tcPr>
          <w:p w14:paraId="4B1130F5" w14:textId="7AAD821F"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Implementation of the following articles of the Directive (EU) 2012/27, as amended by Directive (EU) 2018/2002:</w:t>
            </w:r>
          </w:p>
          <w:p w14:paraId="6D900F14" w14:textId="77777777" w:rsidR="00614438" w:rsidRPr="00AA7A53" w:rsidRDefault="00614438" w:rsidP="00AA7A53">
            <w:pPr>
              <w:numPr>
                <w:ilvl w:val="0"/>
                <w:numId w:val="115"/>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4A9F5791" w14:textId="77777777" w:rsidR="00614438" w:rsidRPr="00AA7A53" w:rsidRDefault="00614438" w:rsidP="00AA7A53">
            <w:pPr>
              <w:numPr>
                <w:ilvl w:val="0"/>
                <w:numId w:val="115"/>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16</w:t>
            </w:r>
          </w:p>
        </w:tc>
      </w:tr>
      <w:tr w:rsidR="00614438" w:rsidRPr="00AA7A53" w14:paraId="33010533"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3F51865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Quantified objective:</w:t>
            </w:r>
          </w:p>
        </w:tc>
        <w:tc>
          <w:tcPr>
            <w:tcW w:w="6143" w:type="dxa"/>
            <w:gridSpan w:val="3"/>
            <w:tcBorders>
              <w:top w:val="single" w:sz="8" w:space="0" w:color="auto"/>
              <w:left w:val="nil"/>
              <w:bottom w:val="single" w:sz="8" w:space="0" w:color="auto"/>
              <w:right w:val="single" w:sz="8" w:space="0" w:color="000000"/>
            </w:tcBorders>
            <w:vAlign w:val="center"/>
            <w:hideMark/>
          </w:tcPr>
          <w:p w14:paraId="359BBF2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fulfilling the expected final energy consumption levels</w:t>
            </w:r>
          </w:p>
        </w:tc>
      </w:tr>
      <w:tr w:rsidR="00614438" w:rsidRPr="00AA7A53" w14:paraId="7DDCC60F" w14:textId="77777777" w:rsidTr="00614438">
        <w:trPr>
          <w:gridAfter w:val="1"/>
          <w:wAfter w:w="222" w:type="dxa"/>
          <w:trHeight w:val="1467"/>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49313AB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Description:</w:t>
            </w:r>
          </w:p>
        </w:tc>
        <w:tc>
          <w:tcPr>
            <w:tcW w:w="6143" w:type="dxa"/>
            <w:gridSpan w:val="3"/>
            <w:tcBorders>
              <w:top w:val="single" w:sz="8" w:space="0" w:color="auto"/>
              <w:left w:val="nil"/>
              <w:bottom w:val="single" w:sz="8" w:space="0" w:color="auto"/>
              <w:right w:val="single" w:sz="8" w:space="0" w:color="000000"/>
            </w:tcBorders>
            <w:vAlign w:val="center"/>
            <w:hideMark/>
          </w:tcPr>
          <w:p w14:paraId="5E5C19DB" w14:textId="2399D713"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PM_EE35 will include improvement of the existing and, if necessary, establishment of new qualification, accreditation, or certification schemes for all energy efficiency professionals (e.g. providers of energy services, energy advisors, energy managers, responsible engineers of the energy efficiency of buildings and installers of energy</w:t>
            </w:r>
            <w:r w:rsidR="00020FAD"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related bu</w:t>
            </w:r>
            <w:r w:rsidR="00020FAD" w:rsidRPr="00AA7A53">
              <w:rPr>
                <w:rFonts w:ascii="Times New Roman" w:hAnsi="Times New Roman" w:cs="Times New Roman"/>
                <w:sz w:val="20"/>
                <w:szCs w:val="20"/>
                <w:lang w:val="en-GB"/>
              </w:rPr>
              <w:t>i</w:t>
            </w:r>
            <w:r w:rsidRPr="00AA7A53">
              <w:rPr>
                <w:rFonts w:ascii="Times New Roman" w:hAnsi="Times New Roman" w:cs="Times New Roman"/>
                <w:sz w:val="20"/>
                <w:szCs w:val="20"/>
                <w:lang w:val="en-GB"/>
              </w:rPr>
              <w:t>l</w:t>
            </w:r>
            <w:r w:rsidR="00020FAD" w:rsidRPr="00AA7A53">
              <w:rPr>
                <w:rFonts w:ascii="Times New Roman" w:hAnsi="Times New Roman" w:cs="Times New Roman"/>
                <w:sz w:val="20"/>
                <w:szCs w:val="20"/>
                <w:lang w:val="en-GB"/>
              </w:rPr>
              <w:t>d</w:t>
            </w:r>
            <w:r w:rsidRPr="00AA7A53">
              <w:rPr>
                <w:rFonts w:ascii="Times New Roman" w:hAnsi="Times New Roman" w:cs="Times New Roman"/>
                <w:sz w:val="20"/>
                <w:szCs w:val="20"/>
                <w:lang w:val="en-GB"/>
              </w:rPr>
              <w:t>ing elements that are related to the improvement of the energy performance of a building, developers of design and technical documentation).</w:t>
            </w:r>
            <w:r w:rsidR="00020FAD" w:rsidRPr="00AA7A53">
              <w:rPr>
                <w:rFonts w:ascii="Times New Roman" w:hAnsi="Times New Roman" w:cs="Times New Roman"/>
                <w:sz w:val="20"/>
                <w:szCs w:val="20"/>
                <w:lang w:val="en-GB"/>
              </w:rPr>
              <w:t xml:space="preserve"> </w:t>
            </w:r>
            <w:r w:rsidRPr="00AA7A53">
              <w:rPr>
                <w:rFonts w:ascii="Times New Roman" w:hAnsi="Times New Roman" w:cs="Times New Roman"/>
                <w:sz w:val="20"/>
                <w:szCs w:val="20"/>
                <w:lang w:val="en-GB"/>
              </w:rPr>
              <w:t>Specialized training programs will be organized, tools will be developed and technical support will be provided within the framework of the current measure.</w:t>
            </w:r>
          </w:p>
          <w:p w14:paraId="0E58C07A" w14:textId="237C82B0"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Finally, </w:t>
            </w:r>
            <w:r w:rsidR="00020FAD" w:rsidRPr="00AA7A53">
              <w:rPr>
                <w:rFonts w:ascii="Times New Roman" w:hAnsi="Times New Roman" w:cs="Times New Roman"/>
                <w:sz w:val="20"/>
                <w:szCs w:val="20"/>
                <w:lang w:val="en-GB"/>
              </w:rPr>
              <w:t xml:space="preserve">the expansion of the measure </w:t>
            </w:r>
            <w:r w:rsidRPr="00AA7A53">
              <w:rPr>
                <w:rFonts w:ascii="Times New Roman" w:hAnsi="Times New Roman" w:cs="Times New Roman"/>
                <w:sz w:val="20"/>
                <w:szCs w:val="20"/>
                <w:lang w:val="en-GB"/>
              </w:rPr>
              <w:t xml:space="preserve">will be </w:t>
            </w:r>
            <w:r w:rsidR="00020FAD" w:rsidRPr="00AA7A53">
              <w:rPr>
                <w:rFonts w:ascii="Times New Roman" w:hAnsi="Times New Roman" w:cs="Times New Roman"/>
                <w:sz w:val="20"/>
                <w:szCs w:val="20"/>
                <w:lang w:val="en-GB"/>
              </w:rPr>
              <w:t>considered</w:t>
            </w:r>
            <w:r w:rsidRPr="00AA7A53">
              <w:rPr>
                <w:rFonts w:ascii="Times New Roman" w:hAnsi="Times New Roman" w:cs="Times New Roman"/>
                <w:sz w:val="20"/>
                <w:szCs w:val="20"/>
                <w:lang w:val="en-GB"/>
              </w:rPr>
              <w:t xml:space="preserve"> so as to cover the accreditation and certification of the energy efficiency equipment and technologies, which are produced from domestic SMEs</w:t>
            </w:r>
            <w:r w:rsidR="00020FAD"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w:t>
            </w:r>
            <w:r w:rsidR="00020FAD" w:rsidRPr="00AA7A53">
              <w:rPr>
                <w:rFonts w:ascii="Times New Roman" w:hAnsi="Times New Roman" w:cs="Times New Roman"/>
                <w:sz w:val="20"/>
                <w:szCs w:val="20"/>
                <w:lang w:val="en-GB"/>
              </w:rPr>
              <w:t>with the aim</w:t>
            </w:r>
            <w:r w:rsidRPr="00AA7A53">
              <w:rPr>
                <w:rFonts w:ascii="Times New Roman" w:hAnsi="Times New Roman" w:cs="Times New Roman"/>
                <w:sz w:val="20"/>
                <w:szCs w:val="20"/>
                <w:lang w:val="en-GB"/>
              </w:rPr>
              <w:t xml:space="preserve"> to overcome high expenses and to increase the perceived quality to the end-users.</w:t>
            </w:r>
          </w:p>
        </w:tc>
      </w:tr>
      <w:tr w:rsidR="00614438" w:rsidRPr="00AA7A53" w14:paraId="5B32123C"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19A7211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3" w:type="dxa"/>
            <w:gridSpan w:val="3"/>
            <w:tcBorders>
              <w:top w:val="single" w:sz="8" w:space="0" w:color="auto"/>
              <w:left w:val="nil"/>
              <w:bottom w:val="single" w:sz="8" w:space="0" w:color="auto"/>
              <w:right w:val="single" w:sz="8" w:space="0" w:color="000000"/>
            </w:tcBorders>
            <w:vAlign w:val="center"/>
            <w:hideMark/>
          </w:tcPr>
          <w:p w14:paraId="3BAC472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2025-2028</w:t>
            </w:r>
          </w:p>
        </w:tc>
      </w:tr>
      <w:tr w:rsidR="00614438" w:rsidRPr="00AA7A53" w14:paraId="54AECBB2"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2AF25FB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3" w:type="dxa"/>
            <w:gridSpan w:val="3"/>
            <w:tcBorders>
              <w:top w:val="single" w:sz="8" w:space="0" w:color="auto"/>
              <w:left w:val="nil"/>
              <w:bottom w:val="single" w:sz="8" w:space="0" w:color="auto"/>
              <w:right w:val="single" w:sz="8" w:space="0" w:color="000000"/>
            </w:tcBorders>
            <w:vAlign w:val="center"/>
            <w:hideMark/>
          </w:tcPr>
          <w:p w14:paraId="2F4DBF4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04DB4158"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50C9568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3" w:type="dxa"/>
            <w:gridSpan w:val="3"/>
            <w:tcBorders>
              <w:top w:val="single" w:sz="8" w:space="0" w:color="auto"/>
              <w:left w:val="nil"/>
              <w:bottom w:val="single" w:sz="8" w:space="0" w:color="auto"/>
              <w:right w:val="single" w:sz="8" w:space="0" w:color="000000"/>
            </w:tcBorders>
            <w:vAlign w:val="center"/>
            <w:hideMark/>
          </w:tcPr>
          <w:p w14:paraId="5708BA2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final energy consumption sectors</w:t>
            </w:r>
          </w:p>
        </w:tc>
      </w:tr>
      <w:tr w:rsidR="00614438" w:rsidRPr="00AA7A53" w14:paraId="47277CC9"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6A667D2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3" w:type="dxa"/>
            <w:gridSpan w:val="3"/>
            <w:tcBorders>
              <w:top w:val="single" w:sz="8" w:space="0" w:color="auto"/>
              <w:left w:val="nil"/>
              <w:bottom w:val="single" w:sz="8" w:space="0" w:color="auto"/>
              <w:right w:val="single" w:sz="8" w:space="0" w:color="000000"/>
            </w:tcBorders>
            <w:vAlign w:val="center"/>
            <w:hideMark/>
          </w:tcPr>
          <w:p w14:paraId="78DBECC6" w14:textId="77777777" w:rsidR="00614438" w:rsidRPr="00AA7A53" w:rsidRDefault="00614438" w:rsidP="00AA7A53">
            <w:pPr>
              <w:numPr>
                <w:ilvl w:val="0"/>
                <w:numId w:val="11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28175D32" w14:textId="77777777" w:rsidR="00614438" w:rsidRPr="00AA7A53" w:rsidRDefault="00614438" w:rsidP="00AA7A53">
            <w:pPr>
              <w:numPr>
                <w:ilvl w:val="0"/>
                <w:numId w:val="11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p w14:paraId="235F04FB" w14:textId="77777777" w:rsidR="00614438" w:rsidRPr="00AA7A53" w:rsidRDefault="00614438" w:rsidP="00AA7A53">
            <w:pPr>
              <w:numPr>
                <w:ilvl w:val="0"/>
                <w:numId w:val="115"/>
              </w:numPr>
              <w:spacing w:after="0"/>
              <w:jc w:val="both"/>
              <w:rPr>
                <w:rFonts w:ascii="Times New Roman" w:hAnsi="Times New Roman" w:cs="Times New Roman"/>
                <w:sz w:val="20"/>
                <w:szCs w:val="20"/>
              </w:rPr>
            </w:pPr>
            <w:r w:rsidRPr="00AA7A53">
              <w:rPr>
                <w:rFonts w:ascii="Times New Roman" w:hAnsi="Times New Roman" w:cs="Times New Roman"/>
                <w:sz w:val="20"/>
                <w:szCs w:val="20"/>
              </w:rPr>
              <w:t>Chamber of Engineers of Serbia</w:t>
            </w:r>
          </w:p>
          <w:p w14:paraId="0F4EE568" w14:textId="77777777" w:rsidR="00614438" w:rsidRPr="00AA7A53" w:rsidRDefault="00614438" w:rsidP="00AA7A53">
            <w:pPr>
              <w:numPr>
                <w:ilvl w:val="0"/>
                <w:numId w:val="115"/>
              </w:numPr>
              <w:spacing w:after="0"/>
              <w:jc w:val="both"/>
              <w:rPr>
                <w:rFonts w:ascii="Times New Roman" w:hAnsi="Times New Roman" w:cs="Times New Roman"/>
                <w:sz w:val="20"/>
                <w:szCs w:val="20"/>
              </w:rPr>
            </w:pPr>
            <w:r w:rsidRPr="00AA7A53">
              <w:rPr>
                <w:rFonts w:ascii="Times New Roman" w:hAnsi="Times New Roman" w:cs="Times New Roman"/>
                <w:sz w:val="20"/>
                <w:szCs w:val="20"/>
              </w:rPr>
              <w:t>Competent Universities of the RS</w:t>
            </w:r>
          </w:p>
          <w:p w14:paraId="60C3808D" w14:textId="77777777" w:rsidR="00614438" w:rsidRPr="00AA7A53" w:rsidRDefault="00614438" w:rsidP="00AA7A53">
            <w:pPr>
              <w:numPr>
                <w:ilvl w:val="0"/>
                <w:numId w:val="115"/>
              </w:numPr>
              <w:spacing w:after="0"/>
              <w:jc w:val="both"/>
              <w:rPr>
                <w:rFonts w:ascii="Times New Roman" w:hAnsi="Times New Roman" w:cs="Times New Roman"/>
                <w:sz w:val="20"/>
                <w:szCs w:val="20"/>
              </w:rPr>
            </w:pPr>
            <w:r w:rsidRPr="00AA7A53">
              <w:rPr>
                <w:rFonts w:ascii="Times New Roman" w:hAnsi="Times New Roman" w:cs="Times New Roman"/>
                <w:sz w:val="20"/>
                <w:szCs w:val="20"/>
              </w:rPr>
              <w:t>Regional Centres for Energy Efficiency</w:t>
            </w:r>
          </w:p>
        </w:tc>
      </w:tr>
      <w:tr w:rsidR="00614438" w:rsidRPr="00AA7A53" w14:paraId="0C225794" w14:textId="77777777" w:rsidTr="00614438">
        <w:trPr>
          <w:gridAfter w:val="1"/>
          <w:wAfter w:w="222" w:type="dxa"/>
          <w:trHeight w:val="315"/>
        </w:trPr>
        <w:tc>
          <w:tcPr>
            <w:tcW w:w="3315" w:type="dxa"/>
            <w:tcBorders>
              <w:top w:val="nil"/>
              <w:left w:val="single" w:sz="8" w:space="0" w:color="auto"/>
              <w:bottom w:val="single" w:sz="8" w:space="0" w:color="auto"/>
              <w:right w:val="nil"/>
            </w:tcBorders>
            <w:shd w:val="clear" w:color="auto" w:fill="244062"/>
            <w:vAlign w:val="center"/>
            <w:hideMark/>
          </w:tcPr>
          <w:p w14:paraId="50EB038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3" w:type="dxa"/>
            <w:gridSpan w:val="3"/>
            <w:tcBorders>
              <w:top w:val="single" w:sz="8" w:space="0" w:color="auto"/>
              <w:left w:val="nil"/>
              <w:bottom w:val="single" w:sz="8" w:space="0" w:color="auto"/>
              <w:right w:val="single" w:sz="8" w:space="0" w:color="000000"/>
            </w:tcBorders>
            <w:vAlign w:val="center"/>
            <w:hideMark/>
          </w:tcPr>
          <w:p w14:paraId="62F27FEB" w14:textId="77777777" w:rsidR="00614438" w:rsidRPr="00AA7A53" w:rsidRDefault="00614438" w:rsidP="00AA7A53">
            <w:pPr>
              <w:numPr>
                <w:ilvl w:val="0"/>
                <w:numId w:val="115"/>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70D8505C" w14:textId="77777777" w:rsidTr="00614438">
        <w:trPr>
          <w:gridAfter w:val="1"/>
          <w:wAfter w:w="222" w:type="dxa"/>
          <w:trHeight w:val="315"/>
        </w:trPr>
        <w:tc>
          <w:tcPr>
            <w:tcW w:w="3315" w:type="dxa"/>
            <w:tcBorders>
              <w:top w:val="nil"/>
              <w:left w:val="single" w:sz="8" w:space="0" w:color="auto"/>
              <w:bottom w:val="single" w:sz="8" w:space="0" w:color="auto"/>
              <w:right w:val="nil"/>
            </w:tcBorders>
            <w:shd w:val="clear" w:color="auto" w:fill="244062"/>
            <w:vAlign w:val="center"/>
            <w:hideMark/>
          </w:tcPr>
          <w:p w14:paraId="1C86904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3" w:type="dxa"/>
            <w:gridSpan w:val="3"/>
            <w:tcBorders>
              <w:top w:val="single" w:sz="8" w:space="0" w:color="auto"/>
              <w:left w:val="nil"/>
              <w:bottom w:val="single" w:sz="8" w:space="0" w:color="auto"/>
              <w:right w:val="single" w:sz="8" w:space="0" w:color="000000"/>
            </w:tcBorders>
            <w:vAlign w:val="center"/>
            <w:hideMark/>
          </w:tcPr>
          <w:p w14:paraId="7158A5AA" w14:textId="77777777" w:rsidR="00614438" w:rsidRPr="00AA7A53" w:rsidRDefault="00614438" w:rsidP="00AA7A53">
            <w:pPr>
              <w:numPr>
                <w:ilvl w:val="0"/>
                <w:numId w:val="115"/>
              </w:numPr>
              <w:spacing w:after="0"/>
              <w:jc w:val="both"/>
              <w:rPr>
                <w:rFonts w:ascii="Times New Roman" w:hAnsi="Times New Roman" w:cs="Times New Roman"/>
                <w:sz w:val="20"/>
                <w:szCs w:val="20"/>
              </w:rPr>
            </w:pPr>
            <w:r w:rsidRPr="00AA7A53">
              <w:rPr>
                <w:rFonts w:ascii="Times New Roman" w:hAnsi="Times New Roman" w:cs="Times New Roman"/>
                <w:sz w:val="20"/>
                <w:szCs w:val="20"/>
              </w:rPr>
              <w:t>Number of affected energy efficiency professionals with improved skills</w:t>
            </w:r>
          </w:p>
        </w:tc>
      </w:tr>
      <w:tr w:rsidR="00614438" w:rsidRPr="00AA7A53" w14:paraId="7B085D6D" w14:textId="77777777" w:rsidTr="00614438">
        <w:trPr>
          <w:gridAfter w:val="1"/>
          <w:wAfter w:w="222" w:type="dxa"/>
          <w:trHeight w:val="409"/>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358FBEF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3" w:type="dxa"/>
            <w:gridSpan w:val="3"/>
            <w:tcBorders>
              <w:top w:val="single" w:sz="8" w:space="0" w:color="auto"/>
              <w:left w:val="nil"/>
              <w:bottom w:val="single" w:sz="8" w:space="0" w:color="auto"/>
              <w:right w:val="single" w:sz="8" w:space="0" w:color="000000"/>
            </w:tcBorders>
            <w:vAlign w:val="center"/>
            <w:hideMark/>
          </w:tcPr>
          <w:p w14:paraId="669D4EE9" w14:textId="7FE0D088" w:rsidR="00614438" w:rsidRPr="00AA7A53" w:rsidRDefault="00614438" w:rsidP="00AA7A53">
            <w:pPr>
              <w:numPr>
                <w:ilvl w:val="0"/>
                <w:numId w:val="115"/>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w:t>
            </w:r>
            <w:r w:rsidR="00424BB6" w:rsidRPr="00AA7A53">
              <w:rPr>
                <w:rFonts w:ascii="Times New Roman" w:hAnsi="Times New Roman" w:cs="Times New Roman"/>
                <w:sz w:val="20"/>
                <w:szCs w:val="20"/>
              </w:rPr>
              <w:t>,</w:t>
            </w:r>
            <w:r w:rsidRPr="00AA7A53">
              <w:rPr>
                <w:rFonts w:ascii="Times New Roman" w:hAnsi="Times New Roman" w:cs="Times New Roman"/>
                <w:sz w:val="20"/>
                <w:szCs w:val="20"/>
              </w:rPr>
              <w:t xml:space="preserve"> leading to the respective GHG emission reduction </w:t>
            </w:r>
            <w:r w:rsidR="00424BB6"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utilised RES technologies will increase the RES share in heating and cooling)</w:t>
            </w:r>
          </w:p>
          <w:p w14:paraId="3BE92A4B" w14:textId="6EACF5A7" w:rsidR="00614438" w:rsidRPr="00AA7A53" w:rsidRDefault="00614438" w:rsidP="00AA7A53">
            <w:pPr>
              <w:numPr>
                <w:ilvl w:val="0"/>
                <w:numId w:val="115"/>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w:t>
            </w:r>
            <w:r w:rsidR="00424BB6" w:rsidRPr="00AA7A53">
              <w:rPr>
                <w:rFonts w:ascii="Times New Roman" w:hAnsi="Times New Roman" w:cs="Times New Roman"/>
                <w:sz w:val="20"/>
                <w:szCs w:val="20"/>
              </w:rPr>
              <w:t>,</w:t>
            </w:r>
            <w:r w:rsidRPr="00AA7A53">
              <w:rPr>
                <w:rFonts w:ascii="Times New Roman" w:hAnsi="Times New Roman" w:cs="Times New Roman"/>
                <w:sz w:val="20"/>
                <w:szCs w:val="20"/>
              </w:rPr>
              <w:t xml:space="preserve"> reducing energy import dependency from third countries)</w:t>
            </w:r>
          </w:p>
        </w:tc>
      </w:tr>
      <w:tr w:rsidR="00614438" w:rsidRPr="00AA7A53" w14:paraId="07B6D802" w14:textId="77777777" w:rsidTr="00614438">
        <w:trPr>
          <w:gridAfter w:val="1"/>
          <w:wAfter w:w="222" w:type="dxa"/>
          <w:trHeight w:val="458"/>
        </w:trPr>
        <w:tc>
          <w:tcPr>
            <w:tcW w:w="3315" w:type="dxa"/>
            <w:vMerge w:val="restart"/>
            <w:tcBorders>
              <w:top w:val="nil"/>
              <w:left w:val="single" w:sz="8" w:space="0" w:color="auto"/>
              <w:bottom w:val="single" w:sz="8" w:space="0" w:color="000000"/>
              <w:right w:val="single" w:sz="8" w:space="0" w:color="auto"/>
            </w:tcBorders>
            <w:shd w:val="clear" w:color="auto" w:fill="244062"/>
            <w:vAlign w:val="center"/>
            <w:hideMark/>
          </w:tcPr>
          <w:p w14:paraId="0AF52B2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3"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A85BACD" w14:textId="77777777" w:rsidR="00614438" w:rsidRPr="00AA7A53" w:rsidRDefault="00614438" w:rsidP="00AA7A53">
            <w:pPr>
              <w:numPr>
                <w:ilvl w:val="0"/>
                <w:numId w:val="115"/>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775C54CA" w14:textId="77777777" w:rsidR="00614438" w:rsidRPr="00AA7A53" w:rsidRDefault="00614438" w:rsidP="00AA7A53">
            <w:pPr>
              <w:numPr>
                <w:ilvl w:val="0"/>
                <w:numId w:val="115"/>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p w14:paraId="2C2DAF36" w14:textId="77777777" w:rsidR="00614438" w:rsidRPr="00AA7A53" w:rsidRDefault="00614438" w:rsidP="00AA7A53">
            <w:pPr>
              <w:numPr>
                <w:ilvl w:val="0"/>
                <w:numId w:val="115"/>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2010/31</w:t>
            </w:r>
          </w:p>
          <w:p w14:paraId="6FA77EC2" w14:textId="77777777" w:rsidR="00614438" w:rsidRPr="00AA7A53" w:rsidRDefault="00614438" w:rsidP="00AA7A53">
            <w:pPr>
              <w:numPr>
                <w:ilvl w:val="0"/>
                <w:numId w:val="115"/>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2018/844</w:t>
            </w:r>
          </w:p>
        </w:tc>
      </w:tr>
      <w:tr w:rsidR="00614438" w:rsidRPr="00AA7A53" w14:paraId="057A44D7"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0C897E33"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1BB2A38"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544F68F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0351F99"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3EAFAAAC"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43355A8"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706A11AD"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0BF60EE8" w14:textId="77777777" w:rsidTr="00614438">
        <w:trPr>
          <w:trHeight w:val="640"/>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0109ECE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3" w:type="dxa"/>
            <w:gridSpan w:val="3"/>
            <w:tcBorders>
              <w:top w:val="single" w:sz="8" w:space="0" w:color="auto"/>
              <w:left w:val="nil"/>
              <w:bottom w:val="single" w:sz="8" w:space="0" w:color="auto"/>
              <w:right w:val="single" w:sz="8" w:space="0" w:color="000000"/>
            </w:tcBorders>
            <w:vAlign w:val="center"/>
            <w:hideMark/>
          </w:tcPr>
          <w:p w14:paraId="74D215DC" w14:textId="0685BDA9" w:rsidR="00614438" w:rsidRPr="00AA7A53" w:rsidRDefault="00614438" w:rsidP="00AA7A53">
            <w:pPr>
              <w:numPr>
                <w:ilvl w:val="0"/>
                <w:numId w:val="114"/>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 Efficiency</w:t>
            </w:r>
            <w:r w:rsidR="00424BB6" w:rsidRPr="00AA7A53">
              <w:rPr>
                <w:rFonts w:ascii="Times New Roman" w:hAnsi="Times New Roman" w:cs="Times New Roman"/>
                <w:sz w:val="20"/>
                <w:szCs w:val="20"/>
              </w:rPr>
              <w:t xml:space="preserve"> and Rational Use of Energy</w:t>
            </w:r>
          </w:p>
          <w:p w14:paraId="3A9D7EC0" w14:textId="77777777" w:rsidR="00614438" w:rsidRPr="00AA7A53" w:rsidRDefault="00614438" w:rsidP="00AA7A53">
            <w:pPr>
              <w:numPr>
                <w:ilvl w:val="0"/>
                <w:numId w:val="114"/>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Planning and Construction</w:t>
            </w:r>
          </w:p>
          <w:p w14:paraId="47146B6F" w14:textId="3CA08E66" w:rsidR="00614438" w:rsidRPr="00AA7A53" w:rsidRDefault="00424BB6" w:rsidP="00AA7A53">
            <w:pPr>
              <w:numPr>
                <w:ilvl w:val="0"/>
                <w:numId w:val="114"/>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the Use of RES</w:t>
            </w:r>
          </w:p>
        </w:tc>
        <w:tc>
          <w:tcPr>
            <w:tcW w:w="222" w:type="dxa"/>
            <w:vAlign w:val="center"/>
            <w:hideMark/>
          </w:tcPr>
          <w:p w14:paraId="756A597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E733FFC" w14:textId="77777777" w:rsidTr="00614438">
        <w:trPr>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79A69F7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3" w:type="dxa"/>
            <w:gridSpan w:val="3"/>
            <w:tcBorders>
              <w:top w:val="single" w:sz="8" w:space="0" w:color="auto"/>
              <w:left w:val="nil"/>
              <w:bottom w:val="single" w:sz="8" w:space="0" w:color="auto"/>
              <w:right w:val="single" w:sz="8" w:space="0" w:color="000000"/>
            </w:tcBorders>
            <w:vAlign w:val="center"/>
            <w:hideMark/>
          </w:tcPr>
          <w:p w14:paraId="083F7EA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Budget incorporated into all end-use measures – under consideration</w:t>
            </w:r>
          </w:p>
        </w:tc>
        <w:tc>
          <w:tcPr>
            <w:tcW w:w="222" w:type="dxa"/>
            <w:vAlign w:val="center"/>
            <w:hideMark/>
          </w:tcPr>
          <w:p w14:paraId="06E9B28B"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0989BFC" w14:textId="77777777" w:rsidTr="00614438">
        <w:trPr>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366A76F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3" w:type="dxa"/>
            <w:gridSpan w:val="3"/>
            <w:tcBorders>
              <w:top w:val="single" w:sz="8" w:space="0" w:color="auto"/>
              <w:left w:val="nil"/>
              <w:bottom w:val="single" w:sz="8" w:space="0" w:color="auto"/>
              <w:right w:val="single" w:sz="8" w:space="0" w:color="000000"/>
            </w:tcBorders>
            <w:vAlign w:val="center"/>
            <w:hideMark/>
          </w:tcPr>
          <w:p w14:paraId="2D61F7E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22715362" w14:textId="77777777" w:rsidR="00614438" w:rsidRPr="00AA7A53" w:rsidRDefault="00614438" w:rsidP="00AA7A53">
            <w:pPr>
              <w:spacing w:after="0"/>
              <w:jc w:val="both"/>
              <w:rPr>
                <w:rFonts w:ascii="Times New Roman" w:hAnsi="Times New Roman" w:cs="Times New Roman"/>
                <w:sz w:val="20"/>
                <w:szCs w:val="20"/>
                <w:lang w:val="en-GB"/>
              </w:rPr>
            </w:pPr>
          </w:p>
        </w:tc>
      </w:tr>
    </w:tbl>
    <w:p w14:paraId="29A4F408"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93"/>
        <w:gridCol w:w="1050"/>
        <w:gridCol w:w="939"/>
        <w:gridCol w:w="4176"/>
        <w:gridCol w:w="222"/>
      </w:tblGrid>
      <w:tr w:rsidR="00614438" w:rsidRPr="00AA7A53" w14:paraId="364D007C" w14:textId="77777777" w:rsidTr="00614438">
        <w:trPr>
          <w:gridAfter w:val="1"/>
          <w:wAfter w:w="222" w:type="dxa"/>
          <w:trHeight w:val="780"/>
        </w:trPr>
        <w:tc>
          <w:tcPr>
            <w:tcW w:w="3315"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832968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07C54E5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PM_EE36</w:t>
            </w:r>
          </w:p>
        </w:tc>
        <w:tc>
          <w:tcPr>
            <w:tcW w:w="943" w:type="dxa"/>
            <w:tcBorders>
              <w:top w:val="single" w:sz="8" w:space="0" w:color="auto"/>
              <w:left w:val="nil"/>
              <w:bottom w:val="single" w:sz="8" w:space="0" w:color="auto"/>
              <w:right w:val="single" w:sz="8" w:space="0" w:color="auto"/>
            </w:tcBorders>
            <w:shd w:val="clear" w:color="auto" w:fill="244062"/>
            <w:vAlign w:val="center"/>
            <w:hideMark/>
          </w:tcPr>
          <w:p w14:paraId="375A901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2857405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energy efficiency in water supply, distribution and consumption</w:t>
            </w:r>
          </w:p>
        </w:tc>
      </w:tr>
      <w:tr w:rsidR="00614438" w:rsidRPr="00AA7A53" w14:paraId="5FC37B9E" w14:textId="77777777" w:rsidTr="00614438">
        <w:trPr>
          <w:gridAfter w:val="1"/>
          <w:wAfter w:w="222" w:type="dxa"/>
          <w:trHeight w:val="496"/>
        </w:trPr>
        <w:tc>
          <w:tcPr>
            <w:tcW w:w="3315" w:type="dxa"/>
            <w:tcBorders>
              <w:top w:val="nil"/>
              <w:left w:val="single" w:sz="8" w:space="0" w:color="auto"/>
              <w:bottom w:val="single" w:sz="8" w:space="0" w:color="auto"/>
              <w:right w:val="nil"/>
            </w:tcBorders>
            <w:shd w:val="clear" w:color="auto" w:fill="244062"/>
            <w:vAlign w:val="center"/>
            <w:hideMark/>
          </w:tcPr>
          <w:p w14:paraId="4318609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43" w:type="dxa"/>
            <w:gridSpan w:val="3"/>
            <w:tcBorders>
              <w:top w:val="single" w:sz="8" w:space="0" w:color="auto"/>
              <w:left w:val="nil"/>
              <w:bottom w:val="single" w:sz="8" w:space="0" w:color="auto"/>
              <w:right w:val="single" w:sz="8" w:space="0" w:color="000000"/>
            </w:tcBorders>
            <w:vAlign w:val="center"/>
            <w:hideMark/>
          </w:tcPr>
          <w:p w14:paraId="193DC4D7" w14:textId="47975435"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 as amended by Directive (EU) 2018/2002:</w:t>
            </w:r>
          </w:p>
          <w:p w14:paraId="71B532FC" w14:textId="77777777" w:rsidR="00614438" w:rsidRPr="00AA7A53" w:rsidRDefault="00614438" w:rsidP="00AA7A53">
            <w:pPr>
              <w:numPr>
                <w:ilvl w:val="0"/>
                <w:numId w:val="116"/>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4F71E74E" w14:textId="77777777" w:rsidR="00614438" w:rsidRPr="00AA7A53" w:rsidRDefault="00614438" w:rsidP="00AA7A53">
            <w:pPr>
              <w:numPr>
                <w:ilvl w:val="0"/>
                <w:numId w:val="116"/>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7</w:t>
            </w:r>
          </w:p>
        </w:tc>
      </w:tr>
      <w:tr w:rsidR="00614438" w:rsidRPr="00AA7A53" w14:paraId="34439EEB"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696A45E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43" w:type="dxa"/>
            <w:gridSpan w:val="3"/>
            <w:tcBorders>
              <w:top w:val="single" w:sz="8" w:space="0" w:color="auto"/>
              <w:left w:val="nil"/>
              <w:bottom w:val="single" w:sz="8" w:space="0" w:color="auto"/>
              <w:right w:val="single" w:sz="8" w:space="0" w:color="000000"/>
            </w:tcBorders>
            <w:vAlign w:val="center"/>
            <w:hideMark/>
          </w:tcPr>
          <w:p w14:paraId="2D0858C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Under examination</w:t>
            </w:r>
          </w:p>
        </w:tc>
      </w:tr>
      <w:tr w:rsidR="00614438" w:rsidRPr="00AA7A53" w14:paraId="6A7796EC" w14:textId="77777777" w:rsidTr="00614438">
        <w:trPr>
          <w:gridAfter w:val="1"/>
          <w:wAfter w:w="222" w:type="dxa"/>
          <w:trHeight w:val="1437"/>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21346D2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Description:</w:t>
            </w:r>
          </w:p>
        </w:tc>
        <w:tc>
          <w:tcPr>
            <w:tcW w:w="6143" w:type="dxa"/>
            <w:gridSpan w:val="3"/>
            <w:tcBorders>
              <w:top w:val="single" w:sz="8" w:space="0" w:color="auto"/>
              <w:left w:val="nil"/>
              <w:bottom w:val="single" w:sz="8" w:space="0" w:color="auto"/>
              <w:right w:val="single" w:sz="8" w:space="0" w:color="000000"/>
            </w:tcBorders>
            <w:vAlign w:val="center"/>
            <w:hideMark/>
          </w:tcPr>
          <w:p w14:paraId="734CF59E" w14:textId="6EE987E6"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PM_EE36 will promote energy efficiency in water sector mainly through the provision of economic incentives</w:t>
            </w:r>
            <w:r w:rsidR="00424BB6"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either in the form of subsidies or soft loans. The measure will focus on the identification of the relationship between the water used for energy production (energy-water nexus), the implementation of water management techniques, the installation of water-efficient end-use equipment and the conduction of other energy conservation measures in compliance with the Principle "Energy efficiency first". A targeted action plan will be prepared </w:t>
            </w:r>
            <w:r w:rsidR="00424BB6" w:rsidRPr="00AA7A53">
              <w:rPr>
                <w:rFonts w:ascii="Times New Roman" w:hAnsi="Times New Roman" w:cs="Times New Roman"/>
                <w:sz w:val="20"/>
                <w:szCs w:val="20"/>
                <w:lang w:val="en-GB"/>
              </w:rPr>
              <w:t xml:space="preserve">with aim to </w:t>
            </w:r>
            <w:r w:rsidRPr="00AA7A53">
              <w:rPr>
                <w:rFonts w:ascii="Times New Roman" w:hAnsi="Times New Roman" w:cs="Times New Roman"/>
                <w:sz w:val="20"/>
                <w:szCs w:val="20"/>
                <w:lang w:val="en-GB"/>
              </w:rPr>
              <w:t xml:space="preserve">identify the most cost-effective equipment and technologies </w:t>
            </w:r>
            <w:r w:rsidR="00424BB6" w:rsidRPr="00AA7A53">
              <w:rPr>
                <w:rFonts w:ascii="Times New Roman" w:hAnsi="Times New Roman" w:cs="Times New Roman"/>
                <w:sz w:val="20"/>
                <w:szCs w:val="20"/>
                <w:lang w:val="en-GB"/>
              </w:rPr>
              <w:t xml:space="preserve">and </w:t>
            </w:r>
            <w:r w:rsidRPr="00AA7A53">
              <w:rPr>
                <w:rFonts w:ascii="Times New Roman" w:hAnsi="Times New Roman" w:cs="Times New Roman"/>
                <w:sz w:val="20"/>
                <w:szCs w:val="20"/>
                <w:lang w:val="en-GB"/>
              </w:rPr>
              <w:t>to promote the energy efficiency in water supply, distribution and consumption.</w:t>
            </w:r>
          </w:p>
        </w:tc>
      </w:tr>
      <w:tr w:rsidR="00614438" w:rsidRPr="00AA7A53" w14:paraId="67ED5E6C"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08E5C49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3" w:type="dxa"/>
            <w:gridSpan w:val="3"/>
            <w:tcBorders>
              <w:top w:val="single" w:sz="8" w:space="0" w:color="auto"/>
              <w:left w:val="nil"/>
              <w:bottom w:val="single" w:sz="8" w:space="0" w:color="auto"/>
              <w:right w:val="single" w:sz="8" w:space="0" w:color="000000"/>
            </w:tcBorders>
            <w:vAlign w:val="center"/>
            <w:hideMark/>
          </w:tcPr>
          <w:p w14:paraId="71B2803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0671B147"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184C481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3" w:type="dxa"/>
            <w:gridSpan w:val="3"/>
            <w:tcBorders>
              <w:top w:val="single" w:sz="8" w:space="0" w:color="auto"/>
              <w:left w:val="nil"/>
              <w:bottom w:val="single" w:sz="8" w:space="0" w:color="auto"/>
              <w:right w:val="single" w:sz="8" w:space="0" w:color="000000"/>
            </w:tcBorders>
            <w:vAlign w:val="center"/>
            <w:hideMark/>
          </w:tcPr>
          <w:p w14:paraId="4176D26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15CAC859"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52AAA2B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3" w:type="dxa"/>
            <w:gridSpan w:val="3"/>
            <w:tcBorders>
              <w:top w:val="single" w:sz="8" w:space="0" w:color="auto"/>
              <w:left w:val="nil"/>
              <w:bottom w:val="single" w:sz="8" w:space="0" w:color="auto"/>
              <w:right w:val="single" w:sz="8" w:space="0" w:color="000000"/>
            </w:tcBorders>
            <w:vAlign w:val="center"/>
            <w:hideMark/>
          </w:tcPr>
          <w:p w14:paraId="77305F7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final energy consumption sectors</w:t>
            </w:r>
          </w:p>
        </w:tc>
      </w:tr>
      <w:tr w:rsidR="00614438" w:rsidRPr="00AA7A53" w14:paraId="1F1A5FBE"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1F74C4B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3" w:type="dxa"/>
            <w:gridSpan w:val="3"/>
            <w:tcBorders>
              <w:top w:val="single" w:sz="8" w:space="0" w:color="auto"/>
              <w:left w:val="nil"/>
              <w:bottom w:val="single" w:sz="8" w:space="0" w:color="auto"/>
              <w:right w:val="single" w:sz="8" w:space="0" w:color="000000"/>
            </w:tcBorders>
            <w:vAlign w:val="center"/>
            <w:hideMark/>
          </w:tcPr>
          <w:p w14:paraId="5DAA8348"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717B37D8"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Public water supply companies</w:t>
            </w:r>
          </w:p>
        </w:tc>
      </w:tr>
      <w:tr w:rsidR="00614438" w:rsidRPr="00AA7A53" w14:paraId="0BA8BC63" w14:textId="77777777" w:rsidTr="00614438">
        <w:trPr>
          <w:gridAfter w:val="1"/>
          <w:wAfter w:w="222" w:type="dxa"/>
          <w:trHeight w:val="315"/>
        </w:trPr>
        <w:tc>
          <w:tcPr>
            <w:tcW w:w="3315" w:type="dxa"/>
            <w:tcBorders>
              <w:top w:val="nil"/>
              <w:left w:val="single" w:sz="8" w:space="0" w:color="auto"/>
              <w:bottom w:val="single" w:sz="8" w:space="0" w:color="auto"/>
              <w:right w:val="nil"/>
            </w:tcBorders>
            <w:shd w:val="clear" w:color="auto" w:fill="244062"/>
            <w:vAlign w:val="center"/>
            <w:hideMark/>
          </w:tcPr>
          <w:p w14:paraId="51D7C2A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3" w:type="dxa"/>
            <w:gridSpan w:val="3"/>
            <w:tcBorders>
              <w:top w:val="single" w:sz="8" w:space="0" w:color="auto"/>
              <w:left w:val="nil"/>
              <w:bottom w:val="single" w:sz="8" w:space="0" w:color="auto"/>
              <w:right w:val="single" w:sz="8" w:space="0" w:color="000000"/>
            </w:tcBorders>
            <w:vAlign w:val="center"/>
            <w:hideMark/>
          </w:tcPr>
          <w:p w14:paraId="5D547210"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2ABB534A" w14:textId="77777777" w:rsidTr="00614438">
        <w:trPr>
          <w:gridAfter w:val="1"/>
          <w:wAfter w:w="222" w:type="dxa"/>
          <w:trHeight w:val="315"/>
        </w:trPr>
        <w:tc>
          <w:tcPr>
            <w:tcW w:w="3315" w:type="dxa"/>
            <w:tcBorders>
              <w:top w:val="nil"/>
              <w:left w:val="single" w:sz="8" w:space="0" w:color="auto"/>
              <w:bottom w:val="single" w:sz="8" w:space="0" w:color="auto"/>
              <w:right w:val="nil"/>
            </w:tcBorders>
            <w:shd w:val="clear" w:color="auto" w:fill="244062"/>
            <w:vAlign w:val="center"/>
            <w:hideMark/>
          </w:tcPr>
          <w:p w14:paraId="634FDD0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3" w:type="dxa"/>
            <w:gridSpan w:val="3"/>
            <w:tcBorders>
              <w:top w:val="single" w:sz="8" w:space="0" w:color="auto"/>
              <w:left w:val="nil"/>
              <w:bottom w:val="single" w:sz="8" w:space="0" w:color="auto"/>
              <w:right w:val="single" w:sz="8" w:space="0" w:color="000000"/>
            </w:tcBorders>
            <w:vAlign w:val="center"/>
            <w:hideMark/>
          </w:tcPr>
          <w:p w14:paraId="09DE74AA" w14:textId="77777777" w:rsidR="00614438" w:rsidRPr="00AA7A53" w:rsidRDefault="00614438" w:rsidP="00AA7A53">
            <w:pPr>
              <w:numPr>
                <w:ilvl w:val="0"/>
                <w:numId w:val="117"/>
              </w:numPr>
              <w:spacing w:after="0"/>
              <w:jc w:val="both"/>
              <w:rPr>
                <w:rFonts w:ascii="Times New Roman" w:hAnsi="Times New Roman" w:cs="Times New Roman"/>
                <w:sz w:val="20"/>
                <w:szCs w:val="20"/>
              </w:rPr>
            </w:pPr>
            <w:r w:rsidRPr="00AA7A53">
              <w:rPr>
                <w:rFonts w:ascii="Times New Roman" w:hAnsi="Times New Roman" w:cs="Times New Roman"/>
                <w:sz w:val="20"/>
                <w:szCs w:val="20"/>
              </w:rPr>
              <w:t>Modernised water network</w:t>
            </w:r>
          </w:p>
          <w:p w14:paraId="362E568E" w14:textId="77777777" w:rsidR="00614438" w:rsidRPr="00AA7A53" w:rsidRDefault="00614438" w:rsidP="00AA7A53">
            <w:pPr>
              <w:numPr>
                <w:ilvl w:val="0"/>
                <w:numId w:val="117"/>
              </w:numPr>
              <w:spacing w:after="0"/>
              <w:jc w:val="both"/>
              <w:rPr>
                <w:rFonts w:ascii="Times New Roman" w:hAnsi="Times New Roman" w:cs="Times New Roman"/>
                <w:sz w:val="20"/>
                <w:szCs w:val="20"/>
              </w:rPr>
            </w:pPr>
            <w:r w:rsidRPr="00AA7A53">
              <w:rPr>
                <w:rFonts w:ascii="Times New Roman" w:hAnsi="Times New Roman" w:cs="Times New Roman"/>
                <w:sz w:val="20"/>
                <w:szCs w:val="20"/>
              </w:rPr>
              <w:t>Number of energy-water nexus projects</w:t>
            </w:r>
          </w:p>
        </w:tc>
      </w:tr>
      <w:tr w:rsidR="00614438" w:rsidRPr="00AA7A53" w14:paraId="110CA7C8" w14:textId="77777777" w:rsidTr="00614438">
        <w:trPr>
          <w:gridAfter w:val="1"/>
          <w:wAfter w:w="222" w:type="dxa"/>
          <w:trHeight w:val="378"/>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6F76FF3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3" w:type="dxa"/>
            <w:gridSpan w:val="3"/>
            <w:tcBorders>
              <w:top w:val="single" w:sz="8" w:space="0" w:color="auto"/>
              <w:left w:val="nil"/>
              <w:bottom w:val="single" w:sz="8" w:space="0" w:color="auto"/>
              <w:right w:val="single" w:sz="8" w:space="0" w:color="000000"/>
            </w:tcBorders>
            <w:vAlign w:val="center"/>
            <w:hideMark/>
          </w:tcPr>
          <w:p w14:paraId="4329F02B" w14:textId="100F804A" w:rsidR="00614438" w:rsidRPr="00AA7A53" w:rsidRDefault="00614438" w:rsidP="00AA7A53">
            <w:pPr>
              <w:numPr>
                <w:ilvl w:val="0"/>
                <w:numId w:val="117"/>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w:t>
            </w:r>
            <w:r w:rsidR="00424BB6" w:rsidRPr="00AA7A53">
              <w:rPr>
                <w:rFonts w:ascii="Times New Roman" w:hAnsi="Times New Roman" w:cs="Times New Roman"/>
                <w:sz w:val="20"/>
                <w:szCs w:val="20"/>
              </w:rPr>
              <w:t>,</w:t>
            </w:r>
            <w:r w:rsidRPr="00AA7A53">
              <w:rPr>
                <w:rFonts w:ascii="Times New Roman" w:hAnsi="Times New Roman" w:cs="Times New Roman"/>
                <w:sz w:val="20"/>
                <w:szCs w:val="20"/>
              </w:rPr>
              <w:t xml:space="preserve"> leading to the respective GHG emission reduction)</w:t>
            </w:r>
          </w:p>
          <w:p w14:paraId="3AEF7FF5" w14:textId="3DB94291" w:rsidR="00614438" w:rsidRPr="00AA7A53" w:rsidRDefault="00614438" w:rsidP="00AA7A53">
            <w:pPr>
              <w:numPr>
                <w:ilvl w:val="0"/>
                <w:numId w:val="117"/>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w:t>
            </w:r>
            <w:r w:rsidR="00424BB6" w:rsidRPr="00AA7A53">
              <w:rPr>
                <w:rFonts w:ascii="Times New Roman" w:hAnsi="Times New Roman" w:cs="Times New Roman"/>
                <w:sz w:val="20"/>
                <w:szCs w:val="20"/>
              </w:rPr>
              <w:t>,</w:t>
            </w:r>
            <w:r w:rsidRPr="00AA7A53">
              <w:rPr>
                <w:rFonts w:ascii="Times New Roman" w:hAnsi="Times New Roman" w:cs="Times New Roman"/>
                <w:sz w:val="20"/>
                <w:szCs w:val="20"/>
              </w:rPr>
              <w:t xml:space="preserve"> reducing energy import dependency from third countries)</w:t>
            </w:r>
          </w:p>
        </w:tc>
      </w:tr>
      <w:tr w:rsidR="00614438" w:rsidRPr="00AA7A53" w14:paraId="23E797A3" w14:textId="77777777" w:rsidTr="00614438">
        <w:trPr>
          <w:gridAfter w:val="1"/>
          <w:wAfter w:w="222" w:type="dxa"/>
          <w:trHeight w:val="458"/>
        </w:trPr>
        <w:tc>
          <w:tcPr>
            <w:tcW w:w="3315" w:type="dxa"/>
            <w:vMerge w:val="restart"/>
            <w:tcBorders>
              <w:top w:val="nil"/>
              <w:left w:val="single" w:sz="8" w:space="0" w:color="auto"/>
              <w:bottom w:val="single" w:sz="8" w:space="0" w:color="000000"/>
              <w:right w:val="single" w:sz="8" w:space="0" w:color="auto"/>
            </w:tcBorders>
            <w:shd w:val="clear" w:color="auto" w:fill="244062"/>
            <w:vAlign w:val="center"/>
            <w:hideMark/>
          </w:tcPr>
          <w:p w14:paraId="2D8D6BF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3"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2573A113" w14:textId="77777777" w:rsidR="00614438" w:rsidRPr="00AA7A53" w:rsidRDefault="00614438" w:rsidP="00AA7A53">
            <w:pPr>
              <w:numPr>
                <w:ilvl w:val="0"/>
                <w:numId w:val="117"/>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5FF70E2C" w14:textId="77777777" w:rsidR="00614438" w:rsidRPr="00AA7A53" w:rsidRDefault="00614438" w:rsidP="00AA7A53">
            <w:pPr>
              <w:numPr>
                <w:ilvl w:val="0"/>
                <w:numId w:val="117"/>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3A7199D1"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06B1000A"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F5B3F79"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7A9ED58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DC63FF2"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3326CCC1"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289DC2E"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2DD0C946"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7CEFAC49" w14:textId="77777777" w:rsidTr="00614438">
        <w:trPr>
          <w:trHeight w:val="327"/>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7990059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3" w:type="dxa"/>
            <w:gridSpan w:val="3"/>
            <w:tcBorders>
              <w:top w:val="single" w:sz="8" w:space="0" w:color="auto"/>
              <w:left w:val="nil"/>
              <w:bottom w:val="single" w:sz="8" w:space="0" w:color="auto"/>
              <w:right w:val="single" w:sz="8" w:space="0" w:color="000000"/>
            </w:tcBorders>
            <w:vAlign w:val="center"/>
            <w:hideMark/>
          </w:tcPr>
          <w:p w14:paraId="25349562" w14:textId="77777777" w:rsidR="00614438" w:rsidRPr="00AA7A53" w:rsidRDefault="00614438" w:rsidP="00AA7A53">
            <w:pPr>
              <w:numPr>
                <w:ilvl w:val="0"/>
                <w:numId w:val="117"/>
              </w:numPr>
              <w:spacing w:after="0"/>
              <w:jc w:val="both"/>
              <w:rPr>
                <w:rFonts w:ascii="Times New Roman" w:hAnsi="Times New Roman" w:cs="Times New Roman"/>
                <w:sz w:val="20"/>
                <w:szCs w:val="20"/>
              </w:rPr>
            </w:pPr>
            <w:r w:rsidRPr="00AA7A53">
              <w:rPr>
                <w:rFonts w:ascii="Times New Roman" w:hAnsi="Times New Roman" w:cs="Times New Roman"/>
                <w:sz w:val="20"/>
                <w:szCs w:val="20"/>
              </w:rPr>
              <w:t>Sustainable Urban Development Strategy of the Republic of Serbia until 2030</w:t>
            </w:r>
          </w:p>
          <w:p w14:paraId="6D538460" w14:textId="77777777" w:rsidR="00614438" w:rsidRPr="00AA7A53" w:rsidRDefault="00614438" w:rsidP="00AA7A53">
            <w:pPr>
              <w:numPr>
                <w:ilvl w:val="0"/>
                <w:numId w:val="117"/>
              </w:numPr>
              <w:spacing w:after="0"/>
              <w:jc w:val="both"/>
              <w:rPr>
                <w:rFonts w:ascii="Times New Roman" w:hAnsi="Times New Roman" w:cs="Times New Roman"/>
                <w:sz w:val="20"/>
                <w:szCs w:val="20"/>
              </w:rPr>
            </w:pPr>
            <w:r w:rsidRPr="00AA7A53">
              <w:rPr>
                <w:rFonts w:ascii="Times New Roman" w:hAnsi="Times New Roman" w:cs="Times New Roman"/>
                <w:sz w:val="20"/>
                <w:szCs w:val="20"/>
              </w:rPr>
              <w:t>Other strategic documents in the field of environmental protection</w:t>
            </w:r>
          </w:p>
        </w:tc>
        <w:tc>
          <w:tcPr>
            <w:tcW w:w="222" w:type="dxa"/>
            <w:vAlign w:val="center"/>
            <w:hideMark/>
          </w:tcPr>
          <w:p w14:paraId="380A446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8D0B157" w14:textId="77777777" w:rsidTr="00614438">
        <w:trPr>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11B1708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3" w:type="dxa"/>
            <w:gridSpan w:val="3"/>
            <w:tcBorders>
              <w:top w:val="single" w:sz="8" w:space="0" w:color="auto"/>
              <w:left w:val="nil"/>
              <w:bottom w:val="single" w:sz="8" w:space="0" w:color="auto"/>
              <w:right w:val="single" w:sz="8" w:space="0" w:color="000000"/>
            </w:tcBorders>
            <w:vAlign w:val="center"/>
            <w:hideMark/>
          </w:tcPr>
          <w:p w14:paraId="5F37606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Under examination</w:t>
            </w:r>
          </w:p>
        </w:tc>
        <w:tc>
          <w:tcPr>
            <w:tcW w:w="222" w:type="dxa"/>
            <w:vAlign w:val="center"/>
            <w:hideMark/>
          </w:tcPr>
          <w:p w14:paraId="6A7B574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5D422F7" w14:textId="77777777" w:rsidTr="00614438">
        <w:trPr>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193008F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3" w:type="dxa"/>
            <w:gridSpan w:val="3"/>
            <w:tcBorders>
              <w:top w:val="single" w:sz="8" w:space="0" w:color="auto"/>
              <w:left w:val="nil"/>
              <w:bottom w:val="single" w:sz="8" w:space="0" w:color="auto"/>
              <w:right w:val="single" w:sz="8" w:space="0" w:color="000000"/>
            </w:tcBorders>
            <w:vAlign w:val="center"/>
            <w:hideMark/>
          </w:tcPr>
          <w:p w14:paraId="62D47B3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Under examination</w:t>
            </w:r>
          </w:p>
        </w:tc>
        <w:tc>
          <w:tcPr>
            <w:tcW w:w="222" w:type="dxa"/>
            <w:vAlign w:val="center"/>
            <w:hideMark/>
          </w:tcPr>
          <w:p w14:paraId="0C88C401" w14:textId="77777777" w:rsidR="00614438" w:rsidRPr="00AA7A53" w:rsidRDefault="00614438" w:rsidP="00AA7A53">
            <w:pPr>
              <w:spacing w:after="0"/>
              <w:jc w:val="both"/>
              <w:rPr>
                <w:rFonts w:ascii="Times New Roman" w:hAnsi="Times New Roman" w:cs="Times New Roman"/>
                <w:sz w:val="20"/>
                <w:szCs w:val="20"/>
                <w:lang w:val="en-GB"/>
              </w:rPr>
            </w:pPr>
          </w:p>
        </w:tc>
      </w:tr>
    </w:tbl>
    <w:p w14:paraId="664E5E4E"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89"/>
        <w:gridCol w:w="1050"/>
        <w:gridCol w:w="939"/>
        <w:gridCol w:w="4180"/>
        <w:gridCol w:w="222"/>
      </w:tblGrid>
      <w:tr w:rsidR="00614438" w:rsidRPr="00AA7A53" w14:paraId="12589DAC" w14:textId="77777777" w:rsidTr="00614438">
        <w:trPr>
          <w:gridAfter w:val="1"/>
          <w:wAfter w:w="222" w:type="dxa"/>
          <w:trHeight w:val="780"/>
        </w:trPr>
        <w:tc>
          <w:tcPr>
            <w:tcW w:w="3312"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6784CAD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6C66D1F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PM_EE37</w:t>
            </w:r>
          </w:p>
        </w:tc>
        <w:tc>
          <w:tcPr>
            <w:tcW w:w="943" w:type="dxa"/>
            <w:tcBorders>
              <w:top w:val="single" w:sz="8" w:space="0" w:color="auto"/>
              <w:left w:val="nil"/>
              <w:bottom w:val="single" w:sz="8" w:space="0" w:color="auto"/>
              <w:right w:val="single" w:sz="8" w:space="0" w:color="auto"/>
            </w:tcBorders>
            <w:shd w:val="clear" w:color="auto" w:fill="244062"/>
            <w:vAlign w:val="center"/>
            <w:hideMark/>
          </w:tcPr>
          <w:p w14:paraId="3F925A4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7" w:type="dxa"/>
            <w:tcBorders>
              <w:top w:val="single" w:sz="8" w:space="0" w:color="auto"/>
              <w:left w:val="nil"/>
              <w:bottom w:val="single" w:sz="8" w:space="0" w:color="auto"/>
              <w:right w:val="single" w:sz="8" w:space="0" w:color="auto"/>
            </w:tcBorders>
            <w:shd w:val="clear" w:color="auto" w:fill="E7E6E6" w:themeFill="background2"/>
            <w:vAlign w:val="center"/>
            <w:hideMark/>
          </w:tcPr>
          <w:p w14:paraId="6C9E5CB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Strengthening the technical and administrative capacity of the involved policy makers</w:t>
            </w:r>
          </w:p>
        </w:tc>
      </w:tr>
      <w:tr w:rsidR="00614438" w:rsidRPr="00AA7A53" w14:paraId="59641B66" w14:textId="77777777" w:rsidTr="00614438">
        <w:trPr>
          <w:gridAfter w:val="1"/>
          <w:wAfter w:w="222" w:type="dxa"/>
          <w:trHeight w:val="422"/>
        </w:trPr>
        <w:tc>
          <w:tcPr>
            <w:tcW w:w="3312" w:type="dxa"/>
            <w:tcBorders>
              <w:top w:val="nil"/>
              <w:left w:val="single" w:sz="8" w:space="0" w:color="auto"/>
              <w:bottom w:val="single" w:sz="8" w:space="0" w:color="auto"/>
              <w:right w:val="nil"/>
            </w:tcBorders>
            <w:shd w:val="clear" w:color="auto" w:fill="244062"/>
            <w:vAlign w:val="center"/>
            <w:hideMark/>
          </w:tcPr>
          <w:p w14:paraId="6CA58F3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46" w:type="dxa"/>
            <w:gridSpan w:val="3"/>
            <w:tcBorders>
              <w:top w:val="single" w:sz="8" w:space="0" w:color="auto"/>
              <w:left w:val="nil"/>
              <w:bottom w:val="single" w:sz="8" w:space="0" w:color="auto"/>
              <w:right w:val="single" w:sz="8" w:space="0" w:color="000000"/>
            </w:tcBorders>
            <w:vAlign w:val="center"/>
            <w:hideMark/>
          </w:tcPr>
          <w:p w14:paraId="267553D5" w14:textId="0FB6FA50"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 as amended by Directive (EU) 2018/2002:</w:t>
            </w:r>
          </w:p>
          <w:p w14:paraId="7E1DD43D" w14:textId="77777777" w:rsidR="00614438" w:rsidRPr="00AA7A53" w:rsidRDefault="00614438" w:rsidP="00AA7A53">
            <w:pPr>
              <w:numPr>
                <w:ilvl w:val="0"/>
                <w:numId w:val="118"/>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tc>
      </w:tr>
      <w:tr w:rsidR="00614438" w:rsidRPr="00AA7A53" w14:paraId="174C4E46" w14:textId="77777777" w:rsidTr="00614438">
        <w:trPr>
          <w:gridAfter w:val="1"/>
          <w:wAfter w:w="222" w:type="dxa"/>
          <w:trHeight w:val="315"/>
        </w:trPr>
        <w:tc>
          <w:tcPr>
            <w:tcW w:w="3312" w:type="dxa"/>
            <w:tcBorders>
              <w:top w:val="nil"/>
              <w:left w:val="single" w:sz="8" w:space="0" w:color="auto"/>
              <w:bottom w:val="single" w:sz="8" w:space="0" w:color="auto"/>
              <w:right w:val="single" w:sz="8" w:space="0" w:color="auto"/>
            </w:tcBorders>
            <w:shd w:val="clear" w:color="auto" w:fill="244062"/>
            <w:vAlign w:val="center"/>
            <w:hideMark/>
          </w:tcPr>
          <w:p w14:paraId="707BFFF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46" w:type="dxa"/>
            <w:gridSpan w:val="3"/>
            <w:tcBorders>
              <w:top w:val="single" w:sz="8" w:space="0" w:color="auto"/>
              <w:left w:val="nil"/>
              <w:bottom w:val="single" w:sz="8" w:space="0" w:color="auto"/>
              <w:right w:val="single" w:sz="8" w:space="0" w:color="000000"/>
            </w:tcBorders>
            <w:vAlign w:val="center"/>
            <w:hideMark/>
          </w:tcPr>
          <w:p w14:paraId="6018178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fulfilling the expected final energy consumption levels</w:t>
            </w:r>
          </w:p>
        </w:tc>
      </w:tr>
      <w:tr w:rsidR="00614438" w:rsidRPr="00AA7A53" w14:paraId="4616D4D3" w14:textId="77777777" w:rsidTr="00614438">
        <w:trPr>
          <w:gridAfter w:val="1"/>
          <w:wAfter w:w="222" w:type="dxa"/>
          <w:trHeight w:val="2295"/>
        </w:trPr>
        <w:tc>
          <w:tcPr>
            <w:tcW w:w="3312" w:type="dxa"/>
            <w:tcBorders>
              <w:top w:val="nil"/>
              <w:left w:val="single" w:sz="8" w:space="0" w:color="auto"/>
              <w:bottom w:val="single" w:sz="8" w:space="0" w:color="auto"/>
              <w:right w:val="single" w:sz="8" w:space="0" w:color="auto"/>
            </w:tcBorders>
            <w:shd w:val="clear" w:color="auto" w:fill="244062"/>
            <w:vAlign w:val="center"/>
            <w:hideMark/>
          </w:tcPr>
          <w:p w14:paraId="656382E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6" w:type="dxa"/>
            <w:gridSpan w:val="3"/>
            <w:tcBorders>
              <w:top w:val="single" w:sz="8" w:space="0" w:color="auto"/>
              <w:left w:val="nil"/>
              <w:bottom w:val="single" w:sz="8" w:space="0" w:color="auto"/>
              <w:right w:val="single" w:sz="8" w:space="0" w:color="000000"/>
            </w:tcBorders>
            <w:vAlign w:val="center"/>
            <w:hideMark/>
          </w:tcPr>
          <w:p w14:paraId="35A2EACF" w14:textId="5391D998"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PM_EE37 will </w:t>
            </w:r>
            <w:r w:rsidR="00424BB6" w:rsidRPr="00AA7A53">
              <w:rPr>
                <w:rFonts w:ascii="Times New Roman" w:hAnsi="Times New Roman" w:cs="Times New Roman"/>
                <w:sz w:val="20"/>
                <w:szCs w:val="20"/>
                <w:lang w:val="en-GB"/>
              </w:rPr>
              <w:t xml:space="preserve">continually </w:t>
            </w:r>
            <w:r w:rsidRPr="00AA7A53">
              <w:rPr>
                <w:rFonts w:ascii="Times New Roman" w:hAnsi="Times New Roman" w:cs="Times New Roman"/>
                <w:sz w:val="20"/>
                <w:szCs w:val="20"/>
                <w:lang w:val="en-GB"/>
              </w:rPr>
              <w:t>reinforce the technical and administrative capacity of the involved policy makers in order to facilitate the effective design, implementation, monitoring and evaluation of the energy efficiency measures. Specialized trainings will be organized and sophisticated tools and materials will be prepared</w:t>
            </w:r>
            <w:r w:rsidR="00424BB6"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ensuring that the existing level of knowledge and the required skills </w:t>
            </w:r>
            <w:r w:rsidR="00424BB6" w:rsidRPr="00AA7A53">
              <w:rPr>
                <w:rFonts w:ascii="Times New Roman" w:hAnsi="Times New Roman" w:cs="Times New Roman"/>
                <w:sz w:val="20"/>
                <w:szCs w:val="20"/>
                <w:lang w:val="en-GB"/>
              </w:rPr>
              <w:t>have reached the satisfactory level</w:t>
            </w:r>
            <w:r w:rsidRPr="00AA7A53">
              <w:rPr>
                <w:rFonts w:ascii="Times New Roman" w:hAnsi="Times New Roman" w:cs="Times New Roman"/>
                <w:sz w:val="20"/>
                <w:szCs w:val="20"/>
                <w:lang w:val="en-GB"/>
              </w:rPr>
              <w:t xml:space="preserve">. Training </w:t>
            </w:r>
            <w:r w:rsidR="00424BB6" w:rsidRPr="00AA7A53">
              <w:rPr>
                <w:rFonts w:ascii="Times New Roman" w:hAnsi="Times New Roman" w:cs="Times New Roman"/>
                <w:sz w:val="20"/>
                <w:szCs w:val="20"/>
                <w:lang w:val="en-GB"/>
              </w:rPr>
              <w:t>may</w:t>
            </w:r>
            <w:r w:rsidRPr="00AA7A53">
              <w:rPr>
                <w:rFonts w:ascii="Times New Roman" w:hAnsi="Times New Roman" w:cs="Times New Roman"/>
                <w:sz w:val="20"/>
                <w:szCs w:val="20"/>
                <w:lang w:val="en-GB"/>
              </w:rPr>
              <w:t xml:space="preserve"> include requirements for the preparation of project/technical documentation in order to increase the quality and the utilization of the projects for the deep renovation of the buildings, but also preparation of technical documentation and design brief for their implementation. Finally, tools will be further improved and, when needed, developed for monitoring the achievement of the established targets and the performance of the implemented policies and measures including the compliance with the </w:t>
            </w:r>
            <w:r w:rsidR="00424BB6" w:rsidRPr="00AA7A53">
              <w:rPr>
                <w:rFonts w:ascii="Times New Roman" w:hAnsi="Times New Roman" w:cs="Times New Roman"/>
                <w:sz w:val="20"/>
                <w:szCs w:val="20"/>
                <w:lang w:val="en-GB"/>
              </w:rPr>
              <w:t>“E</w:t>
            </w:r>
            <w:r w:rsidRPr="00AA7A53">
              <w:rPr>
                <w:rFonts w:ascii="Times New Roman" w:hAnsi="Times New Roman" w:cs="Times New Roman"/>
                <w:sz w:val="20"/>
                <w:szCs w:val="20"/>
                <w:lang w:val="en-GB"/>
              </w:rPr>
              <w:t xml:space="preserve">nergy </w:t>
            </w:r>
            <w:r w:rsidR="00424BB6" w:rsidRPr="00AA7A53">
              <w:rPr>
                <w:rFonts w:ascii="Times New Roman" w:hAnsi="Times New Roman" w:cs="Times New Roman"/>
                <w:sz w:val="20"/>
                <w:szCs w:val="20"/>
                <w:lang w:val="en-GB"/>
              </w:rPr>
              <w:t>E</w:t>
            </w:r>
            <w:r w:rsidRPr="00AA7A53">
              <w:rPr>
                <w:rFonts w:ascii="Times New Roman" w:hAnsi="Times New Roman" w:cs="Times New Roman"/>
                <w:sz w:val="20"/>
                <w:szCs w:val="20"/>
                <w:lang w:val="en-GB"/>
              </w:rPr>
              <w:t xml:space="preserve">fficiency </w:t>
            </w:r>
            <w:r w:rsidR="00424BB6" w:rsidRPr="00AA7A53">
              <w:rPr>
                <w:rFonts w:ascii="Times New Roman" w:hAnsi="Times New Roman" w:cs="Times New Roman"/>
                <w:sz w:val="20"/>
                <w:szCs w:val="20"/>
                <w:lang w:val="en-GB"/>
              </w:rPr>
              <w:t>F</w:t>
            </w:r>
            <w:r w:rsidRPr="00AA7A53">
              <w:rPr>
                <w:rFonts w:ascii="Times New Roman" w:hAnsi="Times New Roman" w:cs="Times New Roman"/>
                <w:sz w:val="20"/>
                <w:szCs w:val="20"/>
                <w:lang w:val="en-GB"/>
              </w:rPr>
              <w:t>irst</w:t>
            </w:r>
            <w:r w:rsidR="00424BB6"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principle. </w:t>
            </w:r>
          </w:p>
        </w:tc>
      </w:tr>
      <w:tr w:rsidR="00614438" w:rsidRPr="00AA7A53" w14:paraId="6E165FE4" w14:textId="77777777" w:rsidTr="00614438">
        <w:trPr>
          <w:gridAfter w:val="1"/>
          <w:wAfter w:w="222" w:type="dxa"/>
          <w:trHeight w:val="315"/>
        </w:trPr>
        <w:tc>
          <w:tcPr>
            <w:tcW w:w="3312" w:type="dxa"/>
            <w:tcBorders>
              <w:top w:val="nil"/>
              <w:left w:val="single" w:sz="8" w:space="0" w:color="auto"/>
              <w:bottom w:val="single" w:sz="8" w:space="0" w:color="auto"/>
              <w:right w:val="single" w:sz="8" w:space="0" w:color="auto"/>
            </w:tcBorders>
            <w:shd w:val="clear" w:color="auto" w:fill="244062"/>
            <w:vAlign w:val="center"/>
            <w:hideMark/>
          </w:tcPr>
          <w:p w14:paraId="74EF836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Implementation Timeframe</w:t>
            </w:r>
          </w:p>
        </w:tc>
        <w:tc>
          <w:tcPr>
            <w:tcW w:w="6146" w:type="dxa"/>
            <w:gridSpan w:val="3"/>
            <w:tcBorders>
              <w:top w:val="single" w:sz="8" w:space="0" w:color="auto"/>
              <w:left w:val="nil"/>
              <w:bottom w:val="single" w:sz="8" w:space="0" w:color="auto"/>
              <w:right w:val="single" w:sz="8" w:space="0" w:color="000000"/>
            </w:tcBorders>
            <w:vAlign w:val="center"/>
            <w:hideMark/>
          </w:tcPr>
          <w:p w14:paraId="2390338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2025-2026</w:t>
            </w:r>
          </w:p>
        </w:tc>
      </w:tr>
      <w:tr w:rsidR="00614438" w:rsidRPr="00AA7A53" w14:paraId="25812945" w14:textId="77777777" w:rsidTr="00614438">
        <w:trPr>
          <w:gridAfter w:val="1"/>
          <w:wAfter w:w="222" w:type="dxa"/>
          <w:trHeight w:val="315"/>
        </w:trPr>
        <w:tc>
          <w:tcPr>
            <w:tcW w:w="3312" w:type="dxa"/>
            <w:tcBorders>
              <w:top w:val="nil"/>
              <w:left w:val="single" w:sz="8" w:space="0" w:color="auto"/>
              <w:bottom w:val="single" w:sz="8" w:space="0" w:color="auto"/>
              <w:right w:val="single" w:sz="8" w:space="0" w:color="auto"/>
            </w:tcBorders>
            <w:shd w:val="clear" w:color="auto" w:fill="244062"/>
            <w:vAlign w:val="center"/>
            <w:hideMark/>
          </w:tcPr>
          <w:p w14:paraId="6B69AC7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6" w:type="dxa"/>
            <w:gridSpan w:val="3"/>
            <w:tcBorders>
              <w:top w:val="single" w:sz="8" w:space="0" w:color="auto"/>
              <w:left w:val="nil"/>
              <w:bottom w:val="single" w:sz="8" w:space="0" w:color="auto"/>
              <w:right w:val="single" w:sz="8" w:space="0" w:color="000000"/>
            </w:tcBorders>
            <w:vAlign w:val="center"/>
            <w:hideMark/>
          </w:tcPr>
          <w:p w14:paraId="5009DD7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5B9A7451" w14:textId="77777777" w:rsidTr="00614438">
        <w:trPr>
          <w:gridAfter w:val="1"/>
          <w:wAfter w:w="222" w:type="dxa"/>
          <w:trHeight w:val="315"/>
        </w:trPr>
        <w:tc>
          <w:tcPr>
            <w:tcW w:w="3312" w:type="dxa"/>
            <w:tcBorders>
              <w:top w:val="nil"/>
              <w:left w:val="single" w:sz="8" w:space="0" w:color="auto"/>
              <w:bottom w:val="single" w:sz="8" w:space="0" w:color="auto"/>
              <w:right w:val="single" w:sz="8" w:space="0" w:color="auto"/>
            </w:tcBorders>
            <w:shd w:val="clear" w:color="auto" w:fill="244062"/>
            <w:vAlign w:val="center"/>
            <w:hideMark/>
          </w:tcPr>
          <w:p w14:paraId="6719012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6" w:type="dxa"/>
            <w:gridSpan w:val="3"/>
            <w:tcBorders>
              <w:top w:val="single" w:sz="8" w:space="0" w:color="auto"/>
              <w:left w:val="nil"/>
              <w:bottom w:val="single" w:sz="8" w:space="0" w:color="auto"/>
              <w:right w:val="single" w:sz="8" w:space="0" w:color="000000"/>
            </w:tcBorders>
            <w:vAlign w:val="center"/>
            <w:hideMark/>
          </w:tcPr>
          <w:p w14:paraId="454DFAC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final energy consumption sectors</w:t>
            </w:r>
          </w:p>
        </w:tc>
      </w:tr>
      <w:tr w:rsidR="00614438" w:rsidRPr="00AA7A53" w14:paraId="3326C11E" w14:textId="77777777" w:rsidTr="00614438">
        <w:trPr>
          <w:gridAfter w:val="1"/>
          <w:wAfter w:w="222" w:type="dxa"/>
          <w:trHeight w:val="315"/>
        </w:trPr>
        <w:tc>
          <w:tcPr>
            <w:tcW w:w="3312" w:type="dxa"/>
            <w:tcBorders>
              <w:top w:val="nil"/>
              <w:left w:val="single" w:sz="8" w:space="0" w:color="auto"/>
              <w:bottom w:val="single" w:sz="8" w:space="0" w:color="auto"/>
              <w:right w:val="single" w:sz="8" w:space="0" w:color="auto"/>
            </w:tcBorders>
            <w:shd w:val="clear" w:color="auto" w:fill="244062"/>
            <w:vAlign w:val="center"/>
            <w:hideMark/>
          </w:tcPr>
          <w:p w14:paraId="4F6D20F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6" w:type="dxa"/>
            <w:gridSpan w:val="3"/>
            <w:tcBorders>
              <w:top w:val="single" w:sz="8" w:space="0" w:color="auto"/>
              <w:left w:val="nil"/>
              <w:bottom w:val="single" w:sz="8" w:space="0" w:color="auto"/>
              <w:right w:val="single" w:sz="8" w:space="0" w:color="000000"/>
            </w:tcBorders>
            <w:vAlign w:val="center"/>
            <w:hideMark/>
          </w:tcPr>
          <w:p w14:paraId="28967FE5" w14:textId="77777777" w:rsidR="00614438" w:rsidRPr="00AA7A53" w:rsidRDefault="00614438" w:rsidP="00AA7A53">
            <w:pPr>
              <w:numPr>
                <w:ilvl w:val="0"/>
                <w:numId w:val="118"/>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30B537B4" w14:textId="77777777" w:rsidR="00614438" w:rsidRPr="00AA7A53" w:rsidRDefault="00614438" w:rsidP="00AA7A53">
            <w:pPr>
              <w:numPr>
                <w:ilvl w:val="0"/>
                <w:numId w:val="118"/>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tc>
      </w:tr>
      <w:tr w:rsidR="00614438" w:rsidRPr="00AA7A53" w14:paraId="2483876C" w14:textId="77777777" w:rsidTr="00614438">
        <w:trPr>
          <w:gridAfter w:val="1"/>
          <w:wAfter w:w="222" w:type="dxa"/>
          <w:trHeight w:val="315"/>
        </w:trPr>
        <w:tc>
          <w:tcPr>
            <w:tcW w:w="3312" w:type="dxa"/>
            <w:tcBorders>
              <w:top w:val="nil"/>
              <w:left w:val="single" w:sz="8" w:space="0" w:color="auto"/>
              <w:bottom w:val="single" w:sz="8" w:space="0" w:color="auto"/>
              <w:right w:val="nil"/>
            </w:tcBorders>
            <w:shd w:val="clear" w:color="auto" w:fill="244062"/>
            <w:vAlign w:val="center"/>
            <w:hideMark/>
          </w:tcPr>
          <w:p w14:paraId="70CB75B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6" w:type="dxa"/>
            <w:gridSpan w:val="3"/>
            <w:tcBorders>
              <w:top w:val="single" w:sz="8" w:space="0" w:color="auto"/>
              <w:left w:val="nil"/>
              <w:bottom w:val="single" w:sz="8" w:space="0" w:color="auto"/>
              <w:right w:val="single" w:sz="8" w:space="0" w:color="000000"/>
            </w:tcBorders>
            <w:vAlign w:val="center"/>
            <w:hideMark/>
          </w:tcPr>
          <w:p w14:paraId="4870A555" w14:textId="77777777" w:rsidR="00614438" w:rsidRPr="00AA7A53" w:rsidRDefault="00614438" w:rsidP="00AA7A53">
            <w:pPr>
              <w:numPr>
                <w:ilvl w:val="0"/>
                <w:numId w:val="118"/>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 </w:t>
            </w:r>
          </w:p>
        </w:tc>
      </w:tr>
      <w:tr w:rsidR="00614438" w:rsidRPr="00AA7A53" w14:paraId="3E3D6162" w14:textId="77777777" w:rsidTr="00614438">
        <w:trPr>
          <w:gridAfter w:val="1"/>
          <w:wAfter w:w="222" w:type="dxa"/>
          <w:trHeight w:val="315"/>
        </w:trPr>
        <w:tc>
          <w:tcPr>
            <w:tcW w:w="3312" w:type="dxa"/>
            <w:tcBorders>
              <w:top w:val="nil"/>
              <w:left w:val="single" w:sz="8" w:space="0" w:color="auto"/>
              <w:bottom w:val="single" w:sz="8" w:space="0" w:color="auto"/>
              <w:right w:val="nil"/>
            </w:tcBorders>
            <w:shd w:val="clear" w:color="auto" w:fill="244062"/>
            <w:vAlign w:val="center"/>
            <w:hideMark/>
          </w:tcPr>
          <w:p w14:paraId="64EEF00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6" w:type="dxa"/>
            <w:gridSpan w:val="3"/>
            <w:tcBorders>
              <w:top w:val="single" w:sz="8" w:space="0" w:color="auto"/>
              <w:left w:val="nil"/>
              <w:bottom w:val="single" w:sz="8" w:space="0" w:color="auto"/>
              <w:right w:val="single" w:sz="8" w:space="0" w:color="000000"/>
            </w:tcBorders>
            <w:vAlign w:val="center"/>
            <w:hideMark/>
          </w:tcPr>
          <w:p w14:paraId="3D7B4CC8" w14:textId="77777777" w:rsidR="00614438" w:rsidRPr="00AA7A53" w:rsidRDefault="00614438" w:rsidP="00AA7A53">
            <w:pPr>
              <w:numPr>
                <w:ilvl w:val="0"/>
                <w:numId w:val="118"/>
              </w:numPr>
              <w:spacing w:after="0"/>
              <w:jc w:val="both"/>
              <w:rPr>
                <w:rFonts w:ascii="Times New Roman" w:hAnsi="Times New Roman" w:cs="Times New Roman"/>
                <w:sz w:val="20"/>
                <w:szCs w:val="20"/>
              </w:rPr>
            </w:pPr>
            <w:r w:rsidRPr="00AA7A53">
              <w:rPr>
                <w:rFonts w:ascii="Times New Roman" w:hAnsi="Times New Roman" w:cs="Times New Roman"/>
                <w:sz w:val="20"/>
                <w:szCs w:val="20"/>
              </w:rPr>
              <w:t>Number of affected policy makers with improved skills</w:t>
            </w:r>
          </w:p>
        </w:tc>
      </w:tr>
      <w:tr w:rsidR="00614438" w:rsidRPr="00AA7A53" w14:paraId="175D63CF" w14:textId="77777777" w:rsidTr="00614438">
        <w:trPr>
          <w:gridAfter w:val="1"/>
          <w:wAfter w:w="222" w:type="dxa"/>
          <w:trHeight w:val="552"/>
        </w:trPr>
        <w:tc>
          <w:tcPr>
            <w:tcW w:w="3312" w:type="dxa"/>
            <w:tcBorders>
              <w:top w:val="nil"/>
              <w:left w:val="single" w:sz="8" w:space="0" w:color="auto"/>
              <w:bottom w:val="single" w:sz="8" w:space="0" w:color="auto"/>
              <w:right w:val="single" w:sz="8" w:space="0" w:color="auto"/>
            </w:tcBorders>
            <w:shd w:val="clear" w:color="auto" w:fill="244062"/>
            <w:vAlign w:val="center"/>
            <w:hideMark/>
          </w:tcPr>
          <w:p w14:paraId="53CDC67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6" w:type="dxa"/>
            <w:gridSpan w:val="3"/>
            <w:tcBorders>
              <w:top w:val="single" w:sz="8" w:space="0" w:color="auto"/>
              <w:left w:val="nil"/>
              <w:bottom w:val="single" w:sz="8" w:space="0" w:color="auto"/>
              <w:right w:val="single" w:sz="8" w:space="0" w:color="000000"/>
            </w:tcBorders>
            <w:vAlign w:val="center"/>
            <w:hideMark/>
          </w:tcPr>
          <w:p w14:paraId="1842AEBA" w14:textId="0F86A3C0" w:rsidR="00614438" w:rsidRPr="00AA7A53" w:rsidRDefault="00614438" w:rsidP="00AA7A53">
            <w:pPr>
              <w:numPr>
                <w:ilvl w:val="0"/>
                <w:numId w:val="118"/>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w:t>
            </w:r>
            <w:r w:rsidR="00341A37" w:rsidRPr="00AA7A53">
              <w:rPr>
                <w:rFonts w:ascii="Times New Roman" w:hAnsi="Times New Roman" w:cs="Times New Roman"/>
                <w:sz w:val="20"/>
                <w:szCs w:val="20"/>
              </w:rPr>
              <w:t>,</w:t>
            </w:r>
            <w:r w:rsidRPr="00AA7A53">
              <w:rPr>
                <w:rFonts w:ascii="Times New Roman" w:hAnsi="Times New Roman" w:cs="Times New Roman"/>
                <w:sz w:val="20"/>
                <w:szCs w:val="20"/>
              </w:rPr>
              <w:t xml:space="preserve"> leading to the respective GHG emission reduction </w:t>
            </w:r>
            <w:r w:rsidR="00341A37"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utilised RES technologies will increase the RES share totally)</w:t>
            </w:r>
          </w:p>
          <w:p w14:paraId="5135C899" w14:textId="3B44B087" w:rsidR="00614438" w:rsidRPr="00AA7A53" w:rsidRDefault="00614438" w:rsidP="00AA7A53">
            <w:pPr>
              <w:numPr>
                <w:ilvl w:val="0"/>
                <w:numId w:val="118"/>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w:t>
            </w:r>
            <w:r w:rsidR="00341A37" w:rsidRPr="00AA7A53">
              <w:rPr>
                <w:rFonts w:ascii="Times New Roman" w:hAnsi="Times New Roman" w:cs="Times New Roman"/>
                <w:sz w:val="20"/>
                <w:szCs w:val="20"/>
              </w:rPr>
              <w:t>,</w:t>
            </w:r>
            <w:r w:rsidRPr="00AA7A53">
              <w:rPr>
                <w:rFonts w:ascii="Times New Roman" w:hAnsi="Times New Roman" w:cs="Times New Roman"/>
                <w:sz w:val="20"/>
                <w:szCs w:val="20"/>
              </w:rPr>
              <w:t xml:space="preserve"> reducing energy import dependency from third countries)</w:t>
            </w:r>
          </w:p>
        </w:tc>
      </w:tr>
      <w:tr w:rsidR="00614438" w:rsidRPr="00AA7A53" w14:paraId="529EF242" w14:textId="77777777" w:rsidTr="00614438">
        <w:trPr>
          <w:gridAfter w:val="1"/>
          <w:wAfter w:w="222" w:type="dxa"/>
          <w:trHeight w:val="458"/>
        </w:trPr>
        <w:tc>
          <w:tcPr>
            <w:tcW w:w="3312" w:type="dxa"/>
            <w:vMerge w:val="restart"/>
            <w:tcBorders>
              <w:top w:val="nil"/>
              <w:left w:val="single" w:sz="8" w:space="0" w:color="auto"/>
              <w:bottom w:val="single" w:sz="8" w:space="0" w:color="000000"/>
              <w:right w:val="single" w:sz="8" w:space="0" w:color="auto"/>
            </w:tcBorders>
            <w:shd w:val="clear" w:color="auto" w:fill="244062"/>
            <w:vAlign w:val="center"/>
            <w:hideMark/>
          </w:tcPr>
          <w:p w14:paraId="74CAC7F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6"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2265A79F" w14:textId="5512E186" w:rsidR="00614438" w:rsidRPr="00AA7A53" w:rsidRDefault="00614438" w:rsidP="00AA7A53">
            <w:pPr>
              <w:numPr>
                <w:ilvl w:val="0"/>
                <w:numId w:val="118"/>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2010/3</w:t>
            </w:r>
            <w:r w:rsidR="00341A37" w:rsidRPr="00AA7A53">
              <w:rPr>
                <w:rFonts w:ascii="Times New Roman" w:hAnsi="Times New Roman" w:cs="Times New Roman"/>
                <w:sz w:val="20"/>
                <w:szCs w:val="20"/>
              </w:rPr>
              <w:t>1/EU</w:t>
            </w:r>
          </w:p>
          <w:p w14:paraId="30DC396F" w14:textId="1481CADB" w:rsidR="00614438" w:rsidRPr="00AA7A53" w:rsidRDefault="00614438" w:rsidP="00AA7A53">
            <w:pPr>
              <w:numPr>
                <w:ilvl w:val="0"/>
                <w:numId w:val="118"/>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2012/27</w:t>
            </w:r>
            <w:r w:rsidR="00341A37" w:rsidRPr="00AA7A53">
              <w:rPr>
                <w:rFonts w:ascii="Times New Roman" w:hAnsi="Times New Roman" w:cs="Times New Roman"/>
                <w:sz w:val="20"/>
                <w:szCs w:val="20"/>
              </w:rPr>
              <w:t>/EU</w:t>
            </w:r>
          </w:p>
          <w:p w14:paraId="0B94136C" w14:textId="524FE815" w:rsidR="00614438" w:rsidRPr="00AA7A53" w:rsidRDefault="00614438" w:rsidP="00AA7A53">
            <w:pPr>
              <w:numPr>
                <w:ilvl w:val="0"/>
                <w:numId w:val="118"/>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2018/2002</w:t>
            </w:r>
            <w:r w:rsidR="00341A37" w:rsidRPr="00AA7A53">
              <w:rPr>
                <w:rFonts w:ascii="Times New Roman" w:hAnsi="Times New Roman" w:cs="Times New Roman"/>
                <w:sz w:val="20"/>
                <w:szCs w:val="20"/>
              </w:rPr>
              <w:t>/EU</w:t>
            </w:r>
          </w:p>
          <w:p w14:paraId="4AB9BD46" w14:textId="5E875421" w:rsidR="00614438" w:rsidRPr="00AA7A53" w:rsidRDefault="00614438" w:rsidP="00AA7A53">
            <w:pPr>
              <w:numPr>
                <w:ilvl w:val="0"/>
                <w:numId w:val="118"/>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2018/844</w:t>
            </w:r>
            <w:r w:rsidR="00341A37" w:rsidRPr="00AA7A53">
              <w:rPr>
                <w:rFonts w:ascii="Times New Roman" w:hAnsi="Times New Roman" w:cs="Times New Roman"/>
                <w:sz w:val="20"/>
                <w:szCs w:val="20"/>
              </w:rPr>
              <w:t>/EU</w:t>
            </w:r>
          </w:p>
        </w:tc>
      </w:tr>
      <w:tr w:rsidR="00614438" w:rsidRPr="00AA7A53" w14:paraId="58E1F807"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36C0A0EC"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6EA5A80"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379E8F08"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36B0B5E"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6FF50160"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542C21A"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0D1D2D99"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51C8D42E" w14:textId="77777777" w:rsidTr="00614438">
        <w:trPr>
          <w:trHeight w:val="780"/>
        </w:trPr>
        <w:tc>
          <w:tcPr>
            <w:tcW w:w="3312" w:type="dxa"/>
            <w:tcBorders>
              <w:top w:val="nil"/>
              <w:left w:val="single" w:sz="8" w:space="0" w:color="auto"/>
              <w:bottom w:val="single" w:sz="8" w:space="0" w:color="auto"/>
              <w:right w:val="single" w:sz="8" w:space="0" w:color="auto"/>
            </w:tcBorders>
            <w:shd w:val="clear" w:color="auto" w:fill="244062"/>
            <w:vAlign w:val="center"/>
            <w:hideMark/>
          </w:tcPr>
          <w:p w14:paraId="2C9FE54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6" w:type="dxa"/>
            <w:gridSpan w:val="3"/>
            <w:tcBorders>
              <w:top w:val="single" w:sz="8" w:space="0" w:color="auto"/>
              <w:left w:val="nil"/>
              <w:bottom w:val="single" w:sz="8" w:space="0" w:color="auto"/>
              <w:right w:val="single" w:sz="8" w:space="0" w:color="000000"/>
            </w:tcBorders>
            <w:vAlign w:val="center"/>
            <w:hideMark/>
          </w:tcPr>
          <w:p w14:paraId="0D2A8266" w14:textId="7C973072" w:rsidR="00614438" w:rsidRPr="00AA7A53" w:rsidRDefault="00614438" w:rsidP="00AA7A53">
            <w:pPr>
              <w:numPr>
                <w:ilvl w:val="0"/>
                <w:numId w:val="118"/>
              </w:numPr>
              <w:spacing w:after="0"/>
              <w:jc w:val="both"/>
              <w:rPr>
                <w:rFonts w:ascii="Times New Roman" w:hAnsi="Times New Roman" w:cs="Times New Roman"/>
                <w:sz w:val="20"/>
                <w:szCs w:val="20"/>
              </w:rPr>
            </w:pPr>
            <w:r w:rsidRPr="00AA7A53">
              <w:rPr>
                <w:rFonts w:ascii="Times New Roman" w:hAnsi="Times New Roman" w:cs="Times New Roman"/>
                <w:sz w:val="20"/>
                <w:szCs w:val="20"/>
              </w:rPr>
              <w:t>Long Term Renovation Strategy</w:t>
            </w:r>
            <w:r w:rsidR="00341A37" w:rsidRPr="00AA7A53">
              <w:rPr>
                <w:rFonts w:ascii="Times New Roman" w:hAnsi="Times New Roman" w:cs="Times New Roman"/>
                <w:sz w:val="20"/>
                <w:szCs w:val="20"/>
              </w:rPr>
              <w:t xml:space="preserve"> for national building stock</w:t>
            </w:r>
          </w:p>
        </w:tc>
        <w:tc>
          <w:tcPr>
            <w:tcW w:w="222" w:type="dxa"/>
            <w:vAlign w:val="center"/>
            <w:hideMark/>
          </w:tcPr>
          <w:p w14:paraId="32D934B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3590B28" w14:textId="77777777" w:rsidTr="00614438">
        <w:trPr>
          <w:trHeight w:val="315"/>
        </w:trPr>
        <w:tc>
          <w:tcPr>
            <w:tcW w:w="3312" w:type="dxa"/>
            <w:tcBorders>
              <w:top w:val="nil"/>
              <w:left w:val="single" w:sz="8" w:space="0" w:color="auto"/>
              <w:bottom w:val="single" w:sz="8" w:space="0" w:color="auto"/>
              <w:right w:val="single" w:sz="8" w:space="0" w:color="auto"/>
            </w:tcBorders>
            <w:shd w:val="clear" w:color="auto" w:fill="244062"/>
            <w:vAlign w:val="center"/>
            <w:hideMark/>
          </w:tcPr>
          <w:p w14:paraId="2080D84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6" w:type="dxa"/>
            <w:gridSpan w:val="3"/>
            <w:tcBorders>
              <w:top w:val="single" w:sz="8" w:space="0" w:color="auto"/>
              <w:left w:val="nil"/>
              <w:bottom w:val="single" w:sz="8" w:space="0" w:color="auto"/>
              <w:right w:val="single" w:sz="8" w:space="0" w:color="000000"/>
            </w:tcBorders>
            <w:vAlign w:val="center"/>
            <w:hideMark/>
          </w:tcPr>
          <w:p w14:paraId="09F6076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Budget incorporated into all end-use measures</w:t>
            </w:r>
          </w:p>
        </w:tc>
        <w:tc>
          <w:tcPr>
            <w:tcW w:w="222" w:type="dxa"/>
            <w:vAlign w:val="center"/>
            <w:hideMark/>
          </w:tcPr>
          <w:p w14:paraId="3E865AE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3CB89AD" w14:textId="77777777" w:rsidTr="00614438">
        <w:trPr>
          <w:trHeight w:val="315"/>
        </w:trPr>
        <w:tc>
          <w:tcPr>
            <w:tcW w:w="3312" w:type="dxa"/>
            <w:tcBorders>
              <w:top w:val="nil"/>
              <w:left w:val="single" w:sz="8" w:space="0" w:color="auto"/>
              <w:bottom w:val="single" w:sz="8" w:space="0" w:color="auto"/>
              <w:right w:val="single" w:sz="8" w:space="0" w:color="auto"/>
            </w:tcBorders>
            <w:shd w:val="clear" w:color="auto" w:fill="244062"/>
            <w:vAlign w:val="center"/>
            <w:hideMark/>
          </w:tcPr>
          <w:p w14:paraId="4A0DD7D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6" w:type="dxa"/>
            <w:gridSpan w:val="3"/>
            <w:tcBorders>
              <w:top w:val="single" w:sz="8" w:space="0" w:color="auto"/>
              <w:left w:val="nil"/>
              <w:bottom w:val="single" w:sz="8" w:space="0" w:color="auto"/>
              <w:right w:val="single" w:sz="8" w:space="0" w:color="000000"/>
            </w:tcBorders>
            <w:vAlign w:val="center"/>
            <w:hideMark/>
          </w:tcPr>
          <w:p w14:paraId="101D686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533B44CF" w14:textId="77777777" w:rsidR="00614438" w:rsidRPr="00AA7A53" w:rsidRDefault="00614438" w:rsidP="00AA7A53">
            <w:pPr>
              <w:spacing w:after="0"/>
              <w:jc w:val="both"/>
              <w:rPr>
                <w:rFonts w:ascii="Times New Roman" w:hAnsi="Times New Roman" w:cs="Times New Roman"/>
                <w:sz w:val="20"/>
                <w:szCs w:val="20"/>
                <w:lang w:val="en-GB"/>
              </w:rPr>
            </w:pPr>
          </w:p>
        </w:tc>
      </w:tr>
    </w:tbl>
    <w:p w14:paraId="526D6878"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96"/>
        <w:gridCol w:w="1050"/>
        <w:gridCol w:w="940"/>
        <w:gridCol w:w="4172"/>
        <w:gridCol w:w="222"/>
      </w:tblGrid>
      <w:tr w:rsidR="00614438" w:rsidRPr="00AA7A53" w14:paraId="553CB0EA" w14:textId="77777777" w:rsidTr="00614438">
        <w:trPr>
          <w:gridAfter w:val="1"/>
          <w:wAfter w:w="222" w:type="dxa"/>
          <w:trHeight w:val="780"/>
        </w:trPr>
        <w:tc>
          <w:tcPr>
            <w:tcW w:w="331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4A4DAD6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2101C17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PM_EE41</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5B6736B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1" w:type="dxa"/>
            <w:tcBorders>
              <w:top w:val="single" w:sz="8" w:space="0" w:color="auto"/>
              <w:left w:val="nil"/>
              <w:bottom w:val="single" w:sz="8" w:space="0" w:color="auto"/>
              <w:right w:val="single" w:sz="8" w:space="0" w:color="auto"/>
            </w:tcBorders>
            <w:shd w:val="clear" w:color="auto" w:fill="E7E6E6" w:themeFill="background2"/>
            <w:vAlign w:val="center"/>
            <w:hideMark/>
          </w:tcPr>
          <w:p w14:paraId="21ABC1F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smart and carbon neutral cities</w:t>
            </w:r>
          </w:p>
        </w:tc>
      </w:tr>
      <w:tr w:rsidR="00614438" w:rsidRPr="00AA7A53" w14:paraId="1792A22C" w14:textId="77777777" w:rsidTr="00614438">
        <w:trPr>
          <w:gridAfter w:val="1"/>
          <w:wAfter w:w="222" w:type="dxa"/>
          <w:trHeight w:val="407"/>
        </w:trPr>
        <w:tc>
          <w:tcPr>
            <w:tcW w:w="3317" w:type="dxa"/>
            <w:tcBorders>
              <w:top w:val="nil"/>
              <w:left w:val="single" w:sz="8" w:space="0" w:color="auto"/>
              <w:bottom w:val="single" w:sz="8" w:space="0" w:color="auto"/>
              <w:right w:val="nil"/>
            </w:tcBorders>
            <w:shd w:val="clear" w:color="auto" w:fill="244062"/>
            <w:vAlign w:val="center"/>
            <w:hideMark/>
          </w:tcPr>
          <w:p w14:paraId="145BE3D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41" w:type="dxa"/>
            <w:gridSpan w:val="3"/>
            <w:tcBorders>
              <w:top w:val="single" w:sz="8" w:space="0" w:color="auto"/>
              <w:left w:val="nil"/>
              <w:bottom w:val="single" w:sz="8" w:space="0" w:color="auto"/>
              <w:right w:val="single" w:sz="8" w:space="0" w:color="000000"/>
            </w:tcBorders>
            <w:vAlign w:val="center"/>
            <w:hideMark/>
          </w:tcPr>
          <w:p w14:paraId="244078FD" w14:textId="33AA7611"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 as amended by Directive (EU) 2018/2002:</w:t>
            </w:r>
          </w:p>
          <w:p w14:paraId="586E3922"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tc>
      </w:tr>
      <w:tr w:rsidR="00614438" w:rsidRPr="00AA7A53" w14:paraId="1B12CA20"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6F643D2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41" w:type="dxa"/>
            <w:gridSpan w:val="3"/>
            <w:tcBorders>
              <w:top w:val="single" w:sz="8" w:space="0" w:color="auto"/>
              <w:left w:val="nil"/>
              <w:bottom w:val="single" w:sz="8" w:space="0" w:color="auto"/>
              <w:right w:val="single" w:sz="8" w:space="0" w:color="000000"/>
            </w:tcBorders>
            <w:vAlign w:val="center"/>
            <w:hideMark/>
          </w:tcPr>
          <w:p w14:paraId="738A48A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fulfilling the expected final energy consumption levels</w:t>
            </w:r>
          </w:p>
        </w:tc>
      </w:tr>
      <w:tr w:rsidR="00614438" w:rsidRPr="00AA7A53" w14:paraId="47E2EBFA" w14:textId="77777777" w:rsidTr="00614438">
        <w:trPr>
          <w:gridAfter w:val="1"/>
          <w:wAfter w:w="222" w:type="dxa"/>
          <w:trHeight w:val="229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3AE0E6C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1" w:type="dxa"/>
            <w:gridSpan w:val="3"/>
            <w:tcBorders>
              <w:top w:val="single" w:sz="8" w:space="0" w:color="auto"/>
              <w:left w:val="nil"/>
              <w:bottom w:val="single" w:sz="8" w:space="0" w:color="auto"/>
              <w:right w:val="single" w:sz="8" w:space="0" w:color="000000"/>
            </w:tcBorders>
            <w:vAlign w:val="center"/>
            <w:hideMark/>
          </w:tcPr>
          <w:p w14:paraId="13E455CC" w14:textId="27123D6F" w:rsidR="00F13FAD"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PM_EE41 will promote the model of smart and carbon neutral cities until 2030 through the provision of financial support to specific investments in all end-use sectors. In this context, </w:t>
            </w:r>
            <w:r w:rsidR="00F13FAD" w:rsidRPr="00AA7A53">
              <w:rPr>
                <w:rFonts w:ascii="Times New Roman" w:hAnsi="Times New Roman" w:cs="Times New Roman"/>
                <w:sz w:val="20"/>
                <w:szCs w:val="20"/>
                <w:lang w:val="en-GB"/>
              </w:rPr>
              <w:t>it will be possible to collect data, both from buildings and vehicles, as independent entities, through support structures based on the use of smart information and communication technologies, and thus make a contribution to mitigating the negative impacts caused by urbanization. Mass application of advanced measuring devices is considered a prerequisite for the realization of smart and carbon-neutral cities. It should be mentioned that the promotion of smart and carbon-neutral cities will be achieved in accordance with the provisions of the legislative framework on planning and construction, including targeted urban interventions to achieve better microclimatic conditions.</w:t>
            </w:r>
          </w:p>
          <w:p w14:paraId="6102EA49" w14:textId="01CB9582"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CE34EF8"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6783C08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1" w:type="dxa"/>
            <w:gridSpan w:val="3"/>
            <w:tcBorders>
              <w:top w:val="single" w:sz="8" w:space="0" w:color="auto"/>
              <w:left w:val="nil"/>
              <w:bottom w:val="single" w:sz="8" w:space="0" w:color="auto"/>
              <w:right w:val="single" w:sz="8" w:space="0" w:color="000000"/>
            </w:tcBorders>
            <w:vAlign w:val="center"/>
            <w:hideMark/>
          </w:tcPr>
          <w:p w14:paraId="447D7AF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57047E69"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57592F8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1" w:type="dxa"/>
            <w:gridSpan w:val="3"/>
            <w:tcBorders>
              <w:top w:val="single" w:sz="8" w:space="0" w:color="auto"/>
              <w:left w:val="nil"/>
              <w:bottom w:val="single" w:sz="8" w:space="0" w:color="auto"/>
              <w:right w:val="single" w:sz="8" w:space="0" w:color="000000"/>
            </w:tcBorders>
            <w:vAlign w:val="center"/>
            <w:hideMark/>
          </w:tcPr>
          <w:p w14:paraId="138100B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1679CE39"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6272628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1" w:type="dxa"/>
            <w:gridSpan w:val="3"/>
            <w:tcBorders>
              <w:top w:val="single" w:sz="8" w:space="0" w:color="auto"/>
              <w:left w:val="nil"/>
              <w:bottom w:val="single" w:sz="8" w:space="0" w:color="auto"/>
              <w:right w:val="single" w:sz="8" w:space="0" w:color="000000"/>
            </w:tcBorders>
            <w:vAlign w:val="center"/>
            <w:hideMark/>
          </w:tcPr>
          <w:p w14:paraId="5939B8F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final energy consumption sectors</w:t>
            </w:r>
          </w:p>
        </w:tc>
      </w:tr>
      <w:tr w:rsidR="00614438" w:rsidRPr="00AA7A53" w14:paraId="21B4114B"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59E9292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60DCFC88"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18D0EA2A"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tc>
      </w:tr>
      <w:tr w:rsidR="00614438" w:rsidRPr="00AA7A53" w14:paraId="63195C15"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1408416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1BC15653"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2995BCBE"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5EEE78B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1" w:type="dxa"/>
            <w:gridSpan w:val="3"/>
            <w:tcBorders>
              <w:top w:val="single" w:sz="8" w:space="0" w:color="auto"/>
              <w:left w:val="nil"/>
              <w:bottom w:val="single" w:sz="8" w:space="0" w:color="auto"/>
              <w:right w:val="single" w:sz="8" w:space="0" w:color="000000"/>
            </w:tcBorders>
            <w:vAlign w:val="center"/>
            <w:hideMark/>
          </w:tcPr>
          <w:p w14:paraId="7D9A755F"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Number of involved cities</w:t>
            </w:r>
          </w:p>
        </w:tc>
      </w:tr>
      <w:tr w:rsidR="00614438" w:rsidRPr="00AA7A53" w14:paraId="7A4E1828" w14:textId="77777777" w:rsidTr="00614438">
        <w:trPr>
          <w:gridAfter w:val="1"/>
          <w:wAfter w:w="222" w:type="dxa"/>
          <w:trHeight w:val="467"/>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707688F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Other relevant Energy Union dimension(s) affected</w:t>
            </w:r>
          </w:p>
        </w:tc>
        <w:tc>
          <w:tcPr>
            <w:tcW w:w="6141" w:type="dxa"/>
            <w:gridSpan w:val="3"/>
            <w:tcBorders>
              <w:top w:val="single" w:sz="8" w:space="0" w:color="auto"/>
              <w:left w:val="nil"/>
              <w:bottom w:val="single" w:sz="8" w:space="0" w:color="auto"/>
              <w:right w:val="single" w:sz="8" w:space="0" w:color="000000"/>
            </w:tcBorders>
            <w:vAlign w:val="center"/>
            <w:hideMark/>
          </w:tcPr>
          <w:p w14:paraId="0E71FBB9" w14:textId="7A3348F5"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w:t>
            </w:r>
            <w:r w:rsidR="00F13FAD" w:rsidRPr="00AA7A53">
              <w:rPr>
                <w:rFonts w:ascii="Times New Roman" w:hAnsi="Times New Roman" w:cs="Times New Roman"/>
                <w:sz w:val="20"/>
                <w:szCs w:val="20"/>
              </w:rPr>
              <w:t>,</w:t>
            </w:r>
            <w:r w:rsidRPr="00AA7A53">
              <w:rPr>
                <w:rFonts w:ascii="Times New Roman" w:hAnsi="Times New Roman" w:cs="Times New Roman"/>
                <w:sz w:val="20"/>
                <w:szCs w:val="20"/>
              </w:rPr>
              <w:t xml:space="preserve"> leading to the respective GHG emission reduction)</w:t>
            </w:r>
          </w:p>
          <w:p w14:paraId="45D2A978" w14:textId="1C82C9B5"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w:t>
            </w:r>
            <w:r w:rsidR="00F13FAD" w:rsidRPr="00AA7A53">
              <w:rPr>
                <w:rFonts w:ascii="Times New Roman" w:hAnsi="Times New Roman" w:cs="Times New Roman"/>
                <w:sz w:val="20"/>
                <w:szCs w:val="20"/>
              </w:rPr>
              <w:t>,</w:t>
            </w:r>
            <w:r w:rsidRPr="00AA7A53">
              <w:rPr>
                <w:rFonts w:ascii="Times New Roman" w:hAnsi="Times New Roman" w:cs="Times New Roman"/>
                <w:sz w:val="20"/>
                <w:szCs w:val="20"/>
              </w:rPr>
              <w:t xml:space="preserve"> reducing energy import dependency from third countries)</w:t>
            </w:r>
          </w:p>
          <w:p w14:paraId="3DBC4273"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 (the installation of smart meters will enable the market integration and coupling)</w:t>
            </w:r>
          </w:p>
        </w:tc>
      </w:tr>
      <w:tr w:rsidR="00614438" w:rsidRPr="00AA7A53" w14:paraId="68B788C1" w14:textId="77777777" w:rsidTr="00614438">
        <w:trPr>
          <w:gridAfter w:val="1"/>
          <w:wAfter w:w="222" w:type="dxa"/>
          <w:trHeight w:val="458"/>
        </w:trPr>
        <w:tc>
          <w:tcPr>
            <w:tcW w:w="3317" w:type="dxa"/>
            <w:vMerge w:val="restart"/>
            <w:tcBorders>
              <w:top w:val="nil"/>
              <w:left w:val="single" w:sz="8" w:space="0" w:color="auto"/>
              <w:bottom w:val="single" w:sz="8" w:space="0" w:color="000000"/>
              <w:right w:val="single" w:sz="8" w:space="0" w:color="auto"/>
            </w:tcBorders>
            <w:shd w:val="clear" w:color="auto" w:fill="244062"/>
            <w:vAlign w:val="center"/>
            <w:hideMark/>
          </w:tcPr>
          <w:p w14:paraId="2101A35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6E39D77"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751CB0CC"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22E88BF3"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64063DAF"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E796027"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716AA27D"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E14B8AE"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4E4DAA8A"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49451FE"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191A394B"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09FE3C7A" w14:textId="77777777" w:rsidTr="00614438">
        <w:trPr>
          <w:trHeight w:val="400"/>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1BFDBB2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1" w:type="dxa"/>
            <w:gridSpan w:val="3"/>
            <w:tcBorders>
              <w:top w:val="single" w:sz="8" w:space="0" w:color="auto"/>
              <w:left w:val="nil"/>
              <w:bottom w:val="single" w:sz="8" w:space="0" w:color="auto"/>
              <w:right w:val="single" w:sz="8" w:space="0" w:color="000000"/>
            </w:tcBorders>
            <w:vAlign w:val="center"/>
            <w:hideMark/>
          </w:tcPr>
          <w:p w14:paraId="7001E677"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Planning and Construction</w:t>
            </w:r>
          </w:p>
          <w:p w14:paraId="13F34384"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Sustainable Urban Development Strategy of the Republic of Serbia until 2030</w:t>
            </w:r>
          </w:p>
        </w:tc>
        <w:tc>
          <w:tcPr>
            <w:tcW w:w="222" w:type="dxa"/>
            <w:vAlign w:val="center"/>
            <w:hideMark/>
          </w:tcPr>
          <w:p w14:paraId="7671E229"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3F12EEE"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7962D84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1" w:type="dxa"/>
            <w:gridSpan w:val="3"/>
            <w:tcBorders>
              <w:top w:val="single" w:sz="8" w:space="0" w:color="auto"/>
              <w:left w:val="nil"/>
              <w:bottom w:val="single" w:sz="8" w:space="0" w:color="auto"/>
              <w:right w:val="single" w:sz="8" w:space="0" w:color="000000"/>
            </w:tcBorders>
            <w:vAlign w:val="center"/>
            <w:hideMark/>
          </w:tcPr>
          <w:p w14:paraId="6010125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Budget incorporated into all end-use measures</w:t>
            </w:r>
          </w:p>
        </w:tc>
        <w:tc>
          <w:tcPr>
            <w:tcW w:w="222" w:type="dxa"/>
            <w:vAlign w:val="center"/>
            <w:hideMark/>
          </w:tcPr>
          <w:p w14:paraId="639C082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D3E0FED"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06A2693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1" w:type="dxa"/>
            <w:gridSpan w:val="3"/>
            <w:tcBorders>
              <w:top w:val="single" w:sz="8" w:space="0" w:color="auto"/>
              <w:left w:val="nil"/>
              <w:bottom w:val="single" w:sz="8" w:space="0" w:color="auto"/>
              <w:right w:val="single" w:sz="8" w:space="0" w:color="000000"/>
            </w:tcBorders>
            <w:vAlign w:val="center"/>
            <w:hideMark/>
          </w:tcPr>
          <w:p w14:paraId="1FAADCC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78E3FBC1" w14:textId="77777777" w:rsidR="00614438" w:rsidRPr="00AA7A53" w:rsidRDefault="00614438" w:rsidP="00AA7A53">
            <w:pPr>
              <w:spacing w:after="0"/>
              <w:jc w:val="both"/>
              <w:rPr>
                <w:rFonts w:ascii="Times New Roman" w:hAnsi="Times New Roman" w:cs="Times New Roman"/>
                <w:sz w:val="20"/>
                <w:szCs w:val="20"/>
                <w:lang w:val="en-GB"/>
              </w:rPr>
            </w:pPr>
          </w:p>
        </w:tc>
      </w:tr>
    </w:tbl>
    <w:p w14:paraId="30F5D7D5"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94"/>
        <w:gridCol w:w="1050"/>
        <w:gridCol w:w="940"/>
        <w:gridCol w:w="4174"/>
        <w:gridCol w:w="222"/>
      </w:tblGrid>
      <w:tr w:rsidR="00614438" w:rsidRPr="00AA7A53" w14:paraId="2E3EAEA9" w14:textId="77777777" w:rsidTr="00614438">
        <w:trPr>
          <w:gridAfter w:val="1"/>
          <w:wAfter w:w="222" w:type="dxa"/>
          <w:trHeight w:val="780"/>
        </w:trPr>
        <w:tc>
          <w:tcPr>
            <w:tcW w:w="331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6265CCF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Policy measure code:</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7674D74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PM_EE45</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7B72A2F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1" w:type="dxa"/>
            <w:tcBorders>
              <w:top w:val="single" w:sz="8" w:space="0" w:color="auto"/>
              <w:left w:val="nil"/>
              <w:bottom w:val="single" w:sz="8" w:space="0" w:color="auto"/>
              <w:right w:val="single" w:sz="8" w:space="0" w:color="auto"/>
            </w:tcBorders>
            <w:shd w:val="clear" w:color="auto" w:fill="E7E6E6" w:themeFill="background2"/>
            <w:vAlign w:val="center"/>
            <w:hideMark/>
          </w:tcPr>
          <w:p w14:paraId="77E1D89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Preparation of the comprehensive assessment for promoting efficiency in heating and cooling</w:t>
            </w:r>
          </w:p>
        </w:tc>
      </w:tr>
      <w:tr w:rsidR="00614438" w:rsidRPr="00AA7A53" w14:paraId="4AC4E41D" w14:textId="77777777" w:rsidTr="00614438">
        <w:trPr>
          <w:gridAfter w:val="1"/>
          <w:wAfter w:w="222" w:type="dxa"/>
          <w:trHeight w:val="355"/>
        </w:trPr>
        <w:tc>
          <w:tcPr>
            <w:tcW w:w="3317" w:type="dxa"/>
            <w:tcBorders>
              <w:top w:val="nil"/>
              <w:left w:val="single" w:sz="8" w:space="0" w:color="auto"/>
              <w:bottom w:val="single" w:sz="8" w:space="0" w:color="auto"/>
              <w:right w:val="nil"/>
            </w:tcBorders>
            <w:shd w:val="clear" w:color="auto" w:fill="244062"/>
            <w:vAlign w:val="center"/>
            <w:hideMark/>
          </w:tcPr>
          <w:p w14:paraId="35BF5DD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Main objective:</w:t>
            </w:r>
          </w:p>
        </w:tc>
        <w:tc>
          <w:tcPr>
            <w:tcW w:w="6141" w:type="dxa"/>
            <w:gridSpan w:val="3"/>
            <w:tcBorders>
              <w:top w:val="single" w:sz="8" w:space="0" w:color="auto"/>
              <w:left w:val="nil"/>
              <w:bottom w:val="single" w:sz="8" w:space="0" w:color="auto"/>
              <w:right w:val="single" w:sz="8" w:space="0" w:color="000000"/>
            </w:tcBorders>
            <w:vAlign w:val="center"/>
            <w:hideMark/>
          </w:tcPr>
          <w:p w14:paraId="097FCFC9" w14:textId="11F57BC5"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 as amended by Directive (EU) 2018/2002:</w:t>
            </w:r>
          </w:p>
          <w:p w14:paraId="0752FADC" w14:textId="77777777" w:rsidR="00614438" w:rsidRPr="00AA7A53" w:rsidRDefault="00614438" w:rsidP="00AA7A53">
            <w:pPr>
              <w:numPr>
                <w:ilvl w:val="0"/>
                <w:numId w:val="120"/>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p w14:paraId="156E7D2D" w14:textId="77777777" w:rsidR="00614438" w:rsidRPr="00AA7A53" w:rsidRDefault="00614438" w:rsidP="00AA7A53">
            <w:pPr>
              <w:numPr>
                <w:ilvl w:val="0"/>
                <w:numId w:val="120"/>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14</w:t>
            </w:r>
          </w:p>
        </w:tc>
      </w:tr>
      <w:tr w:rsidR="00614438" w:rsidRPr="00AA7A53" w14:paraId="6FDA32F0"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7E70124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Quantified objective:</w:t>
            </w:r>
          </w:p>
        </w:tc>
        <w:tc>
          <w:tcPr>
            <w:tcW w:w="6141" w:type="dxa"/>
            <w:gridSpan w:val="3"/>
            <w:tcBorders>
              <w:top w:val="single" w:sz="8" w:space="0" w:color="auto"/>
              <w:left w:val="nil"/>
              <w:bottom w:val="single" w:sz="8" w:space="0" w:color="auto"/>
              <w:right w:val="single" w:sz="8" w:space="0" w:color="000000"/>
            </w:tcBorders>
            <w:vAlign w:val="center"/>
            <w:hideMark/>
          </w:tcPr>
          <w:p w14:paraId="2C7A6DF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fulfilling the expected final energy consumption levels and promoting efficient heating and cooling technologies</w:t>
            </w:r>
          </w:p>
        </w:tc>
      </w:tr>
      <w:tr w:rsidR="00614438" w:rsidRPr="00AA7A53" w14:paraId="5FD03A34" w14:textId="77777777" w:rsidTr="00614438">
        <w:trPr>
          <w:gridAfter w:val="1"/>
          <w:wAfter w:w="222" w:type="dxa"/>
          <w:trHeight w:val="129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20E10B9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1" w:type="dxa"/>
            <w:gridSpan w:val="3"/>
            <w:tcBorders>
              <w:top w:val="single" w:sz="8" w:space="0" w:color="auto"/>
              <w:left w:val="nil"/>
              <w:bottom w:val="single" w:sz="8" w:space="0" w:color="auto"/>
              <w:right w:val="single" w:sz="8" w:space="0" w:color="000000"/>
            </w:tcBorders>
            <w:vAlign w:val="center"/>
            <w:hideMark/>
          </w:tcPr>
          <w:p w14:paraId="748650A2" w14:textId="5B95E6BD"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PM_EE45 will prepare the comprehensive heating and cooling assessment so as to identify the most efficient heating and cooling alternatives</w:t>
            </w:r>
            <w:r w:rsidR="00F13FAD"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as</w:t>
            </w:r>
            <w:r w:rsidR="00F13FAD" w:rsidRPr="00AA7A53">
              <w:rPr>
                <w:rFonts w:ascii="Times New Roman" w:hAnsi="Times New Roman" w:cs="Times New Roman"/>
                <w:sz w:val="20"/>
                <w:szCs w:val="20"/>
                <w:lang w:val="en-GB"/>
              </w:rPr>
              <w:t xml:space="preserve"> a</w:t>
            </w:r>
            <w:r w:rsidRPr="00AA7A53">
              <w:rPr>
                <w:rFonts w:ascii="Times New Roman" w:hAnsi="Times New Roman" w:cs="Times New Roman"/>
                <w:sz w:val="20"/>
                <w:szCs w:val="20"/>
                <w:lang w:val="en-GB"/>
              </w:rPr>
              <w:t xml:space="preserve"> result</w:t>
            </w:r>
            <w:r w:rsidR="00F13FAD" w:rsidRPr="00AA7A53">
              <w:rPr>
                <w:rFonts w:ascii="Times New Roman" w:hAnsi="Times New Roman" w:cs="Times New Roman"/>
                <w:sz w:val="20"/>
                <w:szCs w:val="20"/>
                <w:lang w:val="en-GB"/>
              </w:rPr>
              <w:t xml:space="preserve"> of</w:t>
            </w:r>
            <w:r w:rsidRPr="00AA7A53">
              <w:rPr>
                <w:rFonts w:ascii="Times New Roman" w:hAnsi="Times New Roman" w:cs="Times New Roman"/>
                <w:sz w:val="20"/>
                <w:szCs w:val="20"/>
                <w:lang w:val="en-GB"/>
              </w:rPr>
              <w:t xml:space="preserve"> </w:t>
            </w:r>
            <w:r w:rsidR="00F13FAD" w:rsidRPr="00AA7A53">
              <w:rPr>
                <w:rFonts w:ascii="Times New Roman" w:hAnsi="Times New Roman" w:cs="Times New Roman"/>
                <w:sz w:val="20"/>
                <w:szCs w:val="20"/>
                <w:lang w:val="en-GB"/>
              </w:rPr>
              <w:t>carrying out t</w:t>
            </w:r>
            <w:r w:rsidRPr="00AA7A53">
              <w:rPr>
                <w:rFonts w:ascii="Times New Roman" w:hAnsi="Times New Roman" w:cs="Times New Roman"/>
                <w:sz w:val="20"/>
                <w:szCs w:val="20"/>
                <w:lang w:val="en-GB"/>
              </w:rPr>
              <w:t>he Cost-Benefit Analysis</w:t>
            </w:r>
            <w:r w:rsidR="00F13FAD"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according to the requirements of the directive on the basis of climate conditions, economic feasibility and technical suitability. The findings of the comprehensive </w:t>
            </w:r>
            <w:r w:rsidR="00F13FAD" w:rsidRPr="00AA7A53">
              <w:rPr>
                <w:rFonts w:ascii="Times New Roman" w:hAnsi="Times New Roman" w:cs="Times New Roman"/>
                <w:sz w:val="20"/>
                <w:szCs w:val="20"/>
                <w:lang w:val="en-GB"/>
              </w:rPr>
              <w:t>analysis</w:t>
            </w:r>
            <w:r w:rsidRPr="00AA7A53">
              <w:rPr>
                <w:rFonts w:ascii="Times New Roman" w:hAnsi="Times New Roman" w:cs="Times New Roman"/>
                <w:sz w:val="20"/>
                <w:szCs w:val="20"/>
                <w:lang w:val="en-GB"/>
              </w:rPr>
              <w:t xml:space="preserve"> will be streamlined and aligned with the priorities of the </w:t>
            </w:r>
            <w:r w:rsidR="00F13FAD" w:rsidRPr="00AA7A53">
              <w:rPr>
                <w:rFonts w:ascii="Times New Roman" w:hAnsi="Times New Roman" w:cs="Times New Roman"/>
                <w:sz w:val="20"/>
                <w:szCs w:val="20"/>
                <w:lang w:val="en-GB"/>
              </w:rPr>
              <w:t>I</w:t>
            </w:r>
            <w:r w:rsidRPr="00AA7A53">
              <w:rPr>
                <w:rFonts w:ascii="Times New Roman" w:hAnsi="Times New Roman" w:cs="Times New Roman"/>
                <w:sz w:val="20"/>
                <w:szCs w:val="20"/>
                <w:lang w:val="en-GB"/>
              </w:rPr>
              <w:t xml:space="preserve">NECP. Emphasis will be given on identifying the potential for the application of high-efficiency cogeneration and/or efficient district heating and cooling from waste heat in the case that the expected benefits exceed the respective costs. The preparation of the strategy will occur with the participation of the relevant stakeholders, </w:t>
            </w:r>
            <w:r w:rsidR="00F13FAD" w:rsidRPr="00AA7A53">
              <w:rPr>
                <w:rFonts w:ascii="Times New Roman" w:hAnsi="Times New Roman" w:cs="Times New Roman"/>
                <w:sz w:val="20"/>
                <w:szCs w:val="20"/>
                <w:lang w:val="en-GB"/>
              </w:rPr>
              <w:t>and</w:t>
            </w:r>
            <w:r w:rsidRPr="00AA7A53">
              <w:rPr>
                <w:rFonts w:ascii="Times New Roman" w:hAnsi="Times New Roman" w:cs="Times New Roman"/>
                <w:sz w:val="20"/>
                <w:szCs w:val="20"/>
                <w:lang w:val="en-GB"/>
              </w:rPr>
              <w:t xml:space="preserve"> it will include the policies and measures, which ensure</w:t>
            </w:r>
            <w:r w:rsidR="00F13FAD" w:rsidRPr="00AA7A53">
              <w:rPr>
                <w:rFonts w:ascii="Times New Roman" w:hAnsi="Times New Roman" w:cs="Times New Roman"/>
                <w:sz w:val="20"/>
                <w:szCs w:val="20"/>
                <w:lang w:val="en-GB"/>
              </w:rPr>
              <w:t>s</w:t>
            </w:r>
            <w:r w:rsidRPr="00AA7A53">
              <w:rPr>
                <w:rFonts w:ascii="Times New Roman" w:hAnsi="Times New Roman" w:cs="Times New Roman"/>
                <w:sz w:val="20"/>
                <w:szCs w:val="20"/>
                <w:lang w:val="en-GB"/>
              </w:rPr>
              <w:t xml:space="preserve"> that the potential identified in the comprehensive assessments will be exploited. Finally, the preparation of local heating and cooling plans will be examined. </w:t>
            </w:r>
          </w:p>
        </w:tc>
      </w:tr>
      <w:tr w:rsidR="00614438" w:rsidRPr="00AA7A53" w14:paraId="48941497"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5255D7B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1" w:type="dxa"/>
            <w:gridSpan w:val="3"/>
            <w:tcBorders>
              <w:top w:val="single" w:sz="8" w:space="0" w:color="auto"/>
              <w:left w:val="nil"/>
              <w:bottom w:val="single" w:sz="8" w:space="0" w:color="auto"/>
              <w:right w:val="single" w:sz="8" w:space="0" w:color="000000"/>
            </w:tcBorders>
            <w:vAlign w:val="center"/>
            <w:hideMark/>
          </w:tcPr>
          <w:p w14:paraId="4240BCB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w:t>
            </w:r>
          </w:p>
        </w:tc>
      </w:tr>
      <w:tr w:rsidR="00614438" w:rsidRPr="00AA7A53" w14:paraId="26C47309"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73E6BE7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1" w:type="dxa"/>
            <w:gridSpan w:val="3"/>
            <w:tcBorders>
              <w:top w:val="single" w:sz="8" w:space="0" w:color="auto"/>
              <w:left w:val="nil"/>
              <w:bottom w:val="single" w:sz="8" w:space="0" w:color="auto"/>
              <w:right w:val="single" w:sz="8" w:space="0" w:color="000000"/>
            </w:tcBorders>
            <w:vAlign w:val="center"/>
            <w:hideMark/>
          </w:tcPr>
          <w:p w14:paraId="7625E4B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0561292C"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597DF46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1" w:type="dxa"/>
            <w:gridSpan w:val="3"/>
            <w:tcBorders>
              <w:top w:val="single" w:sz="8" w:space="0" w:color="auto"/>
              <w:left w:val="nil"/>
              <w:bottom w:val="single" w:sz="8" w:space="0" w:color="auto"/>
              <w:right w:val="single" w:sz="8" w:space="0" w:color="000000"/>
            </w:tcBorders>
            <w:vAlign w:val="center"/>
            <w:hideMark/>
          </w:tcPr>
          <w:p w14:paraId="50165FA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final energy consumption sectors</w:t>
            </w:r>
          </w:p>
        </w:tc>
      </w:tr>
      <w:tr w:rsidR="00614438" w:rsidRPr="00AA7A53" w14:paraId="5755341C"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7B752EB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598ED383" w14:textId="77777777" w:rsidR="00614438" w:rsidRPr="00AA7A53" w:rsidRDefault="00614438" w:rsidP="00AA7A53">
            <w:pPr>
              <w:numPr>
                <w:ilvl w:val="0"/>
                <w:numId w:val="121"/>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20C0C7AE"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7ABD091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41136970" w14:textId="77777777" w:rsidR="00614438" w:rsidRPr="00AA7A53" w:rsidRDefault="00614438" w:rsidP="00AA7A53">
            <w:pPr>
              <w:numPr>
                <w:ilvl w:val="0"/>
                <w:numId w:val="122"/>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64B039A4"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1EB9177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1" w:type="dxa"/>
            <w:gridSpan w:val="3"/>
            <w:tcBorders>
              <w:top w:val="single" w:sz="8" w:space="0" w:color="auto"/>
              <w:left w:val="nil"/>
              <w:bottom w:val="single" w:sz="8" w:space="0" w:color="auto"/>
              <w:right w:val="single" w:sz="8" w:space="0" w:color="000000"/>
            </w:tcBorders>
            <w:vAlign w:val="center"/>
            <w:hideMark/>
          </w:tcPr>
          <w:p w14:paraId="3DC5B4A7" w14:textId="77777777" w:rsidR="00614438" w:rsidRPr="00AA7A53" w:rsidRDefault="00614438" w:rsidP="00AA7A53">
            <w:pPr>
              <w:numPr>
                <w:ilvl w:val="0"/>
                <w:numId w:val="121"/>
              </w:numPr>
              <w:spacing w:after="0"/>
              <w:jc w:val="both"/>
              <w:rPr>
                <w:rFonts w:ascii="Times New Roman" w:hAnsi="Times New Roman" w:cs="Times New Roman"/>
                <w:sz w:val="20"/>
                <w:szCs w:val="20"/>
              </w:rPr>
            </w:pPr>
            <w:r w:rsidRPr="00AA7A53">
              <w:rPr>
                <w:rFonts w:ascii="Times New Roman" w:hAnsi="Times New Roman" w:cs="Times New Roman"/>
                <w:sz w:val="20"/>
                <w:szCs w:val="20"/>
              </w:rPr>
              <w:t>Adoption of the heating and cooling assessment</w:t>
            </w:r>
          </w:p>
        </w:tc>
      </w:tr>
      <w:tr w:rsidR="00614438" w:rsidRPr="00AA7A53" w14:paraId="7FF28E53" w14:textId="77777777" w:rsidTr="00614438">
        <w:trPr>
          <w:gridAfter w:val="1"/>
          <w:wAfter w:w="222" w:type="dxa"/>
          <w:trHeight w:val="419"/>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57A033A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1" w:type="dxa"/>
            <w:gridSpan w:val="3"/>
            <w:tcBorders>
              <w:top w:val="single" w:sz="8" w:space="0" w:color="auto"/>
              <w:left w:val="nil"/>
              <w:bottom w:val="single" w:sz="8" w:space="0" w:color="auto"/>
              <w:right w:val="single" w:sz="8" w:space="0" w:color="000000"/>
            </w:tcBorders>
            <w:vAlign w:val="center"/>
            <w:hideMark/>
          </w:tcPr>
          <w:p w14:paraId="37EA56CC" w14:textId="3D2D684C" w:rsidR="00614438" w:rsidRPr="00AA7A53" w:rsidRDefault="00614438" w:rsidP="00AA7A53">
            <w:pPr>
              <w:numPr>
                <w:ilvl w:val="0"/>
                <w:numId w:val="120"/>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w:t>
            </w:r>
            <w:r w:rsidR="00F13FAD" w:rsidRPr="00AA7A53">
              <w:rPr>
                <w:rFonts w:ascii="Times New Roman" w:hAnsi="Times New Roman" w:cs="Times New Roman"/>
                <w:sz w:val="20"/>
                <w:szCs w:val="20"/>
              </w:rPr>
              <w:t>,</w:t>
            </w:r>
            <w:r w:rsidRPr="00AA7A53">
              <w:rPr>
                <w:rFonts w:ascii="Times New Roman" w:hAnsi="Times New Roman" w:cs="Times New Roman"/>
                <w:sz w:val="20"/>
                <w:szCs w:val="20"/>
              </w:rPr>
              <w:t xml:space="preserve"> leading to the respective GHG emission reduction </w:t>
            </w:r>
            <w:r w:rsidR="00F13FAD" w:rsidRPr="00AA7A53">
              <w:rPr>
                <w:rFonts w:ascii="Times New Roman" w:hAnsi="Times New Roman" w:cs="Times New Roman"/>
                <w:sz w:val="20"/>
                <w:szCs w:val="20"/>
              </w:rPr>
              <w:t xml:space="preserve">and </w:t>
            </w:r>
            <w:r w:rsidRPr="00AA7A53">
              <w:rPr>
                <w:rFonts w:ascii="Times New Roman" w:hAnsi="Times New Roman" w:cs="Times New Roman"/>
                <w:sz w:val="20"/>
                <w:szCs w:val="20"/>
              </w:rPr>
              <w:t>the utilised RES technologies will increase the RES share totally)</w:t>
            </w:r>
          </w:p>
          <w:p w14:paraId="3410B4BD" w14:textId="0826378A" w:rsidR="00614438" w:rsidRPr="00AA7A53" w:rsidRDefault="00614438" w:rsidP="00AA7A53">
            <w:pPr>
              <w:numPr>
                <w:ilvl w:val="0"/>
                <w:numId w:val="120"/>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w:t>
            </w:r>
            <w:r w:rsidR="00F13FAD" w:rsidRPr="00AA7A53">
              <w:rPr>
                <w:rFonts w:ascii="Times New Roman" w:hAnsi="Times New Roman" w:cs="Times New Roman"/>
                <w:sz w:val="20"/>
                <w:szCs w:val="20"/>
              </w:rPr>
              <w:t>,</w:t>
            </w:r>
            <w:r w:rsidRPr="00AA7A53">
              <w:rPr>
                <w:rFonts w:ascii="Times New Roman" w:hAnsi="Times New Roman" w:cs="Times New Roman"/>
                <w:sz w:val="20"/>
                <w:szCs w:val="20"/>
              </w:rPr>
              <w:t xml:space="preserve"> reducing energy import dependency from third countries)</w:t>
            </w:r>
          </w:p>
        </w:tc>
      </w:tr>
      <w:tr w:rsidR="00614438" w:rsidRPr="00AA7A53" w14:paraId="2B8DCB64" w14:textId="77777777" w:rsidTr="00614438">
        <w:trPr>
          <w:gridAfter w:val="1"/>
          <w:wAfter w:w="222" w:type="dxa"/>
          <w:trHeight w:val="458"/>
        </w:trPr>
        <w:tc>
          <w:tcPr>
            <w:tcW w:w="3317" w:type="dxa"/>
            <w:vMerge w:val="restart"/>
            <w:tcBorders>
              <w:top w:val="nil"/>
              <w:left w:val="single" w:sz="8" w:space="0" w:color="auto"/>
              <w:bottom w:val="single" w:sz="8" w:space="0" w:color="000000"/>
              <w:right w:val="single" w:sz="8" w:space="0" w:color="auto"/>
            </w:tcBorders>
            <w:shd w:val="clear" w:color="auto" w:fill="244062"/>
            <w:vAlign w:val="center"/>
            <w:hideMark/>
          </w:tcPr>
          <w:p w14:paraId="174AF3E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Union policy which resulted in the implementation of the PaM</w:t>
            </w:r>
          </w:p>
        </w:tc>
        <w:tc>
          <w:tcPr>
            <w:tcW w:w="614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17C829F" w14:textId="77777777" w:rsidR="00614438" w:rsidRPr="00AA7A53" w:rsidRDefault="00614438" w:rsidP="00AA7A53">
            <w:pPr>
              <w:numPr>
                <w:ilvl w:val="0"/>
                <w:numId w:val="12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10ABD818" w14:textId="77777777" w:rsidR="00614438" w:rsidRPr="00AA7A53" w:rsidRDefault="00614438" w:rsidP="00AA7A53">
            <w:pPr>
              <w:numPr>
                <w:ilvl w:val="0"/>
                <w:numId w:val="12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04953CD1"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79C0776B"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7B237A2"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3B0D341E"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E61871D"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6C4AD033"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D22302A"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739E63A4"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6D33307B" w14:textId="77777777" w:rsidTr="00614438">
        <w:trPr>
          <w:trHeight w:val="780"/>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1E8912D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1" w:type="dxa"/>
            <w:gridSpan w:val="3"/>
            <w:tcBorders>
              <w:top w:val="single" w:sz="8" w:space="0" w:color="auto"/>
              <w:left w:val="nil"/>
              <w:bottom w:val="single" w:sz="8" w:space="0" w:color="auto"/>
              <w:right w:val="single" w:sz="8" w:space="0" w:color="000000"/>
            </w:tcBorders>
            <w:vAlign w:val="center"/>
            <w:hideMark/>
          </w:tcPr>
          <w:p w14:paraId="0BA3A702" w14:textId="77777777" w:rsidR="00614438" w:rsidRPr="00AA7A53" w:rsidRDefault="00614438" w:rsidP="00AA7A53">
            <w:pPr>
              <w:numPr>
                <w:ilvl w:val="0"/>
                <w:numId w:val="120"/>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Law</w:t>
            </w:r>
          </w:p>
          <w:p w14:paraId="204AAB5B" w14:textId="77777777" w:rsidR="00614438" w:rsidRPr="00AA7A53" w:rsidRDefault="00614438" w:rsidP="00AA7A53">
            <w:pPr>
              <w:numPr>
                <w:ilvl w:val="0"/>
                <w:numId w:val="120"/>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 Efficiency and Rational Use of Energy</w:t>
            </w:r>
          </w:p>
        </w:tc>
        <w:tc>
          <w:tcPr>
            <w:tcW w:w="222" w:type="dxa"/>
            <w:vAlign w:val="center"/>
            <w:hideMark/>
          </w:tcPr>
          <w:p w14:paraId="6B9C7B4D"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7F83AE0"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5FD7D41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1" w:type="dxa"/>
            <w:gridSpan w:val="3"/>
            <w:tcBorders>
              <w:top w:val="single" w:sz="8" w:space="0" w:color="auto"/>
              <w:left w:val="nil"/>
              <w:bottom w:val="single" w:sz="8" w:space="0" w:color="auto"/>
              <w:right w:val="single" w:sz="8" w:space="0" w:color="000000"/>
            </w:tcBorders>
            <w:vAlign w:val="center"/>
            <w:hideMark/>
          </w:tcPr>
          <w:p w14:paraId="75F08ED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0.5 million €</w:t>
            </w:r>
          </w:p>
        </w:tc>
        <w:tc>
          <w:tcPr>
            <w:tcW w:w="222" w:type="dxa"/>
            <w:vAlign w:val="center"/>
            <w:hideMark/>
          </w:tcPr>
          <w:p w14:paraId="28A473B9"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072ACFD"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18F785D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1" w:type="dxa"/>
            <w:gridSpan w:val="3"/>
            <w:tcBorders>
              <w:top w:val="single" w:sz="8" w:space="0" w:color="auto"/>
              <w:left w:val="nil"/>
              <w:bottom w:val="single" w:sz="8" w:space="0" w:color="auto"/>
              <w:right w:val="single" w:sz="8" w:space="0" w:color="000000"/>
            </w:tcBorders>
            <w:vAlign w:val="center"/>
            <w:hideMark/>
          </w:tcPr>
          <w:p w14:paraId="6AD609C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Public funds </w:t>
            </w:r>
          </w:p>
        </w:tc>
        <w:tc>
          <w:tcPr>
            <w:tcW w:w="222" w:type="dxa"/>
            <w:vAlign w:val="center"/>
            <w:hideMark/>
          </w:tcPr>
          <w:p w14:paraId="3042097C" w14:textId="77777777" w:rsidR="00614438" w:rsidRPr="00AA7A53" w:rsidRDefault="00614438" w:rsidP="00AA7A53">
            <w:pPr>
              <w:spacing w:after="0"/>
              <w:jc w:val="both"/>
              <w:rPr>
                <w:rFonts w:ascii="Times New Roman" w:hAnsi="Times New Roman" w:cs="Times New Roman"/>
                <w:sz w:val="20"/>
                <w:szCs w:val="20"/>
                <w:lang w:val="en-GB"/>
              </w:rPr>
            </w:pPr>
          </w:p>
        </w:tc>
      </w:tr>
    </w:tbl>
    <w:p w14:paraId="7A636908"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95"/>
        <w:gridCol w:w="1050"/>
        <w:gridCol w:w="940"/>
        <w:gridCol w:w="4173"/>
        <w:gridCol w:w="222"/>
      </w:tblGrid>
      <w:tr w:rsidR="00614438" w:rsidRPr="00AA7A53" w14:paraId="0736FA26" w14:textId="77777777" w:rsidTr="00614438">
        <w:trPr>
          <w:gridAfter w:val="1"/>
          <w:wAfter w:w="222" w:type="dxa"/>
          <w:trHeight w:val="780"/>
        </w:trPr>
        <w:tc>
          <w:tcPr>
            <w:tcW w:w="331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52C1535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Policy measure code:</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5DA6043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PM_EE46</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44FBCDB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1" w:type="dxa"/>
            <w:tcBorders>
              <w:top w:val="single" w:sz="8" w:space="0" w:color="auto"/>
              <w:left w:val="nil"/>
              <w:bottom w:val="single" w:sz="8" w:space="0" w:color="auto"/>
              <w:right w:val="single" w:sz="8" w:space="0" w:color="auto"/>
            </w:tcBorders>
            <w:shd w:val="clear" w:color="auto" w:fill="E7E6E6" w:themeFill="background2"/>
            <w:vAlign w:val="center"/>
            <w:hideMark/>
          </w:tcPr>
          <w:p w14:paraId="0B10311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the provisions for metering billing information</w:t>
            </w:r>
          </w:p>
        </w:tc>
      </w:tr>
      <w:tr w:rsidR="00614438" w:rsidRPr="00AA7A53" w14:paraId="558D07F8" w14:textId="77777777" w:rsidTr="00614438">
        <w:trPr>
          <w:gridAfter w:val="1"/>
          <w:wAfter w:w="222" w:type="dxa"/>
          <w:trHeight w:val="355"/>
        </w:trPr>
        <w:tc>
          <w:tcPr>
            <w:tcW w:w="3317" w:type="dxa"/>
            <w:tcBorders>
              <w:top w:val="nil"/>
              <w:left w:val="single" w:sz="8" w:space="0" w:color="auto"/>
              <w:bottom w:val="single" w:sz="8" w:space="0" w:color="auto"/>
              <w:right w:val="nil"/>
            </w:tcBorders>
            <w:shd w:val="clear" w:color="auto" w:fill="244062"/>
            <w:vAlign w:val="center"/>
            <w:hideMark/>
          </w:tcPr>
          <w:p w14:paraId="6327344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Main objective:</w:t>
            </w:r>
          </w:p>
        </w:tc>
        <w:tc>
          <w:tcPr>
            <w:tcW w:w="6141" w:type="dxa"/>
            <w:gridSpan w:val="3"/>
            <w:tcBorders>
              <w:top w:val="single" w:sz="8" w:space="0" w:color="auto"/>
              <w:left w:val="nil"/>
              <w:bottom w:val="single" w:sz="8" w:space="0" w:color="auto"/>
              <w:right w:val="single" w:sz="8" w:space="0" w:color="000000"/>
            </w:tcBorders>
            <w:vAlign w:val="center"/>
            <w:hideMark/>
          </w:tcPr>
          <w:p w14:paraId="720D9C00" w14:textId="1F7ECA48"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the following articles of the Directive (EU) 2012/27, as amended by Directive (EU) 2018/2002:</w:t>
            </w:r>
          </w:p>
          <w:p w14:paraId="0F2690C8" w14:textId="77777777" w:rsidR="00614438" w:rsidRPr="00AA7A53" w:rsidRDefault="00614438" w:rsidP="00AA7A53">
            <w:pPr>
              <w:numPr>
                <w:ilvl w:val="0"/>
                <w:numId w:val="120"/>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Articles 9-11</w:t>
            </w:r>
          </w:p>
        </w:tc>
      </w:tr>
      <w:tr w:rsidR="00614438" w:rsidRPr="00AA7A53" w14:paraId="1808384E"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1E77A19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Quantified objective:</w:t>
            </w:r>
          </w:p>
        </w:tc>
        <w:tc>
          <w:tcPr>
            <w:tcW w:w="6141" w:type="dxa"/>
            <w:gridSpan w:val="3"/>
            <w:tcBorders>
              <w:top w:val="single" w:sz="8" w:space="0" w:color="auto"/>
              <w:left w:val="nil"/>
              <w:bottom w:val="single" w:sz="8" w:space="0" w:color="auto"/>
              <w:right w:val="single" w:sz="8" w:space="0" w:color="000000"/>
            </w:tcBorders>
            <w:vAlign w:val="center"/>
            <w:hideMark/>
          </w:tcPr>
          <w:p w14:paraId="6E7EF84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fulfilling the expected final energy consumption levels and raising awareness about metering and billing information</w:t>
            </w:r>
          </w:p>
        </w:tc>
      </w:tr>
      <w:tr w:rsidR="00614438" w:rsidRPr="00AA7A53" w14:paraId="7C78B3C0" w14:textId="77777777" w:rsidTr="00614438">
        <w:trPr>
          <w:gridAfter w:val="1"/>
          <w:wAfter w:w="222" w:type="dxa"/>
          <w:trHeight w:val="129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0E64C0E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1" w:type="dxa"/>
            <w:gridSpan w:val="3"/>
            <w:tcBorders>
              <w:top w:val="single" w:sz="8" w:space="0" w:color="auto"/>
              <w:left w:val="nil"/>
              <w:bottom w:val="single" w:sz="8" w:space="0" w:color="auto"/>
              <w:right w:val="single" w:sz="8" w:space="0" w:color="000000"/>
            </w:tcBorders>
            <w:vAlign w:val="center"/>
            <w:hideMark/>
          </w:tcPr>
          <w:p w14:paraId="4A496371" w14:textId="2BAB57E2"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PM_EE46 will enhance and improve the current provisions of the Law on Energy Efficiency and Rational Use of Energy about the metering and billing information. The current provisions will be monitored continuously and potentially updated in order to ensure that, in so far as technically possible, financially reasonable, and proportionate to the potential energy savings, the metering information of all distributed energy carriers will reflect the actual energy consumption</w:t>
            </w:r>
            <w:r w:rsidR="00AD7DE4"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including the multi-apartment and multi-purpose buildings. Emphasis will </w:t>
            </w:r>
            <w:r w:rsidR="00AD7DE4" w:rsidRPr="00AA7A53">
              <w:rPr>
                <w:rFonts w:ascii="Times New Roman" w:hAnsi="Times New Roman" w:cs="Times New Roman"/>
                <w:sz w:val="20"/>
                <w:szCs w:val="20"/>
                <w:lang w:val="en-GB"/>
              </w:rPr>
              <w:t xml:space="preserve">also </w:t>
            </w:r>
            <w:r w:rsidRPr="00AA7A53">
              <w:rPr>
                <w:rFonts w:ascii="Times New Roman" w:hAnsi="Times New Roman" w:cs="Times New Roman"/>
                <w:sz w:val="20"/>
                <w:szCs w:val="20"/>
                <w:lang w:val="en-GB"/>
              </w:rPr>
              <w:t xml:space="preserve">be </w:t>
            </w:r>
            <w:r w:rsidR="00AD7DE4" w:rsidRPr="00AA7A53">
              <w:rPr>
                <w:rFonts w:ascii="Times New Roman" w:hAnsi="Times New Roman" w:cs="Times New Roman"/>
                <w:sz w:val="20"/>
                <w:szCs w:val="20"/>
                <w:lang w:val="en-GB"/>
              </w:rPr>
              <w:t>placed</w:t>
            </w:r>
            <w:r w:rsidRPr="00AA7A53">
              <w:rPr>
                <w:rFonts w:ascii="Times New Roman" w:hAnsi="Times New Roman" w:cs="Times New Roman"/>
                <w:sz w:val="20"/>
                <w:szCs w:val="20"/>
                <w:lang w:val="en-GB"/>
              </w:rPr>
              <w:t xml:space="preserve"> on the information</w:t>
            </w:r>
            <w:r w:rsidR="00AD7DE4" w:rsidRPr="00AA7A53">
              <w:rPr>
                <w:rFonts w:ascii="Times New Roman" w:hAnsi="Times New Roman" w:cs="Times New Roman"/>
                <w:sz w:val="20"/>
                <w:szCs w:val="20"/>
                <w:lang w:val="en-GB"/>
              </w:rPr>
              <w:t xml:space="preserve"> received through remote reading</w:t>
            </w:r>
            <w:r w:rsidRPr="00AA7A53">
              <w:rPr>
                <w:rFonts w:ascii="Times New Roman" w:hAnsi="Times New Roman" w:cs="Times New Roman"/>
                <w:sz w:val="20"/>
                <w:szCs w:val="20"/>
                <w:lang w:val="en-GB"/>
              </w:rPr>
              <w:t>. Regarding the billing information, it will be ensured that it is reliable, accurate a</w:t>
            </w:r>
            <w:r w:rsidR="00FD45D6" w:rsidRPr="00AA7A53">
              <w:rPr>
                <w:rFonts w:ascii="Times New Roman" w:hAnsi="Times New Roman" w:cs="Times New Roman"/>
                <w:sz w:val="20"/>
                <w:szCs w:val="20"/>
                <w:lang w:val="en-GB"/>
              </w:rPr>
              <w:t xml:space="preserve">nd based on actual consumption, </w:t>
            </w:r>
            <w:r w:rsidRPr="00AA7A53">
              <w:rPr>
                <w:rFonts w:ascii="Times New Roman" w:hAnsi="Times New Roman" w:cs="Times New Roman"/>
                <w:sz w:val="20"/>
                <w:szCs w:val="20"/>
                <w:lang w:val="en-GB"/>
              </w:rPr>
              <w:t>where that is technically possible and economically justified. Finally, it will be ensured that the final customers will receive all their bills and billing information for energy consumption free of charge and that final customers have access to their consumption data in an appropriate manner and free of charge.</w:t>
            </w:r>
          </w:p>
        </w:tc>
      </w:tr>
      <w:tr w:rsidR="00614438" w:rsidRPr="00AA7A53" w14:paraId="5D145A34"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3D94B47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1" w:type="dxa"/>
            <w:gridSpan w:val="3"/>
            <w:tcBorders>
              <w:top w:val="single" w:sz="8" w:space="0" w:color="auto"/>
              <w:left w:val="nil"/>
              <w:bottom w:val="single" w:sz="8" w:space="0" w:color="auto"/>
              <w:right w:val="single" w:sz="8" w:space="0" w:color="000000"/>
            </w:tcBorders>
            <w:vAlign w:val="center"/>
            <w:hideMark/>
          </w:tcPr>
          <w:p w14:paraId="0CDB889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6DD96C7D"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70D56A0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1" w:type="dxa"/>
            <w:gridSpan w:val="3"/>
            <w:tcBorders>
              <w:top w:val="single" w:sz="8" w:space="0" w:color="auto"/>
              <w:left w:val="nil"/>
              <w:bottom w:val="single" w:sz="8" w:space="0" w:color="auto"/>
              <w:right w:val="single" w:sz="8" w:space="0" w:color="000000"/>
            </w:tcBorders>
            <w:vAlign w:val="center"/>
            <w:hideMark/>
          </w:tcPr>
          <w:p w14:paraId="4652B43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63BDC1BA" w14:textId="77777777" w:rsidTr="00AD7DE4">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4923D99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1" w:type="dxa"/>
            <w:gridSpan w:val="3"/>
            <w:tcBorders>
              <w:top w:val="single" w:sz="8" w:space="0" w:color="auto"/>
              <w:left w:val="nil"/>
              <w:bottom w:val="single" w:sz="8" w:space="0" w:color="auto"/>
              <w:right w:val="single" w:sz="8" w:space="0" w:color="000000"/>
            </w:tcBorders>
            <w:vAlign w:val="center"/>
          </w:tcPr>
          <w:p w14:paraId="7F5E67B7" w14:textId="22598123"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8D53265"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01BDEC4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6E1EA60D" w14:textId="77777777" w:rsidR="00614438" w:rsidRPr="00AA7A53" w:rsidRDefault="00614438" w:rsidP="00AA7A53">
            <w:pPr>
              <w:numPr>
                <w:ilvl w:val="0"/>
                <w:numId w:val="121"/>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1B03DD54"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15FB05D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5A1CB977" w14:textId="77777777" w:rsidR="00614438" w:rsidRPr="00AA7A53" w:rsidRDefault="00614438" w:rsidP="00AA7A53">
            <w:pPr>
              <w:numPr>
                <w:ilvl w:val="0"/>
                <w:numId w:val="123"/>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11708DC8"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7E4EA3D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1" w:type="dxa"/>
            <w:gridSpan w:val="3"/>
            <w:tcBorders>
              <w:top w:val="single" w:sz="8" w:space="0" w:color="auto"/>
              <w:left w:val="nil"/>
              <w:bottom w:val="single" w:sz="8" w:space="0" w:color="auto"/>
              <w:right w:val="single" w:sz="8" w:space="0" w:color="000000"/>
            </w:tcBorders>
            <w:vAlign w:val="center"/>
            <w:hideMark/>
          </w:tcPr>
          <w:p w14:paraId="29F0AED9" w14:textId="77777777" w:rsidR="00614438" w:rsidRPr="00AA7A53" w:rsidRDefault="00614438" w:rsidP="00AA7A53">
            <w:pPr>
              <w:numPr>
                <w:ilvl w:val="0"/>
                <w:numId w:val="121"/>
              </w:numPr>
              <w:spacing w:after="0"/>
              <w:jc w:val="both"/>
              <w:rPr>
                <w:rFonts w:ascii="Times New Roman" w:hAnsi="Times New Roman" w:cs="Times New Roman"/>
                <w:sz w:val="20"/>
                <w:szCs w:val="20"/>
              </w:rPr>
            </w:pPr>
            <w:r w:rsidRPr="00AA7A53">
              <w:rPr>
                <w:rFonts w:ascii="Times New Roman" w:hAnsi="Times New Roman" w:cs="Times New Roman"/>
                <w:sz w:val="20"/>
                <w:szCs w:val="20"/>
              </w:rPr>
              <w:t>Developed regulatory framework</w:t>
            </w:r>
          </w:p>
        </w:tc>
      </w:tr>
      <w:tr w:rsidR="00614438" w:rsidRPr="00AA7A53" w14:paraId="0BDDB04F" w14:textId="77777777" w:rsidTr="00614438">
        <w:trPr>
          <w:gridAfter w:val="1"/>
          <w:wAfter w:w="222" w:type="dxa"/>
          <w:trHeight w:val="419"/>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25FBE80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1" w:type="dxa"/>
            <w:gridSpan w:val="3"/>
            <w:tcBorders>
              <w:top w:val="single" w:sz="8" w:space="0" w:color="auto"/>
              <w:left w:val="nil"/>
              <w:bottom w:val="single" w:sz="8" w:space="0" w:color="auto"/>
              <w:right w:val="single" w:sz="8" w:space="0" w:color="000000"/>
            </w:tcBorders>
            <w:vAlign w:val="center"/>
            <w:hideMark/>
          </w:tcPr>
          <w:p w14:paraId="4C0235FB" w14:textId="77777777" w:rsidR="00614438" w:rsidRPr="00AA7A53" w:rsidRDefault="00614438" w:rsidP="00AA7A53">
            <w:pPr>
              <w:numPr>
                <w:ilvl w:val="0"/>
                <w:numId w:val="120"/>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 (the provision of accurate metering and billing information will facilitate the protection of the energy consumers)</w:t>
            </w:r>
          </w:p>
        </w:tc>
      </w:tr>
      <w:tr w:rsidR="00614438" w:rsidRPr="00AA7A53" w14:paraId="6E6B4E96" w14:textId="77777777" w:rsidTr="00614438">
        <w:trPr>
          <w:gridAfter w:val="1"/>
          <w:wAfter w:w="222" w:type="dxa"/>
          <w:trHeight w:val="458"/>
        </w:trPr>
        <w:tc>
          <w:tcPr>
            <w:tcW w:w="3317" w:type="dxa"/>
            <w:vMerge w:val="restart"/>
            <w:tcBorders>
              <w:top w:val="nil"/>
              <w:left w:val="single" w:sz="8" w:space="0" w:color="auto"/>
              <w:bottom w:val="single" w:sz="8" w:space="0" w:color="000000"/>
              <w:right w:val="single" w:sz="8" w:space="0" w:color="auto"/>
            </w:tcBorders>
            <w:shd w:val="clear" w:color="auto" w:fill="244062"/>
            <w:vAlign w:val="center"/>
            <w:hideMark/>
          </w:tcPr>
          <w:p w14:paraId="52C17D2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3EBDCD8" w14:textId="77777777" w:rsidR="00614438" w:rsidRPr="00AA7A53" w:rsidRDefault="00614438" w:rsidP="00AA7A53">
            <w:pPr>
              <w:numPr>
                <w:ilvl w:val="0"/>
                <w:numId w:val="12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6A843ED5" w14:textId="77777777" w:rsidR="00614438" w:rsidRPr="00AA7A53" w:rsidRDefault="00614438" w:rsidP="00AA7A53">
            <w:pPr>
              <w:numPr>
                <w:ilvl w:val="0"/>
                <w:numId w:val="12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4CBC84E9"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25B2CF33"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7C390FF"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049E6CB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8E057A6"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7743CAD7"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EC97F08"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131B4986"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3D0FC3D4" w14:textId="77777777" w:rsidTr="00614438">
        <w:trPr>
          <w:trHeight w:val="780"/>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718F371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1" w:type="dxa"/>
            <w:gridSpan w:val="3"/>
            <w:tcBorders>
              <w:top w:val="single" w:sz="8" w:space="0" w:color="auto"/>
              <w:left w:val="nil"/>
              <w:bottom w:val="single" w:sz="8" w:space="0" w:color="auto"/>
              <w:right w:val="single" w:sz="8" w:space="0" w:color="000000"/>
            </w:tcBorders>
            <w:vAlign w:val="center"/>
            <w:hideMark/>
          </w:tcPr>
          <w:p w14:paraId="1E4191FA" w14:textId="77777777" w:rsidR="00614438" w:rsidRPr="00AA7A53" w:rsidRDefault="00614438" w:rsidP="00AA7A53">
            <w:pPr>
              <w:numPr>
                <w:ilvl w:val="0"/>
                <w:numId w:val="120"/>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Law</w:t>
            </w:r>
          </w:p>
          <w:p w14:paraId="5489D9D8" w14:textId="77777777" w:rsidR="00614438" w:rsidRPr="00AA7A53" w:rsidRDefault="00614438" w:rsidP="00AA7A53">
            <w:pPr>
              <w:numPr>
                <w:ilvl w:val="0"/>
                <w:numId w:val="120"/>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 Efficiency and Rational Use of Energy</w:t>
            </w:r>
          </w:p>
        </w:tc>
        <w:tc>
          <w:tcPr>
            <w:tcW w:w="222" w:type="dxa"/>
            <w:vAlign w:val="center"/>
            <w:hideMark/>
          </w:tcPr>
          <w:p w14:paraId="47770BE2"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F7453EC"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20D876F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1" w:type="dxa"/>
            <w:gridSpan w:val="3"/>
            <w:tcBorders>
              <w:top w:val="single" w:sz="8" w:space="0" w:color="auto"/>
              <w:left w:val="nil"/>
              <w:bottom w:val="single" w:sz="8" w:space="0" w:color="auto"/>
              <w:right w:val="single" w:sz="8" w:space="0" w:color="000000"/>
            </w:tcBorders>
            <w:vAlign w:val="center"/>
            <w:hideMark/>
          </w:tcPr>
          <w:p w14:paraId="2B59424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0.5 million €</w:t>
            </w:r>
          </w:p>
        </w:tc>
        <w:tc>
          <w:tcPr>
            <w:tcW w:w="222" w:type="dxa"/>
            <w:vAlign w:val="center"/>
            <w:hideMark/>
          </w:tcPr>
          <w:p w14:paraId="1A50F93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E7B8F38"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1CC4420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1" w:type="dxa"/>
            <w:gridSpan w:val="3"/>
            <w:tcBorders>
              <w:top w:val="single" w:sz="8" w:space="0" w:color="auto"/>
              <w:left w:val="nil"/>
              <w:bottom w:val="single" w:sz="8" w:space="0" w:color="auto"/>
              <w:right w:val="single" w:sz="8" w:space="0" w:color="000000"/>
            </w:tcBorders>
            <w:vAlign w:val="center"/>
            <w:hideMark/>
          </w:tcPr>
          <w:p w14:paraId="3025D05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Public funds</w:t>
            </w:r>
          </w:p>
        </w:tc>
        <w:tc>
          <w:tcPr>
            <w:tcW w:w="222" w:type="dxa"/>
            <w:vAlign w:val="center"/>
            <w:hideMark/>
          </w:tcPr>
          <w:p w14:paraId="35B6BCF3" w14:textId="77777777" w:rsidR="00614438" w:rsidRPr="00AA7A53" w:rsidRDefault="00614438" w:rsidP="00AA7A53">
            <w:pPr>
              <w:spacing w:after="0"/>
              <w:jc w:val="both"/>
              <w:rPr>
                <w:rFonts w:ascii="Times New Roman" w:hAnsi="Times New Roman" w:cs="Times New Roman"/>
                <w:sz w:val="20"/>
                <w:szCs w:val="20"/>
                <w:lang w:val="en-GB"/>
              </w:rPr>
            </w:pPr>
          </w:p>
        </w:tc>
      </w:tr>
    </w:tbl>
    <w:p w14:paraId="0B9EEFF3" w14:textId="77777777" w:rsidR="00AD7DE4" w:rsidRPr="00AA7A53" w:rsidRDefault="00AD7DE4" w:rsidP="00AA7A53">
      <w:pPr>
        <w:spacing w:after="0"/>
        <w:rPr>
          <w:rFonts w:ascii="Times New Roman" w:hAnsi="Times New Roman" w:cs="Times New Roman"/>
          <w:sz w:val="20"/>
          <w:szCs w:val="20"/>
          <w:lang w:val="en-GB"/>
        </w:rPr>
      </w:pPr>
    </w:p>
    <w:p w14:paraId="036AC4EA" w14:textId="05CCBE44" w:rsidR="00514AA4" w:rsidRPr="00AD7DE4" w:rsidRDefault="00AD7DE4" w:rsidP="00AD7DE4">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3.2.5 </w:t>
      </w:r>
      <w:r w:rsidR="00614438" w:rsidRPr="00AD7DE4">
        <w:rPr>
          <w:rFonts w:ascii="Times New Roman" w:hAnsi="Times New Roman" w:cs="Times New Roman"/>
          <w:sz w:val="24"/>
          <w:szCs w:val="24"/>
          <w:lang w:val="en-GB"/>
        </w:rPr>
        <w:t xml:space="preserve">Description of </w:t>
      </w:r>
      <w:r w:rsidR="00514AA4">
        <w:rPr>
          <w:rFonts w:ascii="Times New Roman" w:hAnsi="Times New Roman" w:cs="Times New Roman"/>
          <w:sz w:val="24"/>
          <w:szCs w:val="24"/>
          <w:lang w:val="en-GB"/>
        </w:rPr>
        <w:t xml:space="preserve">creating </w:t>
      </w:r>
      <w:r w:rsidR="00614438" w:rsidRPr="00AD7DE4">
        <w:rPr>
          <w:rFonts w:ascii="Times New Roman" w:hAnsi="Times New Roman" w:cs="Times New Roman"/>
          <w:sz w:val="24"/>
          <w:szCs w:val="24"/>
          <w:lang w:val="en-GB"/>
        </w:rPr>
        <w:t xml:space="preserve">measures </w:t>
      </w:r>
      <w:r w:rsidR="00514AA4" w:rsidRPr="00514AA4">
        <w:rPr>
          <w:rFonts w:ascii="Times New Roman" w:hAnsi="Times New Roman" w:cs="Times New Roman"/>
          <w:sz w:val="24"/>
          <w:szCs w:val="24"/>
          <w:lang w:val="en-GB"/>
        </w:rPr>
        <w:t>for using the energy efficiency potential of gas and electricity infrastructure</w:t>
      </w:r>
    </w:p>
    <w:p w14:paraId="2054B9C1" w14:textId="4CBEECE8" w:rsidR="00614438" w:rsidRPr="00614438" w:rsidRDefault="00614438" w:rsidP="00514AA4">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 xml:space="preserve">The energy efficiency of the electricity and gas infrastructures will be improved by the measures, which will be conducted by the respective operators within the framework of their development programmes in compliance with the </w:t>
      </w:r>
      <w:r w:rsidR="00514AA4">
        <w:rPr>
          <w:rFonts w:ascii="Times New Roman" w:hAnsi="Times New Roman" w:cs="Times New Roman"/>
          <w:sz w:val="24"/>
          <w:szCs w:val="24"/>
          <w:lang w:val="en-GB"/>
        </w:rPr>
        <w:t>“E</w:t>
      </w:r>
      <w:r w:rsidRPr="00614438">
        <w:rPr>
          <w:rFonts w:ascii="Times New Roman" w:hAnsi="Times New Roman" w:cs="Times New Roman"/>
          <w:sz w:val="24"/>
          <w:szCs w:val="24"/>
          <w:lang w:val="en-GB"/>
        </w:rPr>
        <w:t xml:space="preserve">nergy </w:t>
      </w:r>
      <w:r w:rsidR="00514AA4">
        <w:rPr>
          <w:rFonts w:ascii="Times New Roman" w:hAnsi="Times New Roman" w:cs="Times New Roman"/>
          <w:sz w:val="24"/>
          <w:szCs w:val="24"/>
          <w:lang w:val="en-GB"/>
        </w:rPr>
        <w:t>E</w:t>
      </w:r>
      <w:r w:rsidRPr="00614438">
        <w:rPr>
          <w:rFonts w:ascii="Times New Roman" w:hAnsi="Times New Roman" w:cs="Times New Roman"/>
          <w:sz w:val="24"/>
          <w:szCs w:val="24"/>
          <w:lang w:val="en-GB"/>
        </w:rPr>
        <w:t xml:space="preserve">fficiency </w:t>
      </w:r>
      <w:r w:rsidR="00514AA4">
        <w:rPr>
          <w:rFonts w:ascii="Times New Roman" w:hAnsi="Times New Roman" w:cs="Times New Roman"/>
          <w:sz w:val="24"/>
          <w:szCs w:val="24"/>
          <w:lang w:val="en-GB"/>
        </w:rPr>
        <w:t>F</w:t>
      </w:r>
      <w:r w:rsidRPr="00614438">
        <w:rPr>
          <w:rFonts w:ascii="Times New Roman" w:hAnsi="Times New Roman" w:cs="Times New Roman"/>
          <w:sz w:val="24"/>
          <w:szCs w:val="24"/>
          <w:lang w:val="en-GB"/>
        </w:rPr>
        <w:t>irst</w:t>
      </w:r>
      <w:r w:rsidR="00514AA4">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principle. Targeted technical measures will be initiated for reducing the losses in transmission and distribution network, load management, improving the network interoperability.</w:t>
      </w:r>
    </w:p>
    <w:p w14:paraId="6D66F0C2" w14:textId="342BEF18" w:rsidR="00614438" w:rsidRPr="00614438" w:rsidRDefault="00614438" w:rsidP="00D46248">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Moreover, </w:t>
      </w:r>
      <w:r w:rsidR="00D46248">
        <w:rPr>
          <w:rFonts w:ascii="Times New Roman" w:hAnsi="Times New Roman" w:cs="Times New Roman"/>
          <w:sz w:val="24"/>
          <w:szCs w:val="24"/>
          <w:lang w:val="en-GB"/>
        </w:rPr>
        <w:t xml:space="preserve">annual </w:t>
      </w:r>
      <w:r w:rsidRPr="00614438">
        <w:rPr>
          <w:rFonts w:ascii="Times New Roman" w:hAnsi="Times New Roman" w:cs="Times New Roman"/>
          <w:sz w:val="24"/>
          <w:szCs w:val="24"/>
          <w:lang w:val="en-GB"/>
        </w:rPr>
        <w:t xml:space="preserve">reports will be prepared </w:t>
      </w:r>
      <w:r w:rsidR="00D46248">
        <w:rPr>
          <w:rFonts w:ascii="Times New Roman" w:hAnsi="Times New Roman" w:cs="Times New Roman"/>
          <w:sz w:val="24"/>
          <w:szCs w:val="24"/>
          <w:lang w:val="en-GB"/>
        </w:rPr>
        <w:t xml:space="preserve">which will contain a detailed </w:t>
      </w:r>
      <w:r w:rsidRPr="00614438">
        <w:rPr>
          <w:rFonts w:ascii="Times New Roman" w:hAnsi="Times New Roman" w:cs="Times New Roman"/>
          <w:sz w:val="24"/>
          <w:szCs w:val="24"/>
          <w:lang w:val="en-GB"/>
        </w:rPr>
        <w:t>descri</w:t>
      </w:r>
      <w:r w:rsidR="00D46248">
        <w:rPr>
          <w:rFonts w:ascii="Times New Roman" w:hAnsi="Times New Roman" w:cs="Times New Roman"/>
          <w:sz w:val="24"/>
          <w:szCs w:val="24"/>
          <w:lang w:val="en-GB"/>
        </w:rPr>
        <w:t xml:space="preserve">ption of </w:t>
      </w:r>
      <w:r w:rsidRPr="00614438">
        <w:rPr>
          <w:rFonts w:ascii="Times New Roman" w:hAnsi="Times New Roman" w:cs="Times New Roman"/>
          <w:sz w:val="24"/>
          <w:szCs w:val="24"/>
          <w:lang w:val="en-GB"/>
        </w:rPr>
        <w:t>the performed actions</w:t>
      </w:r>
      <w:r w:rsidR="00D46248">
        <w:rPr>
          <w:rFonts w:ascii="Times New Roman" w:hAnsi="Times New Roman" w:cs="Times New Roman"/>
          <w:sz w:val="24"/>
          <w:szCs w:val="24"/>
          <w:lang w:val="en-GB"/>
        </w:rPr>
        <w:t xml:space="preserve"> and</w:t>
      </w:r>
      <w:r w:rsidRPr="00614438">
        <w:rPr>
          <w:rFonts w:ascii="Times New Roman" w:hAnsi="Times New Roman" w:cs="Times New Roman"/>
          <w:sz w:val="24"/>
          <w:szCs w:val="24"/>
          <w:lang w:val="en-GB"/>
        </w:rPr>
        <w:t xml:space="preserve"> incentives will be given </w:t>
      </w:r>
      <w:r w:rsidR="00D46248">
        <w:rPr>
          <w:rFonts w:ascii="Times New Roman" w:hAnsi="Times New Roman" w:cs="Times New Roman"/>
          <w:sz w:val="24"/>
          <w:szCs w:val="24"/>
          <w:lang w:val="en-GB"/>
        </w:rPr>
        <w:t>to</w:t>
      </w:r>
      <w:r w:rsidRPr="00614438">
        <w:rPr>
          <w:rFonts w:ascii="Times New Roman" w:hAnsi="Times New Roman" w:cs="Times New Roman"/>
          <w:sz w:val="24"/>
          <w:szCs w:val="24"/>
          <w:lang w:val="en-GB"/>
        </w:rPr>
        <w:t xml:space="preserve"> both natural gas and electricity transmission and distribution network operators</w:t>
      </w:r>
      <w:r w:rsidR="00D46248">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in order to have a higher return on the invested capital</w:t>
      </w:r>
      <w:r w:rsidR="00D46248">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if they attain specific energy efficiency targets.</w:t>
      </w:r>
    </w:p>
    <w:p w14:paraId="212F45E7" w14:textId="0A590090" w:rsidR="00614438" w:rsidRPr="00AA7A53" w:rsidRDefault="00614438" w:rsidP="00AA7A53">
      <w:pPr>
        <w:spacing w:after="0"/>
        <w:ind w:firstLine="720"/>
        <w:jc w:val="both"/>
        <w:rPr>
          <w:rFonts w:ascii="Times New Roman" w:hAnsi="Times New Roman" w:cs="Times New Roman"/>
          <w:sz w:val="20"/>
          <w:szCs w:val="20"/>
          <w:u w:val="single"/>
          <w:lang w:val="en-GB"/>
        </w:rPr>
      </w:pPr>
      <w:r w:rsidRPr="00614438">
        <w:rPr>
          <w:rFonts w:ascii="Times New Roman" w:hAnsi="Times New Roman" w:cs="Times New Roman"/>
          <w:sz w:val="24"/>
          <w:szCs w:val="24"/>
          <w:lang w:val="en-GB"/>
        </w:rPr>
        <w:t xml:space="preserve">Finally, the mass installation of smart meters will be ensured </w:t>
      </w:r>
      <w:r w:rsidR="00D46248">
        <w:rPr>
          <w:rFonts w:ascii="Times New Roman" w:hAnsi="Times New Roman" w:cs="Times New Roman"/>
          <w:sz w:val="24"/>
          <w:szCs w:val="24"/>
          <w:lang w:val="en-GB"/>
        </w:rPr>
        <w:t>and</w:t>
      </w:r>
      <w:r w:rsidRPr="00614438">
        <w:rPr>
          <w:rFonts w:ascii="Times New Roman" w:hAnsi="Times New Roman" w:cs="Times New Roman"/>
          <w:sz w:val="24"/>
          <w:szCs w:val="24"/>
          <w:lang w:val="en-GB"/>
        </w:rPr>
        <w:t xml:space="preserve"> the necessary legislative framework will be adopted in order to foster the dynamic pricing and tariffs.</w:t>
      </w:r>
    </w:p>
    <w:tbl>
      <w:tblPr>
        <w:tblW w:w="9680" w:type="dxa"/>
        <w:tblLook w:val="04A0" w:firstRow="1" w:lastRow="0" w:firstColumn="1" w:lastColumn="0" w:noHBand="0" w:noVBand="1"/>
      </w:tblPr>
      <w:tblGrid>
        <w:gridCol w:w="3294"/>
        <w:gridCol w:w="1050"/>
        <w:gridCol w:w="939"/>
        <w:gridCol w:w="4175"/>
        <w:gridCol w:w="222"/>
      </w:tblGrid>
      <w:tr w:rsidR="00614438" w:rsidRPr="00AA7A53" w14:paraId="01CA43C1" w14:textId="77777777" w:rsidTr="00614438">
        <w:trPr>
          <w:gridAfter w:val="1"/>
          <w:wAfter w:w="222" w:type="dxa"/>
          <w:trHeight w:val="780"/>
        </w:trPr>
        <w:tc>
          <w:tcPr>
            <w:tcW w:w="3316"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D99797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Policy measure code:</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73D5E68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PM_EE40</w:t>
            </w:r>
          </w:p>
        </w:tc>
        <w:tc>
          <w:tcPr>
            <w:tcW w:w="943" w:type="dxa"/>
            <w:tcBorders>
              <w:top w:val="single" w:sz="8" w:space="0" w:color="auto"/>
              <w:left w:val="nil"/>
              <w:bottom w:val="single" w:sz="8" w:space="0" w:color="auto"/>
              <w:right w:val="single" w:sz="8" w:space="0" w:color="auto"/>
            </w:tcBorders>
            <w:shd w:val="clear" w:color="auto" w:fill="244062"/>
            <w:vAlign w:val="center"/>
            <w:hideMark/>
          </w:tcPr>
          <w:p w14:paraId="6FF9C57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3" w:type="dxa"/>
            <w:tcBorders>
              <w:top w:val="single" w:sz="8" w:space="0" w:color="auto"/>
              <w:left w:val="nil"/>
              <w:bottom w:val="single" w:sz="8" w:space="0" w:color="auto"/>
              <w:right w:val="single" w:sz="8" w:space="0" w:color="auto"/>
            </w:tcBorders>
            <w:shd w:val="clear" w:color="auto" w:fill="E7E6E6" w:themeFill="background2"/>
            <w:vAlign w:val="center"/>
            <w:hideMark/>
          </w:tcPr>
          <w:p w14:paraId="5C1A8E1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Deployment of smart meters (synergies with energy market dimension)</w:t>
            </w:r>
          </w:p>
        </w:tc>
      </w:tr>
      <w:tr w:rsidR="00614438" w:rsidRPr="00AA7A53" w14:paraId="18E1EA40" w14:textId="77777777" w:rsidTr="00614438">
        <w:trPr>
          <w:gridAfter w:val="1"/>
          <w:wAfter w:w="222" w:type="dxa"/>
          <w:trHeight w:val="316"/>
        </w:trPr>
        <w:tc>
          <w:tcPr>
            <w:tcW w:w="3316" w:type="dxa"/>
            <w:tcBorders>
              <w:top w:val="nil"/>
              <w:left w:val="single" w:sz="8" w:space="0" w:color="auto"/>
              <w:bottom w:val="single" w:sz="8" w:space="0" w:color="auto"/>
              <w:right w:val="nil"/>
            </w:tcBorders>
            <w:shd w:val="clear" w:color="auto" w:fill="244062"/>
            <w:vAlign w:val="center"/>
            <w:hideMark/>
          </w:tcPr>
          <w:p w14:paraId="4796017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Main objective:</w:t>
            </w:r>
          </w:p>
        </w:tc>
        <w:tc>
          <w:tcPr>
            <w:tcW w:w="6142" w:type="dxa"/>
            <w:gridSpan w:val="3"/>
            <w:tcBorders>
              <w:top w:val="single" w:sz="8" w:space="0" w:color="auto"/>
              <w:left w:val="nil"/>
              <w:bottom w:val="single" w:sz="8" w:space="0" w:color="auto"/>
              <w:right w:val="single" w:sz="8" w:space="0" w:color="000000"/>
            </w:tcBorders>
            <w:vAlign w:val="center"/>
            <w:hideMark/>
          </w:tcPr>
          <w:p w14:paraId="60C29DC7" w14:textId="0F031BA5"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Implementation of the following articles of the Directive (EU) 2012/27, as amended by Directive (EU) 2018/2002:</w:t>
            </w:r>
          </w:p>
          <w:p w14:paraId="252BB595"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tc>
      </w:tr>
      <w:tr w:rsidR="00614438" w:rsidRPr="00AA7A53" w14:paraId="1BE8E9AC" w14:textId="77777777" w:rsidTr="00614438">
        <w:trPr>
          <w:gridAfter w:val="1"/>
          <w:wAfter w:w="222" w:type="dxa"/>
          <w:trHeight w:val="315"/>
        </w:trPr>
        <w:tc>
          <w:tcPr>
            <w:tcW w:w="3316" w:type="dxa"/>
            <w:tcBorders>
              <w:top w:val="nil"/>
              <w:left w:val="single" w:sz="8" w:space="0" w:color="auto"/>
              <w:bottom w:val="single" w:sz="8" w:space="0" w:color="auto"/>
              <w:right w:val="single" w:sz="8" w:space="0" w:color="auto"/>
            </w:tcBorders>
            <w:shd w:val="clear" w:color="auto" w:fill="244062"/>
            <w:vAlign w:val="center"/>
            <w:hideMark/>
          </w:tcPr>
          <w:p w14:paraId="2DE459E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Quantified objective:</w:t>
            </w:r>
          </w:p>
        </w:tc>
        <w:tc>
          <w:tcPr>
            <w:tcW w:w="6142" w:type="dxa"/>
            <w:gridSpan w:val="3"/>
            <w:tcBorders>
              <w:top w:val="single" w:sz="8" w:space="0" w:color="auto"/>
              <w:left w:val="nil"/>
              <w:bottom w:val="single" w:sz="8" w:space="0" w:color="auto"/>
              <w:right w:val="single" w:sz="8" w:space="0" w:color="000000"/>
            </w:tcBorders>
            <w:vAlign w:val="center"/>
            <w:hideMark/>
          </w:tcPr>
          <w:p w14:paraId="2C5A367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fulfilling the expected final energy consumption levels</w:t>
            </w:r>
          </w:p>
        </w:tc>
      </w:tr>
      <w:tr w:rsidR="00614438" w:rsidRPr="00AA7A53" w14:paraId="28C994BC" w14:textId="77777777" w:rsidTr="00614438">
        <w:trPr>
          <w:gridAfter w:val="1"/>
          <w:wAfter w:w="222" w:type="dxa"/>
          <w:trHeight w:val="784"/>
        </w:trPr>
        <w:tc>
          <w:tcPr>
            <w:tcW w:w="3316" w:type="dxa"/>
            <w:tcBorders>
              <w:top w:val="nil"/>
              <w:left w:val="single" w:sz="8" w:space="0" w:color="auto"/>
              <w:bottom w:val="single" w:sz="8" w:space="0" w:color="auto"/>
              <w:right w:val="single" w:sz="8" w:space="0" w:color="auto"/>
            </w:tcBorders>
            <w:shd w:val="clear" w:color="auto" w:fill="244062"/>
            <w:vAlign w:val="center"/>
            <w:hideMark/>
          </w:tcPr>
          <w:p w14:paraId="51592EE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2" w:type="dxa"/>
            <w:gridSpan w:val="3"/>
            <w:tcBorders>
              <w:top w:val="single" w:sz="8" w:space="0" w:color="auto"/>
              <w:left w:val="nil"/>
              <w:bottom w:val="single" w:sz="8" w:space="0" w:color="auto"/>
              <w:right w:val="single" w:sz="8" w:space="0" w:color="000000"/>
            </w:tcBorders>
            <w:vAlign w:val="center"/>
            <w:hideMark/>
          </w:tcPr>
          <w:p w14:paraId="6569D97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PM_EE40 will facilitate the deployment of smart meters through the identification of the most effective business model and the development of the required infrastructure. </w:t>
            </w:r>
          </w:p>
        </w:tc>
      </w:tr>
      <w:tr w:rsidR="00614438" w:rsidRPr="00AA7A53" w14:paraId="5DE3F1D1" w14:textId="77777777" w:rsidTr="00614438">
        <w:trPr>
          <w:gridAfter w:val="1"/>
          <w:wAfter w:w="222" w:type="dxa"/>
          <w:trHeight w:val="315"/>
        </w:trPr>
        <w:tc>
          <w:tcPr>
            <w:tcW w:w="3316" w:type="dxa"/>
            <w:tcBorders>
              <w:top w:val="nil"/>
              <w:left w:val="single" w:sz="8" w:space="0" w:color="auto"/>
              <w:bottom w:val="single" w:sz="8" w:space="0" w:color="auto"/>
              <w:right w:val="single" w:sz="8" w:space="0" w:color="auto"/>
            </w:tcBorders>
            <w:shd w:val="clear" w:color="auto" w:fill="244062"/>
            <w:vAlign w:val="center"/>
            <w:hideMark/>
          </w:tcPr>
          <w:p w14:paraId="585BC19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2" w:type="dxa"/>
            <w:gridSpan w:val="3"/>
            <w:tcBorders>
              <w:top w:val="single" w:sz="8" w:space="0" w:color="auto"/>
              <w:left w:val="nil"/>
              <w:bottom w:val="single" w:sz="8" w:space="0" w:color="auto"/>
              <w:right w:val="single" w:sz="8" w:space="0" w:color="000000"/>
            </w:tcBorders>
            <w:vAlign w:val="center"/>
            <w:hideMark/>
          </w:tcPr>
          <w:p w14:paraId="531EC12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1C080013" w14:textId="77777777" w:rsidTr="00614438">
        <w:trPr>
          <w:gridAfter w:val="1"/>
          <w:wAfter w:w="222" w:type="dxa"/>
          <w:trHeight w:val="315"/>
        </w:trPr>
        <w:tc>
          <w:tcPr>
            <w:tcW w:w="3316" w:type="dxa"/>
            <w:tcBorders>
              <w:top w:val="nil"/>
              <w:left w:val="single" w:sz="8" w:space="0" w:color="auto"/>
              <w:bottom w:val="single" w:sz="8" w:space="0" w:color="auto"/>
              <w:right w:val="single" w:sz="8" w:space="0" w:color="auto"/>
            </w:tcBorders>
            <w:shd w:val="clear" w:color="auto" w:fill="244062"/>
            <w:vAlign w:val="center"/>
            <w:hideMark/>
          </w:tcPr>
          <w:p w14:paraId="0CC0CF2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2" w:type="dxa"/>
            <w:gridSpan w:val="3"/>
            <w:tcBorders>
              <w:top w:val="single" w:sz="8" w:space="0" w:color="auto"/>
              <w:left w:val="nil"/>
              <w:bottom w:val="single" w:sz="8" w:space="0" w:color="auto"/>
              <w:right w:val="single" w:sz="8" w:space="0" w:color="000000"/>
            </w:tcBorders>
            <w:vAlign w:val="center"/>
            <w:hideMark/>
          </w:tcPr>
          <w:p w14:paraId="5BD8823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1C1F17A3" w14:textId="77777777" w:rsidTr="00614438">
        <w:trPr>
          <w:gridAfter w:val="1"/>
          <w:wAfter w:w="222" w:type="dxa"/>
          <w:trHeight w:val="315"/>
        </w:trPr>
        <w:tc>
          <w:tcPr>
            <w:tcW w:w="3316" w:type="dxa"/>
            <w:tcBorders>
              <w:top w:val="nil"/>
              <w:left w:val="single" w:sz="8" w:space="0" w:color="auto"/>
              <w:bottom w:val="single" w:sz="8" w:space="0" w:color="auto"/>
              <w:right w:val="single" w:sz="8" w:space="0" w:color="auto"/>
            </w:tcBorders>
            <w:shd w:val="clear" w:color="auto" w:fill="244062"/>
            <w:vAlign w:val="center"/>
            <w:hideMark/>
          </w:tcPr>
          <w:p w14:paraId="79F7A40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2" w:type="dxa"/>
            <w:gridSpan w:val="3"/>
            <w:tcBorders>
              <w:top w:val="single" w:sz="8" w:space="0" w:color="auto"/>
              <w:left w:val="nil"/>
              <w:bottom w:val="single" w:sz="8" w:space="0" w:color="auto"/>
              <w:right w:val="single" w:sz="8" w:space="0" w:color="000000"/>
            </w:tcBorders>
            <w:vAlign w:val="center"/>
            <w:hideMark/>
          </w:tcPr>
          <w:p w14:paraId="2C5D8E0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final energy consumption sectors</w:t>
            </w:r>
          </w:p>
        </w:tc>
      </w:tr>
      <w:tr w:rsidR="00614438" w:rsidRPr="00AA7A53" w14:paraId="02615DBA" w14:textId="77777777" w:rsidTr="00614438">
        <w:trPr>
          <w:gridAfter w:val="1"/>
          <w:wAfter w:w="222" w:type="dxa"/>
          <w:trHeight w:val="315"/>
        </w:trPr>
        <w:tc>
          <w:tcPr>
            <w:tcW w:w="3316" w:type="dxa"/>
            <w:tcBorders>
              <w:top w:val="nil"/>
              <w:left w:val="single" w:sz="8" w:space="0" w:color="auto"/>
              <w:bottom w:val="single" w:sz="8" w:space="0" w:color="auto"/>
              <w:right w:val="single" w:sz="8" w:space="0" w:color="auto"/>
            </w:tcBorders>
            <w:shd w:val="clear" w:color="auto" w:fill="244062"/>
            <w:vAlign w:val="center"/>
            <w:hideMark/>
          </w:tcPr>
          <w:p w14:paraId="6FDA814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2" w:type="dxa"/>
            <w:gridSpan w:val="3"/>
            <w:tcBorders>
              <w:top w:val="single" w:sz="8" w:space="0" w:color="auto"/>
              <w:left w:val="nil"/>
              <w:bottom w:val="single" w:sz="8" w:space="0" w:color="auto"/>
              <w:right w:val="single" w:sz="8" w:space="0" w:color="000000"/>
            </w:tcBorders>
            <w:vAlign w:val="center"/>
            <w:hideMark/>
          </w:tcPr>
          <w:p w14:paraId="2C9F9D46"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1A06750F" w14:textId="77777777" w:rsidTr="00614438">
        <w:trPr>
          <w:gridAfter w:val="1"/>
          <w:wAfter w:w="222" w:type="dxa"/>
          <w:trHeight w:val="315"/>
        </w:trPr>
        <w:tc>
          <w:tcPr>
            <w:tcW w:w="3316" w:type="dxa"/>
            <w:tcBorders>
              <w:top w:val="nil"/>
              <w:left w:val="single" w:sz="8" w:space="0" w:color="auto"/>
              <w:bottom w:val="single" w:sz="8" w:space="0" w:color="auto"/>
              <w:right w:val="nil"/>
            </w:tcBorders>
            <w:shd w:val="clear" w:color="auto" w:fill="244062"/>
            <w:vAlign w:val="center"/>
            <w:hideMark/>
          </w:tcPr>
          <w:p w14:paraId="6C554D2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2" w:type="dxa"/>
            <w:gridSpan w:val="3"/>
            <w:tcBorders>
              <w:top w:val="single" w:sz="8" w:space="0" w:color="auto"/>
              <w:left w:val="nil"/>
              <w:bottom w:val="single" w:sz="8" w:space="0" w:color="auto"/>
              <w:right w:val="single" w:sz="8" w:space="0" w:color="000000"/>
            </w:tcBorders>
            <w:vAlign w:val="center"/>
            <w:hideMark/>
          </w:tcPr>
          <w:p w14:paraId="1F7D03C6"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212927FC" w14:textId="77777777" w:rsidTr="00614438">
        <w:trPr>
          <w:gridAfter w:val="1"/>
          <w:wAfter w:w="222" w:type="dxa"/>
          <w:trHeight w:val="315"/>
        </w:trPr>
        <w:tc>
          <w:tcPr>
            <w:tcW w:w="3316" w:type="dxa"/>
            <w:tcBorders>
              <w:top w:val="nil"/>
              <w:left w:val="single" w:sz="8" w:space="0" w:color="auto"/>
              <w:bottom w:val="single" w:sz="8" w:space="0" w:color="auto"/>
              <w:right w:val="nil"/>
            </w:tcBorders>
            <w:shd w:val="clear" w:color="auto" w:fill="244062"/>
            <w:vAlign w:val="center"/>
            <w:hideMark/>
          </w:tcPr>
          <w:p w14:paraId="04C587C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2" w:type="dxa"/>
            <w:gridSpan w:val="3"/>
            <w:tcBorders>
              <w:top w:val="single" w:sz="8" w:space="0" w:color="auto"/>
              <w:left w:val="nil"/>
              <w:bottom w:val="single" w:sz="8" w:space="0" w:color="auto"/>
              <w:right w:val="single" w:sz="8" w:space="0" w:color="000000"/>
            </w:tcBorders>
            <w:vAlign w:val="center"/>
            <w:hideMark/>
          </w:tcPr>
          <w:p w14:paraId="28F6DA80" w14:textId="0D2CA478"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Number of installed smart meters</w:t>
            </w:r>
          </w:p>
        </w:tc>
      </w:tr>
      <w:tr w:rsidR="00614438" w:rsidRPr="00AA7A53" w14:paraId="4BA5B357" w14:textId="77777777" w:rsidTr="00614438">
        <w:trPr>
          <w:gridAfter w:val="1"/>
          <w:wAfter w:w="222" w:type="dxa"/>
          <w:trHeight w:val="519"/>
        </w:trPr>
        <w:tc>
          <w:tcPr>
            <w:tcW w:w="3316" w:type="dxa"/>
            <w:tcBorders>
              <w:top w:val="nil"/>
              <w:left w:val="single" w:sz="8" w:space="0" w:color="auto"/>
              <w:bottom w:val="single" w:sz="8" w:space="0" w:color="auto"/>
              <w:right w:val="single" w:sz="8" w:space="0" w:color="auto"/>
            </w:tcBorders>
            <w:shd w:val="clear" w:color="auto" w:fill="244062"/>
            <w:vAlign w:val="center"/>
            <w:hideMark/>
          </w:tcPr>
          <w:p w14:paraId="42EFACF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2" w:type="dxa"/>
            <w:gridSpan w:val="3"/>
            <w:tcBorders>
              <w:top w:val="single" w:sz="8" w:space="0" w:color="auto"/>
              <w:left w:val="nil"/>
              <w:bottom w:val="single" w:sz="8" w:space="0" w:color="auto"/>
              <w:right w:val="single" w:sz="8" w:space="0" w:color="000000"/>
            </w:tcBorders>
            <w:vAlign w:val="center"/>
            <w:hideMark/>
          </w:tcPr>
          <w:p w14:paraId="7FCB3EF7" w14:textId="04AE46AC"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w:t>
            </w:r>
            <w:r w:rsidR="00D46248" w:rsidRPr="00AA7A53">
              <w:rPr>
                <w:rFonts w:ascii="Times New Roman" w:hAnsi="Times New Roman" w:cs="Times New Roman"/>
                <w:sz w:val="20"/>
                <w:szCs w:val="20"/>
              </w:rPr>
              <w:t>,</w:t>
            </w:r>
            <w:r w:rsidRPr="00AA7A53">
              <w:rPr>
                <w:rFonts w:ascii="Times New Roman" w:hAnsi="Times New Roman" w:cs="Times New Roman"/>
                <w:sz w:val="20"/>
                <w:szCs w:val="20"/>
              </w:rPr>
              <w:t xml:space="preserve"> leading to the respective GHG emission reduction)</w:t>
            </w:r>
          </w:p>
          <w:p w14:paraId="333B959F" w14:textId="2CD9D501"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w:t>
            </w:r>
            <w:r w:rsidR="00D46248" w:rsidRPr="00AA7A53">
              <w:rPr>
                <w:rFonts w:ascii="Times New Roman" w:hAnsi="Times New Roman" w:cs="Times New Roman"/>
                <w:sz w:val="20"/>
                <w:szCs w:val="20"/>
              </w:rPr>
              <w:t>,</w:t>
            </w:r>
            <w:r w:rsidRPr="00AA7A53">
              <w:rPr>
                <w:rFonts w:ascii="Times New Roman" w:hAnsi="Times New Roman" w:cs="Times New Roman"/>
                <w:sz w:val="20"/>
                <w:szCs w:val="20"/>
              </w:rPr>
              <w:t xml:space="preserve"> reducing energy import dependency from third countries)</w:t>
            </w:r>
          </w:p>
          <w:p w14:paraId="0FE7D366"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 (the installation of smart meters will enable the market integration and coupling)</w:t>
            </w:r>
          </w:p>
        </w:tc>
      </w:tr>
      <w:tr w:rsidR="00614438" w:rsidRPr="00AA7A53" w14:paraId="72EC0B96" w14:textId="77777777" w:rsidTr="00614438">
        <w:trPr>
          <w:gridAfter w:val="1"/>
          <w:wAfter w:w="222" w:type="dxa"/>
          <w:trHeight w:val="458"/>
        </w:trPr>
        <w:tc>
          <w:tcPr>
            <w:tcW w:w="3316" w:type="dxa"/>
            <w:vMerge w:val="restart"/>
            <w:tcBorders>
              <w:top w:val="nil"/>
              <w:left w:val="single" w:sz="8" w:space="0" w:color="auto"/>
              <w:bottom w:val="single" w:sz="8" w:space="0" w:color="000000"/>
              <w:right w:val="single" w:sz="8" w:space="0" w:color="auto"/>
            </w:tcBorders>
            <w:shd w:val="clear" w:color="auto" w:fill="244062"/>
            <w:vAlign w:val="center"/>
            <w:hideMark/>
          </w:tcPr>
          <w:p w14:paraId="2EDDEEC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2"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31EA197"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1929C80B"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18512E31"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64855F2B"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BA0E131"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15EBF636"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3DB9841"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7D65C698"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480A948"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16EB16EF"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262D29AE" w14:textId="77777777" w:rsidTr="00614438">
        <w:trPr>
          <w:trHeight w:val="477"/>
        </w:trPr>
        <w:tc>
          <w:tcPr>
            <w:tcW w:w="3316" w:type="dxa"/>
            <w:tcBorders>
              <w:top w:val="nil"/>
              <w:left w:val="single" w:sz="8" w:space="0" w:color="auto"/>
              <w:bottom w:val="single" w:sz="8" w:space="0" w:color="auto"/>
              <w:right w:val="single" w:sz="8" w:space="0" w:color="auto"/>
            </w:tcBorders>
            <w:shd w:val="clear" w:color="auto" w:fill="244062"/>
            <w:vAlign w:val="center"/>
            <w:hideMark/>
          </w:tcPr>
          <w:p w14:paraId="2A6CCFC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2" w:type="dxa"/>
            <w:gridSpan w:val="3"/>
            <w:tcBorders>
              <w:top w:val="single" w:sz="8" w:space="0" w:color="auto"/>
              <w:left w:val="nil"/>
              <w:bottom w:val="single" w:sz="8" w:space="0" w:color="auto"/>
              <w:right w:val="single" w:sz="8" w:space="0" w:color="000000"/>
            </w:tcBorders>
            <w:vAlign w:val="center"/>
            <w:hideMark/>
          </w:tcPr>
          <w:p w14:paraId="2B6AE64C"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Energy Law </w:t>
            </w:r>
          </w:p>
        </w:tc>
        <w:tc>
          <w:tcPr>
            <w:tcW w:w="222" w:type="dxa"/>
            <w:vAlign w:val="center"/>
            <w:hideMark/>
          </w:tcPr>
          <w:p w14:paraId="3F11BA8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320B19D" w14:textId="77777777" w:rsidTr="00614438">
        <w:trPr>
          <w:trHeight w:val="315"/>
        </w:trPr>
        <w:tc>
          <w:tcPr>
            <w:tcW w:w="3316" w:type="dxa"/>
            <w:tcBorders>
              <w:top w:val="nil"/>
              <w:left w:val="single" w:sz="8" w:space="0" w:color="auto"/>
              <w:bottom w:val="single" w:sz="8" w:space="0" w:color="auto"/>
              <w:right w:val="single" w:sz="8" w:space="0" w:color="auto"/>
            </w:tcBorders>
            <w:shd w:val="clear" w:color="auto" w:fill="244062"/>
            <w:vAlign w:val="center"/>
            <w:hideMark/>
          </w:tcPr>
          <w:p w14:paraId="2DA4B5E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2" w:type="dxa"/>
            <w:gridSpan w:val="3"/>
            <w:tcBorders>
              <w:top w:val="single" w:sz="8" w:space="0" w:color="auto"/>
              <w:left w:val="nil"/>
              <w:bottom w:val="single" w:sz="8" w:space="0" w:color="auto"/>
              <w:right w:val="single" w:sz="8" w:space="0" w:color="000000"/>
            </w:tcBorders>
            <w:vAlign w:val="center"/>
            <w:hideMark/>
          </w:tcPr>
          <w:p w14:paraId="22E23F0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Budget incorporated into all end-use measures</w:t>
            </w:r>
          </w:p>
        </w:tc>
        <w:tc>
          <w:tcPr>
            <w:tcW w:w="222" w:type="dxa"/>
            <w:vAlign w:val="center"/>
            <w:hideMark/>
          </w:tcPr>
          <w:p w14:paraId="5C988B3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1C73020" w14:textId="77777777" w:rsidTr="00614438">
        <w:trPr>
          <w:trHeight w:val="315"/>
        </w:trPr>
        <w:tc>
          <w:tcPr>
            <w:tcW w:w="3316" w:type="dxa"/>
            <w:tcBorders>
              <w:top w:val="nil"/>
              <w:left w:val="single" w:sz="8" w:space="0" w:color="auto"/>
              <w:bottom w:val="single" w:sz="8" w:space="0" w:color="auto"/>
              <w:right w:val="single" w:sz="8" w:space="0" w:color="auto"/>
            </w:tcBorders>
            <w:shd w:val="clear" w:color="auto" w:fill="244062"/>
            <w:vAlign w:val="center"/>
            <w:hideMark/>
          </w:tcPr>
          <w:p w14:paraId="784AB39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2" w:type="dxa"/>
            <w:gridSpan w:val="3"/>
            <w:tcBorders>
              <w:top w:val="single" w:sz="8" w:space="0" w:color="auto"/>
              <w:left w:val="nil"/>
              <w:bottom w:val="single" w:sz="8" w:space="0" w:color="auto"/>
              <w:right w:val="single" w:sz="8" w:space="0" w:color="000000"/>
            </w:tcBorders>
            <w:vAlign w:val="center"/>
            <w:hideMark/>
          </w:tcPr>
          <w:p w14:paraId="64D7B23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41DCE197" w14:textId="77777777" w:rsidR="00614438" w:rsidRPr="00AA7A53" w:rsidRDefault="00614438" w:rsidP="00AA7A53">
            <w:pPr>
              <w:spacing w:after="0"/>
              <w:jc w:val="both"/>
              <w:rPr>
                <w:rFonts w:ascii="Times New Roman" w:hAnsi="Times New Roman" w:cs="Times New Roman"/>
                <w:sz w:val="20"/>
                <w:szCs w:val="20"/>
                <w:lang w:val="en-GB"/>
              </w:rPr>
            </w:pPr>
          </w:p>
        </w:tc>
      </w:tr>
    </w:tbl>
    <w:p w14:paraId="618E2665"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71"/>
        <w:gridCol w:w="1050"/>
        <w:gridCol w:w="935"/>
        <w:gridCol w:w="4147"/>
        <w:gridCol w:w="277"/>
      </w:tblGrid>
      <w:tr w:rsidR="00614438" w:rsidRPr="00AA7A53" w14:paraId="3DD2491B" w14:textId="77777777" w:rsidTr="00614438">
        <w:trPr>
          <w:gridAfter w:val="1"/>
          <w:wAfter w:w="277" w:type="dxa"/>
          <w:trHeight w:val="780"/>
        </w:trPr>
        <w:tc>
          <w:tcPr>
            <w:tcW w:w="3294"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563EAA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Policy measure code:</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052EBD9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PM_EE42</w:t>
            </w:r>
          </w:p>
        </w:tc>
        <w:tc>
          <w:tcPr>
            <w:tcW w:w="939" w:type="dxa"/>
            <w:tcBorders>
              <w:top w:val="single" w:sz="8" w:space="0" w:color="auto"/>
              <w:left w:val="nil"/>
              <w:bottom w:val="single" w:sz="8" w:space="0" w:color="auto"/>
              <w:right w:val="single" w:sz="8" w:space="0" w:color="auto"/>
            </w:tcBorders>
            <w:shd w:val="clear" w:color="auto" w:fill="244062"/>
            <w:vAlign w:val="center"/>
            <w:hideMark/>
          </w:tcPr>
          <w:p w14:paraId="6D2C6CB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84" w:type="dxa"/>
            <w:tcBorders>
              <w:top w:val="single" w:sz="8" w:space="0" w:color="auto"/>
              <w:left w:val="nil"/>
              <w:bottom w:val="single" w:sz="8" w:space="0" w:color="auto"/>
              <w:right w:val="single" w:sz="8" w:space="0" w:color="auto"/>
            </w:tcBorders>
            <w:shd w:val="clear" w:color="auto" w:fill="E7E6E6" w:themeFill="background2"/>
            <w:vAlign w:val="center"/>
            <w:hideMark/>
          </w:tcPr>
          <w:p w14:paraId="5C54D73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measures for improving energy efficiency in electricity infrastructure</w:t>
            </w:r>
          </w:p>
        </w:tc>
      </w:tr>
      <w:tr w:rsidR="00614438" w:rsidRPr="00AA7A53" w14:paraId="6045D297" w14:textId="77777777" w:rsidTr="00614438">
        <w:trPr>
          <w:gridAfter w:val="1"/>
          <w:wAfter w:w="277" w:type="dxa"/>
          <w:trHeight w:val="355"/>
        </w:trPr>
        <w:tc>
          <w:tcPr>
            <w:tcW w:w="3294" w:type="dxa"/>
            <w:tcBorders>
              <w:top w:val="nil"/>
              <w:left w:val="single" w:sz="8" w:space="0" w:color="auto"/>
              <w:bottom w:val="single" w:sz="8" w:space="0" w:color="auto"/>
              <w:right w:val="nil"/>
            </w:tcBorders>
            <w:shd w:val="clear" w:color="auto" w:fill="244062"/>
            <w:vAlign w:val="center"/>
            <w:hideMark/>
          </w:tcPr>
          <w:p w14:paraId="474B53A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Main objective:</w:t>
            </w:r>
          </w:p>
        </w:tc>
        <w:tc>
          <w:tcPr>
            <w:tcW w:w="6109" w:type="dxa"/>
            <w:gridSpan w:val="3"/>
            <w:tcBorders>
              <w:top w:val="single" w:sz="8" w:space="0" w:color="auto"/>
              <w:left w:val="nil"/>
              <w:bottom w:val="single" w:sz="8" w:space="0" w:color="auto"/>
              <w:right w:val="single" w:sz="8" w:space="0" w:color="000000"/>
            </w:tcBorders>
            <w:vAlign w:val="center"/>
            <w:hideMark/>
          </w:tcPr>
          <w:p w14:paraId="2FD4BBAE" w14:textId="68FDB01A"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Implementation of the following articles of the Directive (EU) 2012/27, as amended by Directive (EU) 2018/2002:</w:t>
            </w:r>
          </w:p>
          <w:p w14:paraId="0F30DAC8"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Article 3</w:t>
            </w:r>
          </w:p>
        </w:tc>
      </w:tr>
      <w:tr w:rsidR="00614438" w:rsidRPr="00AA7A53" w14:paraId="7F32E31C" w14:textId="77777777" w:rsidTr="00614438">
        <w:trPr>
          <w:gridAfter w:val="1"/>
          <w:wAfter w:w="277" w:type="dxa"/>
          <w:trHeight w:val="315"/>
        </w:trPr>
        <w:tc>
          <w:tcPr>
            <w:tcW w:w="3294" w:type="dxa"/>
            <w:tcBorders>
              <w:top w:val="nil"/>
              <w:left w:val="single" w:sz="8" w:space="0" w:color="auto"/>
              <w:bottom w:val="single" w:sz="8" w:space="0" w:color="auto"/>
              <w:right w:val="single" w:sz="8" w:space="0" w:color="auto"/>
            </w:tcBorders>
            <w:shd w:val="clear" w:color="auto" w:fill="244062"/>
            <w:vAlign w:val="center"/>
            <w:hideMark/>
          </w:tcPr>
          <w:p w14:paraId="71ACE3F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Quantified objective:</w:t>
            </w:r>
          </w:p>
        </w:tc>
        <w:tc>
          <w:tcPr>
            <w:tcW w:w="6109" w:type="dxa"/>
            <w:gridSpan w:val="3"/>
            <w:tcBorders>
              <w:top w:val="single" w:sz="8" w:space="0" w:color="auto"/>
              <w:left w:val="nil"/>
              <w:bottom w:val="single" w:sz="8" w:space="0" w:color="auto"/>
              <w:right w:val="single" w:sz="8" w:space="0" w:color="000000"/>
            </w:tcBorders>
            <w:vAlign w:val="center"/>
            <w:hideMark/>
          </w:tcPr>
          <w:p w14:paraId="10B15C69" w14:textId="6759D02D"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Reduction of the losses equal to 3.7% and 5.6% in 2030 compared to 2023 in the transmission and distribution network</w:t>
            </w:r>
            <w:r w:rsidR="00D46248"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respectively.</w:t>
            </w:r>
          </w:p>
        </w:tc>
      </w:tr>
      <w:tr w:rsidR="00614438" w:rsidRPr="00AA7A53" w14:paraId="4FA1D1B9" w14:textId="77777777" w:rsidTr="00614438">
        <w:trPr>
          <w:gridAfter w:val="1"/>
          <w:wAfter w:w="277" w:type="dxa"/>
          <w:trHeight w:val="712"/>
        </w:trPr>
        <w:tc>
          <w:tcPr>
            <w:tcW w:w="3294" w:type="dxa"/>
            <w:tcBorders>
              <w:top w:val="nil"/>
              <w:left w:val="single" w:sz="8" w:space="0" w:color="auto"/>
              <w:bottom w:val="single" w:sz="8" w:space="0" w:color="auto"/>
              <w:right w:val="single" w:sz="8" w:space="0" w:color="auto"/>
            </w:tcBorders>
            <w:shd w:val="clear" w:color="auto" w:fill="244062"/>
            <w:vAlign w:val="center"/>
            <w:hideMark/>
          </w:tcPr>
          <w:p w14:paraId="5E3FA78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09" w:type="dxa"/>
            <w:gridSpan w:val="3"/>
            <w:tcBorders>
              <w:top w:val="single" w:sz="8" w:space="0" w:color="auto"/>
              <w:left w:val="nil"/>
              <w:bottom w:val="single" w:sz="8" w:space="0" w:color="auto"/>
              <w:right w:val="single" w:sz="8" w:space="0" w:color="000000"/>
            </w:tcBorders>
            <w:vAlign w:val="center"/>
            <w:hideMark/>
          </w:tcPr>
          <w:p w14:paraId="4B09BCEE" w14:textId="66AB3AD8"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PM_EE42 will promote measures for increasing the energy efficiency of the electricity infrastructures, which will be conducted by the respective operators within the framework of their development programmes. Targeted technical measures will be initiated for reducing the losses in transmission and distribution network, load management, improving the network interoperability and facilitating the penetration of decentralised electricity generation installations. Electricity infrastructure operators will be obliged to prepare </w:t>
            </w:r>
            <w:r w:rsidR="00D46248" w:rsidRPr="00AA7A53">
              <w:rPr>
                <w:rFonts w:ascii="Times New Roman" w:hAnsi="Times New Roman" w:cs="Times New Roman"/>
                <w:sz w:val="20"/>
                <w:szCs w:val="20"/>
                <w:lang w:val="en-GB"/>
              </w:rPr>
              <w:t xml:space="preserve">annual </w:t>
            </w:r>
            <w:r w:rsidRPr="00AA7A53">
              <w:rPr>
                <w:rFonts w:ascii="Times New Roman" w:hAnsi="Times New Roman" w:cs="Times New Roman"/>
                <w:sz w:val="20"/>
                <w:szCs w:val="20"/>
                <w:lang w:val="en-GB"/>
              </w:rPr>
              <w:t xml:space="preserve">reports </w:t>
            </w:r>
            <w:r w:rsidR="00D46248" w:rsidRPr="00AA7A53">
              <w:rPr>
                <w:rFonts w:ascii="Times New Roman" w:hAnsi="Times New Roman" w:cs="Times New Roman"/>
                <w:sz w:val="20"/>
                <w:szCs w:val="20"/>
                <w:lang w:val="en-GB"/>
              </w:rPr>
              <w:t>which will contain detailed description of</w:t>
            </w:r>
            <w:r w:rsidRPr="00AA7A53">
              <w:rPr>
                <w:rFonts w:ascii="Times New Roman" w:hAnsi="Times New Roman" w:cs="Times New Roman"/>
                <w:sz w:val="20"/>
                <w:szCs w:val="20"/>
                <w:lang w:val="en-GB"/>
              </w:rPr>
              <w:t xml:space="preserve"> the performed actions, while the required measures and investments will be specified for the materialization of the most cost-effective energy efficiency interventions in the network infrastructure</w:t>
            </w:r>
            <w:r w:rsidR="00D46248"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including a timetable for their implementation. Moreover, incentives will be given to electricity transmission and distribution network operators in order to have a higher return on the invested capital</w:t>
            </w:r>
            <w:r w:rsidR="00D46248"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if they attain specific energy efficiency targets. Obviously, in the case that the energy efficiency targets will not be achieved</w:t>
            </w:r>
            <w:r w:rsidR="00D46248"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a reduction to the return on the invested capital must be </w:t>
            </w:r>
            <w:r w:rsidR="003F179A" w:rsidRPr="00AA7A53">
              <w:rPr>
                <w:rFonts w:ascii="Times New Roman" w:hAnsi="Times New Roman" w:cs="Times New Roman"/>
                <w:sz w:val="20"/>
                <w:szCs w:val="20"/>
                <w:lang w:val="en-GB"/>
              </w:rPr>
              <w:t>taken into account</w:t>
            </w:r>
            <w:r w:rsidRPr="00AA7A53">
              <w:rPr>
                <w:rFonts w:ascii="Times New Roman" w:hAnsi="Times New Roman" w:cs="Times New Roman"/>
                <w:sz w:val="20"/>
                <w:szCs w:val="20"/>
                <w:lang w:val="en-GB"/>
              </w:rPr>
              <w:t xml:space="preserve">. Moreover, the </w:t>
            </w:r>
            <w:r w:rsidR="003F179A" w:rsidRPr="00AA7A53">
              <w:rPr>
                <w:rFonts w:ascii="Times New Roman" w:hAnsi="Times New Roman" w:cs="Times New Roman"/>
                <w:sz w:val="20"/>
                <w:szCs w:val="20"/>
                <w:lang w:val="en-GB"/>
              </w:rPr>
              <w:t>“E</w:t>
            </w:r>
            <w:r w:rsidRPr="00AA7A53">
              <w:rPr>
                <w:rFonts w:ascii="Times New Roman" w:hAnsi="Times New Roman" w:cs="Times New Roman"/>
                <w:sz w:val="20"/>
                <w:szCs w:val="20"/>
                <w:lang w:val="en-GB"/>
              </w:rPr>
              <w:t xml:space="preserve">nergy </w:t>
            </w:r>
            <w:r w:rsidR="003F179A" w:rsidRPr="00AA7A53">
              <w:rPr>
                <w:rFonts w:ascii="Times New Roman" w:hAnsi="Times New Roman" w:cs="Times New Roman"/>
                <w:sz w:val="20"/>
                <w:szCs w:val="20"/>
                <w:lang w:val="en-GB"/>
              </w:rPr>
              <w:t>E</w:t>
            </w:r>
            <w:r w:rsidRPr="00AA7A53">
              <w:rPr>
                <w:rFonts w:ascii="Times New Roman" w:hAnsi="Times New Roman" w:cs="Times New Roman"/>
                <w:sz w:val="20"/>
                <w:szCs w:val="20"/>
                <w:lang w:val="en-GB"/>
              </w:rPr>
              <w:t xml:space="preserve">fficiency </w:t>
            </w:r>
            <w:r w:rsidR="003F179A" w:rsidRPr="00AA7A53">
              <w:rPr>
                <w:rFonts w:ascii="Times New Roman" w:hAnsi="Times New Roman" w:cs="Times New Roman"/>
                <w:sz w:val="20"/>
                <w:szCs w:val="20"/>
                <w:lang w:val="en-GB"/>
              </w:rPr>
              <w:t>F</w:t>
            </w:r>
            <w:r w:rsidRPr="00AA7A53">
              <w:rPr>
                <w:rFonts w:ascii="Times New Roman" w:hAnsi="Times New Roman" w:cs="Times New Roman"/>
                <w:sz w:val="20"/>
                <w:szCs w:val="20"/>
                <w:lang w:val="en-GB"/>
              </w:rPr>
              <w:t>irst</w:t>
            </w:r>
            <w:r w:rsidR="003F179A"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principle will be used for </w:t>
            </w:r>
            <w:r w:rsidR="003F179A" w:rsidRPr="00AA7A53">
              <w:rPr>
                <w:rFonts w:ascii="Times New Roman" w:hAnsi="Times New Roman" w:cs="Times New Roman"/>
                <w:sz w:val="20"/>
                <w:szCs w:val="20"/>
                <w:lang w:val="en-GB"/>
              </w:rPr>
              <w:t>m</w:t>
            </w:r>
            <w:r w:rsidRPr="00AA7A53">
              <w:rPr>
                <w:rFonts w:ascii="Times New Roman" w:hAnsi="Times New Roman" w:cs="Times New Roman"/>
                <w:sz w:val="20"/>
                <w:szCs w:val="20"/>
                <w:lang w:val="en-GB"/>
              </w:rPr>
              <w:t>aking the most effective decision in regards to the design and operation of the energy transmission and distribution networks</w:t>
            </w:r>
            <w:r w:rsidR="003F179A" w:rsidRPr="00AA7A53">
              <w:rPr>
                <w:rFonts w:ascii="Times New Roman" w:hAnsi="Times New Roman" w:cs="Times New Roman"/>
                <w:sz w:val="20"/>
                <w:szCs w:val="20"/>
                <w:lang w:val="en-GB"/>
              </w:rPr>
              <w:t>, thus significantly</w:t>
            </w:r>
            <w:r w:rsidRPr="00AA7A53">
              <w:rPr>
                <w:rFonts w:ascii="Times New Roman" w:hAnsi="Times New Roman" w:cs="Times New Roman"/>
                <w:sz w:val="20"/>
                <w:szCs w:val="20"/>
                <w:lang w:val="en-GB"/>
              </w:rPr>
              <w:t xml:space="preserve"> contributing to the fulfilment of the established energy efficiency targets.</w:t>
            </w:r>
          </w:p>
        </w:tc>
      </w:tr>
      <w:tr w:rsidR="00614438" w:rsidRPr="00AA7A53" w14:paraId="593368F5" w14:textId="77777777" w:rsidTr="00614438">
        <w:trPr>
          <w:gridAfter w:val="1"/>
          <w:wAfter w:w="277" w:type="dxa"/>
          <w:trHeight w:val="315"/>
        </w:trPr>
        <w:tc>
          <w:tcPr>
            <w:tcW w:w="3294" w:type="dxa"/>
            <w:tcBorders>
              <w:top w:val="nil"/>
              <w:left w:val="single" w:sz="8" w:space="0" w:color="auto"/>
              <w:bottom w:val="single" w:sz="8" w:space="0" w:color="auto"/>
              <w:right w:val="single" w:sz="8" w:space="0" w:color="auto"/>
            </w:tcBorders>
            <w:shd w:val="clear" w:color="auto" w:fill="244062"/>
            <w:vAlign w:val="center"/>
            <w:hideMark/>
          </w:tcPr>
          <w:p w14:paraId="0DF7893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09" w:type="dxa"/>
            <w:gridSpan w:val="3"/>
            <w:tcBorders>
              <w:top w:val="single" w:sz="8" w:space="0" w:color="auto"/>
              <w:left w:val="nil"/>
              <w:bottom w:val="single" w:sz="8" w:space="0" w:color="auto"/>
              <w:right w:val="single" w:sz="8" w:space="0" w:color="000000"/>
            </w:tcBorders>
            <w:vAlign w:val="center"/>
            <w:hideMark/>
          </w:tcPr>
          <w:p w14:paraId="6C56CE4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10B09C98" w14:textId="77777777" w:rsidTr="00614438">
        <w:trPr>
          <w:gridAfter w:val="1"/>
          <w:wAfter w:w="277" w:type="dxa"/>
          <w:trHeight w:val="315"/>
        </w:trPr>
        <w:tc>
          <w:tcPr>
            <w:tcW w:w="3294" w:type="dxa"/>
            <w:tcBorders>
              <w:top w:val="nil"/>
              <w:left w:val="single" w:sz="8" w:space="0" w:color="auto"/>
              <w:bottom w:val="single" w:sz="8" w:space="0" w:color="auto"/>
              <w:right w:val="single" w:sz="8" w:space="0" w:color="auto"/>
            </w:tcBorders>
            <w:shd w:val="clear" w:color="auto" w:fill="244062"/>
            <w:vAlign w:val="center"/>
            <w:hideMark/>
          </w:tcPr>
          <w:p w14:paraId="244E54A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09" w:type="dxa"/>
            <w:gridSpan w:val="3"/>
            <w:tcBorders>
              <w:top w:val="single" w:sz="8" w:space="0" w:color="auto"/>
              <w:left w:val="nil"/>
              <w:bottom w:val="single" w:sz="8" w:space="0" w:color="auto"/>
              <w:right w:val="single" w:sz="8" w:space="0" w:color="000000"/>
            </w:tcBorders>
            <w:vAlign w:val="center"/>
            <w:hideMark/>
          </w:tcPr>
          <w:p w14:paraId="6C122F6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55DA9C1A" w14:textId="77777777" w:rsidTr="00614438">
        <w:trPr>
          <w:gridAfter w:val="1"/>
          <w:wAfter w:w="277" w:type="dxa"/>
          <w:trHeight w:val="315"/>
        </w:trPr>
        <w:tc>
          <w:tcPr>
            <w:tcW w:w="3294" w:type="dxa"/>
            <w:tcBorders>
              <w:top w:val="nil"/>
              <w:left w:val="single" w:sz="8" w:space="0" w:color="auto"/>
              <w:bottom w:val="single" w:sz="8" w:space="0" w:color="auto"/>
              <w:right w:val="single" w:sz="8" w:space="0" w:color="auto"/>
            </w:tcBorders>
            <w:shd w:val="clear" w:color="auto" w:fill="244062"/>
            <w:vAlign w:val="center"/>
            <w:hideMark/>
          </w:tcPr>
          <w:p w14:paraId="62742C8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09" w:type="dxa"/>
            <w:gridSpan w:val="3"/>
            <w:tcBorders>
              <w:top w:val="single" w:sz="8" w:space="0" w:color="auto"/>
              <w:left w:val="nil"/>
              <w:bottom w:val="single" w:sz="8" w:space="0" w:color="auto"/>
              <w:right w:val="single" w:sz="8" w:space="0" w:color="000000"/>
            </w:tcBorders>
            <w:vAlign w:val="center"/>
            <w:hideMark/>
          </w:tcPr>
          <w:p w14:paraId="1DDD824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final energy consumption sectors</w:t>
            </w:r>
          </w:p>
        </w:tc>
      </w:tr>
      <w:tr w:rsidR="00614438" w:rsidRPr="00AA7A53" w14:paraId="1B67FBAE" w14:textId="77777777" w:rsidTr="00614438">
        <w:trPr>
          <w:gridAfter w:val="1"/>
          <w:wAfter w:w="277" w:type="dxa"/>
          <w:trHeight w:val="315"/>
        </w:trPr>
        <w:tc>
          <w:tcPr>
            <w:tcW w:w="3294" w:type="dxa"/>
            <w:tcBorders>
              <w:top w:val="nil"/>
              <w:left w:val="single" w:sz="8" w:space="0" w:color="auto"/>
              <w:bottom w:val="single" w:sz="8" w:space="0" w:color="auto"/>
              <w:right w:val="single" w:sz="8" w:space="0" w:color="auto"/>
            </w:tcBorders>
            <w:shd w:val="clear" w:color="auto" w:fill="244062"/>
            <w:vAlign w:val="center"/>
            <w:hideMark/>
          </w:tcPr>
          <w:p w14:paraId="3EA37CE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09" w:type="dxa"/>
            <w:gridSpan w:val="3"/>
            <w:tcBorders>
              <w:top w:val="single" w:sz="8" w:space="0" w:color="auto"/>
              <w:left w:val="nil"/>
              <w:bottom w:val="single" w:sz="8" w:space="0" w:color="auto"/>
              <w:right w:val="single" w:sz="8" w:space="0" w:color="000000"/>
            </w:tcBorders>
            <w:vAlign w:val="center"/>
            <w:hideMark/>
          </w:tcPr>
          <w:p w14:paraId="20FB22CD"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5D72E27F"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Agency of the Republic of Serbia</w:t>
            </w:r>
          </w:p>
        </w:tc>
      </w:tr>
      <w:tr w:rsidR="00614438" w:rsidRPr="00AA7A53" w14:paraId="75ED36BE" w14:textId="77777777" w:rsidTr="00614438">
        <w:trPr>
          <w:gridAfter w:val="1"/>
          <w:wAfter w:w="277" w:type="dxa"/>
          <w:trHeight w:val="315"/>
        </w:trPr>
        <w:tc>
          <w:tcPr>
            <w:tcW w:w="3294" w:type="dxa"/>
            <w:tcBorders>
              <w:top w:val="nil"/>
              <w:left w:val="single" w:sz="8" w:space="0" w:color="auto"/>
              <w:bottom w:val="single" w:sz="8" w:space="0" w:color="auto"/>
              <w:right w:val="nil"/>
            </w:tcBorders>
            <w:shd w:val="clear" w:color="auto" w:fill="244062"/>
            <w:vAlign w:val="center"/>
            <w:hideMark/>
          </w:tcPr>
          <w:p w14:paraId="7F2EF80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09" w:type="dxa"/>
            <w:gridSpan w:val="3"/>
            <w:tcBorders>
              <w:top w:val="single" w:sz="8" w:space="0" w:color="auto"/>
              <w:left w:val="nil"/>
              <w:bottom w:val="single" w:sz="8" w:space="0" w:color="auto"/>
              <w:right w:val="single" w:sz="8" w:space="0" w:color="000000"/>
            </w:tcBorders>
            <w:vAlign w:val="center"/>
            <w:hideMark/>
          </w:tcPr>
          <w:p w14:paraId="47ED4E9A"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0D91133F" w14:textId="77777777" w:rsidTr="00614438">
        <w:trPr>
          <w:gridAfter w:val="1"/>
          <w:wAfter w:w="277" w:type="dxa"/>
          <w:trHeight w:val="315"/>
        </w:trPr>
        <w:tc>
          <w:tcPr>
            <w:tcW w:w="3294" w:type="dxa"/>
            <w:tcBorders>
              <w:top w:val="nil"/>
              <w:left w:val="single" w:sz="8" w:space="0" w:color="auto"/>
              <w:bottom w:val="single" w:sz="8" w:space="0" w:color="auto"/>
              <w:right w:val="nil"/>
            </w:tcBorders>
            <w:shd w:val="clear" w:color="auto" w:fill="244062"/>
            <w:vAlign w:val="center"/>
            <w:hideMark/>
          </w:tcPr>
          <w:p w14:paraId="285A1E3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09" w:type="dxa"/>
            <w:gridSpan w:val="3"/>
            <w:tcBorders>
              <w:top w:val="single" w:sz="8" w:space="0" w:color="auto"/>
              <w:left w:val="nil"/>
              <w:bottom w:val="single" w:sz="8" w:space="0" w:color="auto"/>
              <w:right w:val="single" w:sz="8" w:space="0" w:color="000000"/>
            </w:tcBorders>
            <w:vAlign w:val="center"/>
            <w:hideMark/>
          </w:tcPr>
          <w:p w14:paraId="244531B8"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Modernised electricity network</w:t>
            </w:r>
          </w:p>
        </w:tc>
      </w:tr>
      <w:tr w:rsidR="00614438" w:rsidRPr="00AA7A53" w14:paraId="4F2A3B46" w14:textId="77777777" w:rsidTr="00614438">
        <w:trPr>
          <w:gridAfter w:val="1"/>
          <w:wAfter w:w="277" w:type="dxa"/>
          <w:trHeight w:val="608"/>
        </w:trPr>
        <w:tc>
          <w:tcPr>
            <w:tcW w:w="3294" w:type="dxa"/>
            <w:tcBorders>
              <w:top w:val="nil"/>
              <w:left w:val="single" w:sz="8" w:space="0" w:color="auto"/>
              <w:bottom w:val="single" w:sz="8" w:space="0" w:color="auto"/>
              <w:right w:val="single" w:sz="8" w:space="0" w:color="auto"/>
            </w:tcBorders>
            <w:shd w:val="clear" w:color="auto" w:fill="244062"/>
            <w:vAlign w:val="center"/>
            <w:hideMark/>
          </w:tcPr>
          <w:p w14:paraId="119C229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09" w:type="dxa"/>
            <w:gridSpan w:val="3"/>
            <w:tcBorders>
              <w:top w:val="single" w:sz="8" w:space="0" w:color="auto"/>
              <w:left w:val="nil"/>
              <w:bottom w:val="single" w:sz="8" w:space="0" w:color="auto"/>
              <w:right w:val="single" w:sz="8" w:space="0" w:color="000000"/>
            </w:tcBorders>
            <w:vAlign w:val="center"/>
            <w:hideMark/>
          </w:tcPr>
          <w:p w14:paraId="2DE7D85E"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 leading to the respective GHG emission reduction)</w:t>
            </w:r>
          </w:p>
          <w:p w14:paraId="32645C00"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6BBA3532" w14:textId="77777777" w:rsidTr="00614438">
        <w:trPr>
          <w:gridAfter w:val="1"/>
          <w:wAfter w:w="277" w:type="dxa"/>
          <w:trHeight w:val="458"/>
        </w:trPr>
        <w:tc>
          <w:tcPr>
            <w:tcW w:w="3294" w:type="dxa"/>
            <w:vMerge w:val="restart"/>
            <w:tcBorders>
              <w:top w:val="nil"/>
              <w:left w:val="single" w:sz="8" w:space="0" w:color="auto"/>
              <w:bottom w:val="single" w:sz="8" w:space="0" w:color="000000"/>
              <w:right w:val="single" w:sz="8" w:space="0" w:color="auto"/>
            </w:tcBorders>
            <w:shd w:val="clear" w:color="auto" w:fill="244062"/>
            <w:vAlign w:val="center"/>
            <w:hideMark/>
          </w:tcPr>
          <w:p w14:paraId="2230CD0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09"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4535CB19"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3BBD6436"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3668F109"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6197A73D"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1F7B48B" w14:textId="77777777" w:rsidR="00614438" w:rsidRPr="00AA7A53" w:rsidRDefault="00614438" w:rsidP="00AA7A53">
            <w:pPr>
              <w:spacing w:after="0"/>
              <w:jc w:val="both"/>
              <w:rPr>
                <w:rFonts w:ascii="Times New Roman" w:hAnsi="Times New Roman" w:cs="Times New Roman"/>
                <w:sz w:val="20"/>
                <w:szCs w:val="20"/>
                <w:lang w:val="en-GB"/>
              </w:rPr>
            </w:pPr>
          </w:p>
        </w:tc>
        <w:tc>
          <w:tcPr>
            <w:tcW w:w="277" w:type="dxa"/>
            <w:noWrap/>
            <w:vAlign w:val="bottom"/>
            <w:hideMark/>
          </w:tcPr>
          <w:p w14:paraId="66D5E2C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DD100E6"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72F3C7D3"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D45D687" w14:textId="77777777" w:rsidR="00614438" w:rsidRPr="00AA7A53" w:rsidRDefault="00614438" w:rsidP="00AA7A53">
            <w:pPr>
              <w:spacing w:after="0"/>
              <w:jc w:val="both"/>
              <w:rPr>
                <w:rFonts w:ascii="Times New Roman" w:hAnsi="Times New Roman" w:cs="Times New Roman"/>
                <w:sz w:val="20"/>
                <w:szCs w:val="20"/>
                <w:lang w:val="en-GB"/>
              </w:rPr>
            </w:pPr>
          </w:p>
        </w:tc>
        <w:tc>
          <w:tcPr>
            <w:tcW w:w="277" w:type="dxa"/>
            <w:noWrap/>
            <w:vAlign w:val="bottom"/>
            <w:hideMark/>
          </w:tcPr>
          <w:p w14:paraId="4B43A9AC"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5CEBBB91" w14:textId="77777777" w:rsidTr="00614438">
        <w:trPr>
          <w:trHeight w:val="780"/>
        </w:trPr>
        <w:tc>
          <w:tcPr>
            <w:tcW w:w="3294" w:type="dxa"/>
            <w:tcBorders>
              <w:top w:val="nil"/>
              <w:left w:val="single" w:sz="8" w:space="0" w:color="auto"/>
              <w:bottom w:val="single" w:sz="8" w:space="0" w:color="auto"/>
              <w:right w:val="single" w:sz="8" w:space="0" w:color="auto"/>
            </w:tcBorders>
            <w:shd w:val="clear" w:color="auto" w:fill="244062"/>
            <w:vAlign w:val="center"/>
            <w:hideMark/>
          </w:tcPr>
          <w:p w14:paraId="561C7A7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09" w:type="dxa"/>
            <w:gridSpan w:val="3"/>
            <w:tcBorders>
              <w:top w:val="single" w:sz="8" w:space="0" w:color="auto"/>
              <w:left w:val="nil"/>
              <w:bottom w:val="single" w:sz="8" w:space="0" w:color="auto"/>
              <w:right w:val="single" w:sz="8" w:space="0" w:color="000000"/>
            </w:tcBorders>
            <w:vAlign w:val="center"/>
            <w:hideMark/>
          </w:tcPr>
          <w:p w14:paraId="1D929A92" w14:textId="7BE22A90" w:rsidR="00614438" w:rsidRPr="00AA7A53" w:rsidRDefault="00614438" w:rsidP="00AA7A53">
            <w:pPr>
              <w:spacing w:after="0"/>
              <w:jc w:val="both"/>
              <w:rPr>
                <w:rFonts w:ascii="Times New Roman" w:hAnsi="Times New Roman" w:cs="Times New Roman"/>
                <w:sz w:val="20"/>
                <w:szCs w:val="20"/>
              </w:rPr>
            </w:pPr>
          </w:p>
          <w:p w14:paraId="1C409222" w14:textId="77777777" w:rsidR="00614438" w:rsidRPr="00AA7A53" w:rsidRDefault="00614438" w:rsidP="00AA7A53">
            <w:pPr>
              <w:numPr>
                <w:ilvl w:val="0"/>
                <w:numId w:val="119"/>
              </w:numPr>
              <w:spacing w:after="0"/>
              <w:jc w:val="both"/>
              <w:rPr>
                <w:rFonts w:ascii="Times New Roman" w:hAnsi="Times New Roman" w:cs="Times New Roman"/>
                <w:sz w:val="20"/>
                <w:szCs w:val="20"/>
              </w:rPr>
            </w:pPr>
            <w:r w:rsidRPr="00AA7A53">
              <w:rPr>
                <w:rFonts w:ascii="Times New Roman" w:hAnsi="Times New Roman" w:cs="Times New Roman"/>
                <w:sz w:val="20"/>
                <w:szCs w:val="20"/>
              </w:rPr>
              <w:t>Sustainable Urban Development Strategy of the Republic of Serbia until 2030</w:t>
            </w:r>
          </w:p>
        </w:tc>
        <w:tc>
          <w:tcPr>
            <w:tcW w:w="277" w:type="dxa"/>
            <w:vAlign w:val="center"/>
            <w:hideMark/>
          </w:tcPr>
          <w:p w14:paraId="7432D39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38FC313" w14:textId="77777777" w:rsidTr="00614438">
        <w:trPr>
          <w:trHeight w:val="315"/>
        </w:trPr>
        <w:tc>
          <w:tcPr>
            <w:tcW w:w="3294" w:type="dxa"/>
            <w:tcBorders>
              <w:top w:val="nil"/>
              <w:left w:val="single" w:sz="8" w:space="0" w:color="auto"/>
              <w:bottom w:val="single" w:sz="8" w:space="0" w:color="auto"/>
              <w:right w:val="single" w:sz="8" w:space="0" w:color="auto"/>
            </w:tcBorders>
            <w:shd w:val="clear" w:color="auto" w:fill="244062"/>
            <w:vAlign w:val="center"/>
            <w:hideMark/>
          </w:tcPr>
          <w:p w14:paraId="5A878B9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09" w:type="dxa"/>
            <w:gridSpan w:val="3"/>
            <w:tcBorders>
              <w:top w:val="single" w:sz="8" w:space="0" w:color="auto"/>
              <w:left w:val="nil"/>
              <w:bottom w:val="single" w:sz="8" w:space="0" w:color="auto"/>
              <w:right w:val="single" w:sz="8" w:space="0" w:color="000000"/>
            </w:tcBorders>
            <w:vAlign w:val="center"/>
            <w:hideMark/>
          </w:tcPr>
          <w:p w14:paraId="1D03A2A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Under examination</w:t>
            </w:r>
          </w:p>
        </w:tc>
        <w:tc>
          <w:tcPr>
            <w:tcW w:w="277" w:type="dxa"/>
            <w:vAlign w:val="center"/>
            <w:hideMark/>
          </w:tcPr>
          <w:p w14:paraId="2F83EFB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789F0B1" w14:textId="77777777" w:rsidTr="00614438">
        <w:trPr>
          <w:trHeight w:val="315"/>
        </w:trPr>
        <w:tc>
          <w:tcPr>
            <w:tcW w:w="3294" w:type="dxa"/>
            <w:tcBorders>
              <w:top w:val="nil"/>
              <w:left w:val="single" w:sz="8" w:space="0" w:color="auto"/>
              <w:bottom w:val="single" w:sz="8" w:space="0" w:color="auto"/>
              <w:right w:val="single" w:sz="8" w:space="0" w:color="auto"/>
            </w:tcBorders>
            <w:shd w:val="clear" w:color="auto" w:fill="244062"/>
            <w:vAlign w:val="center"/>
            <w:hideMark/>
          </w:tcPr>
          <w:p w14:paraId="6D3BA55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09" w:type="dxa"/>
            <w:gridSpan w:val="3"/>
            <w:tcBorders>
              <w:top w:val="single" w:sz="8" w:space="0" w:color="auto"/>
              <w:left w:val="nil"/>
              <w:bottom w:val="single" w:sz="8" w:space="0" w:color="auto"/>
              <w:right w:val="single" w:sz="8" w:space="0" w:color="000000"/>
            </w:tcBorders>
            <w:vAlign w:val="center"/>
            <w:hideMark/>
          </w:tcPr>
          <w:p w14:paraId="2441E02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Under examination</w:t>
            </w:r>
          </w:p>
        </w:tc>
        <w:tc>
          <w:tcPr>
            <w:tcW w:w="277" w:type="dxa"/>
            <w:vAlign w:val="center"/>
            <w:hideMark/>
          </w:tcPr>
          <w:p w14:paraId="0E4210C4" w14:textId="77777777" w:rsidR="00614438" w:rsidRPr="00AA7A53" w:rsidRDefault="00614438" w:rsidP="00AA7A53">
            <w:pPr>
              <w:spacing w:after="0"/>
              <w:jc w:val="both"/>
              <w:rPr>
                <w:rFonts w:ascii="Times New Roman" w:hAnsi="Times New Roman" w:cs="Times New Roman"/>
                <w:sz w:val="20"/>
                <w:szCs w:val="20"/>
                <w:lang w:val="en-GB"/>
              </w:rPr>
            </w:pPr>
          </w:p>
        </w:tc>
      </w:tr>
    </w:tbl>
    <w:p w14:paraId="21E386B3"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43"/>
        <w:gridCol w:w="1188"/>
        <w:gridCol w:w="930"/>
        <w:gridCol w:w="4097"/>
        <w:gridCol w:w="222"/>
      </w:tblGrid>
      <w:tr w:rsidR="00614438" w:rsidRPr="00AA7A53" w14:paraId="550BA7DD" w14:textId="77777777" w:rsidTr="00614438">
        <w:trPr>
          <w:gridAfter w:val="1"/>
          <w:wAfter w:w="222" w:type="dxa"/>
          <w:trHeight w:val="780"/>
        </w:trPr>
        <w:tc>
          <w:tcPr>
            <w:tcW w:w="3243"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0B3570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188" w:type="dxa"/>
            <w:tcBorders>
              <w:top w:val="single" w:sz="8" w:space="0" w:color="auto"/>
              <w:left w:val="nil"/>
              <w:bottom w:val="single" w:sz="8" w:space="0" w:color="auto"/>
              <w:right w:val="single" w:sz="8" w:space="0" w:color="auto"/>
            </w:tcBorders>
            <w:shd w:val="clear" w:color="auto" w:fill="E7E6E6" w:themeFill="background2"/>
            <w:vAlign w:val="center"/>
            <w:hideMark/>
          </w:tcPr>
          <w:p w14:paraId="6B1F2EE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PM_EE43</w:t>
            </w:r>
          </w:p>
        </w:tc>
        <w:tc>
          <w:tcPr>
            <w:tcW w:w="930" w:type="dxa"/>
            <w:tcBorders>
              <w:top w:val="single" w:sz="8" w:space="0" w:color="auto"/>
              <w:left w:val="nil"/>
              <w:bottom w:val="single" w:sz="8" w:space="0" w:color="auto"/>
              <w:right w:val="single" w:sz="8" w:space="0" w:color="auto"/>
            </w:tcBorders>
            <w:shd w:val="clear" w:color="auto" w:fill="244062"/>
            <w:vAlign w:val="center"/>
            <w:hideMark/>
          </w:tcPr>
          <w:p w14:paraId="2657B2C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097" w:type="dxa"/>
            <w:tcBorders>
              <w:top w:val="single" w:sz="8" w:space="0" w:color="auto"/>
              <w:left w:val="nil"/>
              <w:bottom w:val="single" w:sz="8" w:space="0" w:color="auto"/>
              <w:right w:val="single" w:sz="8" w:space="0" w:color="auto"/>
            </w:tcBorders>
            <w:shd w:val="clear" w:color="auto" w:fill="E7E6E6" w:themeFill="background2"/>
            <w:vAlign w:val="center"/>
            <w:hideMark/>
          </w:tcPr>
          <w:p w14:paraId="0D7177C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measures for improving energy efficiency in natural gas infrastructure</w:t>
            </w:r>
          </w:p>
        </w:tc>
      </w:tr>
      <w:tr w:rsidR="00614438" w:rsidRPr="00AA7A53" w14:paraId="12FAF82B" w14:textId="77777777" w:rsidTr="00614438">
        <w:trPr>
          <w:gridAfter w:val="1"/>
          <w:wAfter w:w="222" w:type="dxa"/>
          <w:trHeight w:val="355"/>
        </w:trPr>
        <w:tc>
          <w:tcPr>
            <w:tcW w:w="3243" w:type="dxa"/>
            <w:tcBorders>
              <w:top w:val="nil"/>
              <w:left w:val="single" w:sz="8" w:space="0" w:color="auto"/>
              <w:bottom w:val="single" w:sz="8" w:space="0" w:color="auto"/>
              <w:right w:val="nil"/>
            </w:tcBorders>
            <w:shd w:val="clear" w:color="auto" w:fill="244062"/>
            <w:vAlign w:val="center"/>
            <w:hideMark/>
          </w:tcPr>
          <w:p w14:paraId="3B339C1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15" w:type="dxa"/>
            <w:gridSpan w:val="3"/>
            <w:tcBorders>
              <w:top w:val="single" w:sz="8" w:space="0" w:color="auto"/>
              <w:left w:val="nil"/>
              <w:bottom w:val="single" w:sz="8" w:space="0" w:color="auto"/>
              <w:right w:val="single" w:sz="8" w:space="0" w:color="000000"/>
            </w:tcBorders>
            <w:vAlign w:val="center"/>
            <w:hideMark/>
          </w:tcPr>
          <w:p w14:paraId="47D35F47" w14:textId="5D6742BE" w:rsidR="00614438" w:rsidRPr="00AA7A53" w:rsidRDefault="00614438" w:rsidP="00AA7A53">
            <w:pPr>
              <w:spacing w:after="0"/>
              <w:jc w:val="both"/>
              <w:rPr>
                <w:rFonts w:ascii="Times New Roman" w:hAnsi="Times New Roman" w:cs="Times New Roman"/>
                <w:sz w:val="20"/>
                <w:szCs w:val="20"/>
              </w:rPr>
            </w:pPr>
            <w:r w:rsidRPr="00AA7A53">
              <w:rPr>
                <w:rFonts w:ascii="Times New Roman" w:hAnsi="Times New Roman" w:cs="Times New Roman"/>
                <w:sz w:val="20"/>
                <w:szCs w:val="20"/>
                <w:lang w:val="en-GB"/>
              </w:rPr>
              <w:t>Implementation of articles of the Directive (EU) 2012/27/EU, as amended by Directive (EU) 2018/2002</w:t>
            </w:r>
            <w:r w:rsidR="003F179A" w:rsidRPr="00AA7A53">
              <w:rPr>
                <w:rFonts w:ascii="Times New Roman" w:hAnsi="Times New Roman" w:cs="Times New Roman"/>
                <w:sz w:val="20"/>
                <w:szCs w:val="20"/>
                <w:lang w:val="en-GB"/>
              </w:rPr>
              <w:t xml:space="preserve">, namely, </w:t>
            </w:r>
            <w:r w:rsidRPr="00AA7A53">
              <w:rPr>
                <w:rFonts w:ascii="Times New Roman" w:hAnsi="Times New Roman" w:cs="Times New Roman"/>
                <w:sz w:val="20"/>
                <w:szCs w:val="20"/>
              </w:rPr>
              <w:t>Article 3</w:t>
            </w:r>
          </w:p>
        </w:tc>
      </w:tr>
      <w:tr w:rsidR="00614438" w:rsidRPr="00AA7A53" w14:paraId="766967D9" w14:textId="77777777" w:rsidTr="00614438">
        <w:trPr>
          <w:gridAfter w:val="1"/>
          <w:wAfter w:w="222" w:type="dxa"/>
          <w:trHeight w:val="315"/>
        </w:trPr>
        <w:tc>
          <w:tcPr>
            <w:tcW w:w="3243" w:type="dxa"/>
            <w:tcBorders>
              <w:top w:val="nil"/>
              <w:left w:val="single" w:sz="8" w:space="0" w:color="auto"/>
              <w:bottom w:val="single" w:sz="8" w:space="0" w:color="auto"/>
              <w:right w:val="single" w:sz="8" w:space="0" w:color="auto"/>
            </w:tcBorders>
            <w:shd w:val="clear" w:color="auto" w:fill="244062"/>
            <w:vAlign w:val="center"/>
            <w:hideMark/>
          </w:tcPr>
          <w:p w14:paraId="410F472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15" w:type="dxa"/>
            <w:gridSpan w:val="3"/>
            <w:tcBorders>
              <w:top w:val="single" w:sz="8" w:space="0" w:color="auto"/>
              <w:left w:val="nil"/>
              <w:bottom w:val="single" w:sz="8" w:space="0" w:color="auto"/>
              <w:right w:val="single" w:sz="8" w:space="0" w:color="000000"/>
            </w:tcBorders>
            <w:vAlign w:val="center"/>
            <w:hideMark/>
          </w:tcPr>
          <w:p w14:paraId="0228E86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Reduced losses</w:t>
            </w:r>
          </w:p>
        </w:tc>
      </w:tr>
      <w:tr w:rsidR="00614438" w:rsidRPr="00AA7A53" w14:paraId="12503EC8" w14:textId="77777777" w:rsidTr="00614438">
        <w:trPr>
          <w:gridAfter w:val="1"/>
          <w:wAfter w:w="222" w:type="dxa"/>
          <w:trHeight w:val="868"/>
        </w:trPr>
        <w:tc>
          <w:tcPr>
            <w:tcW w:w="3243" w:type="dxa"/>
            <w:tcBorders>
              <w:top w:val="nil"/>
              <w:left w:val="single" w:sz="8" w:space="0" w:color="auto"/>
              <w:bottom w:val="single" w:sz="8" w:space="0" w:color="auto"/>
              <w:right w:val="single" w:sz="8" w:space="0" w:color="auto"/>
            </w:tcBorders>
            <w:shd w:val="clear" w:color="auto" w:fill="244062"/>
            <w:vAlign w:val="center"/>
            <w:hideMark/>
          </w:tcPr>
          <w:p w14:paraId="44C1F04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Description:</w:t>
            </w:r>
          </w:p>
        </w:tc>
        <w:tc>
          <w:tcPr>
            <w:tcW w:w="6215" w:type="dxa"/>
            <w:gridSpan w:val="3"/>
            <w:tcBorders>
              <w:top w:val="single" w:sz="8" w:space="0" w:color="auto"/>
              <w:left w:val="nil"/>
              <w:bottom w:val="single" w:sz="8" w:space="0" w:color="auto"/>
              <w:right w:val="single" w:sz="8" w:space="0" w:color="000000"/>
            </w:tcBorders>
            <w:vAlign w:val="center"/>
            <w:hideMark/>
          </w:tcPr>
          <w:p w14:paraId="5F2B11A1" w14:textId="70D43EC5"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PM_EE43 will promote measures for increasing the energy efficiency of the gas infrastructures, which will be conducted by the respective operators within the framework of their development programmes. Targeted technical measures will be initiated for reducing the losses in transmission and distribution network and for improving the load management. Gas infrastructure operators will be obliged to prepare </w:t>
            </w:r>
            <w:r w:rsidR="003F179A" w:rsidRPr="00AA7A53">
              <w:rPr>
                <w:rFonts w:ascii="Times New Roman" w:hAnsi="Times New Roman" w:cs="Times New Roman"/>
                <w:sz w:val="20"/>
                <w:szCs w:val="20"/>
                <w:lang w:val="en-GB"/>
              </w:rPr>
              <w:t xml:space="preserve">annual </w:t>
            </w:r>
            <w:r w:rsidRPr="00AA7A53">
              <w:rPr>
                <w:rFonts w:ascii="Times New Roman" w:hAnsi="Times New Roman" w:cs="Times New Roman"/>
                <w:sz w:val="20"/>
                <w:szCs w:val="20"/>
                <w:lang w:val="en-GB"/>
              </w:rPr>
              <w:t xml:space="preserve">reports </w:t>
            </w:r>
            <w:r w:rsidR="003F179A" w:rsidRPr="00AA7A53">
              <w:rPr>
                <w:rFonts w:ascii="Times New Roman" w:hAnsi="Times New Roman" w:cs="Times New Roman"/>
                <w:sz w:val="20"/>
                <w:szCs w:val="20"/>
                <w:lang w:val="en-GB"/>
              </w:rPr>
              <w:t>which will contain a detailed description of</w:t>
            </w:r>
            <w:r w:rsidRPr="00AA7A53">
              <w:rPr>
                <w:rFonts w:ascii="Times New Roman" w:hAnsi="Times New Roman" w:cs="Times New Roman"/>
                <w:sz w:val="20"/>
                <w:szCs w:val="20"/>
                <w:lang w:val="en-GB"/>
              </w:rPr>
              <w:t xml:space="preserve"> the performed actions, while the required measures and investments will be specified for the </w:t>
            </w:r>
            <w:r w:rsidR="003F179A" w:rsidRPr="00AA7A53">
              <w:rPr>
                <w:rFonts w:ascii="Times New Roman" w:hAnsi="Times New Roman" w:cs="Times New Roman"/>
                <w:sz w:val="20"/>
                <w:szCs w:val="20"/>
                <w:lang w:val="en-GB"/>
              </w:rPr>
              <w:t>realization</w:t>
            </w:r>
            <w:r w:rsidRPr="00AA7A53">
              <w:rPr>
                <w:rFonts w:ascii="Times New Roman" w:hAnsi="Times New Roman" w:cs="Times New Roman"/>
                <w:sz w:val="20"/>
                <w:szCs w:val="20"/>
                <w:lang w:val="en-GB"/>
              </w:rPr>
              <w:t xml:space="preserve"> of the most cost-effective energy efficiency interventions in the network infrastructure</w:t>
            </w:r>
            <w:r w:rsidR="003F179A"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including a timetable for their implementation. Moreover, incentives will be given on natural gas transmission and distribution network operators</w:t>
            </w:r>
            <w:r w:rsidR="003F179A"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in order to have a higher return on the invested capital</w:t>
            </w:r>
            <w:r w:rsidR="003F179A"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if they attain specific energy efficiency targets. Obviously, in the case that the energy efficiency targets will not be achieved</w:t>
            </w:r>
            <w:r w:rsidR="003956E3"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a reduction to the return on the invested capital must be foreseen. Moreover, the </w:t>
            </w:r>
            <w:r w:rsidR="003956E3" w:rsidRPr="00AA7A53">
              <w:rPr>
                <w:rFonts w:ascii="Times New Roman" w:hAnsi="Times New Roman" w:cs="Times New Roman"/>
                <w:sz w:val="20"/>
                <w:szCs w:val="20"/>
                <w:lang w:val="en-GB"/>
              </w:rPr>
              <w:t>“E</w:t>
            </w:r>
            <w:r w:rsidRPr="00AA7A53">
              <w:rPr>
                <w:rFonts w:ascii="Times New Roman" w:hAnsi="Times New Roman" w:cs="Times New Roman"/>
                <w:sz w:val="20"/>
                <w:szCs w:val="20"/>
                <w:lang w:val="en-GB"/>
              </w:rPr>
              <w:t xml:space="preserve">nergy </w:t>
            </w:r>
            <w:r w:rsidR="003956E3" w:rsidRPr="00AA7A53">
              <w:rPr>
                <w:rFonts w:ascii="Times New Roman" w:hAnsi="Times New Roman" w:cs="Times New Roman"/>
                <w:sz w:val="20"/>
                <w:szCs w:val="20"/>
                <w:lang w:val="en-GB"/>
              </w:rPr>
              <w:t>E</w:t>
            </w:r>
            <w:r w:rsidRPr="00AA7A53">
              <w:rPr>
                <w:rFonts w:ascii="Times New Roman" w:hAnsi="Times New Roman" w:cs="Times New Roman"/>
                <w:sz w:val="20"/>
                <w:szCs w:val="20"/>
                <w:lang w:val="en-GB"/>
              </w:rPr>
              <w:t xml:space="preserve">fficiency </w:t>
            </w:r>
            <w:r w:rsidR="003956E3" w:rsidRPr="00AA7A53">
              <w:rPr>
                <w:rFonts w:ascii="Times New Roman" w:hAnsi="Times New Roman" w:cs="Times New Roman"/>
                <w:sz w:val="20"/>
                <w:szCs w:val="20"/>
                <w:lang w:val="en-GB"/>
              </w:rPr>
              <w:t>F</w:t>
            </w:r>
            <w:r w:rsidRPr="00AA7A53">
              <w:rPr>
                <w:rFonts w:ascii="Times New Roman" w:hAnsi="Times New Roman" w:cs="Times New Roman"/>
                <w:sz w:val="20"/>
                <w:szCs w:val="20"/>
                <w:lang w:val="en-GB"/>
              </w:rPr>
              <w:t>irst</w:t>
            </w:r>
            <w:r w:rsidR="003956E3"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principle will be used for taking the most effective decision in regards to the design and operation of the energy transmission and distribution networks</w:t>
            </w:r>
            <w:r w:rsidR="003956E3" w:rsidRPr="00AA7A53">
              <w:rPr>
                <w:rFonts w:ascii="Times New Roman" w:hAnsi="Times New Roman" w:cs="Times New Roman"/>
                <w:sz w:val="20"/>
                <w:szCs w:val="20"/>
                <w:lang w:val="en-GB"/>
              </w:rPr>
              <w:t>, that way</w:t>
            </w:r>
            <w:r w:rsidRPr="00AA7A53">
              <w:rPr>
                <w:rFonts w:ascii="Times New Roman" w:hAnsi="Times New Roman" w:cs="Times New Roman"/>
                <w:sz w:val="20"/>
                <w:szCs w:val="20"/>
                <w:lang w:val="en-GB"/>
              </w:rPr>
              <w:t xml:space="preserve"> </w:t>
            </w:r>
            <w:r w:rsidR="003956E3" w:rsidRPr="00AA7A53">
              <w:rPr>
                <w:rFonts w:ascii="Times New Roman" w:hAnsi="Times New Roman" w:cs="Times New Roman"/>
                <w:sz w:val="20"/>
                <w:szCs w:val="20"/>
                <w:lang w:val="en-GB"/>
              </w:rPr>
              <w:t xml:space="preserve">significantly </w:t>
            </w:r>
            <w:r w:rsidRPr="00AA7A53">
              <w:rPr>
                <w:rFonts w:ascii="Times New Roman" w:hAnsi="Times New Roman" w:cs="Times New Roman"/>
                <w:sz w:val="20"/>
                <w:szCs w:val="20"/>
                <w:lang w:val="en-GB"/>
              </w:rPr>
              <w:t xml:space="preserve">contributing to the fulfilment of the established energy efficiency targets. Finally, the proposed measures will </w:t>
            </w:r>
            <w:r w:rsidR="003956E3" w:rsidRPr="00AA7A53">
              <w:rPr>
                <w:rFonts w:ascii="Times New Roman" w:hAnsi="Times New Roman" w:cs="Times New Roman"/>
                <w:sz w:val="20"/>
                <w:szCs w:val="20"/>
                <w:lang w:val="en-GB"/>
              </w:rPr>
              <w:t xml:space="preserve">also </w:t>
            </w:r>
            <w:r w:rsidRPr="00AA7A53">
              <w:rPr>
                <w:rFonts w:ascii="Times New Roman" w:hAnsi="Times New Roman" w:cs="Times New Roman"/>
                <w:sz w:val="20"/>
                <w:szCs w:val="20"/>
                <w:lang w:val="en-GB"/>
              </w:rPr>
              <w:t>facilitate the reduction of emissions with the greenhouse effect (methane), while new technologies for the identification of emissions will be promoted during their implementation.</w:t>
            </w:r>
          </w:p>
        </w:tc>
      </w:tr>
      <w:tr w:rsidR="00614438" w:rsidRPr="00AA7A53" w14:paraId="3301AFB5" w14:textId="77777777" w:rsidTr="00614438">
        <w:trPr>
          <w:gridAfter w:val="1"/>
          <w:wAfter w:w="222" w:type="dxa"/>
          <w:trHeight w:val="315"/>
        </w:trPr>
        <w:tc>
          <w:tcPr>
            <w:tcW w:w="3243" w:type="dxa"/>
            <w:tcBorders>
              <w:top w:val="nil"/>
              <w:left w:val="single" w:sz="8" w:space="0" w:color="auto"/>
              <w:bottom w:val="single" w:sz="8" w:space="0" w:color="auto"/>
              <w:right w:val="single" w:sz="8" w:space="0" w:color="auto"/>
            </w:tcBorders>
            <w:shd w:val="clear" w:color="auto" w:fill="244062"/>
            <w:vAlign w:val="center"/>
            <w:hideMark/>
          </w:tcPr>
          <w:p w14:paraId="2B854AB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15" w:type="dxa"/>
            <w:gridSpan w:val="3"/>
            <w:tcBorders>
              <w:top w:val="single" w:sz="8" w:space="0" w:color="auto"/>
              <w:left w:val="nil"/>
              <w:bottom w:val="single" w:sz="8" w:space="0" w:color="auto"/>
              <w:right w:val="single" w:sz="8" w:space="0" w:color="000000"/>
            </w:tcBorders>
            <w:vAlign w:val="center"/>
            <w:hideMark/>
          </w:tcPr>
          <w:p w14:paraId="338FE99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709E0FCB" w14:textId="77777777" w:rsidTr="00614438">
        <w:trPr>
          <w:gridAfter w:val="1"/>
          <w:wAfter w:w="222" w:type="dxa"/>
          <w:trHeight w:val="315"/>
        </w:trPr>
        <w:tc>
          <w:tcPr>
            <w:tcW w:w="3243" w:type="dxa"/>
            <w:tcBorders>
              <w:top w:val="nil"/>
              <w:left w:val="single" w:sz="8" w:space="0" w:color="auto"/>
              <w:bottom w:val="single" w:sz="8" w:space="0" w:color="auto"/>
              <w:right w:val="single" w:sz="8" w:space="0" w:color="auto"/>
            </w:tcBorders>
            <w:shd w:val="clear" w:color="auto" w:fill="244062"/>
            <w:vAlign w:val="center"/>
            <w:hideMark/>
          </w:tcPr>
          <w:p w14:paraId="62BE88C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15" w:type="dxa"/>
            <w:gridSpan w:val="3"/>
            <w:tcBorders>
              <w:top w:val="single" w:sz="8" w:space="0" w:color="auto"/>
              <w:left w:val="nil"/>
              <w:bottom w:val="single" w:sz="8" w:space="0" w:color="auto"/>
              <w:right w:val="single" w:sz="8" w:space="0" w:color="000000"/>
            </w:tcBorders>
            <w:vAlign w:val="center"/>
            <w:hideMark/>
          </w:tcPr>
          <w:p w14:paraId="4291DB7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71F74970" w14:textId="77777777" w:rsidTr="00614438">
        <w:trPr>
          <w:gridAfter w:val="1"/>
          <w:wAfter w:w="222" w:type="dxa"/>
          <w:trHeight w:val="315"/>
        </w:trPr>
        <w:tc>
          <w:tcPr>
            <w:tcW w:w="3243" w:type="dxa"/>
            <w:tcBorders>
              <w:top w:val="nil"/>
              <w:left w:val="single" w:sz="8" w:space="0" w:color="auto"/>
              <w:bottom w:val="single" w:sz="8" w:space="0" w:color="auto"/>
              <w:right w:val="single" w:sz="8" w:space="0" w:color="auto"/>
            </w:tcBorders>
            <w:shd w:val="clear" w:color="auto" w:fill="244062"/>
            <w:vAlign w:val="center"/>
            <w:hideMark/>
          </w:tcPr>
          <w:p w14:paraId="7AD0C03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15" w:type="dxa"/>
            <w:gridSpan w:val="3"/>
            <w:tcBorders>
              <w:top w:val="single" w:sz="8" w:space="0" w:color="auto"/>
              <w:left w:val="nil"/>
              <w:bottom w:val="single" w:sz="8" w:space="0" w:color="auto"/>
              <w:right w:val="single" w:sz="8" w:space="0" w:color="000000"/>
            </w:tcBorders>
            <w:vAlign w:val="center"/>
            <w:hideMark/>
          </w:tcPr>
          <w:p w14:paraId="356B570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final energy consumption sectors</w:t>
            </w:r>
          </w:p>
        </w:tc>
      </w:tr>
      <w:tr w:rsidR="00614438" w:rsidRPr="00AA7A53" w14:paraId="076898EE" w14:textId="77777777" w:rsidTr="00614438">
        <w:trPr>
          <w:gridAfter w:val="1"/>
          <w:wAfter w:w="222" w:type="dxa"/>
          <w:trHeight w:val="315"/>
        </w:trPr>
        <w:tc>
          <w:tcPr>
            <w:tcW w:w="3243" w:type="dxa"/>
            <w:tcBorders>
              <w:top w:val="nil"/>
              <w:left w:val="single" w:sz="8" w:space="0" w:color="auto"/>
              <w:bottom w:val="single" w:sz="8" w:space="0" w:color="auto"/>
              <w:right w:val="single" w:sz="8" w:space="0" w:color="auto"/>
            </w:tcBorders>
            <w:shd w:val="clear" w:color="auto" w:fill="244062"/>
            <w:vAlign w:val="center"/>
            <w:hideMark/>
          </w:tcPr>
          <w:p w14:paraId="36C944F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15" w:type="dxa"/>
            <w:gridSpan w:val="3"/>
            <w:tcBorders>
              <w:top w:val="single" w:sz="8" w:space="0" w:color="auto"/>
              <w:left w:val="nil"/>
              <w:bottom w:val="single" w:sz="8" w:space="0" w:color="auto"/>
              <w:right w:val="single" w:sz="8" w:space="0" w:color="000000"/>
            </w:tcBorders>
            <w:vAlign w:val="center"/>
            <w:hideMark/>
          </w:tcPr>
          <w:p w14:paraId="6267E4E3" w14:textId="77777777" w:rsidR="00614438" w:rsidRPr="00AA7A53" w:rsidRDefault="00614438" w:rsidP="00AA7A53">
            <w:pPr>
              <w:numPr>
                <w:ilvl w:val="0"/>
                <w:numId w:val="121"/>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46C4CFE7" w14:textId="77777777" w:rsidR="00614438" w:rsidRPr="00AA7A53" w:rsidRDefault="00614438" w:rsidP="00AA7A53">
            <w:pPr>
              <w:numPr>
                <w:ilvl w:val="0"/>
                <w:numId w:val="121"/>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Agency of the Republic of Serbia</w:t>
            </w:r>
          </w:p>
        </w:tc>
      </w:tr>
      <w:tr w:rsidR="00614438" w:rsidRPr="00AA7A53" w14:paraId="05939122" w14:textId="77777777" w:rsidTr="00614438">
        <w:trPr>
          <w:gridAfter w:val="1"/>
          <w:wAfter w:w="222" w:type="dxa"/>
          <w:trHeight w:val="315"/>
        </w:trPr>
        <w:tc>
          <w:tcPr>
            <w:tcW w:w="3243" w:type="dxa"/>
            <w:tcBorders>
              <w:top w:val="nil"/>
              <w:left w:val="single" w:sz="8" w:space="0" w:color="auto"/>
              <w:bottom w:val="single" w:sz="8" w:space="0" w:color="auto"/>
              <w:right w:val="nil"/>
            </w:tcBorders>
            <w:shd w:val="clear" w:color="auto" w:fill="244062"/>
            <w:vAlign w:val="center"/>
            <w:hideMark/>
          </w:tcPr>
          <w:p w14:paraId="52BF84E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15" w:type="dxa"/>
            <w:gridSpan w:val="3"/>
            <w:tcBorders>
              <w:top w:val="single" w:sz="8" w:space="0" w:color="auto"/>
              <w:left w:val="nil"/>
              <w:bottom w:val="single" w:sz="8" w:space="0" w:color="auto"/>
              <w:right w:val="single" w:sz="8" w:space="0" w:color="000000"/>
            </w:tcBorders>
            <w:vAlign w:val="center"/>
            <w:hideMark/>
          </w:tcPr>
          <w:p w14:paraId="185B6738" w14:textId="77777777" w:rsidR="00614438" w:rsidRPr="00AA7A53" w:rsidRDefault="00614438" w:rsidP="00AA7A53">
            <w:pPr>
              <w:numPr>
                <w:ilvl w:val="0"/>
                <w:numId w:val="121"/>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5148B06E" w14:textId="77777777" w:rsidTr="00614438">
        <w:trPr>
          <w:gridAfter w:val="1"/>
          <w:wAfter w:w="222" w:type="dxa"/>
          <w:trHeight w:val="315"/>
        </w:trPr>
        <w:tc>
          <w:tcPr>
            <w:tcW w:w="3243" w:type="dxa"/>
            <w:tcBorders>
              <w:top w:val="nil"/>
              <w:left w:val="single" w:sz="8" w:space="0" w:color="auto"/>
              <w:bottom w:val="single" w:sz="8" w:space="0" w:color="auto"/>
              <w:right w:val="nil"/>
            </w:tcBorders>
            <w:shd w:val="clear" w:color="auto" w:fill="244062"/>
            <w:vAlign w:val="center"/>
            <w:hideMark/>
          </w:tcPr>
          <w:p w14:paraId="09338B4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15" w:type="dxa"/>
            <w:gridSpan w:val="3"/>
            <w:tcBorders>
              <w:top w:val="single" w:sz="8" w:space="0" w:color="auto"/>
              <w:left w:val="nil"/>
              <w:bottom w:val="single" w:sz="8" w:space="0" w:color="auto"/>
              <w:right w:val="single" w:sz="8" w:space="0" w:color="000000"/>
            </w:tcBorders>
            <w:vAlign w:val="center"/>
            <w:hideMark/>
          </w:tcPr>
          <w:p w14:paraId="19724EE0" w14:textId="77777777" w:rsidR="00614438" w:rsidRPr="00AA7A53" w:rsidRDefault="00614438" w:rsidP="00AA7A53">
            <w:pPr>
              <w:numPr>
                <w:ilvl w:val="0"/>
                <w:numId w:val="121"/>
              </w:numPr>
              <w:spacing w:after="0"/>
              <w:jc w:val="both"/>
              <w:rPr>
                <w:rFonts w:ascii="Times New Roman" w:hAnsi="Times New Roman" w:cs="Times New Roman"/>
                <w:sz w:val="20"/>
                <w:szCs w:val="20"/>
              </w:rPr>
            </w:pPr>
            <w:r w:rsidRPr="00AA7A53">
              <w:rPr>
                <w:rFonts w:ascii="Times New Roman" w:hAnsi="Times New Roman" w:cs="Times New Roman"/>
                <w:sz w:val="20"/>
                <w:szCs w:val="20"/>
              </w:rPr>
              <w:t>Modernised natural gas network</w:t>
            </w:r>
          </w:p>
        </w:tc>
      </w:tr>
      <w:tr w:rsidR="00614438" w:rsidRPr="00AA7A53" w14:paraId="601D9AD0" w14:textId="77777777" w:rsidTr="00614438">
        <w:trPr>
          <w:gridAfter w:val="1"/>
          <w:wAfter w:w="222" w:type="dxa"/>
          <w:trHeight w:val="273"/>
        </w:trPr>
        <w:tc>
          <w:tcPr>
            <w:tcW w:w="3243" w:type="dxa"/>
            <w:tcBorders>
              <w:top w:val="nil"/>
              <w:left w:val="single" w:sz="8" w:space="0" w:color="auto"/>
              <w:bottom w:val="single" w:sz="8" w:space="0" w:color="auto"/>
              <w:right w:val="single" w:sz="8" w:space="0" w:color="auto"/>
            </w:tcBorders>
            <w:shd w:val="clear" w:color="auto" w:fill="244062"/>
            <w:vAlign w:val="center"/>
            <w:hideMark/>
          </w:tcPr>
          <w:p w14:paraId="6CA5499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15" w:type="dxa"/>
            <w:gridSpan w:val="3"/>
            <w:tcBorders>
              <w:top w:val="single" w:sz="8" w:space="0" w:color="auto"/>
              <w:left w:val="nil"/>
              <w:bottom w:val="single" w:sz="8" w:space="0" w:color="auto"/>
              <w:right w:val="single" w:sz="8" w:space="0" w:color="000000"/>
            </w:tcBorders>
            <w:vAlign w:val="center"/>
            <w:hideMark/>
          </w:tcPr>
          <w:p w14:paraId="1C06348D" w14:textId="1979033B" w:rsidR="00614438" w:rsidRPr="00AA7A53" w:rsidRDefault="00614438" w:rsidP="00AA7A53">
            <w:pPr>
              <w:numPr>
                <w:ilvl w:val="0"/>
                <w:numId w:val="121"/>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w:t>
            </w:r>
            <w:r w:rsidR="003956E3" w:rsidRPr="00AA7A53">
              <w:rPr>
                <w:rFonts w:ascii="Times New Roman" w:hAnsi="Times New Roman" w:cs="Times New Roman"/>
                <w:sz w:val="20"/>
                <w:szCs w:val="20"/>
              </w:rPr>
              <w:t>,</w:t>
            </w:r>
            <w:r w:rsidRPr="00AA7A53">
              <w:rPr>
                <w:rFonts w:ascii="Times New Roman" w:hAnsi="Times New Roman" w:cs="Times New Roman"/>
                <w:sz w:val="20"/>
                <w:szCs w:val="20"/>
              </w:rPr>
              <w:t xml:space="preserve"> leading to the respective GHG emission reduction)</w:t>
            </w:r>
          </w:p>
          <w:p w14:paraId="351ACC55" w14:textId="527DA50E" w:rsidR="00614438" w:rsidRPr="00AA7A53" w:rsidRDefault="00614438" w:rsidP="00AA7A53">
            <w:pPr>
              <w:numPr>
                <w:ilvl w:val="0"/>
                <w:numId w:val="121"/>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w:t>
            </w:r>
            <w:r w:rsidR="003956E3" w:rsidRPr="00AA7A53">
              <w:rPr>
                <w:rFonts w:ascii="Times New Roman" w:hAnsi="Times New Roman" w:cs="Times New Roman"/>
                <w:sz w:val="20"/>
                <w:szCs w:val="20"/>
              </w:rPr>
              <w:t>,</w:t>
            </w:r>
            <w:r w:rsidRPr="00AA7A53">
              <w:rPr>
                <w:rFonts w:ascii="Times New Roman" w:hAnsi="Times New Roman" w:cs="Times New Roman"/>
                <w:sz w:val="20"/>
                <w:szCs w:val="20"/>
              </w:rPr>
              <w:t xml:space="preserve"> reducing energy import dependency from third countries)</w:t>
            </w:r>
          </w:p>
        </w:tc>
      </w:tr>
      <w:tr w:rsidR="00614438" w:rsidRPr="00AA7A53" w14:paraId="3C149FF3" w14:textId="77777777" w:rsidTr="00614438">
        <w:trPr>
          <w:gridAfter w:val="1"/>
          <w:wAfter w:w="222" w:type="dxa"/>
          <w:trHeight w:val="458"/>
        </w:trPr>
        <w:tc>
          <w:tcPr>
            <w:tcW w:w="3243" w:type="dxa"/>
            <w:vMerge w:val="restart"/>
            <w:tcBorders>
              <w:top w:val="nil"/>
              <w:left w:val="single" w:sz="8" w:space="0" w:color="auto"/>
              <w:bottom w:val="single" w:sz="8" w:space="0" w:color="000000"/>
              <w:right w:val="single" w:sz="8" w:space="0" w:color="auto"/>
            </w:tcBorders>
            <w:shd w:val="clear" w:color="auto" w:fill="244062"/>
            <w:vAlign w:val="center"/>
            <w:hideMark/>
          </w:tcPr>
          <w:p w14:paraId="6AC917C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15"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FA1C439" w14:textId="77777777" w:rsidR="00614438" w:rsidRPr="00AA7A53" w:rsidRDefault="00614438" w:rsidP="00AA7A53">
            <w:pPr>
              <w:numPr>
                <w:ilvl w:val="0"/>
                <w:numId w:val="121"/>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3BF188A9" w14:textId="77777777" w:rsidR="00614438" w:rsidRPr="00AA7A53" w:rsidRDefault="00614438" w:rsidP="00AA7A53">
            <w:pPr>
              <w:numPr>
                <w:ilvl w:val="0"/>
                <w:numId w:val="121"/>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0E859674"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7E48FDF9"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1442B59"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3F3FD2C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6A79C3F"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35E98D2C"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BD9B131"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496F8755"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4F8DD1B3" w14:textId="77777777" w:rsidTr="00614438">
        <w:trPr>
          <w:trHeight w:val="780"/>
        </w:trPr>
        <w:tc>
          <w:tcPr>
            <w:tcW w:w="3243" w:type="dxa"/>
            <w:tcBorders>
              <w:top w:val="nil"/>
              <w:left w:val="single" w:sz="8" w:space="0" w:color="auto"/>
              <w:bottom w:val="single" w:sz="8" w:space="0" w:color="auto"/>
              <w:right w:val="single" w:sz="8" w:space="0" w:color="auto"/>
            </w:tcBorders>
            <w:shd w:val="clear" w:color="auto" w:fill="244062"/>
            <w:vAlign w:val="center"/>
            <w:hideMark/>
          </w:tcPr>
          <w:p w14:paraId="77220AF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15" w:type="dxa"/>
            <w:gridSpan w:val="3"/>
            <w:tcBorders>
              <w:top w:val="single" w:sz="8" w:space="0" w:color="auto"/>
              <w:left w:val="nil"/>
              <w:bottom w:val="single" w:sz="8" w:space="0" w:color="auto"/>
              <w:right w:val="single" w:sz="8" w:space="0" w:color="000000"/>
            </w:tcBorders>
            <w:vAlign w:val="center"/>
            <w:hideMark/>
          </w:tcPr>
          <w:p w14:paraId="77B04564" w14:textId="77777777" w:rsidR="00614438" w:rsidRPr="00AA7A53" w:rsidRDefault="00614438" w:rsidP="00AA7A53">
            <w:pPr>
              <w:numPr>
                <w:ilvl w:val="0"/>
                <w:numId w:val="121"/>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 Efficiency and Rational Use of Energy</w:t>
            </w:r>
          </w:p>
          <w:p w14:paraId="4062F40E" w14:textId="77777777" w:rsidR="00614438" w:rsidRPr="00AA7A53" w:rsidRDefault="00614438" w:rsidP="00AA7A53">
            <w:pPr>
              <w:numPr>
                <w:ilvl w:val="0"/>
                <w:numId w:val="121"/>
              </w:numPr>
              <w:spacing w:after="0"/>
              <w:jc w:val="both"/>
              <w:rPr>
                <w:rFonts w:ascii="Times New Roman" w:hAnsi="Times New Roman" w:cs="Times New Roman"/>
                <w:sz w:val="20"/>
                <w:szCs w:val="20"/>
              </w:rPr>
            </w:pPr>
            <w:r w:rsidRPr="00AA7A53">
              <w:rPr>
                <w:rFonts w:ascii="Times New Roman" w:hAnsi="Times New Roman" w:cs="Times New Roman"/>
                <w:sz w:val="20"/>
                <w:szCs w:val="20"/>
              </w:rPr>
              <w:t>Sustainable Urban Development Strategy of the Republic of Serbia until 2030</w:t>
            </w:r>
          </w:p>
        </w:tc>
        <w:tc>
          <w:tcPr>
            <w:tcW w:w="222" w:type="dxa"/>
            <w:vAlign w:val="center"/>
            <w:hideMark/>
          </w:tcPr>
          <w:p w14:paraId="2F39982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8FCE8FF" w14:textId="77777777" w:rsidTr="00614438">
        <w:trPr>
          <w:trHeight w:val="315"/>
        </w:trPr>
        <w:tc>
          <w:tcPr>
            <w:tcW w:w="3243" w:type="dxa"/>
            <w:tcBorders>
              <w:top w:val="nil"/>
              <w:left w:val="single" w:sz="8" w:space="0" w:color="auto"/>
              <w:bottom w:val="single" w:sz="8" w:space="0" w:color="auto"/>
              <w:right w:val="single" w:sz="8" w:space="0" w:color="auto"/>
            </w:tcBorders>
            <w:shd w:val="clear" w:color="auto" w:fill="244062"/>
            <w:vAlign w:val="center"/>
            <w:hideMark/>
          </w:tcPr>
          <w:p w14:paraId="0EB2A43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15" w:type="dxa"/>
            <w:gridSpan w:val="3"/>
            <w:tcBorders>
              <w:top w:val="single" w:sz="8" w:space="0" w:color="auto"/>
              <w:left w:val="nil"/>
              <w:bottom w:val="single" w:sz="8" w:space="0" w:color="auto"/>
              <w:right w:val="single" w:sz="8" w:space="0" w:color="000000"/>
            </w:tcBorders>
            <w:vAlign w:val="center"/>
            <w:hideMark/>
          </w:tcPr>
          <w:p w14:paraId="7652597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Under examination</w:t>
            </w:r>
          </w:p>
        </w:tc>
        <w:tc>
          <w:tcPr>
            <w:tcW w:w="222" w:type="dxa"/>
            <w:vAlign w:val="center"/>
            <w:hideMark/>
          </w:tcPr>
          <w:p w14:paraId="503F5717"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6265D60" w14:textId="77777777" w:rsidTr="00614438">
        <w:trPr>
          <w:trHeight w:val="315"/>
        </w:trPr>
        <w:tc>
          <w:tcPr>
            <w:tcW w:w="3243" w:type="dxa"/>
            <w:tcBorders>
              <w:top w:val="nil"/>
              <w:left w:val="single" w:sz="8" w:space="0" w:color="auto"/>
              <w:bottom w:val="single" w:sz="8" w:space="0" w:color="auto"/>
              <w:right w:val="single" w:sz="8" w:space="0" w:color="auto"/>
            </w:tcBorders>
            <w:shd w:val="clear" w:color="auto" w:fill="244062"/>
            <w:vAlign w:val="center"/>
            <w:hideMark/>
          </w:tcPr>
          <w:p w14:paraId="098337B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15" w:type="dxa"/>
            <w:gridSpan w:val="3"/>
            <w:tcBorders>
              <w:top w:val="single" w:sz="8" w:space="0" w:color="auto"/>
              <w:left w:val="nil"/>
              <w:bottom w:val="single" w:sz="8" w:space="0" w:color="auto"/>
              <w:right w:val="single" w:sz="8" w:space="0" w:color="000000"/>
            </w:tcBorders>
            <w:vAlign w:val="center"/>
            <w:hideMark/>
          </w:tcPr>
          <w:p w14:paraId="09FDEA8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Under examination</w:t>
            </w:r>
          </w:p>
        </w:tc>
        <w:tc>
          <w:tcPr>
            <w:tcW w:w="222" w:type="dxa"/>
            <w:vAlign w:val="center"/>
            <w:hideMark/>
          </w:tcPr>
          <w:p w14:paraId="6D1A5471" w14:textId="77777777" w:rsidR="00614438" w:rsidRPr="00AA7A53" w:rsidRDefault="00614438" w:rsidP="00AA7A53">
            <w:pPr>
              <w:spacing w:after="0"/>
              <w:jc w:val="both"/>
              <w:rPr>
                <w:rFonts w:ascii="Times New Roman" w:hAnsi="Times New Roman" w:cs="Times New Roman"/>
                <w:sz w:val="20"/>
                <w:szCs w:val="20"/>
                <w:lang w:val="en-GB"/>
              </w:rPr>
            </w:pPr>
          </w:p>
        </w:tc>
      </w:tr>
    </w:tbl>
    <w:p w14:paraId="28D8FC20"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96"/>
        <w:gridCol w:w="1050"/>
        <w:gridCol w:w="940"/>
        <w:gridCol w:w="4172"/>
        <w:gridCol w:w="222"/>
      </w:tblGrid>
      <w:tr w:rsidR="00614438" w:rsidRPr="00AA7A53" w14:paraId="34B92F66" w14:textId="77777777" w:rsidTr="00614438">
        <w:trPr>
          <w:gridAfter w:val="1"/>
          <w:wAfter w:w="222" w:type="dxa"/>
          <w:trHeight w:val="780"/>
        </w:trPr>
        <w:tc>
          <w:tcPr>
            <w:tcW w:w="331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74D1FB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54C6328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PM_EE44</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528E363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1" w:type="dxa"/>
            <w:tcBorders>
              <w:top w:val="single" w:sz="8" w:space="0" w:color="auto"/>
              <w:left w:val="nil"/>
              <w:bottom w:val="single" w:sz="8" w:space="0" w:color="auto"/>
              <w:right w:val="single" w:sz="8" w:space="0" w:color="auto"/>
            </w:tcBorders>
            <w:shd w:val="clear" w:color="auto" w:fill="E7E6E6" w:themeFill="background2"/>
            <w:vAlign w:val="center"/>
            <w:hideMark/>
          </w:tcPr>
          <w:p w14:paraId="34C2EAD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demand response and dynamic pricing and tariffs</w:t>
            </w:r>
          </w:p>
        </w:tc>
      </w:tr>
      <w:tr w:rsidR="00614438" w:rsidRPr="00AA7A53" w14:paraId="54B18A2E" w14:textId="77777777" w:rsidTr="00614438">
        <w:trPr>
          <w:gridAfter w:val="1"/>
          <w:wAfter w:w="222" w:type="dxa"/>
          <w:trHeight w:val="355"/>
        </w:trPr>
        <w:tc>
          <w:tcPr>
            <w:tcW w:w="3317" w:type="dxa"/>
            <w:tcBorders>
              <w:top w:val="nil"/>
              <w:left w:val="single" w:sz="8" w:space="0" w:color="auto"/>
              <w:bottom w:val="single" w:sz="8" w:space="0" w:color="auto"/>
              <w:right w:val="nil"/>
            </w:tcBorders>
            <w:shd w:val="clear" w:color="auto" w:fill="244062"/>
            <w:vAlign w:val="center"/>
            <w:hideMark/>
          </w:tcPr>
          <w:p w14:paraId="3F5C335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41" w:type="dxa"/>
            <w:gridSpan w:val="3"/>
            <w:tcBorders>
              <w:top w:val="single" w:sz="8" w:space="0" w:color="auto"/>
              <w:left w:val="nil"/>
              <w:bottom w:val="single" w:sz="8" w:space="0" w:color="auto"/>
              <w:right w:val="single" w:sz="8" w:space="0" w:color="000000"/>
            </w:tcBorders>
            <w:vAlign w:val="center"/>
            <w:hideMark/>
          </w:tcPr>
          <w:p w14:paraId="3285DE65" w14:textId="2060443F" w:rsidR="00614438" w:rsidRPr="00AA7A53" w:rsidRDefault="00614438" w:rsidP="00AA7A53">
            <w:pPr>
              <w:spacing w:after="0"/>
              <w:jc w:val="both"/>
              <w:rPr>
                <w:rFonts w:ascii="Times New Roman" w:hAnsi="Times New Roman" w:cs="Times New Roman"/>
                <w:sz w:val="20"/>
                <w:szCs w:val="20"/>
              </w:rPr>
            </w:pPr>
            <w:r w:rsidRPr="00AA7A53">
              <w:rPr>
                <w:rFonts w:ascii="Times New Roman" w:hAnsi="Times New Roman" w:cs="Times New Roman"/>
                <w:sz w:val="20"/>
                <w:szCs w:val="20"/>
                <w:lang w:val="en-GB"/>
              </w:rPr>
              <w:t>Implementation of articles of the Directive (EU) 2012/27, as amended by Directive (EU) 2018/2002</w:t>
            </w:r>
            <w:r w:rsidR="00A130A7" w:rsidRPr="00AA7A53">
              <w:rPr>
                <w:rFonts w:ascii="Times New Roman" w:hAnsi="Times New Roman" w:cs="Times New Roman"/>
                <w:sz w:val="20"/>
                <w:szCs w:val="20"/>
                <w:lang w:val="en-GB"/>
              </w:rPr>
              <w:t xml:space="preserve">, namely, </w:t>
            </w:r>
            <w:r w:rsidRPr="00AA7A53">
              <w:rPr>
                <w:rFonts w:ascii="Times New Roman" w:hAnsi="Times New Roman" w:cs="Times New Roman"/>
                <w:sz w:val="20"/>
                <w:szCs w:val="20"/>
              </w:rPr>
              <w:t>Article 3</w:t>
            </w:r>
          </w:p>
        </w:tc>
      </w:tr>
      <w:tr w:rsidR="00614438" w:rsidRPr="00AA7A53" w14:paraId="6AD5D65B"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3A0ED71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41" w:type="dxa"/>
            <w:gridSpan w:val="3"/>
            <w:tcBorders>
              <w:top w:val="single" w:sz="8" w:space="0" w:color="auto"/>
              <w:left w:val="nil"/>
              <w:bottom w:val="single" w:sz="8" w:space="0" w:color="auto"/>
              <w:right w:val="single" w:sz="8" w:space="0" w:color="000000"/>
            </w:tcBorders>
            <w:vAlign w:val="center"/>
            <w:hideMark/>
          </w:tcPr>
          <w:p w14:paraId="665F233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fulfilling the expected final energy consumption levels</w:t>
            </w:r>
          </w:p>
        </w:tc>
      </w:tr>
      <w:tr w:rsidR="00614438" w:rsidRPr="00AA7A53" w14:paraId="54903512" w14:textId="77777777" w:rsidTr="00614438">
        <w:trPr>
          <w:gridAfter w:val="1"/>
          <w:wAfter w:w="222" w:type="dxa"/>
          <w:trHeight w:val="129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288D4CC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Description:</w:t>
            </w:r>
          </w:p>
        </w:tc>
        <w:tc>
          <w:tcPr>
            <w:tcW w:w="6141" w:type="dxa"/>
            <w:gridSpan w:val="3"/>
            <w:tcBorders>
              <w:top w:val="single" w:sz="8" w:space="0" w:color="auto"/>
              <w:left w:val="nil"/>
              <w:bottom w:val="single" w:sz="8" w:space="0" w:color="auto"/>
              <w:right w:val="single" w:sz="8" w:space="0" w:color="000000"/>
            </w:tcBorders>
            <w:vAlign w:val="center"/>
            <w:hideMark/>
          </w:tcPr>
          <w:p w14:paraId="4FC85C78" w14:textId="0FE78C8A"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PM_EE44 will adopt the legislative framework for the provision of demand response services and the establishment of dynamic pricing and tariffs in compliance with the provisions of the EED leading to effective electricity balancing and peak load management</w:t>
            </w:r>
            <w:r w:rsidR="0032558F" w:rsidRPr="00AA7A53">
              <w:rPr>
                <w:rFonts w:ascii="Times New Roman" w:hAnsi="Times New Roman" w:cs="Times New Roman"/>
                <w:sz w:val="20"/>
                <w:szCs w:val="20"/>
                <w:lang w:val="en-GB"/>
              </w:rPr>
              <w:t>, in</w:t>
            </w:r>
            <w:r w:rsidRPr="00AA7A53">
              <w:rPr>
                <w:rFonts w:ascii="Times New Roman" w:hAnsi="Times New Roman" w:cs="Times New Roman"/>
                <w:sz w:val="20"/>
                <w:szCs w:val="20"/>
                <w:lang w:val="en-GB"/>
              </w:rPr>
              <w:t xml:space="preserve"> addition to the delivery of final energy savings.</w:t>
            </w:r>
          </w:p>
        </w:tc>
      </w:tr>
      <w:tr w:rsidR="00614438" w:rsidRPr="00AA7A53" w14:paraId="326A8950"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3B50C65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1" w:type="dxa"/>
            <w:gridSpan w:val="3"/>
            <w:tcBorders>
              <w:top w:val="single" w:sz="8" w:space="0" w:color="auto"/>
              <w:left w:val="nil"/>
              <w:bottom w:val="single" w:sz="8" w:space="0" w:color="auto"/>
              <w:right w:val="single" w:sz="8" w:space="0" w:color="000000"/>
            </w:tcBorders>
            <w:vAlign w:val="center"/>
            <w:hideMark/>
          </w:tcPr>
          <w:p w14:paraId="24D5A01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415EC29A"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3C22936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1" w:type="dxa"/>
            <w:gridSpan w:val="3"/>
            <w:tcBorders>
              <w:top w:val="single" w:sz="8" w:space="0" w:color="auto"/>
              <w:left w:val="nil"/>
              <w:bottom w:val="single" w:sz="8" w:space="0" w:color="auto"/>
              <w:right w:val="single" w:sz="8" w:space="0" w:color="000000"/>
            </w:tcBorders>
            <w:vAlign w:val="center"/>
            <w:hideMark/>
          </w:tcPr>
          <w:p w14:paraId="157EED3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1CC26596"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6B5C583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1" w:type="dxa"/>
            <w:gridSpan w:val="3"/>
            <w:tcBorders>
              <w:top w:val="single" w:sz="8" w:space="0" w:color="auto"/>
              <w:left w:val="nil"/>
              <w:bottom w:val="single" w:sz="8" w:space="0" w:color="auto"/>
              <w:right w:val="single" w:sz="8" w:space="0" w:color="000000"/>
            </w:tcBorders>
            <w:vAlign w:val="center"/>
            <w:hideMark/>
          </w:tcPr>
          <w:p w14:paraId="50B0769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final energy consumption sectors</w:t>
            </w:r>
          </w:p>
        </w:tc>
      </w:tr>
      <w:tr w:rsidR="00614438" w:rsidRPr="00AA7A53" w14:paraId="5FFF097C" w14:textId="77777777" w:rsidTr="00614438">
        <w:trPr>
          <w:gridAfter w:val="1"/>
          <w:wAfter w:w="222" w:type="dxa"/>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68BFE01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2404BFD4" w14:textId="77777777" w:rsidR="00614438" w:rsidRPr="00AA7A53" w:rsidRDefault="00614438" w:rsidP="00AA7A53">
            <w:pPr>
              <w:numPr>
                <w:ilvl w:val="0"/>
                <w:numId w:val="121"/>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653FE9F3" w14:textId="77777777" w:rsidR="00614438" w:rsidRPr="00AA7A53" w:rsidRDefault="00614438" w:rsidP="00AA7A53">
            <w:pPr>
              <w:numPr>
                <w:ilvl w:val="0"/>
                <w:numId w:val="121"/>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Agency of the Republic of Serbia</w:t>
            </w:r>
          </w:p>
        </w:tc>
      </w:tr>
      <w:tr w:rsidR="00614438" w:rsidRPr="00AA7A53" w14:paraId="78C890C7"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561BBDB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1" w:type="dxa"/>
            <w:gridSpan w:val="3"/>
            <w:tcBorders>
              <w:top w:val="single" w:sz="8" w:space="0" w:color="auto"/>
              <w:left w:val="nil"/>
              <w:bottom w:val="single" w:sz="8" w:space="0" w:color="auto"/>
              <w:right w:val="single" w:sz="8" w:space="0" w:color="000000"/>
            </w:tcBorders>
            <w:vAlign w:val="center"/>
            <w:hideMark/>
          </w:tcPr>
          <w:p w14:paraId="01496C33" w14:textId="77777777" w:rsidR="00614438" w:rsidRPr="00AA7A53" w:rsidRDefault="00614438" w:rsidP="00AA7A53">
            <w:pPr>
              <w:numPr>
                <w:ilvl w:val="0"/>
                <w:numId w:val="121"/>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6277FADA" w14:textId="77777777" w:rsidTr="00614438">
        <w:trPr>
          <w:gridAfter w:val="1"/>
          <w:wAfter w:w="222" w:type="dxa"/>
          <w:trHeight w:val="315"/>
        </w:trPr>
        <w:tc>
          <w:tcPr>
            <w:tcW w:w="3317" w:type="dxa"/>
            <w:tcBorders>
              <w:top w:val="nil"/>
              <w:left w:val="single" w:sz="8" w:space="0" w:color="auto"/>
              <w:bottom w:val="single" w:sz="8" w:space="0" w:color="auto"/>
              <w:right w:val="nil"/>
            </w:tcBorders>
            <w:shd w:val="clear" w:color="auto" w:fill="244062"/>
            <w:vAlign w:val="center"/>
            <w:hideMark/>
          </w:tcPr>
          <w:p w14:paraId="4167219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1" w:type="dxa"/>
            <w:gridSpan w:val="3"/>
            <w:tcBorders>
              <w:top w:val="single" w:sz="8" w:space="0" w:color="auto"/>
              <w:left w:val="nil"/>
              <w:bottom w:val="single" w:sz="8" w:space="0" w:color="auto"/>
              <w:right w:val="single" w:sz="8" w:space="0" w:color="000000"/>
            </w:tcBorders>
            <w:vAlign w:val="center"/>
            <w:hideMark/>
          </w:tcPr>
          <w:p w14:paraId="2C80C0FA" w14:textId="00ADC57F" w:rsidR="0032558F" w:rsidRPr="00AA7A53" w:rsidRDefault="0032558F" w:rsidP="00AA7A53">
            <w:pPr>
              <w:pStyle w:val="ListParagraph"/>
              <w:numPr>
                <w:ilvl w:val="0"/>
                <w:numId w:val="261"/>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Developed legislative and regulatory framework</w:t>
            </w:r>
          </w:p>
        </w:tc>
      </w:tr>
      <w:tr w:rsidR="00614438" w:rsidRPr="00AA7A53" w14:paraId="0BD9174C" w14:textId="77777777" w:rsidTr="00614438">
        <w:trPr>
          <w:gridAfter w:val="1"/>
          <w:wAfter w:w="222" w:type="dxa"/>
          <w:trHeight w:val="419"/>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2FDF7AB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1" w:type="dxa"/>
            <w:gridSpan w:val="3"/>
            <w:tcBorders>
              <w:top w:val="single" w:sz="8" w:space="0" w:color="auto"/>
              <w:left w:val="nil"/>
              <w:bottom w:val="single" w:sz="8" w:space="0" w:color="auto"/>
              <w:right w:val="single" w:sz="8" w:space="0" w:color="000000"/>
            </w:tcBorders>
            <w:vAlign w:val="center"/>
            <w:hideMark/>
          </w:tcPr>
          <w:p w14:paraId="2B730862" w14:textId="3A4935B6" w:rsidR="00614438" w:rsidRPr="00AA7A53" w:rsidRDefault="00614438" w:rsidP="00AA7A53">
            <w:pPr>
              <w:numPr>
                <w:ilvl w:val="0"/>
                <w:numId w:val="120"/>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w:t>
            </w:r>
            <w:r w:rsidR="0032558F" w:rsidRPr="00AA7A53">
              <w:rPr>
                <w:rFonts w:ascii="Times New Roman" w:hAnsi="Times New Roman" w:cs="Times New Roman"/>
                <w:sz w:val="20"/>
                <w:szCs w:val="20"/>
              </w:rPr>
              <w:t>,</w:t>
            </w:r>
            <w:r w:rsidRPr="00AA7A53">
              <w:rPr>
                <w:rFonts w:ascii="Times New Roman" w:hAnsi="Times New Roman" w:cs="Times New Roman"/>
                <w:sz w:val="20"/>
                <w:szCs w:val="20"/>
              </w:rPr>
              <w:t xml:space="preserve"> leading to the respective GHG emission reduction </w:t>
            </w:r>
            <w:r w:rsidR="0032558F" w:rsidRPr="00AA7A53">
              <w:rPr>
                <w:rFonts w:ascii="Times New Roman" w:hAnsi="Times New Roman" w:cs="Times New Roman"/>
                <w:sz w:val="20"/>
                <w:szCs w:val="20"/>
              </w:rPr>
              <w:t>and</w:t>
            </w:r>
            <w:r w:rsidRPr="00AA7A53">
              <w:rPr>
                <w:rFonts w:ascii="Times New Roman" w:hAnsi="Times New Roman" w:cs="Times New Roman"/>
                <w:sz w:val="20"/>
                <w:szCs w:val="20"/>
              </w:rPr>
              <w:t xml:space="preserve"> the utilised RES technologies will increase the RES share totally)</w:t>
            </w:r>
          </w:p>
          <w:p w14:paraId="77156BE5" w14:textId="77777777" w:rsidR="00614438" w:rsidRPr="00AA7A53" w:rsidRDefault="00614438" w:rsidP="00AA7A53">
            <w:pPr>
              <w:numPr>
                <w:ilvl w:val="0"/>
                <w:numId w:val="120"/>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 reducing energy import dependency from third countries)</w:t>
            </w:r>
          </w:p>
        </w:tc>
      </w:tr>
      <w:tr w:rsidR="00614438" w:rsidRPr="00AA7A53" w14:paraId="39C39F8B" w14:textId="77777777" w:rsidTr="00614438">
        <w:trPr>
          <w:gridAfter w:val="1"/>
          <w:wAfter w:w="222" w:type="dxa"/>
          <w:trHeight w:val="458"/>
        </w:trPr>
        <w:tc>
          <w:tcPr>
            <w:tcW w:w="3317" w:type="dxa"/>
            <w:vMerge w:val="restart"/>
            <w:tcBorders>
              <w:top w:val="nil"/>
              <w:left w:val="single" w:sz="8" w:space="0" w:color="auto"/>
              <w:bottom w:val="single" w:sz="8" w:space="0" w:color="000000"/>
              <w:right w:val="single" w:sz="8" w:space="0" w:color="auto"/>
            </w:tcBorders>
            <w:shd w:val="clear" w:color="auto" w:fill="244062"/>
            <w:vAlign w:val="center"/>
            <w:hideMark/>
          </w:tcPr>
          <w:p w14:paraId="225F6FB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424C8BCD" w14:textId="77777777" w:rsidR="00614438" w:rsidRPr="00AA7A53" w:rsidRDefault="00614438" w:rsidP="00AA7A53">
            <w:pPr>
              <w:numPr>
                <w:ilvl w:val="0"/>
                <w:numId w:val="12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0D9C21A6" w14:textId="77777777" w:rsidR="00614438" w:rsidRPr="00AA7A53" w:rsidRDefault="00614438" w:rsidP="00AA7A53">
            <w:pPr>
              <w:numPr>
                <w:ilvl w:val="0"/>
                <w:numId w:val="12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4F03B5AC"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20CC60DA"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BAC5E5D"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7EAD0773"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1366862"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5C5D5ABA"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46E8A35"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1FB8D7AA"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2E5BD759" w14:textId="77777777" w:rsidTr="00614438">
        <w:trPr>
          <w:trHeight w:val="780"/>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6F4F1FF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1" w:type="dxa"/>
            <w:gridSpan w:val="3"/>
            <w:tcBorders>
              <w:top w:val="single" w:sz="8" w:space="0" w:color="auto"/>
              <w:left w:val="nil"/>
              <w:bottom w:val="single" w:sz="8" w:space="0" w:color="auto"/>
              <w:right w:val="single" w:sz="8" w:space="0" w:color="000000"/>
            </w:tcBorders>
            <w:vAlign w:val="center"/>
            <w:hideMark/>
          </w:tcPr>
          <w:p w14:paraId="498B0314" w14:textId="77777777" w:rsidR="00614438" w:rsidRPr="00AA7A53" w:rsidRDefault="00614438" w:rsidP="00AA7A53">
            <w:pPr>
              <w:numPr>
                <w:ilvl w:val="0"/>
                <w:numId w:val="120"/>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Law</w:t>
            </w:r>
          </w:p>
          <w:p w14:paraId="7501EBE8" w14:textId="77777777" w:rsidR="00614438" w:rsidRPr="00AA7A53" w:rsidRDefault="00614438" w:rsidP="00AA7A53">
            <w:pPr>
              <w:numPr>
                <w:ilvl w:val="0"/>
                <w:numId w:val="120"/>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 Efficiency and Rational Use of Energy</w:t>
            </w:r>
          </w:p>
        </w:tc>
        <w:tc>
          <w:tcPr>
            <w:tcW w:w="222" w:type="dxa"/>
            <w:vAlign w:val="center"/>
            <w:hideMark/>
          </w:tcPr>
          <w:p w14:paraId="65C414B9"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ED810F9"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1461388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1" w:type="dxa"/>
            <w:gridSpan w:val="3"/>
            <w:tcBorders>
              <w:top w:val="single" w:sz="8" w:space="0" w:color="auto"/>
              <w:left w:val="nil"/>
              <w:bottom w:val="single" w:sz="8" w:space="0" w:color="auto"/>
              <w:right w:val="single" w:sz="8" w:space="0" w:color="000000"/>
            </w:tcBorders>
            <w:vAlign w:val="center"/>
            <w:hideMark/>
          </w:tcPr>
          <w:p w14:paraId="70C1E8D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Budget incorporated into all end-use measures</w:t>
            </w:r>
          </w:p>
        </w:tc>
        <w:tc>
          <w:tcPr>
            <w:tcW w:w="222" w:type="dxa"/>
            <w:vAlign w:val="center"/>
            <w:hideMark/>
          </w:tcPr>
          <w:p w14:paraId="5A0F0FA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BDEBA2A" w14:textId="77777777" w:rsidTr="00614438">
        <w:trPr>
          <w:trHeight w:val="315"/>
        </w:trPr>
        <w:tc>
          <w:tcPr>
            <w:tcW w:w="3317" w:type="dxa"/>
            <w:tcBorders>
              <w:top w:val="nil"/>
              <w:left w:val="single" w:sz="8" w:space="0" w:color="auto"/>
              <w:bottom w:val="single" w:sz="8" w:space="0" w:color="auto"/>
              <w:right w:val="single" w:sz="8" w:space="0" w:color="auto"/>
            </w:tcBorders>
            <w:shd w:val="clear" w:color="auto" w:fill="244062"/>
            <w:vAlign w:val="center"/>
            <w:hideMark/>
          </w:tcPr>
          <w:p w14:paraId="120FE6B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1" w:type="dxa"/>
            <w:gridSpan w:val="3"/>
            <w:tcBorders>
              <w:top w:val="single" w:sz="8" w:space="0" w:color="auto"/>
              <w:left w:val="nil"/>
              <w:bottom w:val="single" w:sz="8" w:space="0" w:color="auto"/>
              <w:right w:val="single" w:sz="8" w:space="0" w:color="000000"/>
            </w:tcBorders>
            <w:vAlign w:val="center"/>
            <w:hideMark/>
          </w:tcPr>
          <w:p w14:paraId="0713C90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222" w:type="dxa"/>
            <w:vAlign w:val="center"/>
            <w:hideMark/>
          </w:tcPr>
          <w:p w14:paraId="1D143916" w14:textId="77777777" w:rsidR="00614438" w:rsidRPr="00AA7A53" w:rsidRDefault="00614438" w:rsidP="00AA7A53">
            <w:pPr>
              <w:spacing w:after="0"/>
              <w:jc w:val="both"/>
              <w:rPr>
                <w:rFonts w:ascii="Times New Roman" w:hAnsi="Times New Roman" w:cs="Times New Roman"/>
                <w:sz w:val="20"/>
                <w:szCs w:val="20"/>
                <w:lang w:val="en-GB"/>
              </w:rPr>
            </w:pPr>
          </w:p>
        </w:tc>
      </w:tr>
    </w:tbl>
    <w:p w14:paraId="45A76372" w14:textId="77777777" w:rsidR="0032558F" w:rsidRPr="00AA7A53" w:rsidRDefault="0032558F" w:rsidP="00AA7A53">
      <w:pPr>
        <w:spacing w:after="0"/>
        <w:jc w:val="both"/>
        <w:rPr>
          <w:rFonts w:ascii="Times New Roman" w:hAnsi="Times New Roman" w:cs="Times New Roman"/>
          <w:sz w:val="20"/>
          <w:szCs w:val="20"/>
          <w:lang w:val="en-GB"/>
        </w:rPr>
      </w:pPr>
    </w:p>
    <w:p w14:paraId="1A98A770" w14:textId="55EC9E18" w:rsidR="00614438" w:rsidRPr="00614438" w:rsidRDefault="0032558F" w:rsidP="0032558F">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3.2.6 </w:t>
      </w:r>
      <w:r w:rsidR="00614438" w:rsidRPr="00614438">
        <w:rPr>
          <w:rFonts w:ascii="Times New Roman" w:hAnsi="Times New Roman" w:cs="Times New Roman"/>
          <w:sz w:val="24"/>
          <w:szCs w:val="24"/>
          <w:lang w:val="en-GB"/>
        </w:rPr>
        <w:t>Financing measures, including EU support and the use of EU funds, in th</w:t>
      </w:r>
      <w:r>
        <w:rPr>
          <w:rFonts w:ascii="Times New Roman" w:hAnsi="Times New Roman" w:cs="Times New Roman"/>
          <w:sz w:val="24"/>
          <w:szCs w:val="24"/>
          <w:lang w:val="en-GB"/>
        </w:rPr>
        <w:t>is</w:t>
      </w:r>
      <w:r w:rsidR="00614438" w:rsidRPr="00614438">
        <w:rPr>
          <w:rFonts w:ascii="Times New Roman" w:hAnsi="Times New Roman" w:cs="Times New Roman"/>
          <w:sz w:val="24"/>
          <w:szCs w:val="24"/>
          <w:lang w:val="en-GB"/>
        </w:rPr>
        <w:t xml:space="preserve"> area at national level</w:t>
      </w:r>
    </w:p>
    <w:p w14:paraId="1B3C489B" w14:textId="635DCDC3" w:rsidR="0007759D" w:rsidRDefault="00614438" w:rsidP="0007759D">
      <w:pPr>
        <w:ind w:firstLine="720"/>
        <w:jc w:val="both"/>
        <w:rPr>
          <w:rFonts w:ascii="Times New Roman" w:hAnsi="Times New Roman" w:cs="Times New Roman"/>
          <w:sz w:val="24"/>
          <w:szCs w:val="24"/>
          <w:lang w:val="en-GB"/>
        </w:rPr>
      </w:pPr>
      <w:bookmarkStart w:id="150" w:name="_Hlk118326878"/>
      <w:r w:rsidRPr="00614438">
        <w:rPr>
          <w:rFonts w:ascii="Times New Roman" w:hAnsi="Times New Roman" w:cs="Times New Roman"/>
          <w:sz w:val="24"/>
          <w:szCs w:val="24"/>
          <w:lang w:val="en-GB"/>
        </w:rPr>
        <w:t>The main challenges, which are derived by the design and implementation of the envisaged financial measures</w:t>
      </w:r>
      <w:r w:rsidR="0007759D">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will be addressed, such as the maximization of the expected leverage, the most cost-effective exploitation of the available fund, the exploitation of additional financing tools and the active mobilization of the domestic financial sector. For the purpose of the implementation of activities for financing and promotion of energy efficiency at the national level, the EE Directorate was established as a separate legal entity within the Ministry of Mining and Energy. The Directorate awards incentives in accordance with the Financing Program adopted by the Government every year at the proposal of the Ministry of Mining and Energy and the EE Directorate. Activities carried out by the Directorate are financed from the Budget, donations and loans from international financial institutions. Improvement of EE Directorate operation is essential for the effective implementation of the planned financial measures</w:t>
      </w:r>
      <w:r w:rsidR="0007759D">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with special focus on building sector.</w:t>
      </w:r>
      <w:r w:rsidR="0007759D">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In the following period, EE Directive should provide support for the implementation of innovative pilot energy efficiency projects for the promotion of sustainable green solutions</w:t>
      </w:r>
      <w:r w:rsidR="0007759D">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including the area of buildings, and above of all, it is important to work on the establishment of the new financing mechanisms. </w:t>
      </w:r>
      <w:r w:rsidR="0007759D" w:rsidRPr="0007759D">
        <w:rPr>
          <w:rFonts w:ascii="Times New Roman" w:hAnsi="Times New Roman" w:cs="Times New Roman"/>
          <w:sz w:val="24"/>
          <w:szCs w:val="24"/>
          <w:lang w:val="en-GB"/>
        </w:rPr>
        <w:t xml:space="preserve">In this sense, technical assistance will be provided to strengthen the capacity of the EE </w:t>
      </w:r>
      <w:r w:rsidR="0007759D">
        <w:rPr>
          <w:rFonts w:ascii="Times New Roman" w:hAnsi="Times New Roman" w:cs="Times New Roman"/>
          <w:sz w:val="24"/>
          <w:szCs w:val="24"/>
          <w:lang w:val="en-GB"/>
        </w:rPr>
        <w:t>Directorate,</w:t>
      </w:r>
      <w:r w:rsidR="0007759D" w:rsidRPr="0007759D">
        <w:rPr>
          <w:rFonts w:ascii="Times New Roman" w:hAnsi="Times New Roman" w:cs="Times New Roman"/>
          <w:sz w:val="24"/>
          <w:szCs w:val="24"/>
          <w:lang w:val="en-GB"/>
        </w:rPr>
        <w:t xml:space="preserve"> which will also include support for the accreditation of the EE Administration for the use of EU and other funds and consideration of the possibility of improving the legal status of the </w:t>
      </w:r>
      <w:r w:rsidR="0007759D" w:rsidRPr="00614438">
        <w:rPr>
          <w:rFonts w:ascii="Times New Roman" w:hAnsi="Times New Roman" w:cs="Times New Roman"/>
          <w:sz w:val="24"/>
          <w:szCs w:val="24"/>
          <w:lang w:val="en-GB"/>
        </w:rPr>
        <w:t xml:space="preserve">Directorate </w:t>
      </w:r>
      <w:r w:rsidR="0007759D" w:rsidRPr="0007759D">
        <w:rPr>
          <w:rFonts w:ascii="Times New Roman" w:hAnsi="Times New Roman" w:cs="Times New Roman"/>
          <w:sz w:val="24"/>
          <w:szCs w:val="24"/>
          <w:lang w:val="en-GB"/>
        </w:rPr>
        <w:t xml:space="preserve">into an independent </w:t>
      </w:r>
      <w:r w:rsidR="0007759D" w:rsidRPr="00614438">
        <w:rPr>
          <w:rFonts w:ascii="Times New Roman" w:hAnsi="Times New Roman" w:cs="Times New Roman"/>
          <w:sz w:val="24"/>
          <w:szCs w:val="24"/>
          <w:lang w:val="en-GB"/>
        </w:rPr>
        <w:t>National Energy Efficiency Fund</w:t>
      </w:r>
      <w:r w:rsidR="0007759D" w:rsidRPr="0007759D">
        <w:rPr>
          <w:rFonts w:ascii="Times New Roman" w:hAnsi="Times New Roman" w:cs="Times New Roman"/>
          <w:sz w:val="24"/>
          <w:szCs w:val="24"/>
          <w:lang w:val="en-GB"/>
        </w:rPr>
        <w:t xml:space="preserve">, which would enable the application of various financing </w:t>
      </w:r>
      <w:r w:rsidR="0007759D" w:rsidRPr="0007759D">
        <w:rPr>
          <w:rFonts w:ascii="Times New Roman" w:hAnsi="Times New Roman" w:cs="Times New Roman"/>
          <w:sz w:val="24"/>
          <w:szCs w:val="24"/>
          <w:lang w:val="en-GB"/>
        </w:rPr>
        <w:lastRenderedPageBreak/>
        <w:t>mechanisms and unification all available streams of public funding into one fund, which would achieve a significantly better level of coordination and efficiency.</w:t>
      </w:r>
      <w:r w:rsidR="0007759D">
        <w:rPr>
          <w:rFonts w:ascii="Times New Roman" w:hAnsi="Times New Roman" w:cs="Times New Roman"/>
          <w:sz w:val="24"/>
          <w:szCs w:val="24"/>
          <w:lang w:val="en-GB"/>
        </w:rPr>
        <w:t xml:space="preserve"> </w:t>
      </w:r>
    </w:p>
    <w:p w14:paraId="0E81DCB7" w14:textId="4881DA25" w:rsidR="00614438" w:rsidRPr="00AA7A53" w:rsidRDefault="00614438" w:rsidP="00AA7A53">
      <w:pPr>
        <w:spacing w:after="0"/>
        <w:ind w:firstLine="720"/>
        <w:jc w:val="both"/>
        <w:rPr>
          <w:rFonts w:ascii="Times New Roman" w:hAnsi="Times New Roman" w:cs="Times New Roman"/>
          <w:sz w:val="20"/>
          <w:szCs w:val="20"/>
          <w:lang w:val="en-GB"/>
        </w:rPr>
      </w:pPr>
      <w:r w:rsidRPr="00614438">
        <w:rPr>
          <w:rFonts w:ascii="Times New Roman" w:hAnsi="Times New Roman" w:cs="Times New Roman"/>
          <w:sz w:val="24"/>
          <w:szCs w:val="24"/>
          <w:lang w:val="en-GB"/>
        </w:rPr>
        <w:t>Finally, the bankability of the energy efficiency projects will be increased with the utilization of specialized tools and methodologies</w:t>
      </w:r>
      <w:r w:rsidR="0007759D">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so as to minimize the existing levels of risk. The mobilization of the banking sector will be encouraged, while </w:t>
      </w:r>
      <w:r w:rsidR="0007759D">
        <w:rPr>
          <w:rFonts w:ascii="Times New Roman" w:hAnsi="Times New Roman" w:cs="Times New Roman"/>
          <w:sz w:val="24"/>
          <w:szCs w:val="24"/>
          <w:lang w:val="en-GB"/>
        </w:rPr>
        <w:t>carrying out spe</w:t>
      </w:r>
      <w:r w:rsidRPr="00614438">
        <w:rPr>
          <w:rFonts w:ascii="Times New Roman" w:hAnsi="Times New Roman" w:cs="Times New Roman"/>
          <w:sz w:val="24"/>
          <w:szCs w:val="24"/>
          <w:lang w:val="en-GB"/>
        </w:rPr>
        <w:t>cialized training will enhance the current level of knowledge and skills of the employees in the banking sector.</w:t>
      </w:r>
      <w:bookmarkEnd w:id="150"/>
    </w:p>
    <w:tbl>
      <w:tblPr>
        <w:tblW w:w="9680" w:type="dxa"/>
        <w:tblLook w:val="04A0" w:firstRow="1" w:lastRow="0" w:firstColumn="1" w:lastColumn="0" w:noHBand="0" w:noVBand="1"/>
      </w:tblPr>
      <w:tblGrid>
        <w:gridCol w:w="3292"/>
        <w:gridCol w:w="1050"/>
        <w:gridCol w:w="939"/>
        <w:gridCol w:w="4177"/>
        <w:gridCol w:w="222"/>
      </w:tblGrid>
      <w:tr w:rsidR="00614438" w:rsidRPr="00AA7A53" w14:paraId="4D6C6766" w14:textId="77777777" w:rsidTr="00614438">
        <w:trPr>
          <w:gridAfter w:val="1"/>
          <w:wAfter w:w="222" w:type="dxa"/>
          <w:trHeight w:val="529"/>
        </w:trPr>
        <w:tc>
          <w:tcPr>
            <w:tcW w:w="3315"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6FD04F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53B533B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PM_EE38</w:t>
            </w:r>
          </w:p>
        </w:tc>
        <w:tc>
          <w:tcPr>
            <w:tcW w:w="943" w:type="dxa"/>
            <w:tcBorders>
              <w:top w:val="single" w:sz="8" w:space="0" w:color="auto"/>
              <w:left w:val="nil"/>
              <w:bottom w:val="single" w:sz="8" w:space="0" w:color="auto"/>
              <w:right w:val="single" w:sz="8" w:space="0" w:color="auto"/>
            </w:tcBorders>
            <w:shd w:val="clear" w:color="auto" w:fill="244062"/>
            <w:vAlign w:val="center"/>
            <w:hideMark/>
          </w:tcPr>
          <w:p w14:paraId="698D596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6EABBC8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Development of sustainable and innovative financing of energy efficiency projects</w:t>
            </w:r>
          </w:p>
        </w:tc>
      </w:tr>
      <w:tr w:rsidR="00614438" w:rsidRPr="00AA7A53" w14:paraId="754C26B6" w14:textId="77777777" w:rsidTr="00614438">
        <w:trPr>
          <w:gridAfter w:val="1"/>
          <w:wAfter w:w="222" w:type="dxa"/>
          <w:trHeight w:val="440"/>
        </w:trPr>
        <w:tc>
          <w:tcPr>
            <w:tcW w:w="3315" w:type="dxa"/>
            <w:tcBorders>
              <w:top w:val="nil"/>
              <w:left w:val="single" w:sz="8" w:space="0" w:color="auto"/>
              <w:bottom w:val="single" w:sz="8" w:space="0" w:color="auto"/>
              <w:right w:val="nil"/>
            </w:tcBorders>
            <w:shd w:val="clear" w:color="auto" w:fill="244062"/>
            <w:vAlign w:val="center"/>
            <w:hideMark/>
          </w:tcPr>
          <w:p w14:paraId="52C7A4A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43" w:type="dxa"/>
            <w:gridSpan w:val="3"/>
            <w:tcBorders>
              <w:top w:val="single" w:sz="8" w:space="0" w:color="auto"/>
              <w:left w:val="nil"/>
              <w:bottom w:val="single" w:sz="8" w:space="0" w:color="auto"/>
              <w:right w:val="single" w:sz="8" w:space="0" w:color="000000"/>
            </w:tcBorders>
            <w:vAlign w:val="center"/>
            <w:hideMark/>
          </w:tcPr>
          <w:p w14:paraId="72BDC56F" w14:textId="74943B16" w:rsidR="00614438" w:rsidRPr="00AA7A53" w:rsidRDefault="00614438" w:rsidP="00AA7A53">
            <w:pPr>
              <w:spacing w:after="0"/>
              <w:jc w:val="both"/>
              <w:rPr>
                <w:rFonts w:ascii="Times New Roman" w:hAnsi="Times New Roman" w:cs="Times New Roman"/>
                <w:sz w:val="20"/>
                <w:szCs w:val="20"/>
              </w:rPr>
            </w:pPr>
            <w:r w:rsidRPr="00AA7A53">
              <w:rPr>
                <w:rFonts w:ascii="Times New Roman" w:hAnsi="Times New Roman" w:cs="Times New Roman"/>
                <w:sz w:val="20"/>
                <w:szCs w:val="20"/>
                <w:lang w:val="en-GB"/>
              </w:rPr>
              <w:t>Implementation of</w:t>
            </w:r>
            <w:r w:rsidR="0007759D" w:rsidRPr="00AA7A53">
              <w:rPr>
                <w:rFonts w:ascii="Times New Roman" w:hAnsi="Times New Roman" w:cs="Times New Roman"/>
                <w:sz w:val="20"/>
                <w:szCs w:val="20"/>
                <w:lang w:val="en-GB"/>
              </w:rPr>
              <w:t xml:space="preserve"> </w:t>
            </w:r>
            <w:r w:rsidRPr="00AA7A53">
              <w:rPr>
                <w:rFonts w:ascii="Times New Roman" w:hAnsi="Times New Roman" w:cs="Times New Roman"/>
                <w:sz w:val="20"/>
                <w:szCs w:val="20"/>
                <w:lang w:val="en-GB"/>
              </w:rPr>
              <w:t>articles of the Directive (EU) 2012/27, as amended by Directive (EU) 2018/2002</w:t>
            </w:r>
            <w:r w:rsidR="0007759D" w:rsidRPr="00AA7A53">
              <w:rPr>
                <w:rFonts w:ascii="Times New Roman" w:hAnsi="Times New Roman" w:cs="Times New Roman"/>
                <w:sz w:val="20"/>
                <w:szCs w:val="20"/>
                <w:lang w:val="en-GB"/>
              </w:rPr>
              <w:t xml:space="preserve">, namely, </w:t>
            </w:r>
            <w:r w:rsidRPr="00AA7A53">
              <w:rPr>
                <w:rFonts w:ascii="Times New Roman" w:hAnsi="Times New Roman" w:cs="Times New Roman"/>
                <w:sz w:val="20"/>
                <w:szCs w:val="20"/>
              </w:rPr>
              <w:t>Article 3</w:t>
            </w:r>
          </w:p>
        </w:tc>
      </w:tr>
      <w:tr w:rsidR="00614438" w:rsidRPr="00AA7A53" w14:paraId="413A026F"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057609D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43" w:type="dxa"/>
            <w:gridSpan w:val="3"/>
            <w:tcBorders>
              <w:top w:val="single" w:sz="8" w:space="0" w:color="auto"/>
              <w:left w:val="nil"/>
              <w:bottom w:val="single" w:sz="8" w:space="0" w:color="auto"/>
              <w:right w:val="single" w:sz="8" w:space="0" w:color="000000"/>
            </w:tcBorders>
            <w:vAlign w:val="center"/>
            <w:hideMark/>
          </w:tcPr>
          <w:p w14:paraId="1C63F1A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fulfilling the expected final energy consumption levels</w:t>
            </w:r>
          </w:p>
        </w:tc>
      </w:tr>
      <w:tr w:rsidR="00614438" w:rsidRPr="00AA7A53" w14:paraId="33093D63" w14:textId="77777777" w:rsidTr="00614438">
        <w:trPr>
          <w:gridAfter w:val="1"/>
          <w:wAfter w:w="222" w:type="dxa"/>
          <w:trHeight w:val="584"/>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697C3EB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3" w:type="dxa"/>
            <w:gridSpan w:val="3"/>
            <w:tcBorders>
              <w:top w:val="single" w:sz="8" w:space="0" w:color="auto"/>
              <w:left w:val="nil"/>
              <w:bottom w:val="single" w:sz="8" w:space="0" w:color="auto"/>
              <w:right w:val="single" w:sz="8" w:space="0" w:color="000000"/>
            </w:tcBorders>
            <w:vAlign w:val="center"/>
            <w:hideMark/>
          </w:tcPr>
          <w:p w14:paraId="5E7E6C2F" w14:textId="3B9534F4"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PM_EE38 will address the main challenges, which are derived by the design and implementation of the envisaged financial measures</w:t>
            </w:r>
            <w:r w:rsidR="0007759D"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such as the maximization of the expected leverage, the most cost-effective exploitation of the available fund</w:t>
            </w:r>
            <w:r w:rsidR="00286F10" w:rsidRPr="00AA7A53">
              <w:rPr>
                <w:rFonts w:ascii="Times New Roman" w:hAnsi="Times New Roman" w:cs="Times New Roman"/>
                <w:sz w:val="20"/>
                <w:szCs w:val="20"/>
                <w:lang w:val="en-GB"/>
              </w:rPr>
              <w:t>s</w:t>
            </w:r>
            <w:r w:rsidRPr="00AA7A53">
              <w:rPr>
                <w:rFonts w:ascii="Times New Roman" w:hAnsi="Times New Roman" w:cs="Times New Roman"/>
                <w:sz w:val="20"/>
                <w:szCs w:val="20"/>
                <w:lang w:val="en-GB"/>
              </w:rPr>
              <w:t xml:space="preserve">, the </w:t>
            </w:r>
            <w:r w:rsidR="00286F10" w:rsidRPr="00AA7A53">
              <w:rPr>
                <w:rFonts w:ascii="Times New Roman" w:hAnsi="Times New Roman" w:cs="Times New Roman"/>
                <w:sz w:val="20"/>
                <w:szCs w:val="20"/>
                <w:lang w:val="en-GB"/>
              </w:rPr>
              <w:t xml:space="preserve">use </w:t>
            </w:r>
            <w:r w:rsidRPr="00AA7A53">
              <w:rPr>
                <w:rFonts w:ascii="Times New Roman" w:hAnsi="Times New Roman" w:cs="Times New Roman"/>
                <w:sz w:val="20"/>
                <w:szCs w:val="20"/>
                <w:lang w:val="en-GB"/>
              </w:rPr>
              <w:t xml:space="preserve">of </w:t>
            </w:r>
            <w:r w:rsidR="00286F10" w:rsidRPr="00AA7A53">
              <w:rPr>
                <w:rFonts w:ascii="Times New Roman" w:hAnsi="Times New Roman" w:cs="Times New Roman"/>
                <w:sz w:val="20"/>
                <w:szCs w:val="20"/>
                <w:lang w:val="en-GB"/>
              </w:rPr>
              <w:t xml:space="preserve">additional </w:t>
            </w:r>
            <w:r w:rsidRPr="00AA7A53">
              <w:rPr>
                <w:rFonts w:ascii="Times New Roman" w:hAnsi="Times New Roman" w:cs="Times New Roman"/>
                <w:sz w:val="20"/>
                <w:szCs w:val="20"/>
                <w:lang w:val="en-GB"/>
              </w:rPr>
              <w:t>financing tools and the active mobilization of the domestic financial sector. All the available funds will be mobilized at national and EU levels</w:t>
            </w:r>
            <w:r w:rsidR="00286F10"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including funds from other donors. The effective coordination of the available financial stream is essential for the effective implementation of the planned financial measures. The Directorate for financing and promoting energy efficiency will undertake the administration of the available funds (Budget Fund for Energy Efficiency) and implement other activities necessary for the utilization of other sources such as grants and/or loans by IFI, grants and/or loans by World Bank, EBRD, EU, etc. </w:t>
            </w:r>
            <w:r w:rsidR="00286F10" w:rsidRPr="00AA7A53">
              <w:rPr>
                <w:rFonts w:ascii="Times New Roman" w:hAnsi="Times New Roman" w:cs="Times New Roman"/>
                <w:sz w:val="20"/>
                <w:szCs w:val="20"/>
                <w:lang w:val="en-GB"/>
              </w:rPr>
              <w:t>T</w:t>
            </w:r>
            <w:r w:rsidRPr="00AA7A53">
              <w:rPr>
                <w:rFonts w:ascii="Times New Roman" w:hAnsi="Times New Roman" w:cs="Times New Roman"/>
                <w:sz w:val="20"/>
                <w:szCs w:val="20"/>
                <w:lang w:val="en-GB"/>
              </w:rPr>
              <w:t xml:space="preserve">he EE Directory </w:t>
            </w:r>
            <w:r w:rsidR="00286F10" w:rsidRPr="00AA7A53">
              <w:rPr>
                <w:rFonts w:ascii="Times New Roman" w:hAnsi="Times New Roman" w:cs="Times New Roman"/>
                <w:sz w:val="20"/>
                <w:szCs w:val="20"/>
                <w:lang w:val="en-GB"/>
              </w:rPr>
              <w:t>will be tasked</w:t>
            </w:r>
            <w:r w:rsidRPr="00AA7A53">
              <w:rPr>
                <w:rFonts w:ascii="Times New Roman" w:hAnsi="Times New Roman" w:cs="Times New Roman"/>
                <w:sz w:val="20"/>
                <w:szCs w:val="20"/>
                <w:lang w:val="en-GB"/>
              </w:rPr>
              <w:t xml:space="preserve"> to provide a wide availability of incentives for the realisation of energy efficiency measures in all segments of energy consumption</w:t>
            </w:r>
            <w:r w:rsidR="00286F10"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with focus on </w:t>
            </w:r>
            <w:r w:rsidR="00286F10" w:rsidRPr="00AA7A53">
              <w:rPr>
                <w:rFonts w:ascii="Times New Roman" w:hAnsi="Times New Roman" w:cs="Times New Roman"/>
                <w:sz w:val="20"/>
                <w:szCs w:val="20"/>
                <w:lang w:val="en-GB"/>
              </w:rPr>
              <w:t xml:space="preserve">the </w:t>
            </w:r>
            <w:r w:rsidRPr="00AA7A53">
              <w:rPr>
                <w:rFonts w:ascii="Times New Roman" w:hAnsi="Times New Roman" w:cs="Times New Roman"/>
                <w:sz w:val="20"/>
                <w:szCs w:val="20"/>
                <w:lang w:val="en-GB"/>
              </w:rPr>
              <w:t xml:space="preserve">building sector, however in the following period it innovative pilot energy efficiency project </w:t>
            </w:r>
            <w:r w:rsidR="00286F10" w:rsidRPr="00AA7A53">
              <w:rPr>
                <w:rFonts w:ascii="Times New Roman" w:hAnsi="Times New Roman" w:cs="Times New Roman"/>
                <w:sz w:val="20"/>
                <w:szCs w:val="20"/>
                <w:lang w:val="en-GB"/>
              </w:rPr>
              <w:t xml:space="preserve">should also be implemented, which </w:t>
            </w:r>
            <w:r w:rsidRPr="00AA7A53">
              <w:rPr>
                <w:rFonts w:ascii="Times New Roman" w:hAnsi="Times New Roman" w:cs="Times New Roman"/>
                <w:sz w:val="20"/>
                <w:szCs w:val="20"/>
                <w:lang w:val="en-GB"/>
              </w:rPr>
              <w:t xml:space="preserve">will be financed </w:t>
            </w:r>
            <w:r w:rsidR="00286F10" w:rsidRPr="00AA7A53">
              <w:rPr>
                <w:rFonts w:ascii="Times New Roman" w:hAnsi="Times New Roman" w:cs="Times New Roman"/>
                <w:sz w:val="20"/>
                <w:szCs w:val="20"/>
                <w:lang w:val="en-GB"/>
              </w:rPr>
              <w:t>with the aim t</w:t>
            </w:r>
            <w:r w:rsidRPr="00AA7A53">
              <w:rPr>
                <w:rFonts w:ascii="Times New Roman" w:hAnsi="Times New Roman" w:cs="Times New Roman"/>
                <w:sz w:val="20"/>
                <w:szCs w:val="20"/>
                <w:lang w:val="en-GB"/>
              </w:rPr>
              <w:t>o promot</w:t>
            </w:r>
            <w:r w:rsidR="00286F10" w:rsidRPr="00AA7A53">
              <w:rPr>
                <w:rFonts w:ascii="Times New Roman" w:hAnsi="Times New Roman" w:cs="Times New Roman"/>
                <w:sz w:val="20"/>
                <w:szCs w:val="20"/>
                <w:lang w:val="en-GB"/>
              </w:rPr>
              <w:t>e</w:t>
            </w:r>
            <w:r w:rsidRPr="00AA7A53">
              <w:rPr>
                <w:rFonts w:ascii="Times New Roman" w:hAnsi="Times New Roman" w:cs="Times New Roman"/>
                <w:sz w:val="20"/>
                <w:szCs w:val="20"/>
                <w:lang w:val="en-GB"/>
              </w:rPr>
              <w:t xml:space="preserve"> sustainable green solutions</w:t>
            </w:r>
            <w:r w:rsidR="00286F10"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including the buildings</w:t>
            </w:r>
            <w:r w:rsidR="00286F10" w:rsidRPr="00AA7A53">
              <w:rPr>
                <w:rFonts w:ascii="Times New Roman" w:hAnsi="Times New Roman" w:cs="Times New Roman"/>
                <w:sz w:val="20"/>
                <w:szCs w:val="20"/>
                <w:lang w:val="en-GB"/>
              </w:rPr>
              <w:t xml:space="preserve"> sector</w:t>
            </w:r>
            <w:r w:rsidRPr="00AA7A53">
              <w:rPr>
                <w:rFonts w:ascii="Times New Roman" w:hAnsi="Times New Roman" w:cs="Times New Roman"/>
                <w:sz w:val="20"/>
                <w:szCs w:val="20"/>
                <w:lang w:val="en-GB"/>
              </w:rPr>
              <w:t>. Moreover, the</w:t>
            </w:r>
            <w:r w:rsidR="00286F10" w:rsidRPr="00AA7A53">
              <w:rPr>
                <w:rFonts w:ascii="Times New Roman" w:hAnsi="Times New Roman" w:cs="Times New Roman"/>
                <w:sz w:val="20"/>
                <w:szCs w:val="20"/>
                <w:lang w:val="en-GB"/>
              </w:rPr>
              <w:t xml:space="preserve">re will </w:t>
            </w:r>
            <w:r w:rsidRPr="00AA7A53">
              <w:rPr>
                <w:rFonts w:ascii="Times New Roman" w:hAnsi="Times New Roman" w:cs="Times New Roman"/>
                <w:sz w:val="20"/>
                <w:szCs w:val="20"/>
                <w:lang w:val="en-GB"/>
              </w:rPr>
              <w:t>technical assistance</w:t>
            </w:r>
            <w:r w:rsidR="00286F10" w:rsidRPr="00AA7A53">
              <w:rPr>
                <w:rFonts w:ascii="Times New Roman" w:hAnsi="Times New Roman" w:cs="Times New Roman"/>
                <w:sz w:val="20"/>
                <w:szCs w:val="20"/>
                <w:lang w:val="en-GB"/>
              </w:rPr>
              <w:t xml:space="preserve"> with the aim to </w:t>
            </w:r>
            <w:r w:rsidRPr="00AA7A53">
              <w:rPr>
                <w:rFonts w:ascii="Times New Roman" w:hAnsi="Times New Roman" w:cs="Times New Roman"/>
                <w:sz w:val="20"/>
                <w:szCs w:val="20"/>
                <w:lang w:val="en-GB"/>
              </w:rPr>
              <w:t>facilitat</w:t>
            </w:r>
            <w:r w:rsidR="00286F10" w:rsidRPr="00AA7A53">
              <w:rPr>
                <w:rFonts w:ascii="Times New Roman" w:hAnsi="Times New Roman" w:cs="Times New Roman"/>
                <w:sz w:val="20"/>
                <w:szCs w:val="20"/>
                <w:lang w:val="en-GB"/>
              </w:rPr>
              <w:t>e</w:t>
            </w:r>
            <w:r w:rsidRPr="00AA7A53">
              <w:rPr>
                <w:rFonts w:ascii="Times New Roman" w:hAnsi="Times New Roman" w:cs="Times New Roman"/>
                <w:sz w:val="20"/>
                <w:szCs w:val="20"/>
                <w:lang w:val="en-GB"/>
              </w:rPr>
              <w:t xml:space="preserve"> the financing of the energy efficiency projects. Support for the capacity building of EE Directorate should </w:t>
            </w:r>
            <w:r w:rsidR="00286F10" w:rsidRPr="00AA7A53">
              <w:rPr>
                <w:rFonts w:ascii="Times New Roman" w:hAnsi="Times New Roman" w:cs="Times New Roman"/>
                <w:sz w:val="20"/>
                <w:szCs w:val="20"/>
                <w:lang w:val="en-GB"/>
              </w:rPr>
              <w:t xml:space="preserve">also </w:t>
            </w:r>
            <w:r w:rsidRPr="00AA7A53">
              <w:rPr>
                <w:rFonts w:ascii="Times New Roman" w:hAnsi="Times New Roman" w:cs="Times New Roman"/>
                <w:sz w:val="20"/>
                <w:szCs w:val="20"/>
                <w:lang w:val="en-GB"/>
              </w:rPr>
              <w:t>include the support for the accreditation of EE Directorate for the utilization of EU and other funds and consideration of possibilities for upgrade of the legal status of Directory into the independent National Energy Efficiency Fund</w:t>
            </w:r>
            <w:r w:rsidR="00286F10"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which would facilitate the implementation of various financing mechanisms and accumulation of all available public financing streams into one</w:t>
            </w:r>
            <w:r w:rsidR="00286F10"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achieving a considerably better level of coordination and effectiveness. With the aim of improving cost-effectiveness of the implemented energy efficiency projects, other mechanisms which can contribute to the financing of energy efficiency will be considered, as well as </w:t>
            </w:r>
            <w:r w:rsidR="00286F10" w:rsidRPr="00AA7A53">
              <w:rPr>
                <w:rFonts w:ascii="Times New Roman" w:hAnsi="Times New Roman" w:cs="Times New Roman"/>
                <w:sz w:val="20"/>
                <w:szCs w:val="20"/>
                <w:lang w:val="en-GB"/>
              </w:rPr>
              <w:t>a way</w:t>
            </w:r>
            <w:r w:rsidRPr="00AA7A53">
              <w:rPr>
                <w:rFonts w:ascii="Times New Roman" w:hAnsi="Times New Roman" w:cs="Times New Roman"/>
                <w:sz w:val="20"/>
                <w:szCs w:val="20"/>
                <w:lang w:val="en-GB"/>
              </w:rPr>
              <w:t xml:space="preserve"> to avoid the potential overlaps of various energy efficiency subsidies schemes. The </w:t>
            </w:r>
            <w:r w:rsidR="00286F10" w:rsidRPr="00AA7A53">
              <w:rPr>
                <w:rFonts w:ascii="Times New Roman" w:hAnsi="Times New Roman" w:cs="Times New Roman"/>
                <w:sz w:val="20"/>
                <w:szCs w:val="20"/>
                <w:lang w:val="en-GB"/>
              </w:rPr>
              <w:t>granting</w:t>
            </w:r>
            <w:r w:rsidRPr="00AA7A53">
              <w:rPr>
                <w:rFonts w:ascii="Times New Roman" w:hAnsi="Times New Roman" w:cs="Times New Roman"/>
                <w:sz w:val="20"/>
                <w:szCs w:val="20"/>
                <w:lang w:val="en-GB"/>
              </w:rPr>
              <w:t xml:space="preserve"> </w:t>
            </w:r>
            <w:r w:rsidR="00286F10" w:rsidRPr="00AA7A53">
              <w:rPr>
                <w:rFonts w:ascii="Times New Roman" w:hAnsi="Times New Roman" w:cs="Times New Roman"/>
                <w:sz w:val="20"/>
                <w:szCs w:val="20"/>
                <w:lang w:val="en-GB"/>
              </w:rPr>
              <w:t xml:space="preserve">of </w:t>
            </w:r>
            <w:r w:rsidRPr="00AA7A53">
              <w:rPr>
                <w:rFonts w:ascii="Times New Roman" w:hAnsi="Times New Roman" w:cs="Times New Roman"/>
                <w:sz w:val="20"/>
                <w:szCs w:val="20"/>
                <w:lang w:val="en-GB"/>
              </w:rPr>
              <w:t>subsidies must be aligned with the regulation on state aid.</w:t>
            </w:r>
          </w:p>
        </w:tc>
      </w:tr>
      <w:tr w:rsidR="00614438" w:rsidRPr="00AA7A53" w14:paraId="7536BD38"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0484D18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3" w:type="dxa"/>
            <w:gridSpan w:val="3"/>
            <w:tcBorders>
              <w:top w:val="single" w:sz="8" w:space="0" w:color="auto"/>
              <w:left w:val="nil"/>
              <w:bottom w:val="single" w:sz="8" w:space="0" w:color="auto"/>
              <w:right w:val="single" w:sz="8" w:space="0" w:color="000000"/>
            </w:tcBorders>
            <w:vAlign w:val="center"/>
            <w:hideMark/>
          </w:tcPr>
          <w:p w14:paraId="7667550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56D779A9"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500603F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3" w:type="dxa"/>
            <w:gridSpan w:val="3"/>
            <w:tcBorders>
              <w:top w:val="single" w:sz="8" w:space="0" w:color="auto"/>
              <w:left w:val="nil"/>
              <w:bottom w:val="single" w:sz="8" w:space="0" w:color="auto"/>
              <w:right w:val="single" w:sz="8" w:space="0" w:color="000000"/>
            </w:tcBorders>
            <w:vAlign w:val="center"/>
            <w:hideMark/>
          </w:tcPr>
          <w:p w14:paraId="11D2962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7990B2F5"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23632F4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3" w:type="dxa"/>
            <w:gridSpan w:val="3"/>
            <w:tcBorders>
              <w:top w:val="single" w:sz="8" w:space="0" w:color="auto"/>
              <w:left w:val="nil"/>
              <w:bottom w:val="single" w:sz="8" w:space="0" w:color="auto"/>
              <w:right w:val="single" w:sz="8" w:space="0" w:color="000000"/>
            </w:tcBorders>
            <w:vAlign w:val="center"/>
            <w:hideMark/>
          </w:tcPr>
          <w:p w14:paraId="2F1952F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final energy consumption sectors</w:t>
            </w:r>
          </w:p>
        </w:tc>
      </w:tr>
      <w:tr w:rsidR="00614438" w:rsidRPr="00AA7A53" w14:paraId="4A258EE9" w14:textId="77777777" w:rsidTr="00614438">
        <w:trPr>
          <w:gridAfter w:val="1"/>
          <w:wAfter w:w="222" w:type="dxa"/>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3F2E4A0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3" w:type="dxa"/>
            <w:gridSpan w:val="3"/>
            <w:tcBorders>
              <w:top w:val="single" w:sz="8" w:space="0" w:color="auto"/>
              <w:left w:val="nil"/>
              <w:bottom w:val="single" w:sz="8" w:space="0" w:color="auto"/>
              <w:right w:val="single" w:sz="8" w:space="0" w:color="000000"/>
            </w:tcBorders>
            <w:vAlign w:val="center"/>
            <w:hideMark/>
          </w:tcPr>
          <w:p w14:paraId="6DDBC809"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 - EE Directorate</w:t>
            </w:r>
          </w:p>
          <w:p w14:paraId="2395F004"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tc>
      </w:tr>
      <w:tr w:rsidR="00614438" w:rsidRPr="00AA7A53" w14:paraId="4A37CCEA" w14:textId="77777777" w:rsidTr="00614438">
        <w:trPr>
          <w:gridAfter w:val="1"/>
          <w:wAfter w:w="222" w:type="dxa"/>
          <w:trHeight w:val="315"/>
        </w:trPr>
        <w:tc>
          <w:tcPr>
            <w:tcW w:w="3315" w:type="dxa"/>
            <w:tcBorders>
              <w:top w:val="nil"/>
              <w:left w:val="single" w:sz="8" w:space="0" w:color="auto"/>
              <w:bottom w:val="single" w:sz="8" w:space="0" w:color="auto"/>
              <w:right w:val="nil"/>
            </w:tcBorders>
            <w:shd w:val="clear" w:color="auto" w:fill="244062"/>
            <w:vAlign w:val="center"/>
            <w:hideMark/>
          </w:tcPr>
          <w:p w14:paraId="1DE8691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3" w:type="dxa"/>
            <w:gridSpan w:val="3"/>
            <w:tcBorders>
              <w:top w:val="single" w:sz="8" w:space="0" w:color="auto"/>
              <w:left w:val="nil"/>
              <w:bottom w:val="single" w:sz="8" w:space="0" w:color="auto"/>
              <w:right w:val="single" w:sz="8" w:space="0" w:color="000000"/>
            </w:tcBorders>
            <w:vAlign w:val="center"/>
            <w:hideMark/>
          </w:tcPr>
          <w:p w14:paraId="78149F7F"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5217C08F" w14:textId="77777777" w:rsidTr="00614438">
        <w:trPr>
          <w:gridAfter w:val="1"/>
          <w:wAfter w:w="222" w:type="dxa"/>
          <w:trHeight w:val="315"/>
        </w:trPr>
        <w:tc>
          <w:tcPr>
            <w:tcW w:w="3315" w:type="dxa"/>
            <w:tcBorders>
              <w:top w:val="nil"/>
              <w:left w:val="single" w:sz="8" w:space="0" w:color="auto"/>
              <w:bottom w:val="single" w:sz="8" w:space="0" w:color="auto"/>
              <w:right w:val="nil"/>
            </w:tcBorders>
            <w:shd w:val="clear" w:color="auto" w:fill="244062"/>
            <w:vAlign w:val="center"/>
            <w:hideMark/>
          </w:tcPr>
          <w:p w14:paraId="59BCF78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3" w:type="dxa"/>
            <w:gridSpan w:val="3"/>
            <w:tcBorders>
              <w:top w:val="single" w:sz="8" w:space="0" w:color="auto"/>
              <w:left w:val="nil"/>
              <w:bottom w:val="single" w:sz="8" w:space="0" w:color="auto"/>
              <w:right w:val="single" w:sz="8" w:space="0" w:color="000000"/>
            </w:tcBorders>
            <w:vAlign w:val="center"/>
            <w:hideMark/>
          </w:tcPr>
          <w:p w14:paraId="41721EE3" w14:textId="77777777" w:rsidR="00614438" w:rsidRPr="00AA7A53" w:rsidRDefault="00614438" w:rsidP="00AA7A53">
            <w:pPr>
              <w:numPr>
                <w:ilvl w:val="0"/>
                <w:numId w:val="45"/>
              </w:numPr>
              <w:spacing w:after="0"/>
              <w:jc w:val="both"/>
              <w:rPr>
                <w:rFonts w:ascii="Times New Roman" w:hAnsi="Times New Roman" w:cs="Times New Roman"/>
                <w:sz w:val="20"/>
                <w:szCs w:val="20"/>
              </w:rPr>
            </w:pPr>
            <w:r w:rsidRPr="00AA7A53">
              <w:rPr>
                <w:rFonts w:ascii="Times New Roman" w:hAnsi="Times New Roman" w:cs="Times New Roman"/>
                <w:sz w:val="20"/>
                <w:szCs w:val="20"/>
              </w:rPr>
              <w:t>Financed energy efficiency projects</w:t>
            </w:r>
          </w:p>
        </w:tc>
      </w:tr>
      <w:tr w:rsidR="00614438" w:rsidRPr="00AA7A53" w14:paraId="6B0FC3CC" w14:textId="77777777" w:rsidTr="00614438">
        <w:trPr>
          <w:gridAfter w:val="1"/>
          <w:wAfter w:w="222" w:type="dxa"/>
          <w:trHeight w:val="659"/>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7442FC7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3" w:type="dxa"/>
            <w:gridSpan w:val="3"/>
            <w:tcBorders>
              <w:top w:val="single" w:sz="8" w:space="0" w:color="auto"/>
              <w:left w:val="nil"/>
              <w:bottom w:val="single" w:sz="8" w:space="0" w:color="auto"/>
              <w:right w:val="single" w:sz="8" w:space="0" w:color="000000"/>
            </w:tcBorders>
            <w:vAlign w:val="center"/>
            <w:hideMark/>
          </w:tcPr>
          <w:p w14:paraId="48DC9595" w14:textId="3EA6EC59" w:rsidR="00614438" w:rsidRPr="00AA7A53" w:rsidRDefault="00614438" w:rsidP="00AA7A53">
            <w:pPr>
              <w:numPr>
                <w:ilvl w:val="0"/>
                <w:numId w:val="118"/>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w:t>
            </w:r>
            <w:r w:rsidR="00286F10" w:rsidRPr="00AA7A53">
              <w:rPr>
                <w:rFonts w:ascii="Times New Roman" w:hAnsi="Times New Roman" w:cs="Times New Roman"/>
                <w:sz w:val="20"/>
                <w:szCs w:val="20"/>
              </w:rPr>
              <w:t>,</w:t>
            </w:r>
            <w:r w:rsidRPr="00AA7A53">
              <w:rPr>
                <w:rFonts w:ascii="Times New Roman" w:hAnsi="Times New Roman" w:cs="Times New Roman"/>
                <w:sz w:val="20"/>
                <w:szCs w:val="20"/>
              </w:rPr>
              <w:t xml:space="preserve"> leading to the respective GHG </w:t>
            </w:r>
            <w:r w:rsidRPr="00AA7A53">
              <w:rPr>
                <w:rFonts w:ascii="Times New Roman" w:hAnsi="Times New Roman" w:cs="Times New Roman"/>
                <w:sz w:val="20"/>
                <w:szCs w:val="20"/>
              </w:rPr>
              <w:lastRenderedPageBreak/>
              <w:t xml:space="preserve">emission reduction </w:t>
            </w:r>
            <w:r w:rsidR="00286F10" w:rsidRPr="00AA7A53">
              <w:rPr>
                <w:rFonts w:ascii="Times New Roman" w:hAnsi="Times New Roman" w:cs="Times New Roman"/>
                <w:sz w:val="20"/>
                <w:szCs w:val="20"/>
              </w:rPr>
              <w:t>and</w:t>
            </w:r>
            <w:r w:rsidRPr="00AA7A53">
              <w:rPr>
                <w:rFonts w:ascii="Times New Roman" w:hAnsi="Times New Roman" w:cs="Times New Roman"/>
                <w:sz w:val="20"/>
                <w:szCs w:val="20"/>
              </w:rPr>
              <w:t xml:space="preserve"> utilised RES technologies will increase the RES share totally)</w:t>
            </w:r>
          </w:p>
          <w:p w14:paraId="5163570F" w14:textId="24C5DB77" w:rsidR="00614438" w:rsidRPr="00AA7A53" w:rsidRDefault="00614438" w:rsidP="00AA7A53">
            <w:pPr>
              <w:numPr>
                <w:ilvl w:val="0"/>
                <w:numId w:val="118"/>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w:t>
            </w:r>
            <w:r w:rsidR="00286F10" w:rsidRPr="00AA7A53">
              <w:rPr>
                <w:rFonts w:ascii="Times New Roman" w:hAnsi="Times New Roman" w:cs="Times New Roman"/>
                <w:sz w:val="20"/>
                <w:szCs w:val="20"/>
              </w:rPr>
              <w:t>,</w:t>
            </w:r>
            <w:r w:rsidRPr="00AA7A53">
              <w:rPr>
                <w:rFonts w:ascii="Times New Roman" w:hAnsi="Times New Roman" w:cs="Times New Roman"/>
                <w:sz w:val="20"/>
                <w:szCs w:val="20"/>
              </w:rPr>
              <w:t xml:space="preserve"> reducing energy import dependency from third countries)</w:t>
            </w:r>
          </w:p>
        </w:tc>
      </w:tr>
      <w:tr w:rsidR="00614438" w:rsidRPr="00AA7A53" w14:paraId="4244D463" w14:textId="77777777" w:rsidTr="00614438">
        <w:trPr>
          <w:gridAfter w:val="1"/>
          <w:wAfter w:w="222" w:type="dxa"/>
          <w:trHeight w:val="458"/>
        </w:trPr>
        <w:tc>
          <w:tcPr>
            <w:tcW w:w="3315" w:type="dxa"/>
            <w:vMerge w:val="restart"/>
            <w:tcBorders>
              <w:top w:val="nil"/>
              <w:left w:val="single" w:sz="8" w:space="0" w:color="auto"/>
              <w:bottom w:val="single" w:sz="8" w:space="0" w:color="000000"/>
              <w:right w:val="single" w:sz="8" w:space="0" w:color="auto"/>
            </w:tcBorders>
            <w:shd w:val="clear" w:color="auto" w:fill="244062"/>
            <w:vAlign w:val="center"/>
            <w:hideMark/>
          </w:tcPr>
          <w:p w14:paraId="56D751C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Union policy which resulted in the implementation of the PaM</w:t>
            </w:r>
          </w:p>
        </w:tc>
        <w:tc>
          <w:tcPr>
            <w:tcW w:w="6143"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D695C6C" w14:textId="155EA17C" w:rsidR="00614438" w:rsidRPr="00AA7A53" w:rsidRDefault="00614438" w:rsidP="00AA7A53">
            <w:pPr>
              <w:numPr>
                <w:ilvl w:val="0"/>
                <w:numId w:val="118"/>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2012/27</w:t>
            </w:r>
            <w:r w:rsidR="008033E6" w:rsidRPr="00AA7A53">
              <w:rPr>
                <w:rFonts w:ascii="Times New Roman" w:hAnsi="Times New Roman" w:cs="Times New Roman"/>
                <w:sz w:val="20"/>
                <w:szCs w:val="20"/>
              </w:rPr>
              <w:t>/EU</w:t>
            </w:r>
          </w:p>
          <w:p w14:paraId="6E0B4AE3" w14:textId="611D4BE5" w:rsidR="00614438" w:rsidRPr="00AA7A53" w:rsidRDefault="00614438" w:rsidP="00AA7A53">
            <w:pPr>
              <w:numPr>
                <w:ilvl w:val="0"/>
                <w:numId w:val="118"/>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2018/2002</w:t>
            </w:r>
            <w:r w:rsidR="008033E6" w:rsidRPr="00AA7A53">
              <w:rPr>
                <w:rFonts w:ascii="Times New Roman" w:hAnsi="Times New Roman" w:cs="Times New Roman"/>
                <w:sz w:val="20"/>
                <w:szCs w:val="20"/>
              </w:rPr>
              <w:t>/EU</w:t>
            </w:r>
          </w:p>
        </w:tc>
      </w:tr>
      <w:tr w:rsidR="00614438" w:rsidRPr="00AA7A53" w14:paraId="58427778"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65949F6C"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1B4DAB0"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62364D5B"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6F7C439"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08EE2784"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36E9C2A"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3569CD5A"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60FF1BD5" w14:textId="77777777" w:rsidTr="00614438">
        <w:trPr>
          <w:trHeight w:val="780"/>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5A2F7FF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3" w:type="dxa"/>
            <w:gridSpan w:val="3"/>
            <w:tcBorders>
              <w:top w:val="single" w:sz="8" w:space="0" w:color="auto"/>
              <w:left w:val="nil"/>
              <w:bottom w:val="single" w:sz="8" w:space="0" w:color="auto"/>
              <w:right w:val="single" w:sz="8" w:space="0" w:color="000000"/>
            </w:tcBorders>
            <w:vAlign w:val="center"/>
            <w:hideMark/>
          </w:tcPr>
          <w:p w14:paraId="6B4D2EF3" w14:textId="77777777" w:rsidR="00614438" w:rsidRPr="00AA7A53" w:rsidRDefault="00614438" w:rsidP="00AA7A53">
            <w:pPr>
              <w:numPr>
                <w:ilvl w:val="0"/>
                <w:numId w:val="118"/>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 Efficiency and Rational Use of Energy</w:t>
            </w:r>
          </w:p>
          <w:p w14:paraId="0B0F02A9" w14:textId="77777777" w:rsidR="00614438" w:rsidRPr="00AA7A53" w:rsidRDefault="00614438" w:rsidP="00AA7A53">
            <w:pPr>
              <w:numPr>
                <w:ilvl w:val="0"/>
                <w:numId w:val="118"/>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Planning and Construction</w:t>
            </w:r>
          </w:p>
        </w:tc>
        <w:tc>
          <w:tcPr>
            <w:tcW w:w="222" w:type="dxa"/>
            <w:vAlign w:val="center"/>
            <w:hideMark/>
          </w:tcPr>
          <w:p w14:paraId="59E5D3E7"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CBBA9B0" w14:textId="77777777" w:rsidTr="00614438">
        <w:trPr>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35DBAF3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3" w:type="dxa"/>
            <w:gridSpan w:val="3"/>
            <w:tcBorders>
              <w:top w:val="single" w:sz="8" w:space="0" w:color="auto"/>
              <w:left w:val="nil"/>
              <w:bottom w:val="single" w:sz="8" w:space="0" w:color="auto"/>
              <w:right w:val="single" w:sz="8" w:space="0" w:color="000000"/>
            </w:tcBorders>
            <w:vAlign w:val="center"/>
            <w:hideMark/>
          </w:tcPr>
          <w:p w14:paraId="47DCCB7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Budget incorporated into all end-use measures</w:t>
            </w:r>
          </w:p>
        </w:tc>
        <w:tc>
          <w:tcPr>
            <w:tcW w:w="222" w:type="dxa"/>
            <w:vAlign w:val="center"/>
            <w:hideMark/>
          </w:tcPr>
          <w:p w14:paraId="7C762D7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9BBCA52" w14:textId="77777777" w:rsidTr="00614438">
        <w:trPr>
          <w:trHeight w:val="315"/>
        </w:trPr>
        <w:tc>
          <w:tcPr>
            <w:tcW w:w="3315" w:type="dxa"/>
            <w:tcBorders>
              <w:top w:val="nil"/>
              <w:left w:val="single" w:sz="8" w:space="0" w:color="auto"/>
              <w:bottom w:val="single" w:sz="8" w:space="0" w:color="auto"/>
              <w:right w:val="single" w:sz="8" w:space="0" w:color="auto"/>
            </w:tcBorders>
            <w:shd w:val="clear" w:color="auto" w:fill="244062"/>
            <w:vAlign w:val="center"/>
            <w:hideMark/>
          </w:tcPr>
          <w:p w14:paraId="2669B54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3" w:type="dxa"/>
            <w:gridSpan w:val="3"/>
            <w:tcBorders>
              <w:top w:val="single" w:sz="8" w:space="0" w:color="auto"/>
              <w:left w:val="nil"/>
              <w:bottom w:val="single" w:sz="8" w:space="0" w:color="auto"/>
              <w:right w:val="single" w:sz="8" w:space="0" w:color="000000"/>
            </w:tcBorders>
            <w:vAlign w:val="center"/>
            <w:hideMark/>
          </w:tcPr>
          <w:p w14:paraId="405B632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(e.g., World bank, EBRD, IFIs etc.), public funds and own funds</w:t>
            </w:r>
          </w:p>
        </w:tc>
        <w:tc>
          <w:tcPr>
            <w:tcW w:w="222" w:type="dxa"/>
            <w:vAlign w:val="center"/>
            <w:hideMark/>
          </w:tcPr>
          <w:p w14:paraId="0CF83953" w14:textId="77777777" w:rsidR="00614438" w:rsidRPr="00AA7A53" w:rsidRDefault="00614438" w:rsidP="00AA7A53">
            <w:pPr>
              <w:spacing w:after="0"/>
              <w:jc w:val="both"/>
              <w:rPr>
                <w:rFonts w:ascii="Times New Roman" w:hAnsi="Times New Roman" w:cs="Times New Roman"/>
                <w:sz w:val="20"/>
                <w:szCs w:val="20"/>
                <w:lang w:val="en-GB"/>
              </w:rPr>
            </w:pPr>
          </w:p>
        </w:tc>
      </w:tr>
    </w:tbl>
    <w:p w14:paraId="244D62DD" w14:textId="77777777" w:rsidR="00614438" w:rsidRPr="00AA7A53" w:rsidRDefault="00614438" w:rsidP="00AA7A53">
      <w:pPr>
        <w:spacing w:after="0"/>
        <w:jc w:val="both"/>
        <w:rPr>
          <w:rFonts w:ascii="Times New Roman" w:hAnsi="Times New Roman" w:cs="Times New Roman"/>
          <w:sz w:val="20"/>
          <w:szCs w:val="20"/>
          <w:lang w:val="en-GB"/>
        </w:rPr>
      </w:pPr>
    </w:p>
    <w:tbl>
      <w:tblPr>
        <w:tblW w:w="9680" w:type="dxa"/>
        <w:tblLook w:val="04A0" w:firstRow="1" w:lastRow="0" w:firstColumn="1" w:lastColumn="0" w:noHBand="0" w:noVBand="1"/>
      </w:tblPr>
      <w:tblGrid>
        <w:gridCol w:w="3251"/>
        <w:gridCol w:w="1188"/>
        <w:gridCol w:w="930"/>
        <w:gridCol w:w="4089"/>
        <w:gridCol w:w="222"/>
      </w:tblGrid>
      <w:tr w:rsidR="00614438" w:rsidRPr="00AA7A53" w14:paraId="6257A277" w14:textId="77777777" w:rsidTr="00614438">
        <w:trPr>
          <w:gridAfter w:val="1"/>
          <w:wAfter w:w="222" w:type="dxa"/>
          <w:trHeight w:val="780"/>
        </w:trPr>
        <w:tc>
          <w:tcPr>
            <w:tcW w:w="3251"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47D67F2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188" w:type="dxa"/>
            <w:tcBorders>
              <w:top w:val="single" w:sz="8" w:space="0" w:color="auto"/>
              <w:left w:val="nil"/>
              <w:bottom w:val="single" w:sz="8" w:space="0" w:color="auto"/>
              <w:right w:val="single" w:sz="8" w:space="0" w:color="auto"/>
            </w:tcBorders>
            <w:shd w:val="clear" w:color="auto" w:fill="E7E6E6" w:themeFill="background2"/>
            <w:vAlign w:val="center"/>
            <w:hideMark/>
          </w:tcPr>
          <w:p w14:paraId="0AD9680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PM_EE39</w:t>
            </w:r>
          </w:p>
        </w:tc>
        <w:tc>
          <w:tcPr>
            <w:tcW w:w="930" w:type="dxa"/>
            <w:tcBorders>
              <w:top w:val="single" w:sz="8" w:space="0" w:color="auto"/>
              <w:left w:val="nil"/>
              <w:bottom w:val="single" w:sz="8" w:space="0" w:color="auto"/>
              <w:right w:val="single" w:sz="8" w:space="0" w:color="auto"/>
            </w:tcBorders>
            <w:shd w:val="clear" w:color="auto" w:fill="244062"/>
            <w:vAlign w:val="center"/>
            <w:hideMark/>
          </w:tcPr>
          <w:p w14:paraId="517841A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089" w:type="dxa"/>
            <w:tcBorders>
              <w:top w:val="single" w:sz="8" w:space="0" w:color="auto"/>
              <w:left w:val="nil"/>
              <w:bottom w:val="single" w:sz="8" w:space="0" w:color="auto"/>
              <w:right w:val="single" w:sz="8" w:space="0" w:color="auto"/>
            </w:tcBorders>
            <w:shd w:val="clear" w:color="auto" w:fill="E7E6E6" w:themeFill="background2"/>
            <w:vAlign w:val="center"/>
            <w:hideMark/>
          </w:tcPr>
          <w:p w14:paraId="0D7BD2E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Improve the bankability of energy efficiency projects</w:t>
            </w:r>
          </w:p>
        </w:tc>
      </w:tr>
      <w:tr w:rsidR="00614438" w:rsidRPr="00AA7A53" w14:paraId="40988FB3" w14:textId="77777777" w:rsidTr="00614438">
        <w:trPr>
          <w:gridAfter w:val="1"/>
          <w:wAfter w:w="222" w:type="dxa"/>
          <w:trHeight w:val="405"/>
        </w:trPr>
        <w:tc>
          <w:tcPr>
            <w:tcW w:w="3251" w:type="dxa"/>
            <w:tcBorders>
              <w:top w:val="nil"/>
              <w:left w:val="single" w:sz="8" w:space="0" w:color="auto"/>
              <w:bottom w:val="single" w:sz="8" w:space="0" w:color="auto"/>
              <w:right w:val="nil"/>
            </w:tcBorders>
            <w:shd w:val="clear" w:color="auto" w:fill="244062"/>
            <w:vAlign w:val="center"/>
            <w:hideMark/>
          </w:tcPr>
          <w:p w14:paraId="57009D4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07" w:type="dxa"/>
            <w:gridSpan w:val="3"/>
            <w:tcBorders>
              <w:top w:val="single" w:sz="8" w:space="0" w:color="auto"/>
              <w:left w:val="nil"/>
              <w:bottom w:val="single" w:sz="8" w:space="0" w:color="auto"/>
              <w:right w:val="single" w:sz="8" w:space="0" w:color="000000"/>
            </w:tcBorders>
            <w:vAlign w:val="center"/>
            <w:hideMark/>
          </w:tcPr>
          <w:p w14:paraId="7724247C" w14:textId="4D30495A" w:rsidR="00614438" w:rsidRPr="00AA7A53" w:rsidRDefault="00614438" w:rsidP="00AA7A53">
            <w:pPr>
              <w:spacing w:after="0"/>
              <w:jc w:val="both"/>
              <w:rPr>
                <w:rFonts w:ascii="Times New Roman" w:hAnsi="Times New Roman" w:cs="Times New Roman"/>
                <w:sz w:val="20"/>
                <w:szCs w:val="20"/>
              </w:rPr>
            </w:pPr>
            <w:r w:rsidRPr="00AA7A53">
              <w:rPr>
                <w:rFonts w:ascii="Times New Roman" w:hAnsi="Times New Roman" w:cs="Times New Roman"/>
                <w:sz w:val="20"/>
                <w:szCs w:val="20"/>
                <w:lang w:val="en-GB"/>
              </w:rPr>
              <w:t>Implementation of articles of the Directive (EU) 2012/27/EU, as amended by Directive 2018/2002</w:t>
            </w:r>
            <w:r w:rsidR="008033E6" w:rsidRPr="00AA7A53">
              <w:rPr>
                <w:rFonts w:ascii="Times New Roman" w:hAnsi="Times New Roman" w:cs="Times New Roman"/>
                <w:sz w:val="20"/>
                <w:szCs w:val="20"/>
                <w:lang w:val="en-GB"/>
              </w:rPr>
              <w:t xml:space="preserve">, namely, </w:t>
            </w:r>
            <w:r w:rsidRPr="00AA7A53">
              <w:rPr>
                <w:rFonts w:ascii="Times New Roman" w:hAnsi="Times New Roman" w:cs="Times New Roman"/>
                <w:sz w:val="20"/>
                <w:szCs w:val="20"/>
              </w:rPr>
              <w:t>Article 3</w:t>
            </w:r>
          </w:p>
        </w:tc>
      </w:tr>
      <w:tr w:rsidR="00614438" w:rsidRPr="00AA7A53" w14:paraId="5508887D" w14:textId="77777777" w:rsidTr="00614438">
        <w:trPr>
          <w:gridAfter w:val="1"/>
          <w:wAfter w:w="222" w:type="dxa"/>
          <w:trHeight w:val="315"/>
        </w:trPr>
        <w:tc>
          <w:tcPr>
            <w:tcW w:w="3251" w:type="dxa"/>
            <w:tcBorders>
              <w:top w:val="nil"/>
              <w:left w:val="single" w:sz="8" w:space="0" w:color="auto"/>
              <w:bottom w:val="single" w:sz="8" w:space="0" w:color="auto"/>
              <w:right w:val="single" w:sz="8" w:space="0" w:color="auto"/>
            </w:tcBorders>
            <w:shd w:val="clear" w:color="auto" w:fill="244062"/>
            <w:vAlign w:val="center"/>
            <w:hideMark/>
          </w:tcPr>
          <w:p w14:paraId="37CD9A2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07" w:type="dxa"/>
            <w:gridSpan w:val="3"/>
            <w:tcBorders>
              <w:top w:val="single" w:sz="8" w:space="0" w:color="auto"/>
              <w:left w:val="nil"/>
              <w:bottom w:val="single" w:sz="8" w:space="0" w:color="auto"/>
              <w:right w:val="single" w:sz="8" w:space="0" w:color="000000"/>
            </w:tcBorders>
            <w:vAlign w:val="center"/>
            <w:hideMark/>
          </w:tcPr>
          <w:p w14:paraId="65A0632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Contribution to fulfilling the expected final energy consumption levels</w:t>
            </w:r>
          </w:p>
        </w:tc>
      </w:tr>
      <w:tr w:rsidR="00614438" w:rsidRPr="00AA7A53" w14:paraId="10A820A4" w14:textId="77777777" w:rsidTr="00614438">
        <w:trPr>
          <w:gridAfter w:val="1"/>
          <w:wAfter w:w="222" w:type="dxa"/>
          <w:trHeight w:val="443"/>
        </w:trPr>
        <w:tc>
          <w:tcPr>
            <w:tcW w:w="3251" w:type="dxa"/>
            <w:tcBorders>
              <w:top w:val="nil"/>
              <w:left w:val="single" w:sz="8" w:space="0" w:color="auto"/>
              <w:bottom w:val="single" w:sz="8" w:space="0" w:color="auto"/>
              <w:right w:val="single" w:sz="8" w:space="0" w:color="auto"/>
            </w:tcBorders>
            <w:shd w:val="clear" w:color="auto" w:fill="244062"/>
            <w:vAlign w:val="center"/>
            <w:hideMark/>
          </w:tcPr>
          <w:p w14:paraId="4368FB8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07" w:type="dxa"/>
            <w:gridSpan w:val="3"/>
            <w:tcBorders>
              <w:top w:val="single" w:sz="8" w:space="0" w:color="auto"/>
              <w:left w:val="nil"/>
              <w:bottom w:val="single" w:sz="8" w:space="0" w:color="auto"/>
              <w:right w:val="single" w:sz="8" w:space="0" w:color="000000"/>
            </w:tcBorders>
            <w:vAlign w:val="center"/>
            <w:hideMark/>
          </w:tcPr>
          <w:p w14:paraId="2D8634E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PM_EE39 will improve the bankability of the energy efficiency projects with the utilization of specialized tools and methodologies so as to minimize the existing levels of risk. Moreover, the implementation of a quality assurance scheme and the establishment of a methodological approach for the standardization of the different steps during the evaluation of energy efficiency projects will facilitate the de-risking of the energy efficiency investments. The involvement of the banking sector is essential, while the design of new financial products specifically dedicated to the financing of the energy efficient projects will facilitate the financing of the energy efficiency projects. Specialized training will be organised in order to achieve the above-mentioned objectives.</w:t>
            </w:r>
          </w:p>
        </w:tc>
      </w:tr>
      <w:tr w:rsidR="00614438" w:rsidRPr="00AA7A53" w14:paraId="3FD96668" w14:textId="77777777" w:rsidTr="00614438">
        <w:trPr>
          <w:gridAfter w:val="1"/>
          <w:wAfter w:w="222" w:type="dxa"/>
          <w:trHeight w:val="315"/>
        </w:trPr>
        <w:tc>
          <w:tcPr>
            <w:tcW w:w="3251" w:type="dxa"/>
            <w:tcBorders>
              <w:top w:val="nil"/>
              <w:left w:val="single" w:sz="8" w:space="0" w:color="auto"/>
              <w:bottom w:val="single" w:sz="8" w:space="0" w:color="auto"/>
              <w:right w:val="single" w:sz="8" w:space="0" w:color="auto"/>
            </w:tcBorders>
            <w:shd w:val="clear" w:color="auto" w:fill="244062"/>
            <w:vAlign w:val="center"/>
            <w:hideMark/>
          </w:tcPr>
          <w:p w14:paraId="1CF8F93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07" w:type="dxa"/>
            <w:gridSpan w:val="3"/>
            <w:tcBorders>
              <w:top w:val="single" w:sz="8" w:space="0" w:color="auto"/>
              <w:left w:val="nil"/>
              <w:bottom w:val="single" w:sz="8" w:space="0" w:color="auto"/>
              <w:right w:val="single" w:sz="8" w:space="0" w:color="000000"/>
            </w:tcBorders>
            <w:vAlign w:val="center"/>
            <w:hideMark/>
          </w:tcPr>
          <w:p w14:paraId="167C767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2025-2030</w:t>
            </w:r>
          </w:p>
        </w:tc>
      </w:tr>
      <w:tr w:rsidR="00614438" w:rsidRPr="00AA7A53" w14:paraId="03A76454" w14:textId="77777777" w:rsidTr="00614438">
        <w:trPr>
          <w:gridAfter w:val="1"/>
          <w:wAfter w:w="222" w:type="dxa"/>
          <w:trHeight w:val="315"/>
        </w:trPr>
        <w:tc>
          <w:tcPr>
            <w:tcW w:w="3251" w:type="dxa"/>
            <w:tcBorders>
              <w:top w:val="nil"/>
              <w:left w:val="single" w:sz="8" w:space="0" w:color="auto"/>
              <w:bottom w:val="single" w:sz="8" w:space="0" w:color="auto"/>
              <w:right w:val="single" w:sz="8" w:space="0" w:color="auto"/>
            </w:tcBorders>
            <w:shd w:val="clear" w:color="auto" w:fill="244062"/>
            <w:vAlign w:val="center"/>
            <w:hideMark/>
          </w:tcPr>
          <w:p w14:paraId="123A7FF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07" w:type="dxa"/>
            <w:gridSpan w:val="3"/>
            <w:tcBorders>
              <w:top w:val="single" w:sz="8" w:space="0" w:color="auto"/>
              <w:left w:val="nil"/>
              <w:bottom w:val="single" w:sz="8" w:space="0" w:color="auto"/>
              <w:right w:val="single" w:sz="8" w:space="0" w:color="000000"/>
            </w:tcBorders>
            <w:vAlign w:val="center"/>
            <w:hideMark/>
          </w:tcPr>
          <w:p w14:paraId="694B2A6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37371F4E" w14:textId="77777777" w:rsidTr="00614438">
        <w:trPr>
          <w:gridAfter w:val="1"/>
          <w:wAfter w:w="222" w:type="dxa"/>
          <w:trHeight w:val="315"/>
        </w:trPr>
        <w:tc>
          <w:tcPr>
            <w:tcW w:w="3251" w:type="dxa"/>
            <w:tcBorders>
              <w:top w:val="nil"/>
              <w:left w:val="single" w:sz="8" w:space="0" w:color="auto"/>
              <w:bottom w:val="single" w:sz="8" w:space="0" w:color="auto"/>
              <w:right w:val="single" w:sz="8" w:space="0" w:color="auto"/>
            </w:tcBorders>
            <w:shd w:val="clear" w:color="auto" w:fill="244062"/>
            <w:vAlign w:val="center"/>
            <w:hideMark/>
          </w:tcPr>
          <w:p w14:paraId="47C09DF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07" w:type="dxa"/>
            <w:gridSpan w:val="3"/>
            <w:tcBorders>
              <w:top w:val="single" w:sz="8" w:space="0" w:color="auto"/>
              <w:left w:val="nil"/>
              <w:bottom w:val="single" w:sz="8" w:space="0" w:color="auto"/>
              <w:right w:val="single" w:sz="8" w:space="0" w:color="000000"/>
            </w:tcBorders>
            <w:vAlign w:val="center"/>
            <w:hideMark/>
          </w:tcPr>
          <w:p w14:paraId="4379EAF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final energy consumption sectors</w:t>
            </w:r>
          </w:p>
        </w:tc>
      </w:tr>
      <w:tr w:rsidR="00614438" w:rsidRPr="00AA7A53" w14:paraId="2AF6D60D" w14:textId="77777777" w:rsidTr="00614438">
        <w:trPr>
          <w:gridAfter w:val="1"/>
          <w:wAfter w:w="222" w:type="dxa"/>
          <w:trHeight w:val="315"/>
        </w:trPr>
        <w:tc>
          <w:tcPr>
            <w:tcW w:w="3251" w:type="dxa"/>
            <w:tcBorders>
              <w:top w:val="nil"/>
              <w:left w:val="single" w:sz="8" w:space="0" w:color="auto"/>
              <w:bottom w:val="single" w:sz="8" w:space="0" w:color="auto"/>
              <w:right w:val="single" w:sz="8" w:space="0" w:color="auto"/>
            </w:tcBorders>
            <w:shd w:val="clear" w:color="auto" w:fill="244062"/>
            <w:vAlign w:val="center"/>
            <w:hideMark/>
          </w:tcPr>
          <w:p w14:paraId="58B8C18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07" w:type="dxa"/>
            <w:gridSpan w:val="3"/>
            <w:tcBorders>
              <w:top w:val="single" w:sz="8" w:space="0" w:color="auto"/>
              <w:left w:val="nil"/>
              <w:bottom w:val="single" w:sz="8" w:space="0" w:color="auto"/>
              <w:right w:val="single" w:sz="8" w:space="0" w:color="000000"/>
            </w:tcBorders>
            <w:vAlign w:val="center"/>
            <w:hideMark/>
          </w:tcPr>
          <w:p w14:paraId="42E67D11"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1F58C128"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tc>
      </w:tr>
      <w:tr w:rsidR="00614438" w:rsidRPr="00AA7A53" w14:paraId="6B6449B2" w14:textId="77777777" w:rsidTr="00614438">
        <w:trPr>
          <w:gridAfter w:val="1"/>
          <w:wAfter w:w="222" w:type="dxa"/>
          <w:trHeight w:val="315"/>
        </w:trPr>
        <w:tc>
          <w:tcPr>
            <w:tcW w:w="3251" w:type="dxa"/>
            <w:tcBorders>
              <w:top w:val="nil"/>
              <w:left w:val="single" w:sz="8" w:space="0" w:color="auto"/>
              <w:bottom w:val="single" w:sz="8" w:space="0" w:color="auto"/>
              <w:right w:val="nil"/>
            </w:tcBorders>
            <w:shd w:val="clear" w:color="auto" w:fill="244062"/>
            <w:vAlign w:val="center"/>
            <w:hideMark/>
          </w:tcPr>
          <w:p w14:paraId="5A7E853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07" w:type="dxa"/>
            <w:gridSpan w:val="3"/>
            <w:tcBorders>
              <w:top w:val="single" w:sz="8" w:space="0" w:color="auto"/>
              <w:left w:val="nil"/>
              <w:bottom w:val="single" w:sz="8" w:space="0" w:color="auto"/>
              <w:right w:val="single" w:sz="8" w:space="0" w:color="000000"/>
            </w:tcBorders>
            <w:vAlign w:val="center"/>
            <w:hideMark/>
          </w:tcPr>
          <w:p w14:paraId="42CA712B"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the Republic of Serbia</w:t>
            </w:r>
          </w:p>
        </w:tc>
      </w:tr>
      <w:tr w:rsidR="00614438" w:rsidRPr="00AA7A53" w14:paraId="3BCA4DD5" w14:textId="77777777" w:rsidTr="00614438">
        <w:trPr>
          <w:gridAfter w:val="1"/>
          <w:wAfter w:w="222" w:type="dxa"/>
          <w:trHeight w:val="315"/>
        </w:trPr>
        <w:tc>
          <w:tcPr>
            <w:tcW w:w="3251" w:type="dxa"/>
            <w:tcBorders>
              <w:top w:val="nil"/>
              <w:left w:val="single" w:sz="8" w:space="0" w:color="auto"/>
              <w:bottom w:val="single" w:sz="8" w:space="0" w:color="auto"/>
              <w:right w:val="nil"/>
            </w:tcBorders>
            <w:shd w:val="clear" w:color="auto" w:fill="244062"/>
            <w:vAlign w:val="center"/>
            <w:hideMark/>
          </w:tcPr>
          <w:p w14:paraId="016C320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07" w:type="dxa"/>
            <w:gridSpan w:val="3"/>
            <w:tcBorders>
              <w:top w:val="single" w:sz="8" w:space="0" w:color="auto"/>
              <w:left w:val="nil"/>
              <w:bottom w:val="single" w:sz="8" w:space="0" w:color="auto"/>
              <w:right w:val="single" w:sz="8" w:space="0" w:color="000000"/>
            </w:tcBorders>
            <w:vAlign w:val="center"/>
            <w:hideMark/>
          </w:tcPr>
          <w:p w14:paraId="2EC7A323" w14:textId="77777777" w:rsidR="00614438" w:rsidRPr="00AA7A53" w:rsidRDefault="00614438" w:rsidP="00AA7A53">
            <w:pPr>
              <w:numPr>
                <w:ilvl w:val="0"/>
                <w:numId w:val="76"/>
              </w:numPr>
              <w:spacing w:after="0"/>
              <w:jc w:val="both"/>
              <w:rPr>
                <w:rFonts w:ascii="Times New Roman" w:hAnsi="Times New Roman" w:cs="Times New Roman"/>
                <w:sz w:val="20"/>
                <w:szCs w:val="20"/>
              </w:rPr>
            </w:pPr>
            <w:r w:rsidRPr="00AA7A53">
              <w:rPr>
                <w:rFonts w:ascii="Times New Roman" w:hAnsi="Times New Roman" w:cs="Times New Roman"/>
                <w:sz w:val="20"/>
                <w:szCs w:val="20"/>
              </w:rPr>
              <w:t>Affected energy efficiency projects and employees in the banking sector</w:t>
            </w:r>
          </w:p>
        </w:tc>
      </w:tr>
      <w:tr w:rsidR="00614438" w:rsidRPr="00AA7A53" w14:paraId="38335636" w14:textId="77777777" w:rsidTr="00614438">
        <w:trPr>
          <w:gridAfter w:val="1"/>
          <w:wAfter w:w="222" w:type="dxa"/>
          <w:trHeight w:val="566"/>
        </w:trPr>
        <w:tc>
          <w:tcPr>
            <w:tcW w:w="3251" w:type="dxa"/>
            <w:tcBorders>
              <w:top w:val="nil"/>
              <w:left w:val="single" w:sz="8" w:space="0" w:color="auto"/>
              <w:bottom w:val="single" w:sz="8" w:space="0" w:color="auto"/>
              <w:right w:val="single" w:sz="8" w:space="0" w:color="auto"/>
            </w:tcBorders>
            <w:shd w:val="clear" w:color="auto" w:fill="244062"/>
            <w:vAlign w:val="center"/>
            <w:hideMark/>
          </w:tcPr>
          <w:p w14:paraId="5B18BAB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07" w:type="dxa"/>
            <w:gridSpan w:val="3"/>
            <w:tcBorders>
              <w:top w:val="single" w:sz="8" w:space="0" w:color="auto"/>
              <w:left w:val="nil"/>
              <w:bottom w:val="single" w:sz="8" w:space="0" w:color="auto"/>
              <w:right w:val="single" w:sz="8" w:space="0" w:color="000000"/>
            </w:tcBorders>
            <w:vAlign w:val="center"/>
            <w:hideMark/>
          </w:tcPr>
          <w:p w14:paraId="5EC09211" w14:textId="02133773" w:rsidR="00614438" w:rsidRPr="00AA7A53" w:rsidRDefault="00614438" w:rsidP="00AA7A53">
            <w:pPr>
              <w:numPr>
                <w:ilvl w:val="0"/>
                <w:numId w:val="118"/>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 (the delivered energy savings will decrease the consumed quantities of fossil fuels</w:t>
            </w:r>
            <w:r w:rsidR="008033E6" w:rsidRPr="00AA7A53">
              <w:rPr>
                <w:rFonts w:ascii="Times New Roman" w:hAnsi="Times New Roman" w:cs="Times New Roman"/>
                <w:sz w:val="20"/>
                <w:szCs w:val="20"/>
              </w:rPr>
              <w:t>,</w:t>
            </w:r>
            <w:r w:rsidRPr="00AA7A53">
              <w:rPr>
                <w:rFonts w:ascii="Times New Roman" w:hAnsi="Times New Roman" w:cs="Times New Roman"/>
                <w:sz w:val="20"/>
                <w:szCs w:val="20"/>
              </w:rPr>
              <w:t xml:space="preserve"> leading to the respective GHG emission reduction </w:t>
            </w:r>
            <w:r w:rsidR="008033E6" w:rsidRPr="00AA7A53">
              <w:rPr>
                <w:rFonts w:ascii="Times New Roman" w:hAnsi="Times New Roman" w:cs="Times New Roman"/>
                <w:sz w:val="20"/>
                <w:szCs w:val="20"/>
              </w:rPr>
              <w:t>and</w:t>
            </w:r>
            <w:r w:rsidRPr="00AA7A53">
              <w:rPr>
                <w:rFonts w:ascii="Times New Roman" w:hAnsi="Times New Roman" w:cs="Times New Roman"/>
                <w:sz w:val="20"/>
                <w:szCs w:val="20"/>
              </w:rPr>
              <w:t xml:space="preserve"> utilised RES technologies will increase the RES share totally)</w:t>
            </w:r>
          </w:p>
          <w:p w14:paraId="1CB072DD" w14:textId="3642D546" w:rsidR="00614438" w:rsidRPr="00AA7A53" w:rsidRDefault="00614438" w:rsidP="00AA7A53">
            <w:pPr>
              <w:numPr>
                <w:ilvl w:val="0"/>
                <w:numId w:val="118"/>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 (the delivered energy savings will decrease the consumed quantities of the imported fossil fuels</w:t>
            </w:r>
            <w:r w:rsidR="008033E6" w:rsidRPr="00AA7A53">
              <w:rPr>
                <w:rFonts w:ascii="Times New Roman" w:hAnsi="Times New Roman" w:cs="Times New Roman"/>
                <w:sz w:val="20"/>
                <w:szCs w:val="20"/>
              </w:rPr>
              <w:t>,</w:t>
            </w:r>
            <w:r w:rsidRPr="00AA7A53">
              <w:rPr>
                <w:rFonts w:ascii="Times New Roman" w:hAnsi="Times New Roman" w:cs="Times New Roman"/>
                <w:sz w:val="20"/>
                <w:szCs w:val="20"/>
              </w:rPr>
              <w:t xml:space="preserve"> reducing energy import dependency from third countries)</w:t>
            </w:r>
          </w:p>
        </w:tc>
      </w:tr>
      <w:tr w:rsidR="00614438" w:rsidRPr="00AA7A53" w14:paraId="64DC8727" w14:textId="77777777" w:rsidTr="00614438">
        <w:trPr>
          <w:gridAfter w:val="1"/>
          <w:wAfter w:w="222" w:type="dxa"/>
          <w:trHeight w:val="458"/>
        </w:trPr>
        <w:tc>
          <w:tcPr>
            <w:tcW w:w="3251" w:type="dxa"/>
            <w:vMerge w:val="restart"/>
            <w:tcBorders>
              <w:top w:val="nil"/>
              <w:left w:val="single" w:sz="8" w:space="0" w:color="auto"/>
              <w:bottom w:val="single" w:sz="8" w:space="0" w:color="000000"/>
              <w:right w:val="single" w:sz="8" w:space="0" w:color="auto"/>
            </w:tcBorders>
            <w:shd w:val="clear" w:color="auto" w:fill="244062"/>
            <w:vAlign w:val="center"/>
            <w:hideMark/>
          </w:tcPr>
          <w:p w14:paraId="247F2BD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07"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DC27362" w14:textId="77777777" w:rsidR="00614438" w:rsidRPr="00AA7A53" w:rsidRDefault="00614438" w:rsidP="00AA7A53">
            <w:pPr>
              <w:numPr>
                <w:ilvl w:val="0"/>
                <w:numId w:val="118"/>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2012/27</w:t>
            </w:r>
          </w:p>
          <w:p w14:paraId="67D155FC" w14:textId="77777777" w:rsidR="00614438" w:rsidRPr="00AA7A53" w:rsidRDefault="00614438" w:rsidP="00AA7A53">
            <w:pPr>
              <w:numPr>
                <w:ilvl w:val="0"/>
                <w:numId w:val="118"/>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2018/2002</w:t>
            </w:r>
          </w:p>
        </w:tc>
      </w:tr>
      <w:tr w:rsidR="00614438" w:rsidRPr="00AA7A53" w14:paraId="7C998082"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7B39BE81"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14E44CF"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62B2B368"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B340025"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27E3F25D"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ED5AC6E" w14:textId="77777777" w:rsidR="00614438" w:rsidRPr="00AA7A53" w:rsidRDefault="00614438" w:rsidP="00AA7A53">
            <w:pPr>
              <w:spacing w:after="0"/>
              <w:jc w:val="both"/>
              <w:rPr>
                <w:rFonts w:ascii="Times New Roman" w:hAnsi="Times New Roman" w:cs="Times New Roman"/>
                <w:sz w:val="20"/>
                <w:szCs w:val="20"/>
                <w:lang w:val="en-GB"/>
              </w:rPr>
            </w:pPr>
          </w:p>
        </w:tc>
        <w:tc>
          <w:tcPr>
            <w:tcW w:w="222" w:type="dxa"/>
            <w:noWrap/>
            <w:vAlign w:val="bottom"/>
            <w:hideMark/>
          </w:tcPr>
          <w:p w14:paraId="1644DF37"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34CA0690" w14:textId="77777777" w:rsidTr="00614438">
        <w:trPr>
          <w:trHeight w:val="557"/>
        </w:trPr>
        <w:tc>
          <w:tcPr>
            <w:tcW w:w="3251" w:type="dxa"/>
            <w:tcBorders>
              <w:top w:val="nil"/>
              <w:left w:val="single" w:sz="8" w:space="0" w:color="auto"/>
              <w:bottom w:val="single" w:sz="8" w:space="0" w:color="auto"/>
              <w:right w:val="single" w:sz="8" w:space="0" w:color="auto"/>
            </w:tcBorders>
            <w:shd w:val="clear" w:color="auto" w:fill="244062"/>
            <w:vAlign w:val="center"/>
            <w:hideMark/>
          </w:tcPr>
          <w:p w14:paraId="44F66A0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07" w:type="dxa"/>
            <w:gridSpan w:val="3"/>
            <w:tcBorders>
              <w:top w:val="single" w:sz="8" w:space="0" w:color="auto"/>
              <w:left w:val="nil"/>
              <w:bottom w:val="single" w:sz="8" w:space="0" w:color="auto"/>
              <w:right w:val="single" w:sz="8" w:space="0" w:color="000000"/>
            </w:tcBorders>
            <w:vAlign w:val="center"/>
            <w:hideMark/>
          </w:tcPr>
          <w:p w14:paraId="3C4D64D5" w14:textId="77777777" w:rsidR="00614438" w:rsidRPr="00AA7A53" w:rsidRDefault="00614438" w:rsidP="00AA7A53">
            <w:pPr>
              <w:numPr>
                <w:ilvl w:val="0"/>
                <w:numId w:val="124"/>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Planning and Construction</w:t>
            </w:r>
          </w:p>
        </w:tc>
        <w:tc>
          <w:tcPr>
            <w:tcW w:w="222" w:type="dxa"/>
            <w:vAlign w:val="center"/>
            <w:hideMark/>
          </w:tcPr>
          <w:p w14:paraId="00220943"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B3C2DC8" w14:textId="77777777" w:rsidTr="00614438">
        <w:trPr>
          <w:trHeight w:val="315"/>
        </w:trPr>
        <w:tc>
          <w:tcPr>
            <w:tcW w:w="3251" w:type="dxa"/>
            <w:tcBorders>
              <w:top w:val="nil"/>
              <w:left w:val="single" w:sz="8" w:space="0" w:color="auto"/>
              <w:bottom w:val="single" w:sz="8" w:space="0" w:color="auto"/>
              <w:right w:val="single" w:sz="8" w:space="0" w:color="auto"/>
            </w:tcBorders>
            <w:shd w:val="clear" w:color="auto" w:fill="244062"/>
            <w:vAlign w:val="center"/>
            <w:hideMark/>
          </w:tcPr>
          <w:p w14:paraId="456A972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Implementation cost</w:t>
            </w:r>
          </w:p>
        </w:tc>
        <w:tc>
          <w:tcPr>
            <w:tcW w:w="6207" w:type="dxa"/>
            <w:gridSpan w:val="3"/>
            <w:tcBorders>
              <w:top w:val="single" w:sz="8" w:space="0" w:color="auto"/>
              <w:left w:val="nil"/>
              <w:bottom w:val="single" w:sz="8" w:space="0" w:color="auto"/>
              <w:right w:val="single" w:sz="8" w:space="0" w:color="000000"/>
            </w:tcBorders>
            <w:vAlign w:val="center"/>
            <w:hideMark/>
          </w:tcPr>
          <w:p w14:paraId="2534CCE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Budget incorporated into all end-use measures</w:t>
            </w:r>
          </w:p>
        </w:tc>
        <w:tc>
          <w:tcPr>
            <w:tcW w:w="222" w:type="dxa"/>
            <w:vAlign w:val="center"/>
            <w:hideMark/>
          </w:tcPr>
          <w:p w14:paraId="75A522FD"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22131B0" w14:textId="77777777" w:rsidTr="00614438">
        <w:trPr>
          <w:trHeight w:val="315"/>
        </w:trPr>
        <w:tc>
          <w:tcPr>
            <w:tcW w:w="3251" w:type="dxa"/>
            <w:tcBorders>
              <w:top w:val="nil"/>
              <w:left w:val="single" w:sz="8" w:space="0" w:color="auto"/>
              <w:bottom w:val="single" w:sz="8" w:space="0" w:color="auto"/>
              <w:right w:val="single" w:sz="8" w:space="0" w:color="auto"/>
            </w:tcBorders>
            <w:shd w:val="clear" w:color="auto" w:fill="244062"/>
            <w:vAlign w:val="center"/>
            <w:hideMark/>
          </w:tcPr>
          <w:p w14:paraId="2EB544D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07" w:type="dxa"/>
            <w:gridSpan w:val="3"/>
            <w:tcBorders>
              <w:top w:val="single" w:sz="8" w:space="0" w:color="auto"/>
              <w:left w:val="nil"/>
              <w:bottom w:val="single" w:sz="8" w:space="0" w:color="auto"/>
              <w:right w:val="single" w:sz="8" w:space="0" w:color="000000"/>
            </w:tcBorders>
            <w:vAlign w:val="center"/>
            <w:hideMark/>
          </w:tcPr>
          <w:p w14:paraId="7B1E0D1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funds from own resources</w:t>
            </w:r>
          </w:p>
        </w:tc>
        <w:tc>
          <w:tcPr>
            <w:tcW w:w="222" w:type="dxa"/>
            <w:vAlign w:val="center"/>
            <w:hideMark/>
          </w:tcPr>
          <w:p w14:paraId="4AE945A2" w14:textId="77777777" w:rsidR="00614438" w:rsidRPr="00AA7A53" w:rsidRDefault="00614438" w:rsidP="00AA7A53">
            <w:pPr>
              <w:spacing w:after="0"/>
              <w:jc w:val="both"/>
              <w:rPr>
                <w:rFonts w:ascii="Times New Roman" w:hAnsi="Times New Roman" w:cs="Times New Roman"/>
                <w:sz w:val="20"/>
                <w:szCs w:val="20"/>
                <w:lang w:val="en-GB"/>
              </w:rPr>
            </w:pPr>
          </w:p>
        </w:tc>
      </w:tr>
    </w:tbl>
    <w:p w14:paraId="7E7C24F8" w14:textId="77777777" w:rsidR="00614438" w:rsidRPr="00AA7A53" w:rsidRDefault="00614438" w:rsidP="00AA7A53">
      <w:pPr>
        <w:spacing w:after="0"/>
        <w:jc w:val="both"/>
        <w:rPr>
          <w:rFonts w:ascii="Times New Roman" w:hAnsi="Times New Roman" w:cs="Times New Roman"/>
          <w:sz w:val="20"/>
          <w:szCs w:val="20"/>
          <w:lang w:val="en-GB"/>
        </w:rPr>
      </w:pPr>
    </w:p>
    <w:p w14:paraId="7BA33DFE" w14:textId="77777777" w:rsidR="00614438" w:rsidRPr="00614438" w:rsidRDefault="00614438" w:rsidP="003061AC">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Except the measures presented in the previous tables, the following measures related to the other dimensions also affect the energy efficiency dimension and contribute to the achievement of the energy efficiency targets:</w:t>
      </w:r>
    </w:p>
    <w:p w14:paraId="408E3BE0"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rPr>
        <w:t>Dimension decarbonisation: PM_D29 – PM_D31, PM_D34, PM_35 and PM_D43</w:t>
      </w:r>
    </w:p>
    <w:p w14:paraId="2B9BCAEE" w14:textId="45E13502" w:rsidR="00614438" w:rsidRPr="00614438" w:rsidRDefault="003061AC" w:rsidP="00614438">
      <w:pPr>
        <w:jc w:val="both"/>
        <w:rPr>
          <w:rFonts w:ascii="Times New Roman" w:hAnsi="Times New Roman" w:cs="Times New Roman"/>
          <w:sz w:val="24"/>
          <w:szCs w:val="24"/>
        </w:rPr>
      </w:pPr>
      <w:r>
        <w:rPr>
          <w:rFonts w:ascii="Times New Roman" w:hAnsi="Times New Roman" w:cs="Times New Roman"/>
          <w:sz w:val="24"/>
          <w:szCs w:val="24"/>
        </w:rPr>
        <w:t xml:space="preserve">The </w:t>
      </w:r>
      <w:r w:rsidR="00614438" w:rsidRPr="00614438">
        <w:rPr>
          <w:rFonts w:ascii="Times New Roman" w:hAnsi="Times New Roman" w:cs="Times New Roman"/>
          <w:sz w:val="24"/>
          <w:szCs w:val="24"/>
        </w:rPr>
        <w:t xml:space="preserve">Dimension </w:t>
      </w:r>
      <w:r>
        <w:rPr>
          <w:rFonts w:ascii="Times New Roman" w:hAnsi="Times New Roman" w:cs="Times New Roman"/>
          <w:sz w:val="24"/>
          <w:szCs w:val="24"/>
        </w:rPr>
        <w:t xml:space="preserve">of </w:t>
      </w:r>
      <w:r w:rsidR="00614438" w:rsidRPr="00614438">
        <w:rPr>
          <w:rFonts w:ascii="Times New Roman" w:hAnsi="Times New Roman" w:cs="Times New Roman"/>
          <w:sz w:val="24"/>
          <w:szCs w:val="24"/>
        </w:rPr>
        <w:t>internal energy market: PM_IEM11, PM_IEM13, PM_IEM17, PM_IEM20 and PM_IEM36</w:t>
      </w:r>
    </w:p>
    <w:p w14:paraId="12C4DC0A" w14:textId="4380B194" w:rsidR="00614438" w:rsidRPr="00614438" w:rsidRDefault="00CD4726" w:rsidP="00CD4726">
      <w:pPr>
        <w:jc w:val="center"/>
        <w:rPr>
          <w:rFonts w:ascii="Times New Roman" w:hAnsi="Times New Roman" w:cs="Times New Roman"/>
          <w:sz w:val="24"/>
          <w:szCs w:val="24"/>
          <w:lang w:val="en-GB"/>
        </w:rPr>
      </w:pPr>
      <w:bookmarkStart w:id="151" w:name="_Toc79772555"/>
      <w:bookmarkStart w:id="152" w:name="_Toc118991775"/>
      <w:bookmarkStart w:id="153" w:name="_Toc153545047"/>
      <w:r>
        <w:rPr>
          <w:rFonts w:ascii="Times New Roman" w:hAnsi="Times New Roman" w:cs="Times New Roman"/>
          <w:sz w:val="24"/>
          <w:szCs w:val="24"/>
          <w:lang w:val="en-GB"/>
        </w:rPr>
        <w:t xml:space="preserve">3.3. The </w:t>
      </w:r>
      <w:r w:rsidR="00614438" w:rsidRPr="00614438">
        <w:rPr>
          <w:rFonts w:ascii="Times New Roman" w:hAnsi="Times New Roman" w:cs="Times New Roman"/>
          <w:sz w:val="24"/>
          <w:szCs w:val="24"/>
          <w:lang w:val="en-GB"/>
        </w:rPr>
        <w:t>Energy Securit</w:t>
      </w:r>
      <w:r>
        <w:rPr>
          <w:rFonts w:ascii="Times New Roman" w:hAnsi="Times New Roman" w:cs="Times New Roman"/>
          <w:sz w:val="24"/>
          <w:szCs w:val="24"/>
          <w:lang w:val="en-GB"/>
        </w:rPr>
        <w:t>y Dimension</w:t>
      </w:r>
      <w:bookmarkEnd w:id="151"/>
      <w:bookmarkEnd w:id="152"/>
      <w:bookmarkEnd w:id="153"/>
    </w:p>
    <w:p w14:paraId="253A1B5D" w14:textId="22FA9CD2" w:rsidR="00614438" w:rsidRPr="00614438" w:rsidRDefault="00614438" w:rsidP="00CD472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For the achievement of the target regarding the energy security, </w:t>
      </w:r>
      <w:r w:rsidR="00CD4726">
        <w:rPr>
          <w:rFonts w:ascii="Times New Roman" w:hAnsi="Times New Roman" w:cs="Times New Roman"/>
          <w:sz w:val="24"/>
          <w:szCs w:val="24"/>
          <w:lang w:val="en-GB"/>
        </w:rPr>
        <w:t>7</w:t>
      </w:r>
      <w:r w:rsidRPr="00614438">
        <w:rPr>
          <w:rFonts w:ascii="Times New Roman" w:hAnsi="Times New Roman" w:cs="Times New Roman"/>
          <w:sz w:val="24"/>
          <w:szCs w:val="24"/>
          <w:lang w:val="en-GB"/>
        </w:rPr>
        <w:t xml:space="preserve"> policies and measures are defined. The following tables present details for each of them.</w:t>
      </w:r>
    </w:p>
    <w:p w14:paraId="41388D4F"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338"/>
        <w:gridCol w:w="940"/>
        <w:gridCol w:w="944"/>
        <w:gridCol w:w="4266"/>
        <w:gridCol w:w="1212"/>
      </w:tblGrid>
      <w:tr w:rsidR="00614438" w:rsidRPr="00AA7A53" w14:paraId="77454A41" w14:textId="77777777" w:rsidTr="00614438">
        <w:trPr>
          <w:gridAfter w:val="1"/>
          <w:wAfter w:w="1212" w:type="dxa"/>
          <w:trHeight w:val="780"/>
        </w:trPr>
        <w:tc>
          <w:tcPr>
            <w:tcW w:w="3338"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191F75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40" w:type="dxa"/>
            <w:tcBorders>
              <w:top w:val="single" w:sz="8" w:space="0" w:color="auto"/>
              <w:left w:val="nil"/>
              <w:bottom w:val="single" w:sz="8" w:space="0" w:color="auto"/>
              <w:right w:val="single" w:sz="8" w:space="0" w:color="auto"/>
            </w:tcBorders>
            <w:shd w:val="clear" w:color="auto" w:fill="E7E6E6" w:themeFill="background2"/>
            <w:vAlign w:val="center"/>
            <w:hideMark/>
          </w:tcPr>
          <w:p w14:paraId="47CA0D0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PM_ES2</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2D61E81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66" w:type="dxa"/>
            <w:tcBorders>
              <w:top w:val="single" w:sz="8" w:space="0" w:color="auto"/>
              <w:left w:val="nil"/>
              <w:bottom w:val="single" w:sz="8" w:space="0" w:color="auto"/>
              <w:right w:val="single" w:sz="8" w:space="0" w:color="auto"/>
            </w:tcBorders>
            <w:shd w:val="clear" w:color="auto" w:fill="E7E6E6" w:themeFill="background2"/>
            <w:vAlign w:val="center"/>
            <w:hideMark/>
          </w:tcPr>
          <w:p w14:paraId="2012409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Enhancement of regional electricity and gas interconnections</w:t>
            </w:r>
          </w:p>
        </w:tc>
      </w:tr>
      <w:tr w:rsidR="00614438" w:rsidRPr="00AA7A53" w14:paraId="4443F552" w14:textId="77777777" w:rsidTr="00614438">
        <w:trPr>
          <w:gridAfter w:val="1"/>
          <w:wAfter w:w="1212" w:type="dxa"/>
          <w:trHeight w:val="449"/>
        </w:trPr>
        <w:tc>
          <w:tcPr>
            <w:tcW w:w="3338" w:type="dxa"/>
            <w:tcBorders>
              <w:top w:val="nil"/>
              <w:left w:val="single" w:sz="8" w:space="0" w:color="auto"/>
              <w:bottom w:val="single" w:sz="8" w:space="0" w:color="auto"/>
              <w:right w:val="nil"/>
            </w:tcBorders>
            <w:shd w:val="clear" w:color="auto" w:fill="244062"/>
            <w:vAlign w:val="center"/>
            <w:hideMark/>
          </w:tcPr>
          <w:p w14:paraId="383E988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50" w:type="dxa"/>
            <w:gridSpan w:val="3"/>
            <w:tcBorders>
              <w:top w:val="single" w:sz="8" w:space="0" w:color="auto"/>
              <w:left w:val="nil"/>
              <w:bottom w:val="single" w:sz="8" w:space="0" w:color="auto"/>
              <w:right w:val="single" w:sz="8" w:space="0" w:color="000000"/>
            </w:tcBorders>
            <w:vAlign w:val="center"/>
            <w:hideMark/>
          </w:tcPr>
          <w:p w14:paraId="546F134B" w14:textId="2922A29C"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Diversification of routes, reduc</w:t>
            </w:r>
            <w:r w:rsidR="00CD4726" w:rsidRPr="00AA7A53">
              <w:rPr>
                <w:rFonts w:ascii="Times New Roman" w:hAnsi="Times New Roman" w:cs="Times New Roman"/>
                <w:sz w:val="20"/>
                <w:szCs w:val="20"/>
                <w:lang w:val="en-GB"/>
              </w:rPr>
              <w:t>tion of</w:t>
            </w:r>
            <w:r w:rsidRPr="00AA7A53">
              <w:rPr>
                <w:rFonts w:ascii="Times New Roman" w:hAnsi="Times New Roman" w:cs="Times New Roman"/>
                <w:sz w:val="20"/>
                <w:szCs w:val="20"/>
                <w:lang w:val="en-GB"/>
              </w:rPr>
              <w:t xml:space="preserve"> import dependency from a single route and single source, ability to cope with constrained or interrupted supply of an energy source, flexibility of the national energy system, fostering </w:t>
            </w:r>
            <w:r w:rsidR="00CD4726" w:rsidRPr="00AA7A53">
              <w:rPr>
                <w:rFonts w:ascii="Times New Roman" w:hAnsi="Times New Roman" w:cs="Times New Roman"/>
                <w:sz w:val="20"/>
                <w:szCs w:val="20"/>
                <w:lang w:val="en-GB"/>
              </w:rPr>
              <w:t xml:space="preserve">of </w:t>
            </w:r>
            <w:r w:rsidRPr="00AA7A53">
              <w:rPr>
                <w:rFonts w:ascii="Times New Roman" w:hAnsi="Times New Roman" w:cs="Times New Roman"/>
                <w:sz w:val="20"/>
                <w:szCs w:val="20"/>
                <w:lang w:val="en-GB"/>
              </w:rPr>
              <w:t>regional energy cooperation and increas</w:t>
            </w:r>
            <w:r w:rsidR="00CD4726" w:rsidRPr="00AA7A53">
              <w:rPr>
                <w:rFonts w:ascii="Times New Roman" w:hAnsi="Times New Roman" w:cs="Times New Roman"/>
                <w:sz w:val="20"/>
                <w:szCs w:val="20"/>
                <w:lang w:val="en-GB"/>
              </w:rPr>
              <w:t>ed</w:t>
            </w:r>
            <w:r w:rsidRPr="00AA7A53">
              <w:rPr>
                <w:rFonts w:ascii="Times New Roman" w:hAnsi="Times New Roman" w:cs="Times New Roman"/>
                <w:sz w:val="20"/>
                <w:szCs w:val="20"/>
                <w:lang w:val="en-GB"/>
              </w:rPr>
              <w:t xml:space="preserve"> regional market integration.</w:t>
            </w:r>
          </w:p>
        </w:tc>
      </w:tr>
      <w:tr w:rsidR="00614438" w:rsidRPr="00AA7A53" w14:paraId="3C43BA4F" w14:textId="77777777" w:rsidTr="00614438">
        <w:trPr>
          <w:gridAfter w:val="1"/>
          <w:wAfter w:w="1212" w:type="dxa"/>
          <w:trHeight w:val="315"/>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7E2712C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50" w:type="dxa"/>
            <w:gridSpan w:val="3"/>
            <w:tcBorders>
              <w:top w:val="single" w:sz="8" w:space="0" w:color="auto"/>
              <w:left w:val="nil"/>
              <w:bottom w:val="single" w:sz="8" w:space="0" w:color="auto"/>
              <w:right w:val="single" w:sz="8" w:space="0" w:color="000000"/>
            </w:tcBorders>
            <w:vAlign w:val="center"/>
            <w:hideMark/>
          </w:tcPr>
          <w:p w14:paraId="3C08E4F1" w14:textId="2CDC0E61"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interconnection capacities. For further details please check the specific PMs in the next section “</w:t>
            </w:r>
            <w:r w:rsidR="00C17B19" w:rsidRPr="00AA7A53">
              <w:rPr>
                <w:rFonts w:ascii="Times New Roman" w:hAnsi="Times New Roman" w:cs="Times New Roman"/>
                <w:sz w:val="20"/>
                <w:szCs w:val="20"/>
                <w:lang w:val="en-GB"/>
              </w:rPr>
              <w:t xml:space="preserve">The </w:t>
            </w:r>
            <w:r w:rsidRPr="00AA7A53">
              <w:rPr>
                <w:rFonts w:ascii="Times New Roman" w:hAnsi="Times New Roman" w:cs="Times New Roman"/>
                <w:sz w:val="20"/>
                <w:szCs w:val="20"/>
                <w:lang w:val="en-GB"/>
              </w:rPr>
              <w:t>Dimension</w:t>
            </w:r>
            <w:r w:rsidR="00CD4726" w:rsidRPr="00AA7A53">
              <w:rPr>
                <w:rFonts w:ascii="Times New Roman" w:hAnsi="Times New Roman" w:cs="Times New Roman"/>
                <w:sz w:val="20"/>
                <w:szCs w:val="20"/>
                <w:lang w:val="en-GB"/>
              </w:rPr>
              <w:t xml:space="preserve"> of</w:t>
            </w:r>
            <w:r w:rsidRPr="00AA7A53">
              <w:rPr>
                <w:rFonts w:ascii="Times New Roman" w:hAnsi="Times New Roman" w:cs="Times New Roman"/>
                <w:sz w:val="20"/>
                <w:szCs w:val="20"/>
                <w:lang w:val="en-GB"/>
              </w:rPr>
              <w:t xml:space="preserve"> Internal Energy Market”.</w:t>
            </w:r>
          </w:p>
        </w:tc>
      </w:tr>
      <w:tr w:rsidR="00614438" w:rsidRPr="00AA7A53" w14:paraId="31C2C735" w14:textId="77777777" w:rsidTr="00614438">
        <w:trPr>
          <w:gridAfter w:val="1"/>
          <w:wAfter w:w="1212" w:type="dxa"/>
          <w:trHeight w:val="584"/>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0D4F2A7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50" w:type="dxa"/>
            <w:gridSpan w:val="3"/>
            <w:tcBorders>
              <w:top w:val="single" w:sz="8" w:space="0" w:color="auto"/>
              <w:left w:val="nil"/>
              <w:bottom w:val="single" w:sz="8" w:space="0" w:color="auto"/>
              <w:right w:val="single" w:sz="8" w:space="0" w:color="000000"/>
            </w:tcBorders>
            <w:vAlign w:val="center"/>
            <w:hideMark/>
          </w:tcPr>
          <w:p w14:paraId="311DC352" w14:textId="691B134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PM_ES2 aligns with the EU Energy System Integration Strategy which aims for more physical links between energy carriers. This calls for a new, holistic approach for both large-scale and local infrastructure planning, including the protection and resilience of critical infrastructures. Furthermore, the strategy infers that infrastructure planning should facilitate the integration of various energy carriers and arbitrate between the development of new infrastructure or re-purposing of existing ones. In response</w:t>
            </w:r>
            <w:r w:rsidR="00C17B19"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Serbia should follow the developments in regards to the revision of the of the TEN-E and TEN-T regulations which will fully support a more integrated energy system, including through greater synergies between the energy and transport infrastructure. In addition, the </w:t>
            </w:r>
            <w:r w:rsidR="00C17B19" w:rsidRPr="00AA7A53">
              <w:rPr>
                <w:rFonts w:ascii="Times New Roman" w:hAnsi="Times New Roman" w:cs="Times New Roman"/>
                <w:sz w:val="20"/>
                <w:szCs w:val="20"/>
                <w:lang w:val="en-GB"/>
              </w:rPr>
              <w:t>Republic of Serbia</w:t>
            </w:r>
            <w:r w:rsidRPr="00AA7A53">
              <w:rPr>
                <w:rFonts w:ascii="Times New Roman" w:hAnsi="Times New Roman" w:cs="Times New Roman"/>
                <w:sz w:val="20"/>
                <w:szCs w:val="20"/>
                <w:lang w:val="en-GB"/>
              </w:rPr>
              <w:t xml:space="preserve"> should follow-on with the developments in the EU and review the scope and governance of the TYNDP </w:t>
            </w:r>
            <w:r w:rsidR="00C17B19" w:rsidRPr="00AA7A53">
              <w:rPr>
                <w:rFonts w:ascii="Times New Roman" w:hAnsi="Times New Roman" w:cs="Times New Roman"/>
                <w:sz w:val="20"/>
                <w:szCs w:val="20"/>
                <w:lang w:val="en-GB"/>
              </w:rPr>
              <w:t xml:space="preserve">project, </w:t>
            </w:r>
            <w:r w:rsidRPr="00AA7A53">
              <w:rPr>
                <w:rFonts w:ascii="Times New Roman" w:hAnsi="Times New Roman" w:cs="Times New Roman"/>
                <w:sz w:val="20"/>
                <w:szCs w:val="20"/>
                <w:lang w:val="en-GB"/>
              </w:rPr>
              <w:t xml:space="preserve">to ensure full consistency with the EU’s decarbonisation objectives and cross-sectoral infrastructure planning as part of the revision of the TEN-E Regulation and other relevant legislation. </w:t>
            </w:r>
            <w:r w:rsidRPr="00AA7A53">
              <w:rPr>
                <w:rFonts w:ascii="Times New Roman" w:hAnsi="Times New Roman" w:cs="Times New Roman"/>
                <w:sz w:val="20"/>
                <w:szCs w:val="20"/>
                <w:lang w:val="en-GB"/>
              </w:rPr>
              <w:br/>
            </w:r>
            <w:r w:rsidR="00C17B19" w:rsidRPr="00AA7A53">
              <w:rPr>
                <w:rFonts w:ascii="Times New Roman" w:hAnsi="Times New Roman" w:cs="Times New Roman"/>
                <w:sz w:val="20"/>
                <w:szCs w:val="20"/>
                <w:lang w:val="en-GB"/>
              </w:rPr>
              <w:t>PM_</w:t>
            </w:r>
            <w:r w:rsidRPr="00AA7A53">
              <w:rPr>
                <w:rFonts w:ascii="Times New Roman" w:hAnsi="Times New Roman" w:cs="Times New Roman"/>
                <w:sz w:val="20"/>
                <w:szCs w:val="20"/>
                <w:lang w:val="en-GB"/>
              </w:rPr>
              <w:t xml:space="preserve">ES2 for Electricity includes the Interconnection projects </w:t>
            </w:r>
            <w:r w:rsidR="00C17B19" w:rsidRPr="00AA7A53">
              <w:rPr>
                <w:rFonts w:ascii="Times New Roman" w:hAnsi="Times New Roman" w:cs="Times New Roman"/>
                <w:sz w:val="20"/>
                <w:szCs w:val="20"/>
                <w:lang w:val="en-GB"/>
              </w:rPr>
              <w:t xml:space="preserve">which </w:t>
            </w:r>
            <w:r w:rsidRPr="00AA7A53">
              <w:rPr>
                <w:rFonts w:ascii="Times New Roman" w:hAnsi="Times New Roman" w:cs="Times New Roman"/>
                <w:sz w:val="20"/>
                <w:szCs w:val="20"/>
                <w:lang w:val="en-GB"/>
              </w:rPr>
              <w:t>are included in the Serbian TYNDP 2021-2030, namely: 1) Trans</w:t>
            </w:r>
            <w:r w:rsidR="00CD4726" w:rsidRPr="00AA7A53">
              <w:rPr>
                <w:rFonts w:ascii="Times New Roman" w:hAnsi="Times New Roman" w:cs="Times New Roman"/>
                <w:sz w:val="20"/>
                <w:szCs w:val="20"/>
                <w:lang w:val="en-GB"/>
              </w:rPr>
              <w:t>-B</w:t>
            </w:r>
            <w:r w:rsidRPr="00AA7A53">
              <w:rPr>
                <w:rFonts w:ascii="Times New Roman" w:hAnsi="Times New Roman" w:cs="Times New Roman"/>
                <w:sz w:val="20"/>
                <w:szCs w:val="20"/>
                <w:lang w:val="en-GB"/>
              </w:rPr>
              <w:t>alkan Corridor – first phase, 2) North Corridor, 3) Central-Balkan</w:t>
            </w:r>
            <w:r w:rsidR="00C17B19" w:rsidRPr="00AA7A53">
              <w:rPr>
                <w:rFonts w:ascii="Times New Roman" w:hAnsi="Times New Roman" w:cs="Times New Roman"/>
                <w:sz w:val="20"/>
                <w:szCs w:val="20"/>
                <w:lang w:val="en-GB"/>
              </w:rPr>
              <w:t>s</w:t>
            </w:r>
            <w:r w:rsidRPr="00AA7A53">
              <w:rPr>
                <w:rFonts w:ascii="Times New Roman" w:hAnsi="Times New Roman" w:cs="Times New Roman"/>
                <w:sz w:val="20"/>
                <w:szCs w:val="20"/>
                <w:lang w:val="en-GB"/>
              </w:rPr>
              <w:t xml:space="preserve"> Corridor with an implementation horizon after 2030 and 4) Pannonian corridor with an implementation horizon after 2030 but not later than 2035 and the 400 kV OHL between Serbia and Croatia</w:t>
            </w:r>
            <w:r w:rsidR="00C17B19"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with an implementation horizon that extends beyond 2030. (Important note: the aforementioned electricity projects are discussed on an individual basis later on in the description of measures PM_IEM2 to PM_IEM7)</w:t>
            </w:r>
          </w:p>
          <w:p w14:paraId="5DDAE65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PM_ES2 for gas includes the cumulative interconnections may be considered as stemming from PLIMA and relevant to gas interconnections: </w:t>
            </w:r>
            <w:r w:rsidRPr="00AA7A53">
              <w:rPr>
                <w:rFonts w:ascii="Times New Roman" w:hAnsi="Times New Roman" w:cs="Times New Roman"/>
                <w:sz w:val="20"/>
                <w:szCs w:val="20"/>
                <w:lang w:val="en-GB"/>
              </w:rPr>
              <w:lastRenderedPageBreak/>
              <w:t>Gas_10 (TRA-N-70) Interconnector Serbia-Croatia, Gas_11 (TRA-N-965) Interconnector Serbia-North Macedonia, G08 Serbia-Romania (not included in ENTSOG TYNDP 2020, TRA-N-1268 in TYNDP 2018).</w:t>
            </w:r>
          </w:p>
        </w:tc>
      </w:tr>
      <w:tr w:rsidR="00614438" w:rsidRPr="00AA7A53" w14:paraId="134DB625" w14:textId="77777777" w:rsidTr="00614438">
        <w:trPr>
          <w:gridAfter w:val="1"/>
          <w:wAfter w:w="1212" w:type="dxa"/>
          <w:trHeight w:val="315"/>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186119E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Implementation Timeframe</w:t>
            </w:r>
          </w:p>
        </w:tc>
        <w:tc>
          <w:tcPr>
            <w:tcW w:w="6150" w:type="dxa"/>
            <w:gridSpan w:val="3"/>
            <w:tcBorders>
              <w:top w:val="single" w:sz="8" w:space="0" w:color="auto"/>
              <w:left w:val="nil"/>
              <w:bottom w:val="single" w:sz="8" w:space="0" w:color="auto"/>
              <w:right w:val="single" w:sz="8" w:space="0" w:color="000000"/>
            </w:tcBorders>
            <w:vAlign w:val="center"/>
            <w:hideMark/>
          </w:tcPr>
          <w:p w14:paraId="602C01CB" w14:textId="13E0F9D2"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C17B19"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44265D74" w14:textId="77777777" w:rsidTr="00614438">
        <w:trPr>
          <w:gridAfter w:val="1"/>
          <w:wAfter w:w="1212" w:type="dxa"/>
          <w:trHeight w:val="315"/>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2751646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50" w:type="dxa"/>
            <w:gridSpan w:val="3"/>
            <w:tcBorders>
              <w:top w:val="single" w:sz="8" w:space="0" w:color="auto"/>
              <w:left w:val="nil"/>
              <w:bottom w:val="single" w:sz="8" w:space="0" w:color="auto"/>
              <w:right w:val="single" w:sz="8" w:space="0" w:color="000000"/>
            </w:tcBorders>
            <w:vAlign w:val="center"/>
            <w:hideMark/>
          </w:tcPr>
          <w:p w14:paraId="7885E81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0CDE1B1A" w14:textId="77777777" w:rsidTr="00614438">
        <w:trPr>
          <w:gridAfter w:val="1"/>
          <w:wAfter w:w="1212" w:type="dxa"/>
          <w:trHeight w:val="315"/>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0EDBF88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50" w:type="dxa"/>
            <w:gridSpan w:val="3"/>
            <w:tcBorders>
              <w:top w:val="single" w:sz="8" w:space="0" w:color="auto"/>
              <w:left w:val="nil"/>
              <w:bottom w:val="single" w:sz="8" w:space="0" w:color="auto"/>
              <w:right w:val="single" w:sz="8" w:space="0" w:color="000000"/>
            </w:tcBorders>
            <w:vAlign w:val="center"/>
            <w:hideMark/>
          </w:tcPr>
          <w:p w14:paraId="27DAB85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Electricity, Gas</w:t>
            </w:r>
          </w:p>
        </w:tc>
      </w:tr>
      <w:tr w:rsidR="00614438" w:rsidRPr="00AA7A53" w14:paraId="28043465" w14:textId="77777777" w:rsidTr="00614438">
        <w:trPr>
          <w:gridAfter w:val="1"/>
          <w:wAfter w:w="1212" w:type="dxa"/>
          <w:trHeight w:val="315"/>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3FC26AD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50" w:type="dxa"/>
            <w:gridSpan w:val="3"/>
            <w:tcBorders>
              <w:top w:val="single" w:sz="8" w:space="0" w:color="auto"/>
              <w:left w:val="nil"/>
              <w:bottom w:val="single" w:sz="8" w:space="0" w:color="auto"/>
              <w:right w:val="single" w:sz="8" w:space="0" w:color="000000"/>
            </w:tcBorders>
            <w:vAlign w:val="center"/>
            <w:hideMark/>
          </w:tcPr>
          <w:p w14:paraId="2E4DDB1E" w14:textId="37A488D9" w:rsidR="00614438" w:rsidRPr="00AA7A53" w:rsidRDefault="00C17B19" w:rsidP="00AA7A53">
            <w:pPr>
              <w:numPr>
                <w:ilvl w:val="0"/>
                <w:numId w:val="125"/>
              </w:numPr>
              <w:spacing w:after="0"/>
              <w:jc w:val="both"/>
              <w:rPr>
                <w:rFonts w:ascii="Times New Roman" w:hAnsi="Times New Roman" w:cs="Times New Roman"/>
                <w:sz w:val="20"/>
                <w:szCs w:val="20"/>
              </w:rPr>
            </w:pPr>
            <w:r w:rsidRPr="00AA7A53">
              <w:rPr>
                <w:rFonts w:ascii="Times New Roman" w:hAnsi="Times New Roman" w:cs="Times New Roman"/>
                <w:sz w:val="20"/>
                <w:szCs w:val="20"/>
              </w:rPr>
              <w:t>JSC “Elektromreza Srbije”</w:t>
            </w:r>
          </w:p>
          <w:p w14:paraId="3EA3ABD7" w14:textId="26BFA452" w:rsidR="00614438" w:rsidRPr="00AA7A53" w:rsidRDefault="00C17B19" w:rsidP="00AA7A53">
            <w:pPr>
              <w:numPr>
                <w:ilvl w:val="0"/>
                <w:numId w:val="125"/>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PE </w:t>
            </w:r>
            <w:r w:rsidR="00614438" w:rsidRPr="00AA7A53">
              <w:rPr>
                <w:rFonts w:ascii="Times New Roman" w:hAnsi="Times New Roman" w:cs="Times New Roman"/>
                <w:sz w:val="20"/>
                <w:szCs w:val="20"/>
              </w:rPr>
              <w:t>Srbijagas</w:t>
            </w:r>
          </w:p>
        </w:tc>
      </w:tr>
      <w:tr w:rsidR="00614438" w:rsidRPr="00AA7A53" w14:paraId="7398553D" w14:textId="77777777" w:rsidTr="00614438">
        <w:trPr>
          <w:gridAfter w:val="1"/>
          <w:wAfter w:w="1212" w:type="dxa"/>
          <w:trHeight w:val="315"/>
        </w:trPr>
        <w:tc>
          <w:tcPr>
            <w:tcW w:w="3338" w:type="dxa"/>
            <w:tcBorders>
              <w:top w:val="nil"/>
              <w:left w:val="single" w:sz="8" w:space="0" w:color="auto"/>
              <w:bottom w:val="single" w:sz="8" w:space="0" w:color="auto"/>
              <w:right w:val="nil"/>
            </w:tcBorders>
            <w:shd w:val="clear" w:color="auto" w:fill="244062"/>
            <w:vAlign w:val="center"/>
            <w:hideMark/>
          </w:tcPr>
          <w:p w14:paraId="445ABFA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50" w:type="dxa"/>
            <w:gridSpan w:val="3"/>
            <w:tcBorders>
              <w:top w:val="single" w:sz="8" w:space="0" w:color="auto"/>
              <w:left w:val="nil"/>
              <w:bottom w:val="single" w:sz="8" w:space="0" w:color="auto"/>
              <w:right w:val="single" w:sz="8" w:space="0" w:color="000000"/>
            </w:tcBorders>
            <w:vAlign w:val="center"/>
            <w:hideMark/>
          </w:tcPr>
          <w:p w14:paraId="6876ABDA" w14:textId="77777777" w:rsidR="00614438" w:rsidRPr="00AA7A53" w:rsidRDefault="00614438" w:rsidP="00AA7A53">
            <w:pPr>
              <w:numPr>
                <w:ilvl w:val="0"/>
                <w:numId w:val="12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2BABA9A8" w14:textId="77777777" w:rsidR="00614438" w:rsidRPr="00AA7A53" w:rsidRDefault="00614438" w:rsidP="00AA7A53">
            <w:pPr>
              <w:numPr>
                <w:ilvl w:val="0"/>
                <w:numId w:val="12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tc>
      </w:tr>
      <w:tr w:rsidR="00614438" w:rsidRPr="00AA7A53" w14:paraId="2533F1B9" w14:textId="77777777" w:rsidTr="00614438">
        <w:trPr>
          <w:gridAfter w:val="1"/>
          <w:wAfter w:w="1212" w:type="dxa"/>
          <w:trHeight w:val="315"/>
        </w:trPr>
        <w:tc>
          <w:tcPr>
            <w:tcW w:w="3338" w:type="dxa"/>
            <w:tcBorders>
              <w:top w:val="nil"/>
              <w:left w:val="single" w:sz="8" w:space="0" w:color="auto"/>
              <w:bottom w:val="single" w:sz="8" w:space="0" w:color="auto"/>
              <w:right w:val="nil"/>
            </w:tcBorders>
            <w:shd w:val="clear" w:color="auto" w:fill="244062"/>
            <w:vAlign w:val="center"/>
            <w:hideMark/>
          </w:tcPr>
          <w:p w14:paraId="360B02B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50" w:type="dxa"/>
            <w:gridSpan w:val="3"/>
            <w:tcBorders>
              <w:top w:val="single" w:sz="8" w:space="0" w:color="auto"/>
              <w:left w:val="nil"/>
              <w:bottom w:val="single" w:sz="8" w:space="0" w:color="auto"/>
              <w:right w:val="single" w:sz="8" w:space="0" w:color="000000"/>
            </w:tcBorders>
            <w:vAlign w:val="center"/>
            <w:hideMark/>
          </w:tcPr>
          <w:p w14:paraId="5F74F6F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Interconnectivity targets</w:t>
            </w:r>
          </w:p>
        </w:tc>
      </w:tr>
      <w:tr w:rsidR="00614438" w:rsidRPr="00AA7A53" w14:paraId="78BCD8EB" w14:textId="77777777" w:rsidTr="00614438">
        <w:trPr>
          <w:gridAfter w:val="1"/>
          <w:wAfter w:w="1212" w:type="dxa"/>
          <w:trHeight w:val="804"/>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54CD075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50" w:type="dxa"/>
            <w:gridSpan w:val="3"/>
            <w:tcBorders>
              <w:top w:val="single" w:sz="8" w:space="0" w:color="auto"/>
              <w:left w:val="nil"/>
              <w:bottom w:val="single" w:sz="8" w:space="0" w:color="auto"/>
              <w:right w:val="single" w:sz="8" w:space="0" w:color="000000"/>
            </w:tcBorders>
            <w:vAlign w:val="center"/>
            <w:hideMark/>
          </w:tcPr>
          <w:p w14:paraId="589EA8B5" w14:textId="77777777" w:rsidR="00614438" w:rsidRPr="00AA7A53" w:rsidRDefault="00614438" w:rsidP="00AA7A53">
            <w:pPr>
              <w:numPr>
                <w:ilvl w:val="0"/>
                <w:numId w:val="125"/>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p w14:paraId="59BB1260" w14:textId="77777777" w:rsidR="00614438" w:rsidRPr="00AA7A53" w:rsidRDefault="00614438" w:rsidP="00AA7A53">
            <w:pPr>
              <w:numPr>
                <w:ilvl w:val="0"/>
                <w:numId w:val="125"/>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7814A3C8" w14:textId="77777777" w:rsidTr="00614438">
        <w:trPr>
          <w:gridAfter w:val="1"/>
          <w:wAfter w:w="1212" w:type="dxa"/>
          <w:trHeight w:val="458"/>
        </w:trPr>
        <w:tc>
          <w:tcPr>
            <w:tcW w:w="3338" w:type="dxa"/>
            <w:vMerge w:val="restart"/>
            <w:tcBorders>
              <w:top w:val="nil"/>
              <w:left w:val="single" w:sz="8" w:space="0" w:color="auto"/>
              <w:bottom w:val="single" w:sz="8" w:space="0" w:color="000000"/>
              <w:right w:val="single" w:sz="8" w:space="0" w:color="auto"/>
            </w:tcBorders>
            <w:shd w:val="clear" w:color="auto" w:fill="244062"/>
            <w:vAlign w:val="center"/>
            <w:hideMark/>
          </w:tcPr>
          <w:p w14:paraId="7FDAACB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5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03213111" w14:textId="77777777" w:rsidR="00614438" w:rsidRPr="00AA7A53" w:rsidRDefault="00614438" w:rsidP="00AA7A53">
            <w:pPr>
              <w:numPr>
                <w:ilvl w:val="0"/>
                <w:numId w:val="126"/>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2009/72/EC</w:t>
            </w:r>
          </w:p>
          <w:p w14:paraId="2B641665" w14:textId="77777777" w:rsidR="00614438" w:rsidRPr="00AA7A53" w:rsidRDefault="00614438" w:rsidP="00AA7A53">
            <w:pPr>
              <w:numPr>
                <w:ilvl w:val="0"/>
                <w:numId w:val="126"/>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2009/73/EC</w:t>
            </w:r>
          </w:p>
          <w:p w14:paraId="39BBE388" w14:textId="210F9C82" w:rsidR="00614438" w:rsidRPr="00AA7A53" w:rsidRDefault="00614438" w:rsidP="00AA7A53">
            <w:pPr>
              <w:numPr>
                <w:ilvl w:val="0"/>
                <w:numId w:val="126"/>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No</w:t>
            </w:r>
            <w:r w:rsidR="00C17B19" w:rsidRPr="00AA7A53">
              <w:rPr>
                <w:rFonts w:ascii="Times New Roman" w:hAnsi="Times New Roman" w:cs="Times New Roman"/>
                <w:sz w:val="20"/>
                <w:szCs w:val="20"/>
              </w:rPr>
              <w:t>.</w:t>
            </w:r>
            <w:r w:rsidRPr="00AA7A53">
              <w:rPr>
                <w:rFonts w:ascii="Times New Roman" w:hAnsi="Times New Roman" w:cs="Times New Roman"/>
                <w:sz w:val="20"/>
                <w:szCs w:val="20"/>
              </w:rPr>
              <w:t xml:space="preserve"> 347/2013</w:t>
            </w:r>
          </w:p>
        </w:tc>
      </w:tr>
      <w:tr w:rsidR="00614438" w:rsidRPr="00AA7A53" w14:paraId="3B5538CE"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4ADC2585"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A982E83"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3B3D579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F668739"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4F711C97"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16299F5"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7EB92251"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31B0CA73" w14:textId="77777777" w:rsidTr="00614438">
        <w:trPr>
          <w:trHeight w:val="780"/>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3B5E4AA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50" w:type="dxa"/>
            <w:gridSpan w:val="3"/>
            <w:tcBorders>
              <w:top w:val="single" w:sz="8" w:space="0" w:color="auto"/>
              <w:left w:val="nil"/>
              <w:bottom w:val="single" w:sz="8" w:space="0" w:color="auto"/>
              <w:right w:val="single" w:sz="8" w:space="0" w:color="000000"/>
            </w:tcBorders>
            <w:vAlign w:val="center"/>
            <w:hideMark/>
          </w:tcPr>
          <w:p w14:paraId="2B63DF29" w14:textId="77777777" w:rsidR="00614438" w:rsidRPr="00AA7A53" w:rsidRDefault="00614438" w:rsidP="00AA7A53">
            <w:pPr>
              <w:numPr>
                <w:ilvl w:val="0"/>
                <w:numId w:val="127"/>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w:t>
            </w:r>
          </w:p>
          <w:p w14:paraId="3174FB97" w14:textId="77777777" w:rsidR="00614438" w:rsidRPr="00AA7A53" w:rsidRDefault="00614438" w:rsidP="00AA7A53">
            <w:pPr>
              <w:numPr>
                <w:ilvl w:val="0"/>
                <w:numId w:val="127"/>
              </w:numPr>
              <w:spacing w:after="0"/>
              <w:jc w:val="both"/>
              <w:rPr>
                <w:rFonts w:ascii="Times New Roman" w:hAnsi="Times New Roman" w:cs="Times New Roman"/>
                <w:sz w:val="20"/>
                <w:szCs w:val="20"/>
              </w:rPr>
            </w:pPr>
            <w:r w:rsidRPr="00AA7A53">
              <w:rPr>
                <w:rFonts w:ascii="Times New Roman" w:hAnsi="Times New Roman" w:cs="Times New Roman"/>
                <w:sz w:val="20"/>
                <w:szCs w:val="20"/>
              </w:rPr>
              <w:t>Serbian TYNDP 2021-2030</w:t>
            </w:r>
          </w:p>
        </w:tc>
        <w:tc>
          <w:tcPr>
            <w:tcW w:w="1212" w:type="dxa"/>
            <w:vAlign w:val="center"/>
            <w:hideMark/>
          </w:tcPr>
          <w:p w14:paraId="6FE4A592"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EFBB724" w14:textId="77777777" w:rsidTr="00614438">
        <w:trPr>
          <w:trHeight w:val="315"/>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665373B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50" w:type="dxa"/>
            <w:gridSpan w:val="3"/>
            <w:tcBorders>
              <w:top w:val="single" w:sz="8" w:space="0" w:color="auto"/>
              <w:left w:val="nil"/>
              <w:bottom w:val="single" w:sz="8" w:space="0" w:color="auto"/>
              <w:right w:val="single" w:sz="8" w:space="0" w:color="000000"/>
            </w:tcBorders>
            <w:vAlign w:val="center"/>
            <w:hideMark/>
          </w:tcPr>
          <w:p w14:paraId="2A8B40C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187.2 M€</w:t>
            </w:r>
          </w:p>
        </w:tc>
        <w:tc>
          <w:tcPr>
            <w:tcW w:w="1212" w:type="dxa"/>
            <w:vAlign w:val="center"/>
            <w:hideMark/>
          </w:tcPr>
          <w:p w14:paraId="3B419B9D"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E895F1B" w14:textId="77777777" w:rsidTr="00614438">
        <w:trPr>
          <w:trHeight w:val="315"/>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79ADC98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50" w:type="dxa"/>
            <w:gridSpan w:val="3"/>
            <w:tcBorders>
              <w:top w:val="single" w:sz="8" w:space="0" w:color="auto"/>
              <w:left w:val="nil"/>
              <w:bottom w:val="single" w:sz="8" w:space="0" w:color="auto"/>
              <w:right w:val="single" w:sz="8" w:space="0" w:color="000000"/>
            </w:tcBorders>
            <w:vAlign w:val="center"/>
            <w:hideMark/>
          </w:tcPr>
          <w:p w14:paraId="1B18232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1212" w:type="dxa"/>
            <w:vAlign w:val="center"/>
            <w:hideMark/>
          </w:tcPr>
          <w:p w14:paraId="08090ECC" w14:textId="77777777" w:rsidR="00614438" w:rsidRPr="00AA7A53" w:rsidRDefault="00614438" w:rsidP="00AA7A53">
            <w:pPr>
              <w:spacing w:after="0"/>
              <w:jc w:val="both"/>
              <w:rPr>
                <w:rFonts w:ascii="Times New Roman" w:hAnsi="Times New Roman" w:cs="Times New Roman"/>
                <w:sz w:val="20"/>
                <w:szCs w:val="20"/>
                <w:lang w:val="en-GB"/>
              </w:rPr>
            </w:pPr>
          </w:p>
        </w:tc>
      </w:tr>
    </w:tbl>
    <w:p w14:paraId="57127516"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342"/>
        <w:gridCol w:w="942"/>
        <w:gridCol w:w="945"/>
        <w:gridCol w:w="4259"/>
        <w:gridCol w:w="1212"/>
      </w:tblGrid>
      <w:tr w:rsidR="00614438" w:rsidRPr="00AA7A53" w14:paraId="25AA8B0C" w14:textId="77777777" w:rsidTr="00614438">
        <w:trPr>
          <w:gridAfter w:val="1"/>
          <w:wAfter w:w="1212" w:type="dxa"/>
          <w:trHeight w:val="780"/>
        </w:trPr>
        <w:tc>
          <w:tcPr>
            <w:tcW w:w="3342"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7A22A48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42" w:type="dxa"/>
            <w:tcBorders>
              <w:top w:val="single" w:sz="8" w:space="0" w:color="auto"/>
              <w:left w:val="nil"/>
              <w:bottom w:val="single" w:sz="8" w:space="0" w:color="auto"/>
              <w:right w:val="single" w:sz="8" w:space="0" w:color="auto"/>
            </w:tcBorders>
            <w:shd w:val="clear" w:color="auto" w:fill="E7E6E6" w:themeFill="background2"/>
            <w:vAlign w:val="center"/>
            <w:hideMark/>
          </w:tcPr>
          <w:p w14:paraId="1E0DEF1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PM_ES3</w:t>
            </w:r>
          </w:p>
        </w:tc>
        <w:tc>
          <w:tcPr>
            <w:tcW w:w="945" w:type="dxa"/>
            <w:tcBorders>
              <w:top w:val="single" w:sz="8" w:space="0" w:color="auto"/>
              <w:left w:val="nil"/>
              <w:bottom w:val="single" w:sz="8" w:space="0" w:color="auto"/>
              <w:right w:val="single" w:sz="8" w:space="0" w:color="auto"/>
            </w:tcBorders>
            <w:shd w:val="clear" w:color="auto" w:fill="244062"/>
            <w:vAlign w:val="center"/>
            <w:hideMark/>
          </w:tcPr>
          <w:p w14:paraId="1798F89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59" w:type="dxa"/>
            <w:tcBorders>
              <w:top w:val="single" w:sz="8" w:space="0" w:color="auto"/>
              <w:left w:val="nil"/>
              <w:bottom w:val="single" w:sz="8" w:space="0" w:color="auto"/>
              <w:right w:val="single" w:sz="8" w:space="0" w:color="auto"/>
            </w:tcBorders>
            <w:shd w:val="clear" w:color="auto" w:fill="E7E6E6" w:themeFill="background2"/>
            <w:vAlign w:val="center"/>
            <w:hideMark/>
          </w:tcPr>
          <w:p w14:paraId="62850F5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Building capacities for electricity storage</w:t>
            </w:r>
          </w:p>
        </w:tc>
      </w:tr>
      <w:tr w:rsidR="00614438" w:rsidRPr="00AA7A53" w14:paraId="4943EA2B" w14:textId="77777777" w:rsidTr="00614438">
        <w:trPr>
          <w:gridAfter w:val="1"/>
          <w:wAfter w:w="1212" w:type="dxa"/>
          <w:trHeight w:val="257"/>
        </w:trPr>
        <w:tc>
          <w:tcPr>
            <w:tcW w:w="3342" w:type="dxa"/>
            <w:tcBorders>
              <w:top w:val="nil"/>
              <w:left w:val="single" w:sz="8" w:space="0" w:color="auto"/>
              <w:bottom w:val="single" w:sz="8" w:space="0" w:color="auto"/>
              <w:right w:val="nil"/>
            </w:tcBorders>
            <w:shd w:val="clear" w:color="auto" w:fill="244062"/>
            <w:vAlign w:val="center"/>
            <w:hideMark/>
          </w:tcPr>
          <w:p w14:paraId="1AA50A4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46" w:type="dxa"/>
            <w:gridSpan w:val="3"/>
            <w:tcBorders>
              <w:top w:val="single" w:sz="8" w:space="0" w:color="auto"/>
              <w:left w:val="nil"/>
              <w:bottom w:val="single" w:sz="8" w:space="0" w:color="auto"/>
              <w:right w:val="single" w:sz="8" w:space="0" w:color="000000"/>
            </w:tcBorders>
            <w:vAlign w:val="center"/>
            <w:hideMark/>
          </w:tcPr>
          <w:p w14:paraId="4888F5A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Ability to cope with constrained or interrupted supply of an energy source, flexibility of the national energy system, development of low carbon new technologies</w:t>
            </w:r>
          </w:p>
        </w:tc>
      </w:tr>
      <w:tr w:rsidR="00614438" w:rsidRPr="00AA7A53" w14:paraId="03D305D0" w14:textId="77777777" w:rsidTr="00614438">
        <w:trPr>
          <w:gridAfter w:val="1"/>
          <w:wAfter w:w="1212" w:type="dxa"/>
          <w:trHeight w:val="251"/>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4D7B54C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46" w:type="dxa"/>
            <w:gridSpan w:val="3"/>
            <w:tcBorders>
              <w:top w:val="single" w:sz="8" w:space="0" w:color="auto"/>
              <w:left w:val="nil"/>
              <w:bottom w:val="single" w:sz="8" w:space="0" w:color="auto"/>
              <w:right w:val="single" w:sz="8" w:space="0" w:color="000000"/>
            </w:tcBorders>
            <w:vAlign w:val="center"/>
            <w:hideMark/>
          </w:tcPr>
          <w:p w14:paraId="0F712CD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Storage capacity [MWh] cumulatively installed in the Serbian power system</w:t>
            </w:r>
          </w:p>
        </w:tc>
      </w:tr>
      <w:tr w:rsidR="00614438" w:rsidRPr="00AA7A53" w14:paraId="78BEF013" w14:textId="77777777" w:rsidTr="00614438">
        <w:trPr>
          <w:gridAfter w:val="1"/>
          <w:wAfter w:w="1212" w:type="dxa"/>
          <w:trHeight w:val="443"/>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5192A2C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6" w:type="dxa"/>
            <w:gridSpan w:val="3"/>
            <w:tcBorders>
              <w:top w:val="single" w:sz="8" w:space="0" w:color="auto"/>
              <w:left w:val="nil"/>
              <w:bottom w:val="single" w:sz="8" w:space="0" w:color="auto"/>
              <w:right w:val="single" w:sz="8" w:space="0" w:color="000000"/>
            </w:tcBorders>
            <w:vAlign w:val="center"/>
            <w:hideMark/>
          </w:tcPr>
          <w:p w14:paraId="017B7833" w14:textId="1E5F3231"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PM_ES3 concerns energy storage which cumulatively address</w:t>
            </w:r>
            <w:r w:rsidR="0073455F" w:rsidRPr="00AA7A53">
              <w:rPr>
                <w:rFonts w:ascii="Times New Roman" w:hAnsi="Times New Roman" w:cs="Times New Roman"/>
                <w:sz w:val="20"/>
                <w:szCs w:val="20"/>
                <w:lang w:val="en-GB"/>
              </w:rPr>
              <w:t>es</w:t>
            </w:r>
            <w:r w:rsidRPr="00AA7A53">
              <w:rPr>
                <w:rFonts w:ascii="Times New Roman" w:hAnsi="Times New Roman" w:cs="Times New Roman"/>
                <w:sz w:val="20"/>
                <w:szCs w:val="20"/>
                <w:lang w:val="en-GB"/>
              </w:rPr>
              <w:t xml:space="preserve"> the aspects of security supply and smart system integration. The </w:t>
            </w:r>
            <w:r w:rsidR="0073455F" w:rsidRPr="00AA7A53">
              <w:rPr>
                <w:rFonts w:ascii="Times New Roman" w:hAnsi="Times New Roman" w:cs="Times New Roman"/>
                <w:sz w:val="20"/>
                <w:szCs w:val="20"/>
                <w:lang w:val="en-GB"/>
              </w:rPr>
              <w:t xml:space="preserve">package “Clean Energy for All”, respectively, </w:t>
            </w:r>
            <w:r w:rsidRPr="00AA7A53">
              <w:rPr>
                <w:rFonts w:ascii="Times New Roman" w:hAnsi="Times New Roman" w:cs="Times New Roman"/>
                <w:sz w:val="20"/>
                <w:szCs w:val="20"/>
                <w:lang w:val="en-GB"/>
              </w:rPr>
              <w:t xml:space="preserve">Electricity Directive (2019/944) and </w:t>
            </w:r>
            <w:r w:rsidR="0073455F" w:rsidRPr="00AA7A53">
              <w:rPr>
                <w:rFonts w:ascii="Times New Roman" w:hAnsi="Times New Roman" w:cs="Times New Roman"/>
                <w:sz w:val="20"/>
                <w:szCs w:val="20"/>
                <w:lang w:val="en-GB"/>
              </w:rPr>
              <w:t>in particular the</w:t>
            </w:r>
            <w:r w:rsidRPr="00AA7A53">
              <w:rPr>
                <w:rFonts w:ascii="Times New Roman" w:hAnsi="Times New Roman" w:cs="Times New Roman"/>
                <w:sz w:val="20"/>
                <w:szCs w:val="20"/>
                <w:lang w:val="en-GB"/>
              </w:rPr>
              <w:t xml:space="preserve"> Electricity Regulation (2019/943) and in particular the latter, aim at setting principles for well-functioning, integrated electricity markets, which allow, </w:t>
            </w:r>
            <w:r w:rsidR="0073455F" w:rsidRPr="00AA7A53">
              <w:rPr>
                <w:rFonts w:ascii="Times New Roman" w:hAnsi="Times New Roman" w:cs="Times New Roman"/>
                <w:sz w:val="20"/>
                <w:szCs w:val="20"/>
                <w:lang w:val="en-GB"/>
              </w:rPr>
              <w:t>among other things</w:t>
            </w:r>
            <w:r w:rsidRPr="00AA7A53">
              <w:rPr>
                <w:rFonts w:ascii="Times New Roman" w:hAnsi="Times New Roman" w:cs="Times New Roman"/>
                <w:sz w:val="20"/>
                <w:szCs w:val="20"/>
                <w:lang w:val="en-GB"/>
              </w:rPr>
              <w:t xml:space="preserve">, for non-discriminatory market access for providers of </w:t>
            </w:r>
            <w:r w:rsidR="0073455F"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demand response</w:t>
            </w:r>
            <w:r w:rsidR="0073455F"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and energy storage services. Member </w:t>
            </w:r>
            <w:r w:rsidR="0073455F" w:rsidRPr="00AA7A53">
              <w:rPr>
                <w:rFonts w:ascii="Times New Roman" w:hAnsi="Times New Roman" w:cs="Times New Roman"/>
                <w:sz w:val="20"/>
                <w:szCs w:val="20"/>
                <w:lang w:val="en-GB"/>
              </w:rPr>
              <w:t>s</w:t>
            </w:r>
            <w:r w:rsidRPr="00AA7A53">
              <w:rPr>
                <w:rFonts w:ascii="Times New Roman" w:hAnsi="Times New Roman" w:cs="Times New Roman"/>
                <w:sz w:val="20"/>
                <w:szCs w:val="20"/>
                <w:lang w:val="en-GB"/>
              </w:rPr>
              <w:t xml:space="preserve">tates should also incentivise transmission and distribution system operators to </w:t>
            </w:r>
            <w:r w:rsidR="0073455F" w:rsidRPr="00AA7A53">
              <w:rPr>
                <w:rFonts w:ascii="Times New Roman" w:hAnsi="Times New Roman" w:cs="Times New Roman"/>
                <w:sz w:val="20"/>
                <w:szCs w:val="20"/>
                <w:lang w:val="en-GB"/>
              </w:rPr>
              <w:t>provide</w:t>
            </w:r>
            <w:r w:rsidRPr="00AA7A53">
              <w:rPr>
                <w:rFonts w:ascii="Times New Roman" w:hAnsi="Times New Roman" w:cs="Times New Roman"/>
                <w:sz w:val="20"/>
                <w:szCs w:val="20"/>
                <w:lang w:val="en-GB"/>
              </w:rPr>
              <w:t xml:space="preserve"> </w:t>
            </w:r>
            <w:r w:rsidR="0073455F" w:rsidRPr="00AA7A53">
              <w:rPr>
                <w:rFonts w:ascii="Times New Roman" w:hAnsi="Times New Roman" w:cs="Times New Roman"/>
                <w:sz w:val="20"/>
                <w:szCs w:val="20"/>
                <w:lang w:val="en-GB"/>
              </w:rPr>
              <w:t>flexible</w:t>
            </w:r>
            <w:r w:rsidRPr="00AA7A53">
              <w:rPr>
                <w:rFonts w:ascii="Times New Roman" w:hAnsi="Times New Roman" w:cs="Times New Roman"/>
                <w:sz w:val="20"/>
                <w:szCs w:val="20"/>
                <w:lang w:val="en-GB"/>
              </w:rPr>
              <w:t xml:space="preserve"> services, including storage services, where th</w:t>
            </w:r>
            <w:r w:rsidR="0073455F" w:rsidRPr="00AA7A53">
              <w:rPr>
                <w:rFonts w:ascii="Times New Roman" w:hAnsi="Times New Roman" w:cs="Times New Roman"/>
                <w:sz w:val="20"/>
                <w:szCs w:val="20"/>
                <w:lang w:val="en-GB"/>
              </w:rPr>
              <w:t>ey represent</w:t>
            </w:r>
            <w:r w:rsidRPr="00AA7A53">
              <w:rPr>
                <w:rFonts w:ascii="Times New Roman" w:hAnsi="Times New Roman" w:cs="Times New Roman"/>
                <w:sz w:val="20"/>
                <w:szCs w:val="20"/>
                <w:lang w:val="en-GB"/>
              </w:rPr>
              <w:t xml:space="preserve"> a better economic option compared to new grid infrastructure. However, a common approach that tackles the known barriers of energy storage (a) grid fees; (b) combining revenues from different services; (c) ownership of energy storage facilities; and (d) combining electricity with other forms of energy, is yet to be developed in Europe</w:t>
            </w:r>
            <w:r w:rsidR="0073455F"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and subsequently in Serbia; e) pump up/storage hydropower plants as a specific form of electricity storage.</w:t>
            </w:r>
          </w:p>
        </w:tc>
      </w:tr>
      <w:tr w:rsidR="00614438" w:rsidRPr="00AA7A53" w14:paraId="3F458FC7" w14:textId="77777777" w:rsidTr="00614438">
        <w:trPr>
          <w:gridAfter w:val="1"/>
          <w:wAfter w:w="1212" w:type="dxa"/>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500D07E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6" w:type="dxa"/>
            <w:gridSpan w:val="3"/>
            <w:tcBorders>
              <w:top w:val="single" w:sz="8" w:space="0" w:color="auto"/>
              <w:left w:val="nil"/>
              <w:bottom w:val="single" w:sz="8" w:space="0" w:color="auto"/>
              <w:right w:val="single" w:sz="8" w:space="0" w:color="000000"/>
            </w:tcBorders>
            <w:vAlign w:val="center"/>
            <w:hideMark/>
          </w:tcPr>
          <w:p w14:paraId="1EF5302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2024-2030</w:t>
            </w:r>
          </w:p>
        </w:tc>
      </w:tr>
      <w:tr w:rsidR="00614438" w:rsidRPr="00AA7A53" w14:paraId="14756EB2" w14:textId="77777777" w:rsidTr="00614438">
        <w:trPr>
          <w:gridAfter w:val="1"/>
          <w:wAfter w:w="1212" w:type="dxa"/>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6AA99AE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6" w:type="dxa"/>
            <w:gridSpan w:val="3"/>
            <w:tcBorders>
              <w:top w:val="single" w:sz="8" w:space="0" w:color="auto"/>
              <w:left w:val="nil"/>
              <w:bottom w:val="single" w:sz="8" w:space="0" w:color="auto"/>
              <w:right w:val="single" w:sz="8" w:space="0" w:color="000000"/>
            </w:tcBorders>
            <w:vAlign w:val="center"/>
            <w:hideMark/>
          </w:tcPr>
          <w:p w14:paraId="07A9B44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21FE9CCC" w14:textId="77777777" w:rsidTr="00614438">
        <w:trPr>
          <w:gridAfter w:val="1"/>
          <w:wAfter w:w="1212" w:type="dxa"/>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78245BE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6" w:type="dxa"/>
            <w:gridSpan w:val="3"/>
            <w:tcBorders>
              <w:top w:val="single" w:sz="8" w:space="0" w:color="auto"/>
              <w:left w:val="nil"/>
              <w:bottom w:val="single" w:sz="8" w:space="0" w:color="auto"/>
              <w:right w:val="single" w:sz="8" w:space="0" w:color="000000"/>
            </w:tcBorders>
            <w:vAlign w:val="center"/>
            <w:hideMark/>
          </w:tcPr>
          <w:p w14:paraId="25E6CAC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Electricity</w:t>
            </w:r>
          </w:p>
        </w:tc>
      </w:tr>
      <w:tr w:rsidR="00614438" w:rsidRPr="00AA7A53" w14:paraId="431D2FA7" w14:textId="77777777" w:rsidTr="00614438">
        <w:trPr>
          <w:gridAfter w:val="1"/>
          <w:wAfter w:w="1212" w:type="dxa"/>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3FD209C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6" w:type="dxa"/>
            <w:gridSpan w:val="3"/>
            <w:tcBorders>
              <w:top w:val="single" w:sz="8" w:space="0" w:color="auto"/>
              <w:left w:val="nil"/>
              <w:bottom w:val="single" w:sz="8" w:space="0" w:color="auto"/>
              <w:right w:val="single" w:sz="8" w:space="0" w:color="000000"/>
            </w:tcBorders>
            <w:vAlign w:val="center"/>
            <w:hideMark/>
          </w:tcPr>
          <w:p w14:paraId="77CE4F64" w14:textId="77777777" w:rsidR="00614438" w:rsidRPr="00AA7A53" w:rsidRDefault="00614438" w:rsidP="00AA7A53">
            <w:pPr>
              <w:numPr>
                <w:ilvl w:val="0"/>
                <w:numId w:val="12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40C89455" w14:textId="5D3C2635" w:rsidR="00614438" w:rsidRPr="00AA7A53" w:rsidRDefault="0073455F" w:rsidP="00AA7A53">
            <w:pPr>
              <w:numPr>
                <w:ilvl w:val="0"/>
                <w:numId w:val="127"/>
              </w:numPr>
              <w:spacing w:after="0"/>
              <w:jc w:val="both"/>
              <w:rPr>
                <w:rFonts w:ascii="Times New Roman" w:hAnsi="Times New Roman" w:cs="Times New Roman"/>
                <w:sz w:val="20"/>
                <w:szCs w:val="20"/>
              </w:rPr>
            </w:pPr>
            <w:r w:rsidRPr="00AA7A53">
              <w:rPr>
                <w:rFonts w:ascii="Times New Roman" w:hAnsi="Times New Roman" w:cs="Times New Roman"/>
                <w:sz w:val="20"/>
                <w:szCs w:val="20"/>
              </w:rPr>
              <w:t>JSC “Elektromreza Srbije”</w:t>
            </w:r>
          </w:p>
          <w:p w14:paraId="152F818D" w14:textId="77777777" w:rsidR="0073455F" w:rsidRPr="00AA7A53" w:rsidRDefault="0073455F" w:rsidP="00AA7A53">
            <w:pPr>
              <w:numPr>
                <w:ilvl w:val="0"/>
                <w:numId w:val="127"/>
              </w:numPr>
              <w:spacing w:after="0"/>
              <w:jc w:val="both"/>
              <w:rPr>
                <w:rFonts w:ascii="Times New Roman" w:hAnsi="Times New Roman" w:cs="Times New Roman"/>
                <w:sz w:val="20"/>
                <w:szCs w:val="20"/>
              </w:rPr>
            </w:pPr>
            <w:r w:rsidRPr="00AA7A53">
              <w:rPr>
                <w:rFonts w:ascii="Times New Roman" w:hAnsi="Times New Roman" w:cs="Times New Roman"/>
                <w:sz w:val="20"/>
                <w:szCs w:val="20"/>
              </w:rPr>
              <w:t>JSC “Elektroprivreda Srbije”</w:t>
            </w:r>
          </w:p>
          <w:p w14:paraId="1D9DA059" w14:textId="1F68DE93" w:rsidR="00614438" w:rsidRPr="00AA7A53" w:rsidRDefault="00614438" w:rsidP="00AA7A53">
            <w:pPr>
              <w:numPr>
                <w:ilvl w:val="0"/>
                <w:numId w:val="127"/>
              </w:numPr>
              <w:spacing w:after="0"/>
              <w:jc w:val="both"/>
              <w:rPr>
                <w:rFonts w:ascii="Times New Roman" w:hAnsi="Times New Roman" w:cs="Times New Roman"/>
                <w:sz w:val="20"/>
                <w:szCs w:val="20"/>
              </w:rPr>
            </w:pPr>
            <w:r w:rsidRPr="00AA7A53">
              <w:rPr>
                <w:rFonts w:ascii="Times New Roman" w:hAnsi="Times New Roman" w:cs="Times New Roman"/>
                <w:sz w:val="20"/>
                <w:szCs w:val="20"/>
              </w:rPr>
              <w:lastRenderedPageBreak/>
              <w:t xml:space="preserve">Private sector </w:t>
            </w:r>
          </w:p>
        </w:tc>
      </w:tr>
      <w:tr w:rsidR="00614438" w:rsidRPr="00AA7A53" w14:paraId="19463476" w14:textId="77777777" w:rsidTr="00614438">
        <w:trPr>
          <w:gridAfter w:val="1"/>
          <w:wAfter w:w="1212" w:type="dxa"/>
          <w:trHeight w:val="315"/>
        </w:trPr>
        <w:tc>
          <w:tcPr>
            <w:tcW w:w="3342" w:type="dxa"/>
            <w:tcBorders>
              <w:top w:val="nil"/>
              <w:left w:val="single" w:sz="8" w:space="0" w:color="auto"/>
              <w:bottom w:val="single" w:sz="8" w:space="0" w:color="auto"/>
              <w:right w:val="nil"/>
            </w:tcBorders>
            <w:shd w:val="clear" w:color="auto" w:fill="244062"/>
            <w:vAlign w:val="center"/>
            <w:hideMark/>
          </w:tcPr>
          <w:p w14:paraId="51B9F1C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Monitoring Entity</w:t>
            </w:r>
          </w:p>
        </w:tc>
        <w:tc>
          <w:tcPr>
            <w:tcW w:w="6146" w:type="dxa"/>
            <w:gridSpan w:val="3"/>
            <w:tcBorders>
              <w:top w:val="single" w:sz="8" w:space="0" w:color="auto"/>
              <w:left w:val="nil"/>
              <w:bottom w:val="single" w:sz="8" w:space="0" w:color="auto"/>
              <w:right w:val="single" w:sz="8" w:space="0" w:color="000000"/>
            </w:tcBorders>
            <w:vAlign w:val="center"/>
            <w:hideMark/>
          </w:tcPr>
          <w:p w14:paraId="657D76DF" w14:textId="6A8BBA45" w:rsidR="00614438" w:rsidRPr="00AA7A53" w:rsidRDefault="00614438" w:rsidP="00AA7A53">
            <w:pPr>
              <w:numPr>
                <w:ilvl w:val="0"/>
                <w:numId w:val="127"/>
              </w:numPr>
              <w:spacing w:after="0"/>
              <w:jc w:val="both"/>
              <w:rPr>
                <w:rFonts w:ascii="Times New Roman" w:hAnsi="Times New Roman" w:cs="Times New Roman"/>
                <w:sz w:val="20"/>
                <w:szCs w:val="20"/>
              </w:rPr>
            </w:pPr>
            <w:r w:rsidRPr="00AA7A53">
              <w:rPr>
                <w:rFonts w:ascii="Times New Roman" w:hAnsi="Times New Roman" w:cs="Times New Roman"/>
                <w:sz w:val="20"/>
                <w:szCs w:val="20"/>
              </w:rPr>
              <w:t> </w:t>
            </w:r>
            <w:r w:rsidR="0073455F" w:rsidRPr="00AA7A53">
              <w:rPr>
                <w:rFonts w:ascii="Times New Roman" w:hAnsi="Times New Roman" w:cs="Times New Roman"/>
                <w:sz w:val="20"/>
                <w:szCs w:val="20"/>
              </w:rPr>
              <w:t xml:space="preserve">JSC </w:t>
            </w:r>
            <w:r w:rsidRPr="00AA7A53">
              <w:rPr>
                <w:rFonts w:ascii="Times New Roman" w:hAnsi="Times New Roman" w:cs="Times New Roman"/>
                <w:sz w:val="20"/>
                <w:szCs w:val="20"/>
              </w:rPr>
              <w:t>“Elektromreža Srbije“ - EMS</w:t>
            </w:r>
          </w:p>
        </w:tc>
      </w:tr>
      <w:tr w:rsidR="00614438" w:rsidRPr="00AA7A53" w14:paraId="1881D983" w14:textId="77777777" w:rsidTr="00614438">
        <w:trPr>
          <w:gridAfter w:val="1"/>
          <w:wAfter w:w="1212" w:type="dxa"/>
          <w:trHeight w:val="315"/>
        </w:trPr>
        <w:tc>
          <w:tcPr>
            <w:tcW w:w="3342" w:type="dxa"/>
            <w:tcBorders>
              <w:top w:val="nil"/>
              <w:left w:val="single" w:sz="8" w:space="0" w:color="auto"/>
              <w:bottom w:val="single" w:sz="8" w:space="0" w:color="auto"/>
              <w:right w:val="nil"/>
            </w:tcBorders>
            <w:shd w:val="clear" w:color="auto" w:fill="244062"/>
            <w:vAlign w:val="center"/>
            <w:hideMark/>
          </w:tcPr>
          <w:p w14:paraId="3557587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6" w:type="dxa"/>
            <w:gridSpan w:val="3"/>
            <w:tcBorders>
              <w:top w:val="single" w:sz="8" w:space="0" w:color="auto"/>
              <w:left w:val="nil"/>
              <w:bottom w:val="single" w:sz="8" w:space="0" w:color="auto"/>
              <w:right w:val="single" w:sz="8" w:space="0" w:color="000000"/>
            </w:tcBorders>
            <w:vAlign w:val="center"/>
            <w:hideMark/>
          </w:tcPr>
          <w:p w14:paraId="72EA1057" w14:textId="0D75D484"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Variable RE</w:t>
            </w:r>
            <w:r w:rsidR="0073455F" w:rsidRPr="00AA7A53">
              <w:rPr>
                <w:rFonts w:ascii="Times New Roman" w:hAnsi="Times New Roman" w:cs="Times New Roman"/>
                <w:sz w:val="20"/>
                <w:szCs w:val="20"/>
                <w:lang w:val="en-GB"/>
              </w:rPr>
              <w:t>S</w:t>
            </w:r>
            <w:r w:rsidRPr="00AA7A53">
              <w:rPr>
                <w:rFonts w:ascii="Times New Roman" w:hAnsi="Times New Roman" w:cs="Times New Roman"/>
                <w:sz w:val="20"/>
                <w:szCs w:val="20"/>
                <w:lang w:val="en-GB"/>
              </w:rPr>
              <w:t xml:space="preserve"> penetration, curtailed RES electricity</w:t>
            </w:r>
          </w:p>
        </w:tc>
      </w:tr>
      <w:tr w:rsidR="00614438" w:rsidRPr="00AA7A53" w14:paraId="53225C6B" w14:textId="77777777" w:rsidTr="00614438">
        <w:trPr>
          <w:gridAfter w:val="1"/>
          <w:wAfter w:w="1212" w:type="dxa"/>
          <w:trHeight w:val="606"/>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48822C7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6" w:type="dxa"/>
            <w:gridSpan w:val="3"/>
            <w:tcBorders>
              <w:top w:val="single" w:sz="8" w:space="0" w:color="auto"/>
              <w:left w:val="nil"/>
              <w:bottom w:val="single" w:sz="8" w:space="0" w:color="auto"/>
              <w:right w:val="single" w:sz="8" w:space="0" w:color="000000"/>
            </w:tcBorders>
            <w:vAlign w:val="center"/>
            <w:hideMark/>
          </w:tcPr>
          <w:p w14:paraId="44F09BB6" w14:textId="77777777" w:rsidR="00614438" w:rsidRPr="00AA7A53" w:rsidRDefault="00614438" w:rsidP="00AA7A53">
            <w:pPr>
              <w:numPr>
                <w:ilvl w:val="0"/>
                <w:numId w:val="127"/>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p w14:paraId="5D925DB9" w14:textId="77777777" w:rsidR="00614438" w:rsidRPr="00AA7A53" w:rsidRDefault="00614438" w:rsidP="00AA7A53">
            <w:pPr>
              <w:numPr>
                <w:ilvl w:val="0"/>
                <w:numId w:val="127"/>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1B0E7D58" w14:textId="77777777" w:rsidTr="00614438">
        <w:trPr>
          <w:gridAfter w:val="1"/>
          <w:wAfter w:w="1212" w:type="dxa"/>
          <w:trHeight w:val="458"/>
        </w:trPr>
        <w:tc>
          <w:tcPr>
            <w:tcW w:w="3342" w:type="dxa"/>
            <w:vMerge w:val="restart"/>
            <w:tcBorders>
              <w:top w:val="nil"/>
              <w:left w:val="single" w:sz="8" w:space="0" w:color="auto"/>
              <w:bottom w:val="single" w:sz="8" w:space="0" w:color="000000"/>
              <w:right w:val="single" w:sz="8" w:space="0" w:color="auto"/>
            </w:tcBorders>
            <w:shd w:val="clear" w:color="auto" w:fill="244062"/>
            <w:vAlign w:val="center"/>
            <w:hideMark/>
          </w:tcPr>
          <w:p w14:paraId="6840696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6"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0A17BFC1" w14:textId="77777777" w:rsidR="00614438" w:rsidRPr="00AA7A53" w:rsidRDefault="00614438" w:rsidP="00AA7A53">
            <w:pPr>
              <w:numPr>
                <w:ilvl w:val="0"/>
                <w:numId w:val="128"/>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2019/944</w:t>
            </w:r>
          </w:p>
          <w:p w14:paraId="4C23F8D9" w14:textId="77777777" w:rsidR="00614438" w:rsidRPr="00AA7A53" w:rsidRDefault="00614438" w:rsidP="00AA7A53">
            <w:pPr>
              <w:numPr>
                <w:ilvl w:val="0"/>
                <w:numId w:val="128"/>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2019/943</w:t>
            </w:r>
          </w:p>
        </w:tc>
      </w:tr>
      <w:tr w:rsidR="00614438" w:rsidRPr="00AA7A53" w14:paraId="224D450A"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15EB4AA6"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E9B8630"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2F77CF02"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AFD41F9"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095E44C9"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08196AF"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067E6BE1"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57C0CF36" w14:textId="77777777" w:rsidTr="00614438">
        <w:trPr>
          <w:trHeight w:val="387"/>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20D8CB6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6" w:type="dxa"/>
            <w:gridSpan w:val="3"/>
            <w:tcBorders>
              <w:top w:val="single" w:sz="8" w:space="0" w:color="auto"/>
              <w:left w:val="nil"/>
              <w:bottom w:val="single" w:sz="8" w:space="0" w:color="auto"/>
              <w:right w:val="single" w:sz="8" w:space="0" w:color="000000"/>
            </w:tcBorders>
            <w:vAlign w:val="center"/>
            <w:hideMark/>
          </w:tcPr>
          <w:p w14:paraId="37FEFB4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Energy Law, Transmission Grid Code, TYNDP</w:t>
            </w:r>
          </w:p>
        </w:tc>
        <w:tc>
          <w:tcPr>
            <w:tcW w:w="1212" w:type="dxa"/>
            <w:vAlign w:val="center"/>
            <w:hideMark/>
          </w:tcPr>
          <w:p w14:paraId="4BFA2DEE"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7D4CC32" w14:textId="77777777" w:rsidTr="00614438">
        <w:trPr>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1ADA3CF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6" w:type="dxa"/>
            <w:gridSpan w:val="3"/>
            <w:tcBorders>
              <w:top w:val="single" w:sz="8" w:space="0" w:color="auto"/>
              <w:left w:val="nil"/>
              <w:bottom w:val="single" w:sz="8" w:space="0" w:color="auto"/>
              <w:right w:val="single" w:sz="8" w:space="0" w:color="000000"/>
            </w:tcBorders>
            <w:vAlign w:val="center"/>
            <w:hideMark/>
          </w:tcPr>
          <w:p w14:paraId="416163E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1 M€</w:t>
            </w:r>
          </w:p>
        </w:tc>
        <w:tc>
          <w:tcPr>
            <w:tcW w:w="1212" w:type="dxa"/>
            <w:vAlign w:val="center"/>
            <w:hideMark/>
          </w:tcPr>
          <w:p w14:paraId="5041CFF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79B27DC" w14:textId="77777777" w:rsidTr="00614438">
        <w:trPr>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09AA3EE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6" w:type="dxa"/>
            <w:gridSpan w:val="3"/>
            <w:tcBorders>
              <w:top w:val="single" w:sz="8" w:space="0" w:color="auto"/>
              <w:left w:val="nil"/>
              <w:bottom w:val="single" w:sz="8" w:space="0" w:color="auto"/>
              <w:right w:val="single" w:sz="8" w:space="0" w:color="000000"/>
            </w:tcBorders>
            <w:vAlign w:val="center"/>
            <w:hideMark/>
          </w:tcPr>
          <w:p w14:paraId="633B17B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1212" w:type="dxa"/>
            <w:vAlign w:val="center"/>
            <w:hideMark/>
          </w:tcPr>
          <w:p w14:paraId="6D0A1A2D" w14:textId="77777777" w:rsidR="00614438" w:rsidRPr="00AA7A53" w:rsidRDefault="00614438" w:rsidP="00AA7A53">
            <w:pPr>
              <w:spacing w:after="0"/>
              <w:jc w:val="both"/>
              <w:rPr>
                <w:rFonts w:ascii="Times New Roman" w:hAnsi="Times New Roman" w:cs="Times New Roman"/>
                <w:sz w:val="20"/>
                <w:szCs w:val="20"/>
                <w:lang w:val="en-GB"/>
              </w:rPr>
            </w:pPr>
          </w:p>
        </w:tc>
      </w:tr>
    </w:tbl>
    <w:p w14:paraId="5654F1F8"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300"/>
        <w:gridCol w:w="1089"/>
        <w:gridCol w:w="937"/>
        <w:gridCol w:w="4162"/>
        <w:gridCol w:w="1212"/>
      </w:tblGrid>
      <w:tr w:rsidR="00614438" w:rsidRPr="00AA7A53" w14:paraId="49AD8701" w14:textId="77777777" w:rsidTr="00614438">
        <w:trPr>
          <w:gridAfter w:val="1"/>
          <w:wAfter w:w="1212" w:type="dxa"/>
          <w:trHeight w:val="780"/>
        </w:trPr>
        <w:tc>
          <w:tcPr>
            <w:tcW w:w="3320"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13D3A92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027" w:type="dxa"/>
            <w:tcBorders>
              <w:top w:val="single" w:sz="8" w:space="0" w:color="auto"/>
              <w:left w:val="nil"/>
              <w:bottom w:val="single" w:sz="8" w:space="0" w:color="auto"/>
              <w:right w:val="single" w:sz="8" w:space="0" w:color="auto"/>
            </w:tcBorders>
            <w:shd w:val="clear" w:color="auto" w:fill="E7E6E6" w:themeFill="background2"/>
            <w:vAlign w:val="center"/>
            <w:hideMark/>
          </w:tcPr>
          <w:p w14:paraId="3A0C68B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PM_ES3.1</w:t>
            </w:r>
          </w:p>
        </w:tc>
        <w:tc>
          <w:tcPr>
            <w:tcW w:w="941" w:type="dxa"/>
            <w:tcBorders>
              <w:top w:val="single" w:sz="8" w:space="0" w:color="auto"/>
              <w:left w:val="nil"/>
              <w:bottom w:val="single" w:sz="8" w:space="0" w:color="auto"/>
              <w:right w:val="single" w:sz="8" w:space="0" w:color="auto"/>
            </w:tcBorders>
            <w:shd w:val="clear" w:color="auto" w:fill="244062"/>
            <w:vAlign w:val="center"/>
            <w:hideMark/>
          </w:tcPr>
          <w:p w14:paraId="091A663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00" w:type="dxa"/>
            <w:tcBorders>
              <w:top w:val="single" w:sz="8" w:space="0" w:color="auto"/>
              <w:left w:val="nil"/>
              <w:bottom w:val="single" w:sz="8" w:space="0" w:color="auto"/>
              <w:right w:val="single" w:sz="8" w:space="0" w:color="auto"/>
            </w:tcBorders>
            <w:shd w:val="clear" w:color="auto" w:fill="E7E6E6" w:themeFill="background2"/>
            <w:vAlign w:val="center"/>
            <w:hideMark/>
          </w:tcPr>
          <w:p w14:paraId="54CFF9C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Banatski dvor, natural gas storage expansion</w:t>
            </w:r>
          </w:p>
        </w:tc>
      </w:tr>
      <w:tr w:rsidR="00614438" w:rsidRPr="00AA7A53" w14:paraId="374C002D" w14:textId="77777777" w:rsidTr="00614438">
        <w:trPr>
          <w:gridAfter w:val="1"/>
          <w:wAfter w:w="1212" w:type="dxa"/>
          <w:trHeight w:val="608"/>
        </w:trPr>
        <w:tc>
          <w:tcPr>
            <w:tcW w:w="3320" w:type="dxa"/>
            <w:tcBorders>
              <w:top w:val="nil"/>
              <w:left w:val="single" w:sz="8" w:space="0" w:color="auto"/>
              <w:bottom w:val="single" w:sz="8" w:space="0" w:color="auto"/>
              <w:right w:val="nil"/>
            </w:tcBorders>
            <w:shd w:val="clear" w:color="auto" w:fill="244062"/>
            <w:vAlign w:val="center"/>
            <w:hideMark/>
          </w:tcPr>
          <w:p w14:paraId="2121110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68" w:type="dxa"/>
            <w:gridSpan w:val="3"/>
            <w:tcBorders>
              <w:top w:val="single" w:sz="8" w:space="0" w:color="auto"/>
              <w:left w:val="nil"/>
              <w:bottom w:val="single" w:sz="8" w:space="0" w:color="auto"/>
              <w:right w:val="single" w:sz="8" w:space="0" w:color="000000"/>
            </w:tcBorders>
            <w:vAlign w:val="center"/>
            <w:hideMark/>
          </w:tcPr>
          <w:p w14:paraId="0C97D17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Ability to cope with constrained or interrupted supply of an energy source, flexibility of the national energy system, fostering regional energy cooperation and increasing regional market integration.</w:t>
            </w:r>
          </w:p>
        </w:tc>
      </w:tr>
      <w:tr w:rsidR="00614438" w:rsidRPr="00AA7A53" w14:paraId="2DADE6ED" w14:textId="77777777" w:rsidTr="00614438">
        <w:trPr>
          <w:gridAfter w:val="1"/>
          <w:wAfter w:w="1212" w:type="dxa"/>
          <w:trHeight w:val="315"/>
        </w:trPr>
        <w:tc>
          <w:tcPr>
            <w:tcW w:w="3320" w:type="dxa"/>
            <w:tcBorders>
              <w:top w:val="nil"/>
              <w:left w:val="single" w:sz="8" w:space="0" w:color="auto"/>
              <w:bottom w:val="single" w:sz="8" w:space="0" w:color="auto"/>
              <w:right w:val="single" w:sz="8" w:space="0" w:color="auto"/>
            </w:tcBorders>
            <w:shd w:val="clear" w:color="auto" w:fill="244062"/>
            <w:vAlign w:val="center"/>
            <w:hideMark/>
          </w:tcPr>
          <w:p w14:paraId="79AF836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68" w:type="dxa"/>
            <w:gridSpan w:val="3"/>
            <w:tcBorders>
              <w:top w:val="single" w:sz="8" w:space="0" w:color="auto"/>
              <w:left w:val="nil"/>
              <w:bottom w:val="single" w:sz="8" w:space="0" w:color="auto"/>
              <w:right w:val="single" w:sz="8" w:space="0" w:color="000000"/>
            </w:tcBorders>
            <w:vAlign w:val="center"/>
            <w:hideMark/>
          </w:tcPr>
          <w:p w14:paraId="5D51FEE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Additional storage capacities of 0.75bcm</w:t>
            </w:r>
          </w:p>
        </w:tc>
      </w:tr>
      <w:tr w:rsidR="00614438" w:rsidRPr="00AA7A53" w14:paraId="45F50490" w14:textId="77777777" w:rsidTr="00614438">
        <w:trPr>
          <w:gridAfter w:val="1"/>
          <w:wAfter w:w="1212" w:type="dxa"/>
          <w:trHeight w:val="942"/>
        </w:trPr>
        <w:tc>
          <w:tcPr>
            <w:tcW w:w="3320" w:type="dxa"/>
            <w:tcBorders>
              <w:top w:val="nil"/>
              <w:left w:val="single" w:sz="8" w:space="0" w:color="auto"/>
              <w:bottom w:val="single" w:sz="8" w:space="0" w:color="auto"/>
              <w:right w:val="single" w:sz="8" w:space="0" w:color="auto"/>
            </w:tcBorders>
            <w:shd w:val="clear" w:color="auto" w:fill="244062"/>
            <w:vAlign w:val="center"/>
            <w:hideMark/>
          </w:tcPr>
          <w:p w14:paraId="0380CC3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68" w:type="dxa"/>
            <w:gridSpan w:val="3"/>
            <w:tcBorders>
              <w:top w:val="single" w:sz="8" w:space="0" w:color="auto"/>
              <w:left w:val="nil"/>
              <w:bottom w:val="single" w:sz="8" w:space="0" w:color="auto"/>
              <w:right w:val="single" w:sz="8" w:space="0" w:color="000000"/>
            </w:tcBorders>
            <w:vAlign w:val="center"/>
            <w:hideMark/>
          </w:tcPr>
          <w:p w14:paraId="7F283E90" w14:textId="258979D2"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PM_ES3.1 Refers to the expansion of Banatski Dvor underground gas storage as per Memorandum of Understanding signed between </w:t>
            </w:r>
            <w:r w:rsidR="0073455F" w:rsidRPr="00AA7A53">
              <w:rPr>
                <w:rFonts w:ascii="Times New Roman" w:hAnsi="Times New Roman" w:cs="Times New Roman"/>
                <w:sz w:val="20"/>
                <w:szCs w:val="20"/>
                <w:lang w:val="en-GB"/>
              </w:rPr>
              <w:t>PE</w:t>
            </w:r>
            <w:r w:rsidRPr="00AA7A53">
              <w:rPr>
                <w:rFonts w:ascii="Times New Roman" w:hAnsi="Times New Roman" w:cs="Times New Roman"/>
                <w:sz w:val="20"/>
                <w:szCs w:val="20"/>
                <w:lang w:val="en-GB"/>
              </w:rPr>
              <w:t xml:space="preserve"> Srbijagas and Gazprom in early 2019</w:t>
            </w:r>
          </w:p>
        </w:tc>
      </w:tr>
      <w:tr w:rsidR="00614438" w:rsidRPr="00AA7A53" w14:paraId="51AEE88C" w14:textId="77777777" w:rsidTr="00614438">
        <w:trPr>
          <w:gridAfter w:val="1"/>
          <w:wAfter w:w="1212" w:type="dxa"/>
          <w:trHeight w:val="315"/>
        </w:trPr>
        <w:tc>
          <w:tcPr>
            <w:tcW w:w="3320" w:type="dxa"/>
            <w:tcBorders>
              <w:top w:val="nil"/>
              <w:left w:val="single" w:sz="8" w:space="0" w:color="auto"/>
              <w:bottom w:val="single" w:sz="8" w:space="0" w:color="auto"/>
              <w:right w:val="single" w:sz="8" w:space="0" w:color="auto"/>
            </w:tcBorders>
            <w:shd w:val="clear" w:color="auto" w:fill="244062"/>
            <w:vAlign w:val="center"/>
            <w:hideMark/>
          </w:tcPr>
          <w:p w14:paraId="63BCD1A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68" w:type="dxa"/>
            <w:gridSpan w:val="3"/>
            <w:tcBorders>
              <w:top w:val="single" w:sz="8" w:space="0" w:color="auto"/>
              <w:left w:val="nil"/>
              <w:bottom w:val="single" w:sz="8" w:space="0" w:color="auto"/>
              <w:right w:val="single" w:sz="8" w:space="0" w:color="000000"/>
            </w:tcBorders>
            <w:vAlign w:val="center"/>
            <w:hideMark/>
          </w:tcPr>
          <w:p w14:paraId="5DC4604A" w14:textId="4943F533"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73455F"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4EEE77B1" w14:textId="77777777" w:rsidTr="00614438">
        <w:trPr>
          <w:gridAfter w:val="1"/>
          <w:wAfter w:w="1212" w:type="dxa"/>
          <w:trHeight w:val="315"/>
        </w:trPr>
        <w:tc>
          <w:tcPr>
            <w:tcW w:w="3320" w:type="dxa"/>
            <w:tcBorders>
              <w:top w:val="nil"/>
              <w:left w:val="single" w:sz="8" w:space="0" w:color="auto"/>
              <w:bottom w:val="single" w:sz="8" w:space="0" w:color="auto"/>
              <w:right w:val="single" w:sz="8" w:space="0" w:color="auto"/>
            </w:tcBorders>
            <w:shd w:val="clear" w:color="auto" w:fill="244062"/>
            <w:vAlign w:val="center"/>
            <w:hideMark/>
          </w:tcPr>
          <w:p w14:paraId="3E1C31C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68" w:type="dxa"/>
            <w:gridSpan w:val="3"/>
            <w:tcBorders>
              <w:top w:val="single" w:sz="8" w:space="0" w:color="auto"/>
              <w:left w:val="nil"/>
              <w:bottom w:val="single" w:sz="8" w:space="0" w:color="auto"/>
              <w:right w:val="single" w:sz="8" w:space="0" w:color="000000"/>
            </w:tcBorders>
            <w:vAlign w:val="center"/>
            <w:hideMark/>
          </w:tcPr>
          <w:p w14:paraId="5AAD8C5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6F5F6B6D" w14:textId="77777777" w:rsidTr="00614438">
        <w:trPr>
          <w:gridAfter w:val="1"/>
          <w:wAfter w:w="1212" w:type="dxa"/>
          <w:trHeight w:val="315"/>
        </w:trPr>
        <w:tc>
          <w:tcPr>
            <w:tcW w:w="3320" w:type="dxa"/>
            <w:tcBorders>
              <w:top w:val="nil"/>
              <w:left w:val="single" w:sz="8" w:space="0" w:color="auto"/>
              <w:bottom w:val="single" w:sz="8" w:space="0" w:color="auto"/>
              <w:right w:val="single" w:sz="8" w:space="0" w:color="auto"/>
            </w:tcBorders>
            <w:shd w:val="clear" w:color="auto" w:fill="244062"/>
            <w:vAlign w:val="center"/>
            <w:hideMark/>
          </w:tcPr>
          <w:p w14:paraId="2D72AC1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68" w:type="dxa"/>
            <w:gridSpan w:val="3"/>
            <w:tcBorders>
              <w:top w:val="single" w:sz="8" w:space="0" w:color="auto"/>
              <w:left w:val="nil"/>
              <w:bottom w:val="single" w:sz="8" w:space="0" w:color="auto"/>
              <w:right w:val="single" w:sz="8" w:space="0" w:color="000000"/>
            </w:tcBorders>
            <w:vAlign w:val="center"/>
            <w:hideMark/>
          </w:tcPr>
          <w:p w14:paraId="2340288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Gas</w:t>
            </w:r>
          </w:p>
        </w:tc>
      </w:tr>
      <w:tr w:rsidR="00614438" w:rsidRPr="00AA7A53" w14:paraId="1B28D5EF" w14:textId="77777777" w:rsidTr="00614438">
        <w:trPr>
          <w:gridAfter w:val="1"/>
          <w:wAfter w:w="1212" w:type="dxa"/>
          <w:trHeight w:val="315"/>
        </w:trPr>
        <w:tc>
          <w:tcPr>
            <w:tcW w:w="3320" w:type="dxa"/>
            <w:tcBorders>
              <w:top w:val="nil"/>
              <w:left w:val="single" w:sz="8" w:space="0" w:color="auto"/>
              <w:bottom w:val="single" w:sz="8" w:space="0" w:color="auto"/>
              <w:right w:val="single" w:sz="8" w:space="0" w:color="auto"/>
            </w:tcBorders>
            <w:shd w:val="clear" w:color="auto" w:fill="244062"/>
            <w:vAlign w:val="center"/>
            <w:hideMark/>
          </w:tcPr>
          <w:p w14:paraId="3AA9312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68" w:type="dxa"/>
            <w:gridSpan w:val="3"/>
            <w:tcBorders>
              <w:top w:val="single" w:sz="8" w:space="0" w:color="auto"/>
              <w:left w:val="nil"/>
              <w:bottom w:val="single" w:sz="8" w:space="0" w:color="auto"/>
              <w:right w:val="single" w:sz="8" w:space="0" w:color="000000"/>
            </w:tcBorders>
            <w:vAlign w:val="center"/>
            <w:hideMark/>
          </w:tcPr>
          <w:p w14:paraId="07CE94A3" w14:textId="77777777" w:rsidR="00614438" w:rsidRPr="00AA7A53" w:rsidRDefault="00614438" w:rsidP="00AA7A53">
            <w:pPr>
              <w:numPr>
                <w:ilvl w:val="0"/>
                <w:numId w:val="129"/>
              </w:numPr>
              <w:spacing w:after="0"/>
              <w:jc w:val="both"/>
              <w:rPr>
                <w:rFonts w:ascii="Times New Roman" w:hAnsi="Times New Roman" w:cs="Times New Roman"/>
                <w:sz w:val="20"/>
                <w:szCs w:val="20"/>
              </w:rPr>
            </w:pPr>
            <w:r w:rsidRPr="00AA7A53">
              <w:rPr>
                <w:rFonts w:ascii="Times New Roman" w:hAnsi="Times New Roman" w:cs="Times New Roman"/>
                <w:sz w:val="20"/>
                <w:szCs w:val="20"/>
              </w:rPr>
              <w:t>Gas Storage Operator</w:t>
            </w:r>
          </w:p>
        </w:tc>
      </w:tr>
      <w:tr w:rsidR="00614438" w:rsidRPr="00AA7A53" w14:paraId="34C62C4D" w14:textId="77777777" w:rsidTr="00614438">
        <w:trPr>
          <w:gridAfter w:val="1"/>
          <w:wAfter w:w="1212" w:type="dxa"/>
          <w:trHeight w:val="315"/>
        </w:trPr>
        <w:tc>
          <w:tcPr>
            <w:tcW w:w="3320" w:type="dxa"/>
            <w:tcBorders>
              <w:top w:val="nil"/>
              <w:left w:val="single" w:sz="8" w:space="0" w:color="auto"/>
              <w:bottom w:val="single" w:sz="8" w:space="0" w:color="auto"/>
              <w:right w:val="nil"/>
            </w:tcBorders>
            <w:shd w:val="clear" w:color="auto" w:fill="244062"/>
            <w:vAlign w:val="center"/>
            <w:hideMark/>
          </w:tcPr>
          <w:p w14:paraId="08A3E57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68" w:type="dxa"/>
            <w:gridSpan w:val="3"/>
            <w:tcBorders>
              <w:top w:val="single" w:sz="8" w:space="0" w:color="auto"/>
              <w:left w:val="nil"/>
              <w:bottom w:val="single" w:sz="8" w:space="0" w:color="auto"/>
              <w:right w:val="single" w:sz="8" w:space="0" w:color="000000"/>
            </w:tcBorders>
            <w:vAlign w:val="center"/>
            <w:hideMark/>
          </w:tcPr>
          <w:p w14:paraId="12A64C64" w14:textId="77777777" w:rsidR="00614438" w:rsidRPr="00AA7A53" w:rsidRDefault="00614438" w:rsidP="00AA7A53">
            <w:pPr>
              <w:numPr>
                <w:ilvl w:val="0"/>
                <w:numId w:val="129"/>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10CD431E" w14:textId="77777777" w:rsidR="00614438" w:rsidRPr="00AA7A53" w:rsidRDefault="00614438" w:rsidP="00AA7A53">
            <w:pPr>
              <w:numPr>
                <w:ilvl w:val="0"/>
                <w:numId w:val="129"/>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p w14:paraId="2D947E83" w14:textId="77777777" w:rsidR="00614438" w:rsidRPr="00AA7A53" w:rsidRDefault="00614438" w:rsidP="00AA7A53">
            <w:pPr>
              <w:numPr>
                <w:ilvl w:val="0"/>
                <w:numId w:val="129"/>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tc>
      </w:tr>
      <w:tr w:rsidR="00614438" w:rsidRPr="00AA7A53" w14:paraId="34C41992" w14:textId="77777777" w:rsidTr="00614438">
        <w:trPr>
          <w:gridAfter w:val="1"/>
          <w:wAfter w:w="1212" w:type="dxa"/>
          <w:trHeight w:val="315"/>
        </w:trPr>
        <w:tc>
          <w:tcPr>
            <w:tcW w:w="3320" w:type="dxa"/>
            <w:tcBorders>
              <w:top w:val="nil"/>
              <w:left w:val="single" w:sz="8" w:space="0" w:color="auto"/>
              <w:bottom w:val="single" w:sz="8" w:space="0" w:color="auto"/>
              <w:right w:val="nil"/>
            </w:tcBorders>
            <w:shd w:val="clear" w:color="auto" w:fill="244062"/>
            <w:vAlign w:val="center"/>
            <w:hideMark/>
          </w:tcPr>
          <w:p w14:paraId="319E4F1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68" w:type="dxa"/>
            <w:gridSpan w:val="3"/>
            <w:tcBorders>
              <w:top w:val="single" w:sz="8" w:space="0" w:color="auto"/>
              <w:left w:val="nil"/>
              <w:bottom w:val="single" w:sz="8" w:space="0" w:color="auto"/>
              <w:right w:val="single" w:sz="8" w:space="0" w:color="000000"/>
            </w:tcBorders>
            <w:vAlign w:val="center"/>
            <w:hideMark/>
          </w:tcPr>
          <w:p w14:paraId="214D7D1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Storage capacity, injection and withdrawal rates</w:t>
            </w:r>
          </w:p>
        </w:tc>
      </w:tr>
      <w:tr w:rsidR="00614438" w:rsidRPr="00AA7A53" w14:paraId="02200131" w14:textId="77777777" w:rsidTr="00614438">
        <w:trPr>
          <w:gridAfter w:val="1"/>
          <w:wAfter w:w="1212" w:type="dxa"/>
          <w:trHeight w:val="606"/>
        </w:trPr>
        <w:tc>
          <w:tcPr>
            <w:tcW w:w="3320" w:type="dxa"/>
            <w:tcBorders>
              <w:top w:val="nil"/>
              <w:left w:val="single" w:sz="8" w:space="0" w:color="auto"/>
              <w:bottom w:val="single" w:sz="8" w:space="0" w:color="auto"/>
              <w:right w:val="single" w:sz="8" w:space="0" w:color="auto"/>
            </w:tcBorders>
            <w:shd w:val="clear" w:color="auto" w:fill="244062"/>
            <w:vAlign w:val="center"/>
            <w:hideMark/>
          </w:tcPr>
          <w:p w14:paraId="6215BD7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68" w:type="dxa"/>
            <w:gridSpan w:val="3"/>
            <w:tcBorders>
              <w:top w:val="single" w:sz="8" w:space="0" w:color="auto"/>
              <w:left w:val="nil"/>
              <w:bottom w:val="single" w:sz="8" w:space="0" w:color="auto"/>
              <w:right w:val="single" w:sz="8" w:space="0" w:color="000000"/>
            </w:tcBorders>
            <w:vAlign w:val="center"/>
            <w:hideMark/>
          </w:tcPr>
          <w:p w14:paraId="77119C39" w14:textId="77777777" w:rsidR="00614438" w:rsidRPr="00AA7A53" w:rsidRDefault="00614438" w:rsidP="00AA7A53">
            <w:pPr>
              <w:numPr>
                <w:ilvl w:val="0"/>
                <w:numId w:val="129"/>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p w14:paraId="79A3206D" w14:textId="77777777" w:rsidR="00614438" w:rsidRPr="00AA7A53" w:rsidRDefault="00614438" w:rsidP="00AA7A53">
            <w:pPr>
              <w:numPr>
                <w:ilvl w:val="0"/>
                <w:numId w:val="129"/>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06B01EA7" w14:textId="77777777" w:rsidTr="00614438">
        <w:trPr>
          <w:gridAfter w:val="1"/>
          <w:wAfter w:w="1212" w:type="dxa"/>
          <w:trHeight w:val="458"/>
        </w:trPr>
        <w:tc>
          <w:tcPr>
            <w:tcW w:w="3320" w:type="dxa"/>
            <w:vMerge w:val="restart"/>
            <w:tcBorders>
              <w:top w:val="nil"/>
              <w:left w:val="single" w:sz="8" w:space="0" w:color="auto"/>
              <w:bottom w:val="single" w:sz="8" w:space="0" w:color="000000"/>
              <w:right w:val="single" w:sz="8" w:space="0" w:color="auto"/>
            </w:tcBorders>
            <w:shd w:val="clear" w:color="auto" w:fill="244062"/>
            <w:vAlign w:val="center"/>
            <w:hideMark/>
          </w:tcPr>
          <w:p w14:paraId="20DA779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68"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829A315" w14:textId="77777777" w:rsidR="00614438" w:rsidRPr="00AA7A53" w:rsidRDefault="00614438" w:rsidP="00AA7A53">
            <w:pPr>
              <w:numPr>
                <w:ilvl w:val="0"/>
                <w:numId w:val="129"/>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2009/73/EC</w:t>
            </w:r>
          </w:p>
          <w:p w14:paraId="70625051" w14:textId="77777777" w:rsidR="00614438" w:rsidRPr="00AA7A53" w:rsidRDefault="00614438" w:rsidP="00AA7A53">
            <w:pPr>
              <w:numPr>
                <w:ilvl w:val="0"/>
                <w:numId w:val="129"/>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No 347/2013</w:t>
            </w:r>
          </w:p>
        </w:tc>
      </w:tr>
      <w:tr w:rsidR="00614438" w:rsidRPr="00AA7A53" w14:paraId="1AF4FD07"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2D949D73"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96901C5"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0C75B6DD"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5D86A35"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439BA69F"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553FAA0"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41C2B64C"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1BAC8F0A" w14:textId="77777777" w:rsidTr="00614438">
        <w:trPr>
          <w:trHeight w:val="780"/>
        </w:trPr>
        <w:tc>
          <w:tcPr>
            <w:tcW w:w="3320" w:type="dxa"/>
            <w:tcBorders>
              <w:top w:val="nil"/>
              <w:left w:val="single" w:sz="8" w:space="0" w:color="auto"/>
              <w:bottom w:val="single" w:sz="8" w:space="0" w:color="auto"/>
              <w:right w:val="single" w:sz="8" w:space="0" w:color="auto"/>
            </w:tcBorders>
            <w:shd w:val="clear" w:color="auto" w:fill="244062"/>
            <w:vAlign w:val="center"/>
            <w:hideMark/>
          </w:tcPr>
          <w:p w14:paraId="3A6F62F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68" w:type="dxa"/>
            <w:gridSpan w:val="3"/>
            <w:tcBorders>
              <w:top w:val="single" w:sz="8" w:space="0" w:color="auto"/>
              <w:left w:val="nil"/>
              <w:bottom w:val="single" w:sz="8" w:space="0" w:color="auto"/>
              <w:right w:val="single" w:sz="8" w:space="0" w:color="000000"/>
            </w:tcBorders>
            <w:vAlign w:val="center"/>
            <w:hideMark/>
          </w:tcPr>
          <w:p w14:paraId="5E34BDA0" w14:textId="77777777" w:rsidR="00614438" w:rsidRPr="00AA7A53" w:rsidRDefault="00614438" w:rsidP="00AA7A53">
            <w:pPr>
              <w:numPr>
                <w:ilvl w:val="0"/>
                <w:numId w:val="129"/>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w:t>
            </w:r>
          </w:p>
          <w:p w14:paraId="285B94CB" w14:textId="4D14F3AE" w:rsidR="00614438" w:rsidRPr="00AA7A53" w:rsidRDefault="0073455F" w:rsidP="00AA7A53">
            <w:pPr>
              <w:numPr>
                <w:ilvl w:val="0"/>
                <w:numId w:val="129"/>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PE </w:t>
            </w:r>
            <w:r w:rsidR="00614438" w:rsidRPr="00AA7A53">
              <w:rPr>
                <w:rFonts w:ascii="Times New Roman" w:hAnsi="Times New Roman" w:cs="Times New Roman"/>
                <w:sz w:val="20"/>
                <w:szCs w:val="20"/>
              </w:rPr>
              <w:t>Srbijagas Investment Plan</w:t>
            </w:r>
          </w:p>
        </w:tc>
        <w:tc>
          <w:tcPr>
            <w:tcW w:w="1212" w:type="dxa"/>
            <w:vAlign w:val="center"/>
            <w:hideMark/>
          </w:tcPr>
          <w:p w14:paraId="5C67F846"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6649D7D" w14:textId="77777777" w:rsidTr="00614438">
        <w:trPr>
          <w:trHeight w:val="315"/>
        </w:trPr>
        <w:tc>
          <w:tcPr>
            <w:tcW w:w="3320" w:type="dxa"/>
            <w:tcBorders>
              <w:top w:val="nil"/>
              <w:left w:val="single" w:sz="8" w:space="0" w:color="auto"/>
              <w:bottom w:val="single" w:sz="8" w:space="0" w:color="auto"/>
              <w:right w:val="single" w:sz="8" w:space="0" w:color="auto"/>
            </w:tcBorders>
            <w:shd w:val="clear" w:color="auto" w:fill="244062"/>
            <w:vAlign w:val="center"/>
            <w:hideMark/>
          </w:tcPr>
          <w:p w14:paraId="45F844E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68" w:type="dxa"/>
            <w:gridSpan w:val="3"/>
            <w:tcBorders>
              <w:top w:val="single" w:sz="8" w:space="0" w:color="auto"/>
              <w:left w:val="nil"/>
              <w:bottom w:val="single" w:sz="8" w:space="0" w:color="auto"/>
              <w:right w:val="single" w:sz="8" w:space="0" w:color="000000"/>
            </w:tcBorders>
            <w:vAlign w:val="center"/>
            <w:hideMark/>
          </w:tcPr>
          <w:p w14:paraId="60783CB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100 M€</w:t>
            </w:r>
          </w:p>
        </w:tc>
        <w:tc>
          <w:tcPr>
            <w:tcW w:w="1212" w:type="dxa"/>
            <w:vAlign w:val="center"/>
            <w:hideMark/>
          </w:tcPr>
          <w:p w14:paraId="7FBD25EB"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A84E14D" w14:textId="77777777" w:rsidTr="00614438">
        <w:trPr>
          <w:trHeight w:val="315"/>
        </w:trPr>
        <w:tc>
          <w:tcPr>
            <w:tcW w:w="3320" w:type="dxa"/>
            <w:tcBorders>
              <w:top w:val="nil"/>
              <w:left w:val="single" w:sz="8" w:space="0" w:color="auto"/>
              <w:bottom w:val="single" w:sz="8" w:space="0" w:color="auto"/>
              <w:right w:val="single" w:sz="8" w:space="0" w:color="auto"/>
            </w:tcBorders>
            <w:shd w:val="clear" w:color="auto" w:fill="244062"/>
            <w:vAlign w:val="center"/>
            <w:hideMark/>
          </w:tcPr>
          <w:p w14:paraId="2CFA744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68" w:type="dxa"/>
            <w:gridSpan w:val="3"/>
            <w:tcBorders>
              <w:top w:val="single" w:sz="8" w:space="0" w:color="auto"/>
              <w:left w:val="nil"/>
              <w:bottom w:val="single" w:sz="8" w:space="0" w:color="auto"/>
              <w:right w:val="single" w:sz="8" w:space="0" w:color="000000"/>
            </w:tcBorders>
            <w:vAlign w:val="center"/>
            <w:hideMark/>
          </w:tcPr>
          <w:p w14:paraId="1F4C175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Levy on retail price of motor fuels</w:t>
            </w:r>
          </w:p>
        </w:tc>
        <w:tc>
          <w:tcPr>
            <w:tcW w:w="1212" w:type="dxa"/>
            <w:vAlign w:val="center"/>
            <w:hideMark/>
          </w:tcPr>
          <w:p w14:paraId="45286A5A" w14:textId="77777777" w:rsidR="00614438" w:rsidRPr="00AA7A53" w:rsidRDefault="00614438" w:rsidP="00AA7A53">
            <w:pPr>
              <w:spacing w:after="0"/>
              <w:jc w:val="both"/>
              <w:rPr>
                <w:rFonts w:ascii="Times New Roman" w:hAnsi="Times New Roman" w:cs="Times New Roman"/>
                <w:sz w:val="20"/>
                <w:szCs w:val="20"/>
                <w:lang w:val="en-GB"/>
              </w:rPr>
            </w:pPr>
          </w:p>
        </w:tc>
      </w:tr>
    </w:tbl>
    <w:p w14:paraId="16C42250"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97"/>
        <w:gridCol w:w="1089"/>
        <w:gridCol w:w="935"/>
        <w:gridCol w:w="4167"/>
        <w:gridCol w:w="1212"/>
      </w:tblGrid>
      <w:tr w:rsidR="00614438" w:rsidRPr="00AA7A53" w14:paraId="2CAAB997" w14:textId="77777777" w:rsidTr="00614438">
        <w:trPr>
          <w:gridAfter w:val="1"/>
          <w:wAfter w:w="1212" w:type="dxa"/>
          <w:trHeight w:val="780"/>
        </w:trPr>
        <w:tc>
          <w:tcPr>
            <w:tcW w:w="3318"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7D651AA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027" w:type="dxa"/>
            <w:tcBorders>
              <w:top w:val="single" w:sz="8" w:space="0" w:color="auto"/>
              <w:left w:val="nil"/>
              <w:bottom w:val="single" w:sz="8" w:space="0" w:color="auto"/>
              <w:right w:val="single" w:sz="8" w:space="0" w:color="auto"/>
            </w:tcBorders>
            <w:shd w:val="clear" w:color="auto" w:fill="E7E6E6" w:themeFill="background2"/>
            <w:vAlign w:val="center"/>
            <w:hideMark/>
          </w:tcPr>
          <w:p w14:paraId="2ABC260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PM_ES3.2</w:t>
            </w:r>
          </w:p>
        </w:tc>
        <w:tc>
          <w:tcPr>
            <w:tcW w:w="939" w:type="dxa"/>
            <w:tcBorders>
              <w:top w:val="single" w:sz="8" w:space="0" w:color="auto"/>
              <w:left w:val="nil"/>
              <w:bottom w:val="single" w:sz="8" w:space="0" w:color="auto"/>
              <w:right w:val="single" w:sz="8" w:space="0" w:color="auto"/>
            </w:tcBorders>
            <w:shd w:val="clear" w:color="auto" w:fill="244062"/>
            <w:vAlign w:val="center"/>
            <w:hideMark/>
          </w:tcPr>
          <w:p w14:paraId="0F0AA3C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04" w:type="dxa"/>
            <w:tcBorders>
              <w:top w:val="single" w:sz="8" w:space="0" w:color="auto"/>
              <w:left w:val="nil"/>
              <w:bottom w:val="single" w:sz="8" w:space="0" w:color="auto"/>
              <w:right w:val="single" w:sz="8" w:space="0" w:color="auto"/>
            </w:tcBorders>
            <w:shd w:val="clear" w:color="auto" w:fill="E7E6E6" w:themeFill="background2"/>
            <w:vAlign w:val="center"/>
            <w:hideMark/>
          </w:tcPr>
          <w:p w14:paraId="263A7BC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Creating mandatory reserves of oil and petroleum products</w:t>
            </w:r>
          </w:p>
        </w:tc>
      </w:tr>
      <w:tr w:rsidR="00614438" w:rsidRPr="00AA7A53" w14:paraId="030B1E1B" w14:textId="77777777" w:rsidTr="00614438">
        <w:trPr>
          <w:gridAfter w:val="1"/>
          <w:wAfter w:w="1212" w:type="dxa"/>
          <w:trHeight w:val="650"/>
        </w:trPr>
        <w:tc>
          <w:tcPr>
            <w:tcW w:w="3318" w:type="dxa"/>
            <w:tcBorders>
              <w:top w:val="nil"/>
              <w:left w:val="single" w:sz="8" w:space="0" w:color="auto"/>
              <w:bottom w:val="single" w:sz="8" w:space="0" w:color="auto"/>
              <w:right w:val="nil"/>
            </w:tcBorders>
            <w:shd w:val="clear" w:color="auto" w:fill="244062"/>
            <w:vAlign w:val="center"/>
            <w:hideMark/>
          </w:tcPr>
          <w:p w14:paraId="2C9E8FD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70" w:type="dxa"/>
            <w:gridSpan w:val="3"/>
            <w:tcBorders>
              <w:top w:val="single" w:sz="8" w:space="0" w:color="auto"/>
              <w:left w:val="nil"/>
              <w:bottom w:val="single" w:sz="8" w:space="0" w:color="auto"/>
              <w:right w:val="single" w:sz="8" w:space="0" w:color="000000"/>
            </w:tcBorders>
            <w:vAlign w:val="center"/>
            <w:hideMark/>
          </w:tcPr>
          <w:p w14:paraId="5A01684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Ability to cope with constrained or interrupted supply of an energy source, flexibility of the national energy system</w:t>
            </w:r>
          </w:p>
        </w:tc>
      </w:tr>
      <w:tr w:rsidR="00614438" w:rsidRPr="00AA7A53" w14:paraId="20825890" w14:textId="77777777" w:rsidTr="00614438">
        <w:trPr>
          <w:gridAfter w:val="1"/>
          <w:wAfter w:w="121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5C8E93E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70" w:type="dxa"/>
            <w:gridSpan w:val="3"/>
            <w:tcBorders>
              <w:top w:val="single" w:sz="8" w:space="0" w:color="auto"/>
              <w:left w:val="nil"/>
              <w:bottom w:val="single" w:sz="8" w:space="0" w:color="auto"/>
              <w:right w:val="single" w:sz="8" w:space="0" w:color="000000"/>
            </w:tcBorders>
            <w:vAlign w:val="center"/>
            <w:hideMark/>
          </w:tcPr>
          <w:p w14:paraId="64CCD13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Available storage space for crude oil and oil products</w:t>
            </w:r>
          </w:p>
        </w:tc>
      </w:tr>
      <w:tr w:rsidR="00614438" w:rsidRPr="00AA7A53" w14:paraId="0F0D9EE6" w14:textId="77777777" w:rsidTr="00614438">
        <w:trPr>
          <w:gridAfter w:val="1"/>
          <w:wAfter w:w="1212" w:type="dxa"/>
          <w:trHeight w:val="598"/>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438C474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Description:</w:t>
            </w:r>
          </w:p>
        </w:tc>
        <w:tc>
          <w:tcPr>
            <w:tcW w:w="6170" w:type="dxa"/>
            <w:gridSpan w:val="3"/>
            <w:tcBorders>
              <w:top w:val="single" w:sz="8" w:space="0" w:color="auto"/>
              <w:left w:val="nil"/>
              <w:bottom w:val="single" w:sz="8" w:space="0" w:color="auto"/>
              <w:right w:val="single" w:sz="8" w:space="0" w:color="000000"/>
            </w:tcBorders>
            <w:vAlign w:val="center"/>
            <w:hideMark/>
          </w:tcPr>
          <w:p w14:paraId="77976D1E" w14:textId="158F0B9F"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The mandatory oil stocks of the Republic of Serbia will be established in </w:t>
            </w:r>
            <w:r w:rsidR="00473634" w:rsidRPr="00AA7A53">
              <w:rPr>
                <w:rFonts w:ascii="Times New Roman" w:hAnsi="Times New Roman" w:cs="Times New Roman"/>
                <w:sz w:val="20"/>
                <w:szCs w:val="20"/>
                <w:lang w:val="en-GB"/>
              </w:rPr>
              <w:t xml:space="preserve">regards to </w:t>
            </w:r>
            <w:r w:rsidRPr="00AA7A53">
              <w:rPr>
                <w:rFonts w:ascii="Times New Roman" w:hAnsi="Times New Roman" w:cs="Times New Roman"/>
                <w:sz w:val="20"/>
                <w:szCs w:val="20"/>
                <w:lang w:val="en-GB"/>
              </w:rPr>
              <w:t>oil products and crude oil, whereas at least one third of the stockholding obligation shall be in finished products of certain oil products (unleaded motor gasoline, Euro diesel, kerosene jet fuel and residual fuel oil). It is necessary to hold an additional 435,000 metric tons of oil products and 75,000 metric tons of crude oil.</w:t>
            </w:r>
          </w:p>
          <w:p w14:paraId="0742218C" w14:textId="204FA561"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Th</w:t>
            </w:r>
            <w:r w:rsidR="00473634" w:rsidRPr="00AA7A53">
              <w:rPr>
                <w:rFonts w:ascii="Times New Roman" w:hAnsi="Times New Roman" w:cs="Times New Roman"/>
                <w:sz w:val="20"/>
                <w:szCs w:val="20"/>
                <w:lang w:val="en-GB"/>
              </w:rPr>
              <w:t>ese</w:t>
            </w:r>
            <w:r w:rsidRPr="00AA7A53">
              <w:rPr>
                <w:rFonts w:ascii="Times New Roman" w:hAnsi="Times New Roman" w:cs="Times New Roman"/>
                <w:sz w:val="20"/>
                <w:szCs w:val="20"/>
                <w:lang w:val="en-GB"/>
              </w:rPr>
              <w:t xml:space="preserve"> policy measure</w:t>
            </w:r>
            <w:r w:rsidR="00473634" w:rsidRPr="00AA7A53">
              <w:rPr>
                <w:rFonts w:ascii="Times New Roman" w:hAnsi="Times New Roman" w:cs="Times New Roman"/>
                <w:sz w:val="20"/>
                <w:szCs w:val="20"/>
                <w:lang w:val="en-GB"/>
              </w:rPr>
              <w:t>s</w:t>
            </w:r>
            <w:r w:rsidRPr="00AA7A53">
              <w:rPr>
                <w:rFonts w:ascii="Times New Roman" w:hAnsi="Times New Roman" w:cs="Times New Roman"/>
                <w:sz w:val="20"/>
                <w:szCs w:val="20"/>
                <w:lang w:val="en-GB"/>
              </w:rPr>
              <w:t xml:space="preserve"> exclusively refer to the legal and regulatory reforms, which are necessary to create mandatory reserves of oil and petroleum products. Any additional investment costs essential for its implementation will be subjected to thorough scrutiny within the framework of comprehensive action plans.</w:t>
            </w:r>
          </w:p>
        </w:tc>
      </w:tr>
      <w:tr w:rsidR="00614438" w:rsidRPr="00AA7A53" w14:paraId="6BB2C29E" w14:textId="77777777" w:rsidTr="00614438">
        <w:trPr>
          <w:gridAfter w:val="1"/>
          <w:wAfter w:w="121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1895A96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70" w:type="dxa"/>
            <w:gridSpan w:val="3"/>
            <w:tcBorders>
              <w:top w:val="single" w:sz="8" w:space="0" w:color="auto"/>
              <w:left w:val="nil"/>
              <w:bottom w:val="single" w:sz="8" w:space="0" w:color="auto"/>
              <w:right w:val="single" w:sz="8" w:space="0" w:color="000000"/>
            </w:tcBorders>
            <w:vAlign w:val="center"/>
            <w:hideMark/>
          </w:tcPr>
          <w:p w14:paraId="408FE78C" w14:textId="12FF1FE8" w:rsidR="00614438" w:rsidRPr="00AA7A53" w:rsidRDefault="00473634"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Until </w:t>
            </w:r>
            <w:r w:rsidR="00614438" w:rsidRPr="00AA7A53">
              <w:rPr>
                <w:rFonts w:ascii="Times New Roman" w:hAnsi="Times New Roman" w:cs="Times New Roman"/>
                <w:sz w:val="20"/>
                <w:szCs w:val="20"/>
                <w:lang w:val="en-GB"/>
              </w:rPr>
              <w:t>2026</w:t>
            </w:r>
          </w:p>
        </w:tc>
      </w:tr>
      <w:tr w:rsidR="00614438" w:rsidRPr="00AA7A53" w14:paraId="7B9AE9DF" w14:textId="77777777" w:rsidTr="00614438">
        <w:trPr>
          <w:gridAfter w:val="1"/>
          <w:wAfter w:w="121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43E122A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70" w:type="dxa"/>
            <w:gridSpan w:val="3"/>
            <w:tcBorders>
              <w:top w:val="single" w:sz="8" w:space="0" w:color="auto"/>
              <w:left w:val="nil"/>
              <w:bottom w:val="single" w:sz="8" w:space="0" w:color="auto"/>
              <w:right w:val="single" w:sz="8" w:space="0" w:color="000000"/>
            </w:tcBorders>
            <w:vAlign w:val="center"/>
            <w:hideMark/>
          </w:tcPr>
          <w:p w14:paraId="2EFB593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6ED52DFD" w14:textId="77777777" w:rsidTr="00614438">
        <w:trPr>
          <w:gridAfter w:val="1"/>
          <w:wAfter w:w="121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010B0E1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70" w:type="dxa"/>
            <w:gridSpan w:val="3"/>
            <w:tcBorders>
              <w:top w:val="single" w:sz="8" w:space="0" w:color="auto"/>
              <w:left w:val="nil"/>
              <w:bottom w:val="single" w:sz="8" w:space="0" w:color="auto"/>
              <w:right w:val="single" w:sz="8" w:space="0" w:color="000000"/>
            </w:tcBorders>
            <w:vAlign w:val="center"/>
            <w:hideMark/>
          </w:tcPr>
          <w:p w14:paraId="2029635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Oil</w:t>
            </w:r>
          </w:p>
        </w:tc>
      </w:tr>
      <w:tr w:rsidR="00614438" w:rsidRPr="00AA7A53" w14:paraId="4B8D08FE" w14:textId="77777777" w:rsidTr="00614438">
        <w:trPr>
          <w:gridAfter w:val="1"/>
          <w:wAfter w:w="1212" w:type="dxa"/>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0352346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70" w:type="dxa"/>
            <w:gridSpan w:val="3"/>
            <w:tcBorders>
              <w:top w:val="single" w:sz="8" w:space="0" w:color="auto"/>
              <w:left w:val="nil"/>
              <w:bottom w:val="single" w:sz="8" w:space="0" w:color="auto"/>
              <w:right w:val="single" w:sz="8" w:space="0" w:color="000000"/>
            </w:tcBorders>
            <w:vAlign w:val="center"/>
            <w:hideMark/>
          </w:tcPr>
          <w:p w14:paraId="03B0AABC" w14:textId="77777777" w:rsidR="00614438" w:rsidRPr="00AA7A53" w:rsidRDefault="00614438" w:rsidP="00AA7A53">
            <w:pPr>
              <w:numPr>
                <w:ilvl w:val="0"/>
                <w:numId w:val="130"/>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Reserves Directorate</w:t>
            </w:r>
          </w:p>
          <w:p w14:paraId="2B92AFF0" w14:textId="24FC21DD" w:rsidR="00614438" w:rsidRPr="00AA7A53" w:rsidRDefault="00614438" w:rsidP="00AA7A53">
            <w:pPr>
              <w:numPr>
                <w:ilvl w:val="0"/>
                <w:numId w:val="130"/>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Transnafta </w:t>
            </w:r>
            <w:r w:rsidR="00473634" w:rsidRPr="00AA7A53">
              <w:rPr>
                <w:rFonts w:ascii="Times New Roman" w:hAnsi="Times New Roman" w:cs="Times New Roman"/>
                <w:sz w:val="20"/>
                <w:szCs w:val="20"/>
              </w:rPr>
              <w:t>JSC</w:t>
            </w:r>
            <w:r w:rsidRPr="00AA7A53">
              <w:rPr>
                <w:rFonts w:ascii="Times New Roman" w:hAnsi="Times New Roman" w:cs="Times New Roman"/>
                <w:sz w:val="20"/>
                <w:szCs w:val="20"/>
              </w:rPr>
              <w:t xml:space="preserve"> Pancevo</w:t>
            </w:r>
          </w:p>
          <w:p w14:paraId="35745927" w14:textId="77777777" w:rsidR="00614438" w:rsidRPr="00AA7A53" w:rsidRDefault="00614438" w:rsidP="00AA7A53">
            <w:pPr>
              <w:numPr>
                <w:ilvl w:val="0"/>
                <w:numId w:val="130"/>
              </w:numPr>
              <w:spacing w:after="0"/>
              <w:jc w:val="both"/>
              <w:rPr>
                <w:rFonts w:ascii="Times New Roman" w:hAnsi="Times New Roman" w:cs="Times New Roman"/>
                <w:sz w:val="20"/>
                <w:szCs w:val="20"/>
              </w:rPr>
            </w:pPr>
            <w:r w:rsidRPr="00AA7A53">
              <w:rPr>
                <w:rFonts w:ascii="Times New Roman" w:hAnsi="Times New Roman" w:cs="Times New Roman"/>
                <w:sz w:val="20"/>
                <w:szCs w:val="20"/>
              </w:rPr>
              <w:t>Private entities</w:t>
            </w:r>
          </w:p>
        </w:tc>
      </w:tr>
      <w:tr w:rsidR="00614438" w:rsidRPr="00AA7A53" w14:paraId="0EFBB4F5" w14:textId="77777777" w:rsidTr="00614438">
        <w:trPr>
          <w:gridAfter w:val="1"/>
          <w:wAfter w:w="1212" w:type="dxa"/>
          <w:trHeight w:val="315"/>
        </w:trPr>
        <w:tc>
          <w:tcPr>
            <w:tcW w:w="3318" w:type="dxa"/>
            <w:tcBorders>
              <w:top w:val="nil"/>
              <w:left w:val="single" w:sz="8" w:space="0" w:color="auto"/>
              <w:bottom w:val="single" w:sz="8" w:space="0" w:color="auto"/>
              <w:right w:val="nil"/>
            </w:tcBorders>
            <w:shd w:val="clear" w:color="auto" w:fill="244062"/>
            <w:vAlign w:val="center"/>
            <w:hideMark/>
          </w:tcPr>
          <w:p w14:paraId="7C9ED5E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70" w:type="dxa"/>
            <w:gridSpan w:val="3"/>
            <w:tcBorders>
              <w:top w:val="single" w:sz="8" w:space="0" w:color="auto"/>
              <w:left w:val="nil"/>
              <w:bottom w:val="single" w:sz="8" w:space="0" w:color="auto"/>
              <w:right w:val="single" w:sz="8" w:space="0" w:color="000000"/>
            </w:tcBorders>
            <w:hideMark/>
          </w:tcPr>
          <w:p w14:paraId="74820D9C" w14:textId="77777777" w:rsidR="00614438" w:rsidRPr="00AA7A53" w:rsidRDefault="00614438" w:rsidP="00AA7A53">
            <w:pPr>
              <w:numPr>
                <w:ilvl w:val="0"/>
                <w:numId w:val="130"/>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Reserves Directorate</w:t>
            </w:r>
          </w:p>
          <w:p w14:paraId="3C510725" w14:textId="77777777" w:rsidR="00614438" w:rsidRPr="00AA7A53" w:rsidRDefault="00614438" w:rsidP="00AA7A53">
            <w:pPr>
              <w:numPr>
                <w:ilvl w:val="0"/>
                <w:numId w:val="13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0B8BD875" w14:textId="77777777" w:rsidR="00614438" w:rsidRPr="00AA7A53" w:rsidRDefault="00614438" w:rsidP="00AA7A53">
            <w:pPr>
              <w:numPr>
                <w:ilvl w:val="0"/>
                <w:numId w:val="13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tc>
      </w:tr>
      <w:tr w:rsidR="00614438" w:rsidRPr="00AA7A53" w14:paraId="0C74EA24" w14:textId="77777777" w:rsidTr="00614438">
        <w:trPr>
          <w:gridAfter w:val="1"/>
          <w:wAfter w:w="1212" w:type="dxa"/>
          <w:trHeight w:val="315"/>
        </w:trPr>
        <w:tc>
          <w:tcPr>
            <w:tcW w:w="3318" w:type="dxa"/>
            <w:tcBorders>
              <w:top w:val="nil"/>
              <w:left w:val="single" w:sz="8" w:space="0" w:color="auto"/>
              <w:bottom w:val="single" w:sz="8" w:space="0" w:color="auto"/>
              <w:right w:val="nil"/>
            </w:tcBorders>
            <w:shd w:val="clear" w:color="auto" w:fill="244062"/>
            <w:vAlign w:val="center"/>
            <w:hideMark/>
          </w:tcPr>
          <w:p w14:paraId="6959D42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70" w:type="dxa"/>
            <w:gridSpan w:val="3"/>
            <w:tcBorders>
              <w:top w:val="single" w:sz="8" w:space="0" w:color="auto"/>
              <w:left w:val="nil"/>
              <w:bottom w:val="single" w:sz="8" w:space="0" w:color="auto"/>
              <w:right w:val="single" w:sz="8" w:space="0" w:color="000000"/>
            </w:tcBorders>
            <w:hideMark/>
          </w:tcPr>
          <w:p w14:paraId="362D8C8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Available storage space for crude oil and oil products, Provision of oil products and crude oil</w:t>
            </w:r>
          </w:p>
        </w:tc>
      </w:tr>
      <w:tr w:rsidR="00614438" w:rsidRPr="00AA7A53" w14:paraId="6A184DD7" w14:textId="77777777" w:rsidTr="00614438">
        <w:trPr>
          <w:gridAfter w:val="1"/>
          <w:wAfter w:w="1212" w:type="dxa"/>
          <w:trHeight w:val="399"/>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7C472B6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70" w:type="dxa"/>
            <w:gridSpan w:val="3"/>
            <w:tcBorders>
              <w:top w:val="single" w:sz="8" w:space="0" w:color="auto"/>
              <w:left w:val="nil"/>
              <w:bottom w:val="single" w:sz="8" w:space="0" w:color="auto"/>
              <w:right w:val="single" w:sz="8" w:space="0" w:color="000000"/>
            </w:tcBorders>
            <w:vAlign w:val="center"/>
            <w:hideMark/>
          </w:tcPr>
          <w:p w14:paraId="51594E29"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FAD61B3" w14:textId="77777777" w:rsidTr="00614438">
        <w:trPr>
          <w:gridAfter w:val="1"/>
          <w:wAfter w:w="1212" w:type="dxa"/>
          <w:trHeight w:val="458"/>
        </w:trPr>
        <w:tc>
          <w:tcPr>
            <w:tcW w:w="3318" w:type="dxa"/>
            <w:vMerge w:val="restart"/>
            <w:tcBorders>
              <w:top w:val="nil"/>
              <w:left w:val="single" w:sz="8" w:space="0" w:color="auto"/>
              <w:bottom w:val="single" w:sz="8" w:space="0" w:color="000000"/>
              <w:right w:val="single" w:sz="8" w:space="0" w:color="auto"/>
            </w:tcBorders>
            <w:shd w:val="clear" w:color="auto" w:fill="244062"/>
            <w:vAlign w:val="center"/>
            <w:hideMark/>
          </w:tcPr>
          <w:p w14:paraId="416F0DD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7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C73D28A" w14:textId="77777777" w:rsidR="00614438" w:rsidRPr="00AA7A53" w:rsidRDefault="00614438" w:rsidP="00AA7A53">
            <w:pPr>
              <w:numPr>
                <w:ilvl w:val="0"/>
                <w:numId w:val="13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2009/119/EC</w:t>
            </w:r>
          </w:p>
          <w:p w14:paraId="6260F09E" w14:textId="77777777" w:rsidR="00614438" w:rsidRPr="00AA7A53" w:rsidRDefault="00614438" w:rsidP="00AA7A53">
            <w:pPr>
              <w:numPr>
                <w:ilvl w:val="0"/>
                <w:numId w:val="130"/>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Law</w:t>
            </w:r>
          </w:p>
          <w:p w14:paraId="3BFBBA3C" w14:textId="77777777" w:rsidR="00614438" w:rsidRPr="00AA7A53" w:rsidRDefault="00614438" w:rsidP="00AA7A53">
            <w:pPr>
              <w:numPr>
                <w:ilvl w:val="0"/>
                <w:numId w:val="130"/>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Commodity Reserves</w:t>
            </w:r>
          </w:p>
          <w:p w14:paraId="43246BA9" w14:textId="77777777" w:rsidR="00614438" w:rsidRPr="00AA7A53" w:rsidRDefault="00614438" w:rsidP="00AA7A53">
            <w:pPr>
              <w:numPr>
                <w:ilvl w:val="0"/>
                <w:numId w:val="130"/>
              </w:numPr>
              <w:spacing w:after="0"/>
              <w:jc w:val="both"/>
              <w:rPr>
                <w:rFonts w:ascii="Times New Roman" w:hAnsi="Times New Roman" w:cs="Times New Roman"/>
                <w:sz w:val="20"/>
                <w:szCs w:val="20"/>
              </w:rPr>
            </w:pPr>
            <w:r w:rsidRPr="00AA7A53">
              <w:rPr>
                <w:rFonts w:ascii="Times New Roman" w:hAnsi="Times New Roman" w:cs="Times New Roman"/>
                <w:sz w:val="20"/>
                <w:szCs w:val="20"/>
              </w:rPr>
              <w:t>Action Plan for establishment and maintenance of emergency stocks of crude oil and oil products (2017 – 2022)</w:t>
            </w:r>
          </w:p>
          <w:p w14:paraId="67430065" w14:textId="77777777" w:rsidR="00614438" w:rsidRPr="00AA7A53" w:rsidRDefault="00614438" w:rsidP="00AA7A53">
            <w:pPr>
              <w:numPr>
                <w:ilvl w:val="0"/>
                <w:numId w:val="130"/>
              </w:numPr>
              <w:spacing w:after="0"/>
              <w:jc w:val="both"/>
              <w:rPr>
                <w:rFonts w:ascii="Times New Roman" w:hAnsi="Times New Roman" w:cs="Times New Roman"/>
                <w:sz w:val="20"/>
                <w:szCs w:val="20"/>
              </w:rPr>
            </w:pPr>
            <w:r w:rsidRPr="00AA7A53">
              <w:rPr>
                <w:rFonts w:ascii="Times New Roman" w:hAnsi="Times New Roman" w:cs="Times New Roman"/>
                <w:sz w:val="20"/>
                <w:szCs w:val="20"/>
              </w:rPr>
              <w:t>Decree on the methodology of data collection and processing and calculation of average daily net imports, average daily consumption and amounts of required emergency stocks of crude oil and oil products</w:t>
            </w:r>
          </w:p>
          <w:p w14:paraId="1072FFE8" w14:textId="77777777" w:rsidR="00614438" w:rsidRPr="00AA7A53" w:rsidRDefault="00614438" w:rsidP="00AA7A53">
            <w:pPr>
              <w:numPr>
                <w:ilvl w:val="0"/>
                <w:numId w:val="130"/>
              </w:numPr>
              <w:spacing w:after="0"/>
              <w:jc w:val="both"/>
              <w:rPr>
                <w:rFonts w:ascii="Times New Roman" w:hAnsi="Times New Roman" w:cs="Times New Roman"/>
                <w:sz w:val="20"/>
                <w:szCs w:val="20"/>
              </w:rPr>
            </w:pPr>
            <w:r w:rsidRPr="00AA7A53">
              <w:rPr>
                <w:rFonts w:ascii="Times New Roman" w:hAnsi="Times New Roman" w:cs="Times New Roman"/>
                <w:sz w:val="20"/>
                <w:szCs w:val="20"/>
              </w:rPr>
              <w:t>Rulebook on defining the yearly programme of emergency oil (2019)</w:t>
            </w:r>
          </w:p>
          <w:p w14:paraId="26D01943" w14:textId="77777777" w:rsidR="00614438" w:rsidRPr="00AA7A53" w:rsidRDefault="00614438" w:rsidP="00AA7A53">
            <w:pPr>
              <w:numPr>
                <w:ilvl w:val="0"/>
                <w:numId w:val="130"/>
              </w:numPr>
              <w:spacing w:after="0"/>
              <w:jc w:val="both"/>
              <w:rPr>
                <w:rFonts w:ascii="Times New Roman" w:hAnsi="Times New Roman" w:cs="Times New Roman"/>
                <w:sz w:val="20"/>
                <w:szCs w:val="20"/>
              </w:rPr>
            </w:pPr>
            <w:r w:rsidRPr="00AA7A53">
              <w:rPr>
                <w:rFonts w:ascii="Times New Roman" w:hAnsi="Times New Roman" w:cs="Times New Roman"/>
                <w:sz w:val="20"/>
                <w:szCs w:val="20"/>
              </w:rPr>
              <w:t>Decree on the amount, method of calculation, payment and disposal of the fee for the establishment of emergency stocks of crude oil and oil products</w:t>
            </w:r>
          </w:p>
          <w:p w14:paraId="1865D8BD" w14:textId="77777777" w:rsidR="00614438" w:rsidRPr="00AA7A53" w:rsidRDefault="00614438" w:rsidP="00AA7A53">
            <w:pPr>
              <w:numPr>
                <w:ilvl w:val="0"/>
                <w:numId w:val="130"/>
              </w:numPr>
              <w:spacing w:after="0"/>
              <w:jc w:val="both"/>
              <w:rPr>
                <w:rFonts w:ascii="Times New Roman" w:hAnsi="Times New Roman" w:cs="Times New Roman"/>
                <w:sz w:val="20"/>
                <w:szCs w:val="20"/>
              </w:rPr>
            </w:pPr>
            <w:r w:rsidRPr="00AA7A53">
              <w:rPr>
                <w:rFonts w:ascii="Times New Roman" w:hAnsi="Times New Roman" w:cs="Times New Roman"/>
                <w:sz w:val="20"/>
                <w:szCs w:val="20"/>
              </w:rPr>
              <w:t>Rulebook on keeping a register of emergency stocks of oil and oil products and preparing of monthly statistical reports on the quantity, quality, composition and deployment of emergency and other stocks of crude oil and oil products</w:t>
            </w:r>
          </w:p>
          <w:p w14:paraId="16388362" w14:textId="1551848B" w:rsidR="00614438" w:rsidRPr="00AA7A53" w:rsidRDefault="00A82E81" w:rsidP="00AA7A53">
            <w:pPr>
              <w:numPr>
                <w:ilvl w:val="0"/>
                <w:numId w:val="130"/>
              </w:numPr>
              <w:spacing w:after="0"/>
              <w:jc w:val="both"/>
              <w:rPr>
                <w:rFonts w:ascii="Times New Roman" w:hAnsi="Times New Roman" w:cs="Times New Roman"/>
                <w:sz w:val="20"/>
                <w:szCs w:val="20"/>
              </w:rPr>
            </w:pPr>
            <w:r w:rsidRPr="00AA7A53">
              <w:rPr>
                <w:rFonts w:ascii="Times New Roman" w:hAnsi="Times New Roman" w:cs="Times New Roman"/>
                <w:sz w:val="20"/>
                <w:szCs w:val="20"/>
              </w:rPr>
              <w:t>Crisis</w:t>
            </w:r>
            <w:r w:rsidR="00614438" w:rsidRPr="00AA7A53">
              <w:rPr>
                <w:rFonts w:ascii="Times New Roman" w:hAnsi="Times New Roman" w:cs="Times New Roman"/>
                <w:sz w:val="20"/>
                <w:szCs w:val="20"/>
              </w:rPr>
              <w:t xml:space="preserve"> Response Plan</w:t>
            </w:r>
          </w:p>
          <w:p w14:paraId="11150D56" w14:textId="77777777" w:rsidR="00614438" w:rsidRPr="00AA7A53" w:rsidRDefault="00614438" w:rsidP="00AA7A53">
            <w:pPr>
              <w:numPr>
                <w:ilvl w:val="0"/>
                <w:numId w:val="130"/>
              </w:numPr>
              <w:spacing w:after="0"/>
              <w:jc w:val="both"/>
              <w:rPr>
                <w:rFonts w:ascii="Times New Roman" w:hAnsi="Times New Roman" w:cs="Times New Roman"/>
                <w:sz w:val="20"/>
                <w:szCs w:val="20"/>
              </w:rPr>
            </w:pPr>
            <w:r w:rsidRPr="00AA7A53">
              <w:rPr>
                <w:rFonts w:ascii="Times New Roman" w:hAnsi="Times New Roman" w:cs="Times New Roman"/>
                <w:sz w:val="20"/>
                <w:szCs w:val="20"/>
              </w:rPr>
              <w:t>Draft Action Plan for Establishment and Maintenance of Emergency Stocks of Crude Oil and Oil Products (June 2021 – December 2026)</w:t>
            </w:r>
          </w:p>
        </w:tc>
      </w:tr>
      <w:tr w:rsidR="00614438" w:rsidRPr="00AA7A53" w14:paraId="2E3C2868"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6989F87A"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D0E4240"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57107A99"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EC7C5AB"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54E6FC0A"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C5FF8CE"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48D8C343"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2A6968EA" w14:textId="77777777" w:rsidTr="00614438">
        <w:trPr>
          <w:trHeight w:val="780"/>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10F7134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70" w:type="dxa"/>
            <w:gridSpan w:val="3"/>
            <w:tcBorders>
              <w:top w:val="single" w:sz="8" w:space="0" w:color="auto"/>
              <w:left w:val="nil"/>
              <w:bottom w:val="single" w:sz="8" w:space="0" w:color="auto"/>
              <w:right w:val="single" w:sz="8" w:space="0" w:color="000000"/>
            </w:tcBorders>
            <w:vAlign w:val="center"/>
            <w:hideMark/>
          </w:tcPr>
          <w:p w14:paraId="71AB62AE" w14:textId="77777777" w:rsidR="00614438" w:rsidRPr="00AA7A53" w:rsidRDefault="00614438" w:rsidP="00AA7A53">
            <w:pPr>
              <w:numPr>
                <w:ilvl w:val="0"/>
                <w:numId w:val="130"/>
              </w:numPr>
              <w:spacing w:after="0"/>
              <w:jc w:val="both"/>
              <w:rPr>
                <w:rFonts w:ascii="Times New Roman" w:hAnsi="Times New Roman" w:cs="Times New Roman"/>
                <w:sz w:val="20"/>
                <w:szCs w:val="20"/>
              </w:rPr>
            </w:pPr>
            <w:r w:rsidRPr="00AA7A53">
              <w:rPr>
                <w:rFonts w:ascii="Times New Roman" w:hAnsi="Times New Roman" w:cs="Times New Roman"/>
                <w:sz w:val="20"/>
                <w:szCs w:val="20"/>
              </w:rPr>
              <w:t>Action plan for establishment and maintenance of emergency stocks of crude oil and oil products</w:t>
            </w:r>
          </w:p>
        </w:tc>
        <w:tc>
          <w:tcPr>
            <w:tcW w:w="1212" w:type="dxa"/>
            <w:vAlign w:val="center"/>
            <w:hideMark/>
          </w:tcPr>
          <w:p w14:paraId="56F5AFE3"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761F80C" w14:textId="77777777" w:rsidTr="00614438">
        <w:trPr>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28EA9D7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70" w:type="dxa"/>
            <w:gridSpan w:val="3"/>
            <w:tcBorders>
              <w:top w:val="single" w:sz="8" w:space="0" w:color="auto"/>
              <w:left w:val="nil"/>
              <w:bottom w:val="single" w:sz="8" w:space="0" w:color="auto"/>
              <w:right w:val="single" w:sz="8" w:space="0" w:color="000000"/>
            </w:tcBorders>
            <w:vAlign w:val="center"/>
            <w:hideMark/>
          </w:tcPr>
          <w:p w14:paraId="4BA8C55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0.5 M€</w:t>
            </w:r>
          </w:p>
        </w:tc>
        <w:tc>
          <w:tcPr>
            <w:tcW w:w="1212" w:type="dxa"/>
            <w:vAlign w:val="center"/>
            <w:hideMark/>
          </w:tcPr>
          <w:p w14:paraId="24A84B6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F6E4D1F" w14:textId="77777777" w:rsidTr="00614438">
        <w:trPr>
          <w:trHeight w:val="315"/>
        </w:trPr>
        <w:tc>
          <w:tcPr>
            <w:tcW w:w="3318" w:type="dxa"/>
            <w:tcBorders>
              <w:top w:val="nil"/>
              <w:left w:val="single" w:sz="8" w:space="0" w:color="auto"/>
              <w:bottom w:val="single" w:sz="8" w:space="0" w:color="auto"/>
              <w:right w:val="single" w:sz="8" w:space="0" w:color="auto"/>
            </w:tcBorders>
            <w:shd w:val="clear" w:color="auto" w:fill="244062"/>
            <w:vAlign w:val="center"/>
            <w:hideMark/>
          </w:tcPr>
          <w:p w14:paraId="3475DCB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70" w:type="dxa"/>
            <w:gridSpan w:val="3"/>
            <w:tcBorders>
              <w:top w:val="single" w:sz="8" w:space="0" w:color="auto"/>
              <w:left w:val="nil"/>
              <w:bottom w:val="single" w:sz="8" w:space="0" w:color="auto"/>
              <w:right w:val="single" w:sz="8" w:space="0" w:color="000000"/>
            </w:tcBorders>
            <w:vAlign w:val="center"/>
            <w:hideMark/>
          </w:tcPr>
          <w:p w14:paraId="28A0679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Levy on retail price of motor fuels</w:t>
            </w:r>
          </w:p>
        </w:tc>
        <w:tc>
          <w:tcPr>
            <w:tcW w:w="1212" w:type="dxa"/>
            <w:vAlign w:val="center"/>
            <w:hideMark/>
          </w:tcPr>
          <w:p w14:paraId="2CB1E36B" w14:textId="77777777" w:rsidR="00614438" w:rsidRPr="00AA7A53" w:rsidRDefault="00614438" w:rsidP="00AA7A53">
            <w:pPr>
              <w:spacing w:after="0"/>
              <w:jc w:val="both"/>
              <w:rPr>
                <w:rFonts w:ascii="Times New Roman" w:hAnsi="Times New Roman" w:cs="Times New Roman"/>
                <w:sz w:val="20"/>
                <w:szCs w:val="20"/>
                <w:lang w:val="en-GB"/>
              </w:rPr>
            </w:pPr>
          </w:p>
        </w:tc>
      </w:tr>
    </w:tbl>
    <w:p w14:paraId="05918285"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342"/>
        <w:gridCol w:w="941"/>
        <w:gridCol w:w="945"/>
        <w:gridCol w:w="4260"/>
        <w:gridCol w:w="1212"/>
      </w:tblGrid>
      <w:tr w:rsidR="00614438" w:rsidRPr="00AA7A53" w14:paraId="646D9111" w14:textId="77777777" w:rsidTr="00614438">
        <w:trPr>
          <w:gridAfter w:val="1"/>
          <w:wAfter w:w="1212" w:type="dxa"/>
          <w:trHeight w:val="780"/>
        </w:trPr>
        <w:tc>
          <w:tcPr>
            <w:tcW w:w="3342"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A48DD2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Policy measure code:</w:t>
            </w:r>
          </w:p>
        </w:tc>
        <w:tc>
          <w:tcPr>
            <w:tcW w:w="941" w:type="dxa"/>
            <w:tcBorders>
              <w:top w:val="single" w:sz="8" w:space="0" w:color="auto"/>
              <w:left w:val="nil"/>
              <w:bottom w:val="single" w:sz="8" w:space="0" w:color="auto"/>
              <w:right w:val="single" w:sz="8" w:space="0" w:color="auto"/>
            </w:tcBorders>
            <w:shd w:val="clear" w:color="auto" w:fill="E7E6E6" w:themeFill="background2"/>
            <w:vAlign w:val="center"/>
            <w:hideMark/>
          </w:tcPr>
          <w:p w14:paraId="18588A1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PM_ES4</w:t>
            </w:r>
          </w:p>
        </w:tc>
        <w:tc>
          <w:tcPr>
            <w:tcW w:w="945" w:type="dxa"/>
            <w:tcBorders>
              <w:top w:val="single" w:sz="8" w:space="0" w:color="auto"/>
              <w:left w:val="nil"/>
              <w:bottom w:val="single" w:sz="8" w:space="0" w:color="auto"/>
              <w:right w:val="single" w:sz="8" w:space="0" w:color="auto"/>
            </w:tcBorders>
            <w:shd w:val="clear" w:color="auto" w:fill="244062"/>
            <w:vAlign w:val="center"/>
            <w:hideMark/>
          </w:tcPr>
          <w:p w14:paraId="17B6704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60" w:type="dxa"/>
            <w:tcBorders>
              <w:top w:val="single" w:sz="8" w:space="0" w:color="auto"/>
              <w:left w:val="nil"/>
              <w:bottom w:val="single" w:sz="8" w:space="0" w:color="auto"/>
              <w:right w:val="single" w:sz="8" w:space="0" w:color="auto"/>
            </w:tcBorders>
            <w:shd w:val="clear" w:color="auto" w:fill="E7E6E6" w:themeFill="background2"/>
            <w:vAlign w:val="center"/>
            <w:hideMark/>
          </w:tcPr>
          <w:p w14:paraId="4CFEC23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Creating operational reserves of oil, coal and other energy derivatives</w:t>
            </w:r>
          </w:p>
        </w:tc>
      </w:tr>
      <w:tr w:rsidR="00614438" w:rsidRPr="00AA7A53" w14:paraId="4D5802AC" w14:textId="77777777" w:rsidTr="00614438">
        <w:trPr>
          <w:gridAfter w:val="1"/>
          <w:wAfter w:w="1212" w:type="dxa"/>
          <w:trHeight w:val="730"/>
        </w:trPr>
        <w:tc>
          <w:tcPr>
            <w:tcW w:w="3342" w:type="dxa"/>
            <w:tcBorders>
              <w:top w:val="nil"/>
              <w:left w:val="single" w:sz="8" w:space="0" w:color="auto"/>
              <w:bottom w:val="single" w:sz="8" w:space="0" w:color="auto"/>
              <w:right w:val="nil"/>
            </w:tcBorders>
            <w:shd w:val="clear" w:color="auto" w:fill="244062"/>
            <w:vAlign w:val="center"/>
            <w:hideMark/>
          </w:tcPr>
          <w:p w14:paraId="5A63384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Main objective:</w:t>
            </w:r>
          </w:p>
        </w:tc>
        <w:tc>
          <w:tcPr>
            <w:tcW w:w="6146" w:type="dxa"/>
            <w:gridSpan w:val="3"/>
            <w:tcBorders>
              <w:top w:val="single" w:sz="8" w:space="0" w:color="auto"/>
              <w:left w:val="nil"/>
              <w:bottom w:val="single" w:sz="8" w:space="0" w:color="auto"/>
              <w:right w:val="single" w:sz="8" w:space="0" w:color="000000"/>
            </w:tcBorders>
            <w:vAlign w:val="center"/>
            <w:hideMark/>
          </w:tcPr>
          <w:p w14:paraId="2B71F1D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Ability to cope with constrained or interrupted supply of an energy source, flexibility of the national energy system</w:t>
            </w:r>
          </w:p>
        </w:tc>
      </w:tr>
      <w:tr w:rsidR="00614438" w:rsidRPr="00AA7A53" w14:paraId="4C4B6435" w14:textId="77777777" w:rsidTr="00614438">
        <w:trPr>
          <w:gridAfter w:val="1"/>
          <w:wAfter w:w="1212" w:type="dxa"/>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446B6F7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Quantified objective:</w:t>
            </w:r>
          </w:p>
        </w:tc>
        <w:tc>
          <w:tcPr>
            <w:tcW w:w="6146" w:type="dxa"/>
            <w:gridSpan w:val="3"/>
            <w:tcBorders>
              <w:top w:val="single" w:sz="8" w:space="0" w:color="auto"/>
              <w:left w:val="nil"/>
              <w:bottom w:val="single" w:sz="8" w:space="0" w:color="auto"/>
              <w:right w:val="single" w:sz="8" w:space="0" w:color="000000"/>
            </w:tcBorders>
            <w:vAlign w:val="center"/>
            <w:hideMark/>
          </w:tcPr>
          <w:p w14:paraId="689F8F5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Level of operational reserves by supplier and type of energy product</w:t>
            </w:r>
          </w:p>
        </w:tc>
      </w:tr>
      <w:tr w:rsidR="00614438" w:rsidRPr="00AA7A53" w14:paraId="43233B77" w14:textId="77777777" w:rsidTr="00614438">
        <w:trPr>
          <w:gridAfter w:val="1"/>
          <w:wAfter w:w="1212" w:type="dxa"/>
          <w:trHeight w:val="1103"/>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0350306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6" w:type="dxa"/>
            <w:gridSpan w:val="3"/>
            <w:tcBorders>
              <w:top w:val="single" w:sz="8" w:space="0" w:color="auto"/>
              <w:left w:val="nil"/>
              <w:bottom w:val="single" w:sz="8" w:space="0" w:color="auto"/>
              <w:right w:val="single" w:sz="8" w:space="0" w:color="000000"/>
            </w:tcBorders>
            <w:vAlign w:val="center"/>
            <w:hideMark/>
          </w:tcPr>
          <w:p w14:paraId="365DAF8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This measure refers to the introduction of obligations of maintaining commercial reserves (obligations upon suppliers): Decree on operational stocks of oil, coal and other energy carriers (“Official Gazette of the Republic of Serbia", no. 79/21), adopted on 6 August 2021.</w:t>
            </w:r>
          </w:p>
        </w:tc>
      </w:tr>
      <w:tr w:rsidR="00614438" w:rsidRPr="00AA7A53" w14:paraId="1265BA0C" w14:textId="77777777" w:rsidTr="00614438">
        <w:trPr>
          <w:gridAfter w:val="1"/>
          <w:wAfter w:w="1212" w:type="dxa"/>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39AD0CE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6" w:type="dxa"/>
            <w:gridSpan w:val="3"/>
            <w:tcBorders>
              <w:top w:val="single" w:sz="8" w:space="0" w:color="auto"/>
              <w:left w:val="nil"/>
              <w:bottom w:val="single" w:sz="8" w:space="0" w:color="auto"/>
              <w:right w:val="single" w:sz="8" w:space="0" w:color="000000"/>
            </w:tcBorders>
            <w:vAlign w:val="center"/>
            <w:hideMark/>
          </w:tcPr>
          <w:p w14:paraId="3ED527D4" w14:textId="77777777" w:rsidR="00614438" w:rsidRPr="00AA7A53" w:rsidRDefault="00614438" w:rsidP="00AA7A53">
            <w:pPr>
              <w:spacing w:after="0"/>
              <w:jc w:val="both"/>
              <w:rPr>
                <w:rFonts w:ascii="Times New Roman" w:hAnsi="Times New Roman" w:cs="Times New Roman"/>
                <w:sz w:val="20"/>
                <w:szCs w:val="20"/>
              </w:rPr>
            </w:pPr>
            <w:r w:rsidRPr="00AA7A53">
              <w:rPr>
                <w:rFonts w:ascii="Times New Roman" w:hAnsi="Times New Roman" w:cs="Times New Roman"/>
                <w:sz w:val="20"/>
                <w:szCs w:val="20"/>
                <w:lang w:val="en-GB"/>
              </w:rPr>
              <w:t>202</w:t>
            </w:r>
            <w:r w:rsidRPr="00AA7A53">
              <w:rPr>
                <w:rFonts w:ascii="Times New Roman" w:hAnsi="Times New Roman" w:cs="Times New Roman"/>
                <w:sz w:val="20"/>
                <w:szCs w:val="20"/>
                <w:lang w:val="el-GR"/>
              </w:rPr>
              <w:t>4</w:t>
            </w:r>
          </w:p>
        </w:tc>
      </w:tr>
      <w:tr w:rsidR="00614438" w:rsidRPr="00AA7A53" w14:paraId="23782A19" w14:textId="77777777" w:rsidTr="00614438">
        <w:trPr>
          <w:gridAfter w:val="1"/>
          <w:wAfter w:w="1212" w:type="dxa"/>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639F238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6" w:type="dxa"/>
            <w:gridSpan w:val="3"/>
            <w:tcBorders>
              <w:top w:val="single" w:sz="8" w:space="0" w:color="auto"/>
              <w:left w:val="nil"/>
              <w:bottom w:val="single" w:sz="8" w:space="0" w:color="auto"/>
              <w:right w:val="single" w:sz="8" w:space="0" w:color="000000"/>
            </w:tcBorders>
            <w:vAlign w:val="center"/>
            <w:hideMark/>
          </w:tcPr>
          <w:p w14:paraId="6B2271E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0AB8B7F0" w14:textId="77777777" w:rsidTr="00614438">
        <w:trPr>
          <w:gridAfter w:val="1"/>
          <w:wAfter w:w="1212" w:type="dxa"/>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53F3B4B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6" w:type="dxa"/>
            <w:gridSpan w:val="3"/>
            <w:tcBorders>
              <w:top w:val="single" w:sz="8" w:space="0" w:color="auto"/>
              <w:left w:val="nil"/>
              <w:bottom w:val="single" w:sz="8" w:space="0" w:color="auto"/>
              <w:right w:val="single" w:sz="8" w:space="0" w:color="000000"/>
            </w:tcBorders>
            <w:vAlign w:val="center"/>
            <w:hideMark/>
          </w:tcPr>
          <w:p w14:paraId="4768635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Oil and coal</w:t>
            </w:r>
          </w:p>
        </w:tc>
      </w:tr>
      <w:tr w:rsidR="00614438" w:rsidRPr="00AA7A53" w14:paraId="2791A748" w14:textId="77777777" w:rsidTr="00614438">
        <w:trPr>
          <w:gridAfter w:val="1"/>
          <w:wAfter w:w="1212" w:type="dxa"/>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6B751AC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6" w:type="dxa"/>
            <w:gridSpan w:val="3"/>
            <w:tcBorders>
              <w:top w:val="single" w:sz="8" w:space="0" w:color="auto"/>
              <w:left w:val="nil"/>
              <w:bottom w:val="single" w:sz="8" w:space="0" w:color="auto"/>
              <w:right w:val="single" w:sz="8" w:space="0" w:color="000000"/>
            </w:tcBorders>
            <w:vAlign w:val="center"/>
            <w:hideMark/>
          </w:tcPr>
          <w:p w14:paraId="0691EF30" w14:textId="77777777" w:rsidR="00614438" w:rsidRPr="00AA7A53" w:rsidRDefault="00614438" w:rsidP="00AA7A53">
            <w:pPr>
              <w:numPr>
                <w:ilvl w:val="0"/>
                <w:numId w:val="131"/>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entities that have the obligation to form operational reserves</w:t>
            </w:r>
          </w:p>
        </w:tc>
      </w:tr>
      <w:tr w:rsidR="00614438" w:rsidRPr="00AA7A53" w14:paraId="25651629" w14:textId="77777777" w:rsidTr="00614438">
        <w:trPr>
          <w:gridAfter w:val="1"/>
          <w:wAfter w:w="1212" w:type="dxa"/>
          <w:trHeight w:val="315"/>
        </w:trPr>
        <w:tc>
          <w:tcPr>
            <w:tcW w:w="3342" w:type="dxa"/>
            <w:tcBorders>
              <w:top w:val="nil"/>
              <w:left w:val="single" w:sz="8" w:space="0" w:color="auto"/>
              <w:bottom w:val="single" w:sz="8" w:space="0" w:color="auto"/>
              <w:right w:val="nil"/>
            </w:tcBorders>
            <w:shd w:val="clear" w:color="auto" w:fill="244062"/>
            <w:vAlign w:val="center"/>
            <w:hideMark/>
          </w:tcPr>
          <w:p w14:paraId="19CB3A6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6" w:type="dxa"/>
            <w:gridSpan w:val="3"/>
            <w:tcBorders>
              <w:top w:val="single" w:sz="8" w:space="0" w:color="auto"/>
              <w:left w:val="nil"/>
              <w:bottom w:val="single" w:sz="8" w:space="0" w:color="auto"/>
              <w:right w:val="single" w:sz="8" w:space="0" w:color="000000"/>
            </w:tcBorders>
            <w:vAlign w:val="center"/>
            <w:hideMark/>
          </w:tcPr>
          <w:p w14:paraId="248BE1E0" w14:textId="77777777" w:rsidR="00614438" w:rsidRPr="00AA7A53" w:rsidRDefault="00614438" w:rsidP="00AA7A53">
            <w:pPr>
              <w:numPr>
                <w:ilvl w:val="0"/>
                <w:numId w:val="131"/>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370F7BCF" w14:textId="77777777" w:rsidTr="00614438">
        <w:trPr>
          <w:gridAfter w:val="1"/>
          <w:wAfter w:w="1212" w:type="dxa"/>
          <w:trHeight w:val="315"/>
        </w:trPr>
        <w:tc>
          <w:tcPr>
            <w:tcW w:w="3342" w:type="dxa"/>
            <w:tcBorders>
              <w:top w:val="nil"/>
              <w:left w:val="single" w:sz="8" w:space="0" w:color="auto"/>
              <w:bottom w:val="single" w:sz="8" w:space="0" w:color="auto"/>
              <w:right w:val="nil"/>
            </w:tcBorders>
            <w:shd w:val="clear" w:color="auto" w:fill="244062"/>
            <w:vAlign w:val="center"/>
            <w:hideMark/>
          </w:tcPr>
          <w:p w14:paraId="320FD6D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6" w:type="dxa"/>
            <w:gridSpan w:val="3"/>
            <w:tcBorders>
              <w:top w:val="single" w:sz="8" w:space="0" w:color="auto"/>
              <w:left w:val="nil"/>
              <w:bottom w:val="single" w:sz="8" w:space="0" w:color="auto"/>
              <w:right w:val="single" w:sz="8" w:space="0" w:color="000000"/>
            </w:tcBorders>
            <w:vAlign w:val="center"/>
            <w:hideMark/>
          </w:tcPr>
          <w:p w14:paraId="24B10B69" w14:textId="18657058" w:rsidR="00614438" w:rsidRPr="00AA7A53" w:rsidRDefault="00614438" w:rsidP="00AA7A53">
            <w:pPr>
              <w:pStyle w:val="ListParagraph"/>
              <w:numPr>
                <w:ilvl w:val="0"/>
                <w:numId w:val="261"/>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Volume of energy product in stock by product</w:t>
            </w:r>
          </w:p>
        </w:tc>
      </w:tr>
      <w:tr w:rsidR="00614438" w:rsidRPr="00AA7A53" w14:paraId="5D6AC064" w14:textId="77777777" w:rsidTr="00614438">
        <w:trPr>
          <w:gridAfter w:val="1"/>
          <w:wAfter w:w="1212" w:type="dxa"/>
          <w:trHeight w:val="387"/>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680D84A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6" w:type="dxa"/>
            <w:gridSpan w:val="3"/>
            <w:tcBorders>
              <w:top w:val="single" w:sz="8" w:space="0" w:color="auto"/>
              <w:left w:val="nil"/>
              <w:bottom w:val="single" w:sz="8" w:space="0" w:color="auto"/>
              <w:right w:val="single" w:sz="8" w:space="0" w:color="000000"/>
            </w:tcBorders>
            <w:vAlign w:val="center"/>
            <w:hideMark/>
          </w:tcPr>
          <w:p w14:paraId="69A79778"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11520F5" w14:textId="77777777" w:rsidTr="00614438">
        <w:trPr>
          <w:gridAfter w:val="1"/>
          <w:wAfter w:w="1212" w:type="dxa"/>
          <w:trHeight w:val="458"/>
        </w:trPr>
        <w:tc>
          <w:tcPr>
            <w:tcW w:w="3342" w:type="dxa"/>
            <w:vMerge w:val="restart"/>
            <w:tcBorders>
              <w:top w:val="nil"/>
              <w:left w:val="single" w:sz="8" w:space="0" w:color="auto"/>
              <w:bottom w:val="single" w:sz="8" w:space="0" w:color="000000"/>
              <w:right w:val="single" w:sz="8" w:space="0" w:color="auto"/>
            </w:tcBorders>
            <w:shd w:val="clear" w:color="auto" w:fill="244062"/>
            <w:vAlign w:val="center"/>
            <w:hideMark/>
          </w:tcPr>
          <w:p w14:paraId="6363A87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6"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014221BE" w14:textId="77777777" w:rsidR="00614438" w:rsidRPr="00AA7A53" w:rsidRDefault="00614438" w:rsidP="00AA7A53">
            <w:pPr>
              <w:numPr>
                <w:ilvl w:val="0"/>
                <w:numId w:val="131"/>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2009/119/EC</w:t>
            </w:r>
          </w:p>
        </w:tc>
      </w:tr>
      <w:tr w:rsidR="00614438" w:rsidRPr="00AA7A53" w14:paraId="4AC32866"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029E33EC"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A3A864E"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023F203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92E55A2"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3BF1A082"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FA781CE"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182B88DD"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000271BF" w14:textId="77777777" w:rsidTr="00614438">
        <w:trPr>
          <w:trHeight w:val="780"/>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61980F6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6" w:type="dxa"/>
            <w:gridSpan w:val="3"/>
            <w:tcBorders>
              <w:top w:val="single" w:sz="8" w:space="0" w:color="auto"/>
              <w:left w:val="nil"/>
              <w:bottom w:val="single" w:sz="8" w:space="0" w:color="auto"/>
              <w:right w:val="single" w:sz="8" w:space="0" w:color="000000"/>
            </w:tcBorders>
            <w:vAlign w:val="center"/>
            <w:hideMark/>
          </w:tcPr>
          <w:p w14:paraId="2193BD4F" w14:textId="77777777" w:rsidR="00614438" w:rsidRPr="00AA7A53" w:rsidRDefault="00614438" w:rsidP="00AA7A53">
            <w:pPr>
              <w:numPr>
                <w:ilvl w:val="0"/>
                <w:numId w:val="132"/>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Law</w:t>
            </w:r>
          </w:p>
          <w:p w14:paraId="3BD23FD7" w14:textId="77777777" w:rsidR="00614438" w:rsidRPr="00AA7A53" w:rsidRDefault="00614438" w:rsidP="00AA7A53">
            <w:pPr>
              <w:numPr>
                <w:ilvl w:val="0"/>
                <w:numId w:val="132"/>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Compulsory Reserves of Oil and Oil Derivatives</w:t>
            </w:r>
          </w:p>
          <w:p w14:paraId="0BE7E12B" w14:textId="3AD47418" w:rsidR="00614438" w:rsidRPr="00AA7A53" w:rsidRDefault="00614438" w:rsidP="00AA7A53">
            <w:pPr>
              <w:numPr>
                <w:ilvl w:val="0"/>
                <w:numId w:val="132"/>
              </w:numPr>
              <w:spacing w:after="0"/>
              <w:jc w:val="both"/>
              <w:rPr>
                <w:rFonts w:ascii="Times New Roman" w:hAnsi="Times New Roman" w:cs="Times New Roman"/>
                <w:sz w:val="20"/>
                <w:szCs w:val="20"/>
              </w:rPr>
            </w:pPr>
            <w:r w:rsidRPr="00AA7A53">
              <w:rPr>
                <w:rFonts w:ascii="Times New Roman" w:hAnsi="Times New Roman" w:cs="Times New Roman"/>
                <w:sz w:val="20"/>
                <w:szCs w:val="20"/>
              </w:rPr>
              <w:t>Action Plan for establishment and maintenance of emergency stocks of crude oil and oil products (201</w:t>
            </w:r>
            <w:r w:rsidR="00577485" w:rsidRPr="00AA7A53">
              <w:rPr>
                <w:rFonts w:ascii="Times New Roman" w:hAnsi="Times New Roman" w:cs="Times New Roman"/>
                <w:sz w:val="20"/>
                <w:szCs w:val="20"/>
              </w:rPr>
              <w:t>7-2022</w:t>
            </w:r>
            <w:r w:rsidRPr="00AA7A53">
              <w:rPr>
                <w:rFonts w:ascii="Times New Roman" w:hAnsi="Times New Roman" w:cs="Times New Roman"/>
                <w:sz w:val="20"/>
                <w:szCs w:val="20"/>
              </w:rPr>
              <w:t>)</w:t>
            </w:r>
          </w:p>
          <w:p w14:paraId="59B5DBBA" w14:textId="77777777" w:rsidR="00614438" w:rsidRPr="00AA7A53" w:rsidRDefault="00614438" w:rsidP="00AA7A53">
            <w:pPr>
              <w:numPr>
                <w:ilvl w:val="0"/>
                <w:numId w:val="132"/>
              </w:numPr>
              <w:spacing w:after="0"/>
              <w:jc w:val="both"/>
              <w:rPr>
                <w:rFonts w:ascii="Times New Roman" w:hAnsi="Times New Roman" w:cs="Times New Roman"/>
                <w:sz w:val="20"/>
                <w:szCs w:val="20"/>
              </w:rPr>
            </w:pPr>
            <w:r w:rsidRPr="00AA7A53">
              <w:rPr>
                <w:rFonts w:ascii="Times New Roman" w:hAnsi="Times New Roman" w:cs="Times New Roman"/>
                <w:sz w:val="20"/>
                <w:szCs w:val="20"/>
              </w:rPr>
              <w:t>Decree on the plan and procurement criteria for the formation of emergency reserves (2016)</w:t>
            </w:r>
          </w:p>
          <w:p w14:paraId="30BB55BF" w14:textId="15671A45" w:rsidR="00614438" w:rsidRPr="00AA7A53" w:rsidRDefault="00614438" w:rsidP="00AA7A53">
            <w:pPr>
              <w:numPr>
                <w:ilvl w:val="0"/>
                <w:numId w:val="132"/>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Rulebook on defining the yearly programme of emergency oil (2019), </w:t>
            </w:r>
            <w:r w:rsidR="00A82E81" w:rsidRPr="00AA7A53">
              <w:rPr>
                <w:rFonts w:ascii="Times New Roman" w:hAnsi="Times New Roman" w:cs="Times New Roman"/>
                <w:sz w:val="20"/>
                <w:szCs w:val="20"/>
              </w:rPr>
              <w:t>Crisis</w:t>
            </w:r>
            <w:r w:rsidRPr="00AA7A53">
              <w:rPr>
                <w:rFonts w:ascii="Times New Roman" w:hAnsi="Times New Roman" w:cs="Times New Roman"/>
                <w:sz w:val="20"/>
                <w:szCs w:val="20"/>
              </w:rPr>
              <w:t xml:space="preserve"> response plan (2019)</w:t>
            </w:r>
          </w:p>
          <w:p w14:paraId="1DD55ECC" w14:textId="77777777" w:rsidR="00614438" w:rsidRPr="00AA7A53" w:rsidRDefault="00614438" w:rsidP="00AA7A53">
            <w:pPr>
              <w:numPr>
                <w:ilvl w:val="0"/>
                <w:numId w:val="132"/>
              </w:numPr>
              <w:spacing w:after="0"/>
              <w:jc w:val="both"/>
              <w:rPr>
                <w:rFonts w:ascii="Times New Roman" w:hAnsi="Times New Roman" w:cs="Times New Roman"/>
                <w:sz w:val="20"/>
                <w:szCs w:val="20"/>
              </w:rPr>
            </w:pPr>
            <w:r w:rsidRPr="00AA7A53">
              <w:rPr>
                <w:rFonts w:ascii="Times New Roman" w:hAnsi="Times New Roman" w:cs="Times New Roman"/>
                <w:sz w:val="20"/>
                <w:szCs w:val="20"/>
              </w:rPr>
              <w:t>Decree on Operational reserves of Oil, Coal and Other Energy Derivatives (2021)</w:t>
            </w:r>
          </w:p>
        </w:tc>
        <w:tc>
          <w:tcPr>
            <w:tcW w:w="1212" w:type="dxa"/>
            <w:vAlign w:val="center"/>
            <w:hideMark/>
          </w:tcPr>
          <w:p w14:paraId="1DA28CDB"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D226947" w14:textId="77777777" w:rsidTr="00614438">
        <w:trPr>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78D26B1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6" w:type="dxa"/>
            <w:gridSpan w:val="3"/>
            <w:tcBorders>
              <w:top w:val="single" w:sz="8" w:space="0" w:color="auto"/>
              <w:left w:val="nil"/>
              <w:bottom w:val="single" w:sz="8" w:space="0" w:color="auto"/>
              <w:right w:val="single" w:sz="8" w:space="0" w:color="000000"/>
            </w:tcBorders>
            <w:vAlign w:val="center"/>
            <w:hideMark/>
          </w:tcPr>
          <w:p w14:paraId="3B639F8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0.5 M€</w:t>
            </w:r>
          </w:p>
        </w:tc>
        <w:tc>
          <w:tcPr>
            <w:tcW w:w="1212" w:type="dxa"/>
            <w:vAlign w:val="center"/>
            <w:hideMark/>
          </w:tcPr>
          <w:p w14:paraId="77ED13ED"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7C32C9A" w14:textId="77777777" w:rsidTr="00614438">
        <w:trPr>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0C2D9E2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6" w:type="dxa"/>
            <w:gridSpan w:val="3"/>
            <w:tcBorders>
              <w:top w:val="single" w:sz="8" w:space="0" w:color="auto"/>
              <w:left w:val="nil"/>
              <w:bottom w:val="single" w:sz="8" w:space="0" w:color="auto"/>
              <w:right w:val="single" w:sz="8" w:space="0" w:color="000000"/>
            </w:tcBorders>
            <w:vAlign w:val="center"/>
            <w:hideMark/>
          </w:tcPr>
          <w:p w14:paraId="4D187A4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Funds of obliged parties</w:t>
            </w:r>
          </w:p>
        </w:tc>
        <w:tc>
          <w:tcPr>
            <w:tcW w:w="1212" w:type="dxa"/>
            <w:vAlign w:val="center"/>
            <w:hideMark/>
          </w:tcPr>
          <w:p w14:paraId="3F1806A1" w14:textId="77777777" w:rsidR="00614438" w:rsidRPr="00AA7A53" w:rsidRDefault="00614438" w:rsidP="00AA7A53">
            <w:pPr>
              <w:spacing w:after="0"/>
              <w:jc w:val="both"/>
              <w:rPr>
                <w:rFonts w:ascii="Times New Roman" w:hAnsi="Times New Roman" w:cs="Times New Roman"/>
                <w:sz w:val="20"/>
                <w:szCs w:val="20"/>
                <w:lang w:val="en-GB"/>
              </w:rPr>
            </w:pPr>
          </w:p>
        </w:tc>
      </w:tr>
    </w:tbl>
    <w:p w14:paraId="3592C8D1"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342"/>
        <w:gridCol w:w="941"/>
        <w:gridCol w:w="945"/>
        <w:gridCol w:w="4260"/>
        <w:gridCol w:w="1212"/>
      </w:tblGrid>
      <w:tr w:rsidR="00614438" w:rsidRPr="00AA7A53" w14:paraId="59E90140" w14:textId="77777777" w:rsidTr="00614438">
        <w:trPr>
          <w:gridAfter w:val="1"/>
          <w:wAfter w:w="1212" w:type="dxa"/>
          <w:trHeight w:val="780"/>
        </w:trPr>
        <w:tc>
          <w:tcPr>
            <w:tcW w:w="3342"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5B2ECE9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41" w:type="dxa"/>
            <w:tcBorders>
              <w:top w:val="single" w:sz="8" w:space="0" w:color="auto"/>
              <w:left w:val="nil"/>
              <w:bottom w:val="single" w:sz="8" w:space="0" w:color="auto"/>
              <w:right w:val="single" w:sz="8" w:space="0" w:color="auto"/>
            </w:tcBorders>
            <w:shd w:val="clear" w:color="auto" w:fill="E7E6E6" w:themeFill="background2"/>
            <w:vAlign w:val="center"/>
            <w:hideMark/>
          </w:tcPr>
          <w:p w14:paraId="2DB880C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PM_ES5</w:t>
            </w:r>
          </w:p>
        </w:tc>
        <w:tc>
          <w:tcPr>
            <w:tcW w:w="945" w:type="dxa"/>
            <w:tcBorders>
              <w:top w:val="single" w:sz="8" w:space="0" w:color="auto"/>
              <w:left w:val="nil"/>
              <w:bottom w:val="single" w:sz="8" w:space="0" w:color="auto"/>
              <w:right w:val="single" w:sz="8" w:space="0" w:color="auto"/>
            </w:tcBorders>
            <w:shd w:val="clear" w:color="auto" w:fill="244062"/>
            <w:vAlign w:val="center"/>
            <w:hideMark/>
          </w:tcPr>
          <w:p w14:paraId="1A31FB5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60" w:type="dxa"/>
            <w:tcBorders>
              <w:top w:val="single" w:sz="8" w:space="0" w:color="auto"/>
              <w:left w:val="nil"/>
              <w:bottom w:val="single" w:sz="8" w:space="0" w:color="auto"/>
              <w:right w:val="single" w:sz="8" w:space="0" w:color="auto"/>
            </w:tcBorders>
            <w:shd w:val="clear" w:color="auto" w:fill="E7E6E6" w:themeFill="background2"/>
            <w:vAlign w:val="center"/>
            <w:hideMark/>
          </w:tcPr>
          <w:p w14:paraId="0A82E07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Creating mandatory natural gas reserves</w:t>
            </w:r>
          </w:p>
        </w:tc>
      </w:tr>
      <w:tr w:rsidR="00614438" w:rsidRPr="00AA7A53" w14:paraId="52E76CCA" w14:textId="77777777" w:rsidTr="00614438">
        <w:trPr>
          <w:gridAfter w:val="1"/>
          <w:wAfter w:w="1212" w:type="dxa"/>
          <w:trHeight w:val="588"/>
        </w:trPr>
        <w:tc>
          <w:tcPr>
            <w:tcW w:w="3342" w:type="dxa"/>
            <w:tcBorders>
              <w:top w:val="nil"/>
              <w:left w:val="single" w:sz="8" w:space="0" w:color="auto"/>
              <w:bottom w:val="single" w:sz="8" w:space="0" w:color="auto"/>
              <w:right w:val="nil"/>
            </w:tcBorders>
            <w:shd w:val="clear" w:color="auto" w:fill="244062"/>
            <w:vAlign w:val="center"/>
            <w:hideMark/>
          </w:tcPr>
          <w:p w14:paraId="5AE1E8E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46" w:type="dxa"/>
            <w:gridSpan w:val="3"/>
            <w:tcBorders>
              <w:top w:val="single" w:sz="8" w:space="0" w:color="auto"/>
              <w:left w:val="nil"/>
              <w:bottom w:val="single" w:sz="8" w:space="0" w:color="auto"/>
              <w:right w:val="single" w:sz="8" w:space="0" w:color="000000"/>
            </w:tcBorders>
            <w:vAlign w:val="center"/>
            <w:hideMark/>
          </w:tcPr>
          <w:p w14:paraId="27B12BB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Ability to cope with constrained or interrupted supply of an energy source, Flexibility of the national energy system</w:t>
            </w:r>
          </w:p>
        </w:tc>
      </w:tr>
      <w:tr w:rsidR="00614438" w:rsidRPr="00AA7A53" w14:paraId="7D6434CD" w14:textId="77777777" w:rsidTr="00614438">
        <w:trPr>
          <w:gridAfter w:val="1"/>
          <w:wAfter w:w="1212" w:type="dxa"/>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134562A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46" w:type="dxa"/>
            <w:gridSpan w:val="3"/>
            <w:tcBorders>
              <w:top w:val="single" w:sz="8" w:space="0" w:color="auto"/>
              <w:left w:val="nil"/>
              <w:bottom w:val="single" w:sz="8" w:space="0" w:color="auto"/>
              <w:right w:val="single" w:sz="8" w:space="0" w:color="000000"/>
            </w:tcBorders>
            <w:vAlign w:val="center"/>
            <w:hideMark/>
          </w:tcPr>
          <w:p w14:paraId="67E5FE9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Level of gas in storage to meet at least 30-day demand of consumers</w:t>
            </w:r>
          </w:p>
        </w:tc>
      </w:tr>
      <w:tr w:rsidR="00614438" w:rsidRPr="00AA7A53" w14:paraId="3FA0F9FF" w14:textId="77777777" w:rsidTr="00614438">
        <w:trPr>
          <w:gridAfter w:val="1"/>
          <w:wAfter w:w="1212" w:type="dxa"/>
          <w:trHeight w:val="692"/>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084A8FC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6" w:type="dxa"/>
            <w:gridSpan w:val="3"/>
            <w:tcBorders>
              <w:top w:val="single" w:sz="8" w:space="0" w:color="auto"/>
              <w:left w:val="nil"/>
              <w:bottom w:val="single" w:sz="8" w:space="0" w:color="auto"/>
              <w:right w:val="single" w:sz="8" w:space="0" w:color="000000"/>
            </w:tcBorders>
            <w:vAlign w:val="center"/>
            <w:hideMark/>
          </w:tcPr>
          <w:p w14:paraId="2F7B00D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 accordance with the Law on Energy, energy entities that perform the energy activity of natural gas supply are obliged to provide mandatory natural gas reserves that are at least equal to the thirty-day average needs of these customers in the current year.</w:t>
            </w:r>
          </w:p>
          <w:p w14:paraId="1CDC046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This policy measure exclusively refers to the legal and regulatory reforms, which are necessary to create mandatory natural gas reserves. Any additional investment costs essential for its implementation will be subjected to thorough scrutiny within the framework of comprehensive action plans.</w:t>
            </w:r>
          </w:p>
        </w:tc>
      </w:tr>
      <w:tr w:rsidR="00614438" w:rsidRPr="00AA7A53" w14:paraId="72BF0D7A" w14:textId="77777777" w:rsidTr="00614438">
        <w:trPr>
          <w:gridAfter w:val="1"/>
          <w:wAfter w:w="1212" w:type="dxa"/>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1DA36FA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6" w:type="dxa"/>
            <w:gridSpan w:val="3"/>
            <w:tcBorders>
              <w:top w:val="single" w:sz="8" w:space="0" w:color="auto"/>
              <w:left w:val="nil"/>
              <w:bottom w:val="single" w:sz="8" w:space="0" w:color="auto"/>
              <w:right w:val="single" w:sz="8" w:space="0" w:color="000000"/>
            </w:tcBorders>
            <w:vAlign w:val="center"/>
            <w:hideMark/>
          </w:tcPr>
          <w:p w14:paraId="21FFF0A1" w14:textId="5B505F48"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F46BD9"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4A74F10C" w14:textId="77777777" w:rsidTr="00614438">
        <w:trPr>
          <w:gridAfter w:val="1"/>
          <w:wAfter w:w="1212" w:type="dxa"/>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2674FBF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6" w:type="dxa"/>
            <w:gridSpan w:val="3"/>
            <w:tcBorders>
              <w:top w:val="single" w:sz="8" w:space="0" w:color="auto"/>
              <w:left w:val="nil"/>
              <w:bottom w:val="single" w:sz="8" w:space="0" w:color="auto"/>
              <w:right w:val="single" w:sz="8" w:space="0" w:color="000000"/>
            </w:tcBorders>
            <w:vAlign w:val="center"/>
            <w:hideMark/>
          </w:tcPr>
          <w:p w14:paraId="70F38CF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0CF2465C" w14:textId="77777777" w:rsidTr="00614438">
        <w:trPr>
          <w:gridAfter w:val="1"/>
          <w:wAfter w:w="1212" w:type="dxa"/>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03502E1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6" w:type="dxa"/>
            <w:gridSpan w:val="3"/>
            <w:tcBorders>
              <w:top w:val="single" w:sz="8" w:space="0" w:color="auto"/>
              <w:left w:val="nil"/>
              <w:bottom w:val="single" w:sz="8" w:space="0" w:color="auto"/>
              <w:right w:val="single" w:sz="8" w:space="0" w:color="000000"/>
            </w:tcBorders>
            <w:vAlign w:val="center"/>
            <w:hideMark/>
          </w:tcPr>
          <w:p w14:paraId="360585F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Gas</w:t>
            </w:r>
          </w:p>
        </w:tc>
      </w:tr>
      <w:tr w:rsidR="00614438" w:rsidRPr="00AA7A53" w14:paraId="17260605" w14:textId="77777777" w:rsidTr="00614438">
        <w:trPr>
          <w:gridAfter w:val="1"/>
          <w:wAfter w:w="1212" w:type="dxa"/>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4581DCD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Implementing Entity</w:t>
            </w:r>
          </w:p>
        </w:tc>
        <w:tc>
          <w:tcPr>
            <w:tcW w:w="6146" w:type="dxa"/>
            <w:gridSpan w:val="3"/>
            <w:tcBorders>
              <w:top w:val="single" w:sz="8" w:space="0" w:color="auto"/>
              <w:left w:val="nil"/>
              <w:bottom w:val="single" w:sz="8" w:space="0" w:color="auto"/>
              <w:right w:val="single" w:sz="8" w:space="0" w:color="000000"/>
            </w:tcBorders>
            <w:vAlign w:val="center"/>
            <w:hideMark/>
          </w:tcPr>
          <w:p w14:paraId="2200E38B" w14:textId="77777777" w:rsidR="00614438" w:rsidRPr="00AA7A53" w:rsidRDefault="00614438" w:rsidP="00AA7A53">
            <w:pPr>
              <w:numPr>
                <w:ilvl w:val="0"/>
                <w:numId w:val="133"/>
              </w:numPr>
              <w:spacing w:after="0"/>
              <w:jc w:val="both"/>
              <w:rPr>
                <w:rFonts w:ascii="Times New Roman" w:hAnsi="Times New Roman" w:cs="Times New Roman"/>
                <w:sz w:val="20"/>
                <w:szCs w:val="20"/>
              </w:rPr>
            </w:pPr>
            <w:r w:rsidRPr="00AA7A53">
              <w:rPr>
                <w:rFonts w:ascii="Times New Roman" w:hAnsi="Times New Roman" w:cs="Times New Roman"/>
                <w:sz w:val="20"/>
                <w:szCs w:val="20"/>
              </w:rPr>
              <w:t>Suppliers</w:t>
            </w:r>
          </w:p>
        </w:tc>
      </w:tr>
      <w:tr w:rsidR="00614438" w:rsidRPr="00AA7A53" w14:paraId="729EBBAA" w14:textId="77777777" w:rsidTr="00614438">
        <w:trPr>
          <w:gridAfter w:val="1"/>
          <w:wAfter w:w="1212" w:type="dxa"/>
          <w:trHeight w:val="315"/>
        </w:trPr>
        <w:tc>
          <w:tcPr>
            <w:tcW w:w="3342" w:type="dxa"/>
            <w:tcBorders>
              <w:top w:val="nil"/>
              <w:left w:val="single" w:sz="8" w:space="0" w:color="auto"/>
              <w:bottom w:val="single" w:sz="8" w:space="0" w:color="auto"/>
              <w:right w:val="nil"/>
            </w:tcBorders>
            <w:shd w:val="clear" w:color="auto" w:fill="244062"/>
            <w:vAlign w:val="center"/>
            <w:hideMark/>
          </w:tcPr>
          <w:p w14:paraId="28C19BF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6" w:type="dxa"/>
            <w:gridSpan w:val="3"/>
            <w:tcBorders>
              <w:top w:val="single" w:sz="8" w:space="0" w:color="auto"/>
              <w:left w:val="nil"/>
              <w:bottom w:val="single" w:sz="8" w:space="0" w:color="auto"/>
              <w:right w:val="single" w:sz="8" w:space="0" w:color="000000"/>
            </w:tcBorders>
            <w:vAlign w:val="center"/>
            <w:hideMark/>
          </w:tcPr>
          <w:p w14:paraId="2689751A" w14:textId="77777777" w:rsidR="00614438" w:rsidRPr="00AA7A53" w:rsidRDefault="00614438" w:rsidP="00AA7A53">
            <w:pPr>
              <w:numPr>
                <w:ilvl w:val="0"/>
                <w:numId w:val="133"/>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Reserves Directorate</w:t>
            </w:r>
          </w:p>
          <w:p w14:paraId="025E3187" w14:textId="77777777" w:rsidR="00614438" w:rsidRPr="00AA7A53" w:rsidRDefault="00614438" w:rsidP="00AA7A53">
            <w:pPr>
              <w:numPr>
                <w:ilvl w:val="0"/>
                <w:numId w:val="133"/>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6A73C5C5" w14:textId="77777777" w:rsidTr="00614438">
        <w:trPr>
          <w:gridAfter w:val="1"/>
          <w:wAfter w:w="1212" w:type="dxa"/>
          <w:trHeight w:val="315"/>
        </w:trPr>
        <w:tc>
          <w:tcPr>
            <w:tcW w:w="3342" w:type="dxa"/>
            <w:tcBorders>
              <w:top w:val="nil"/>
              <w:left w:val="single" w:sz="8" w:space="0" w:color="auto"/>
              <w:bottom w:val="single" w:sz="8" w:space="0" w:color="auto"/>
              <w:right w:val="nil"/>
            </w:tcBorders>
            <w:shd w:val="clear" w:color="auto" w:fill="244062"/>
            <w:vAlign w:val="center"/>
            <w:hideMark/>
          </w:tcPr>
          <w:p w14:paraId="4E926EB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6" w:type="dxa"/>
            <w:gridSpan w:val="3"/>
            <w:tcBorders>
              <w:top w:val="single" w:sz="8" w:space="0" w:color="auto"/>
              <w:left w:val="nil"/>
              <w:bottom w:val="single" w:sz="8" w:space="0" w:color="auto"/>
              <w:right w:val="single" w:sz="8" w:space="0" w:color="000000"/>
            </w:tcBorders>
            <w:vAlign w:val="center"/>
            <w:hideMark/>
          </w:tcPr>
          <w:p w14:paraId="62AEE42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Volume of energy product in stock</w:t>
            </w:r>
          </w:p>
        </w:tc>
      </w:tr>
      <w:tr w:rsidR="00614438" w:rsidRPr="00AA7A53" w14:paraId="2D750632" w14:textId="77777777" w:rsidTr="00614438">
        <w:trPr>
          <w:gridAfter w:val="1"/>
          <w:wAfter w:w="1212" w:type="dxa"/>
          <w:trHeight w:val="491"/>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7676FE5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6" w:type="dxa"/>
            <w:gridSpan w:val="3"/>
            <w:tcBorders>
              <w:top w:val="single" w:sz="8" w:space="0" w:color="auto"/>
              <w:left w:val="nil"/>
              <w:bottom w:val="single" w:sz="8" w:space="0" w:color="auto"/>
              <w:right w:val="single" w:sz="8" w:space="0" w:color="000000"/>
            </w:tcBorders>
            <w:vAlign w:val="center"/>
            <w:hideMark/>
          </w:tcPr>
          <w:p w14:paraId="4E083F66"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98C0B87" w14:textId="77777777" w:rsidTr="00614438">
        <w:trPr>
          <w:gridAfter w:val="1"/>
          <w:wAfter w:w="1212" w:type="dxa"/>
          <w:trHeight w:val="458"/>
        </w:trPr>
        <w:tc>
          <w:tcPr>
            <w:tcW w:w="3342" w:type="dxa"/>
            <w:vMerge w:val="restart"/>
            <w:tcBorders>
              <w:top w:val="nil"/>
              <w:left w:val="single" w:sz="8" w:space="0" w:color="auto"/>
              <w:bottom w:val="single" w:sz="8" w:space="0" w:color="000000"/>
              <w:right w:val="single" w:sz="8" w:space="0" w:color="auto"/>
            </w:tcBorders>
            <w:shd w:val="clear" w:color="auto" w:fill="244062"/>
            <w:vAlign w:val="center"/>
            <w:hideMark/>
          </w:tcPr>
          <w:p w14:paraId="7D7B735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6"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3E37F01" w14:textId="716580EC" w:rsidR="00614438" w:rsidRPr="00AA7A53" w:rsidRDefault="00614438" w:rsidP="00AA7A53">
            <w:pPr>
              <w:spacing w:after="0"/>
              <w:ind w:left="720"/>
              <w:jc w:val="both"/>
              <w:rPr>
                <w:rFonts w:ascii="Times New Roman" w:hAnsi="Times New Roman" w:cs="Times New Roman"/>
                <w:sz w:val="20"/>
                <w:szCs w:val="20"/>
              </w:rPr>
            </w:pPr>
          </w:p>
        </w:tc>
      </w:tr>
      <w:tr w:rsidR="00614438" w:rsidRPr="00AA7A53" w14:paraId="0FDD1F8D"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2CA2FC6E"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3BADF42"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33138B8B"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3492004" w14:textId="77777777" w:rsidTr="00614438">
        <w:trPr>
          <w:trHeight w:val="315"/>
        </w:trPr>
        <w:tc>
          <w:tcPr>
            <w:tcW w:w="0" w:type="auto"/>
            <w:vMerge/>
            <w:tcBorders>
              <w:top w:val="nil"/>
              <w:left w:val="single" w:sz="8" w:space="0" w:color="auto"/>
              <w:bottom w:val="single" w:sz="8" w:space="0" w:color="000000"/>
              <w:right w:val="single" w:sz="8" w:space="0" w:color="auto"/>
            </w:tcBorders>
            <w:vAlign w:val="center"/>
            <w:hideMark/>
          </w:tcPr>
          <w:p w14:paraId="311025B6"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3838784"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77F2A8F8"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33D1FCEA" w14:textId="77777777" w:rsidTr="00614438">
        <w:trPr>
          <w:trHeight w:val="311"/>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175DFEE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6" w:type="dxa"/>
            <w:gridSpan w:val="3"/>
            <w:tcBorders>
              <w:top w:val="single" w:sz="8" w:space="0" w:color="auto"/>
              <w:left w:val="nil"/>
              <w:bottom w:val="single" w:sz="8" w:space="0" w:color="auto"/>
              <w:right w:val="single" w:sz="8" w:space="0" w:color="000000"/>
            </w:tcBorders>
            <w:vAlign w:val="center"/>
            <w:hideMark/>
          </w:tcPr>
          <w:p w14:paraId="5E0FDAA3" w14:textId="77777777" w:rsidR="00F46BD9" w:rsidRPr="00AA7A53" w:rsidRDefault="00F46BD9" w:rsidP="00AA7A53">
            <w:pPr>
              <w:numPr>
                <w:ilvl w:val="0"/>
                <w:numId w:val="133"/>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2009/73/EC</w:t>
            </w:r>
          </w:p>
          <w:p w14:paraId="214397A0" w14:textId="77777777" w:rsidR="00F46BD9" w:rsidRPr="00AA7A53" w:rsidRDefault="00F46BD9" w:rsidP="00AA7A53">
            <w:pPr>
              <w:numPr>
                <w:ilvl w:val="0"/>
                <w:numId w:val="133"/>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2017/1938</w:t>
            </w:r>
          </w:p>
          <w:p w14:paraId="0C091919" w14:textId="731D79C7" w:rsidR="00614438" w:rsidRPr="00AA7A53" w:rsidRDefault="00F46BD9" w:rsidP="00AA7A53">
            <w:pPr>
              <w:numPr>
                <w:ilvl w:val="0"/>
                <w:numId w:val="133"/>
              </w:numPr>
              <w:spacing w:after="0"/>
              <w:jc w:val="both"/>
              <w:rPr>
                <w:rFonts w:ascii="Times New Roman" w:hAnsi="Times New Roman" w:cs="Times New Roman"/>
                <w:sz w:val="20"/>
                <w:szCs w:val="20"/>
              </w:rPr>
            </w:pPr>
            <w:r w:rsidRPr="00AA7A53">
              <w:rPr>
                <w:rFonts w:ascii="Times New Roman" w:hAnsi="Times New Roman" w:cs="Times New Roman"/>
                <w:sz w:val="20"/>
                <w:szCs w:val="20"/>
              </w:rPr>
              <w:t>Prevention and crisis plan (Government Regulation)</w:t>
            </w:r>
          </w:p>
        </w:tc>
        <w:tc>
          <w:tcPr>
            <w:tcW w:w="1212" w:type="dxa"/>
            <w:vAlign w:val="center"/>
            <w:hideMark/>
          </w:tcPr>
          <w:p w14:paraId="54148F8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4742C7A" w14:textId="77777777" w:rsidTr="00614438">
        <w:trPr>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19E0679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6" w:type="dxa"/>
            <w:gridSpan w:val="3"/>
            <w:tcBorders>
              <w:top w:val="single" w:sz="8" w:space="0" w:color="auto"/>
              <w:left w:val="nil"/>
              <w:bottom w:val="single" w:sz="8" w:space="0" w:color="auto"/>
              <w:right w:val="single" w:sz="8" w:space="0" w:color="000000"/>
            </w:tcBorders>
            <w:vAlign w:val="center"/>
            <w:hideMark/>
          </w:tcPr>
          <w:p w14:paraId="50F1CEE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0.5 M€</w:t>
            </w:r>
          </w:p>
        </w:tc>
        <w:tc>
          <w:tcPr>
            <w:tcW w:w="1212" w:type="dxa"/>
            <w:vAlign w:val="center"/>
            <w:hideMark/>
          </w:tcPr>
          <w:p w14:paraId="679AB08E"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B0917E5" w14:textId="77777777" w:rsidTr="00614438">
        <w:trPr>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67DB059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6" w:type="dxa"/>
            <w:gridSpan w:val="3"/>
            <w:tcBorders>
              <w:top w:val="single" w:sz="8" w:space="0" w:color="auto"/>
              <w:left w:val="nil"/>
              <w:bottom w:val="single" w:sz="8" w:space="0" w:color="auto"/>
              <w:right w:val="single" w:sz="8" w:space="0" w:color="000000"/>
            </w:tcBorders>
            <w:vAlign w:val="center"/>
            <w:hideMark/>
          </w:tcPr>
          <w:p w14:paraId="587206F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1212" w:type="dxa"/>
            <w:vAlign w:val="center"/>
            <w:hideMark/>
          </w:tcPr>
          <w:p w14:paraId="2982D3EE" w14:textId="77777777" w:rsidR="00614438" w:rsidRPr="00AA7A53" w:rsidRDefault="00614438" w:rsidP="00AA7A53">
            <w:pPr>
              <w:spacing w:after="0"/>
              <w:jc w:val="both"/>
              <w:rPr>
                <w:rFonts w:ascii="Times New Roman" w:hAnsi="Times New Roman" w:cs="Times New Roman"/>
                <w:sz w:val="20"/>
                <w:szCs w:val="20"/>
                <w:lang w:val="en-GB"/>
              </w:rPr>
            </w:pPr>
          </w:p>
        </w:tc>
      </w:tr>
    </w:tbl>
    <w:p w14:paraId="46E67C24"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341"/>
        <w:gridCol w:w="941"/>
        <w:gridCol w:w="944"/>
        <w:gridCol w:w="4262"/>
        <w:gridCol w:w="1212"/>
      </w:tblGrid>
      <w:tr w:rsidR="00614438" w:rsidRPr="00AA7A53" w14:paraId="17E96AD7" w14:textId="77777777" w:rsidTr="00614438">
        <w:trPr>
          <w:gridAfter w:val="1"/>
          <w:wAfter w:w="1212" w:type="dxa"/>
          <w:trHeight w:val="780"/>
        </w:trPr>
        <w:tc>
          <w:tcPr>
            <w:tcW w:w="3341"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133543A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41" w:type="dxa"/>
            <w:tcBorders>
              <w:top w:val="single" w:sz="8" w:space="0" w:color="auto"/>
              <w:left w:val="nil"/>
              <w:bottom w:val="single" w:sz="8" w:space="0" w:color="auto"/>
              <w:right w:val="single" w:sz="8" w:space="0" w:color="auto"/>
            </w:tcBorders>
            <w:shd w:val="clear" w:color="auto" w:fill="E7E6E6" w:themeFill="background2"/>
            <w:vAlign w:val="center"/>
            <w:hideMark/>
          </w:tcPr>
          <w:p w14:paraId="7D71179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PM_ES6</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76A2BEF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62" w:type="dxa"/>
            <w:tcBorders>
              <w:top w:val="single" w:sz="8" w:space="0" w:color="auto"/>
              <w:left w:val="nil"/>
              <w:bottom w:val="single" w:sz="8" w:space="0" w:color="auto"/>
              <w:right w:val="single" w:sz="8" w:space="0" w:color="auto"/>
            </w:tcBorders>
            <w:shd w:val="clear" w:color="auto" w:fill="E7E6E6" w:themeFill="background2"/>
            <w:vAlign w:val="center"/>
            <w:hideMark/>
          </w:tcPr>
          <w:p w14:paraId="5C85E68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Electricity Risk Preparedness plan</w:t>
            </w:r>
          </w:p>
        </w:tc>
      </w:tr>
      <w:tr w:rsidR="00614438" w:rsidRPr="00AA7A53" w14:paraId="0A49A26C" w14:textId="77777777" w:rsidTr="00614438">
        <w:trPr>
          <w:gridAfter w:val="1"/>
          <w:wAfter w:w="1212" w:type="dxa"/>
          <w:trHeight w:val="233"/>
        </w:trPr>
        <w:tc>
          <w:tcPr>
            <w:tcW w:w="3341" w:type="dxa"/>
            <w:tcBorders>
              <w:top w:val="nil"/>
              <w:left w:val="single" w:sz="8" w:space="0" w:color="auto"/>
              <w:bottom w:val="single" w:sz="8" w:space="0" w:color="auto"/>
              <w:right w:val="nil"/>
            </w:tcBorders>
            <w:shd w:val="clear" w:color="auto" w:fill="244062"/>
            <w:vAlign w:val="center"/>
            <w:hideMark/>
          </w:tcPr>
          <w:p w14:paraId="70B46A8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47" w:type="dxa"/>
            <w:gridSpan w:val="3"/>
            <w:tcBorders>
              <w:top w:val="single" w:sz="8" w:space="0" w:color="auto"/>
              <w:left w:val="nil"/>
              <w:bottom w:val="single" w:sz="8" w:space="0" w:color="auto"/>
              <w:right w:val="single" w:sz="8" w:space="0" w:color="000000"/>
            </w:tcBorders>
            <w:vAlign w:val="center"/>
            <w:hideMark/>
          </w:tcPr>
          <w:p w14:paraId="5466E41A" w14:textId="20ED8FEA"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The goal of the Risk Preparedness Plan for the electricity sector is to identify the possible risks related to </w:t>
            </w:r>
            <w:r w:rsidR="00F46BD9" w:rsidRPr="00AA7A53">
              <w:rPr>
                <w:rFonts w:ascii="Times New Roman" w:hAnsi="Times New Roman" w:cs="Times New Roman"/>
                <w:sz w:val="20"/>
                <w:szCs w:val="20"/>
                <w:lang w:val="en-GB"/>
              </w:rPr>
              <w:t xml:space="preserve">the </w:t>
            </w:r>
            <w:r w:rsidRPr="00AA7A53">
              <w:rPr>
                <w:rFonts w:ascii="Times New Roman" w:hAnsi="Times New Roman" w:cs="Times New Roman"/>
                <w:sz w:val="20"/>
                <w:szCs w:val="20"/>
                <w:lang w:val="en-GB"/>
              </w:rPr>
              <w:t>secur</w:t>
            </w:r>
            <w:r w:rsidR="00F46BD9" w:rsidRPr="00AA7A53">
              <w:rPr>
                <w:rFonts w:ascii="Times New Roman" w:hAnsi="Times New Roman" w:cs="Times New Roman"/>
                <w:sz w:val="20"/>
                <w:szCs w:val="20"/>
                <w:lang w:val="en-GB"/>
              </w:rPr>
              <w:t>e e</w:t>
            </w:r>
            <w:r w:rsidRPr="00AA7A53">
              <w:rPr>
                <w:rFonts w:ascii="Times New Roman" w:hAnsi="Times New Roman" w:cs="Times New Roman"/>
                <w:sz w:val="20"/>
                <w:szCs w:val="20"/>
                <w:lang w:val="en-GB"/>
              </w:rPr>
              <w:t>lectricity supply and to investigate whether the existing and planned measures sufficiently cover</w:t>
            </w:r>
            <w:r w:rsidR="00F46BD9" w:rsidRPr="00AA7A53">
              <w:rPr>
                <w:rFonts w:ascii="Times New Roman" w:hAnsi="Times New Roman" w:cs="Times New Roman"/>
                <w:sz w:val="20"/>
                <w:szCs w:val="20"/>
                <w:lang w:val="en-GB"/>
              </w:rPr>
              <w:t xml:space="preserve"> the</w:t>
            </w:r>
            <w:r w:rsidRPr="00AA7A53">
              <w:rPr>
                <w:rFonts w:ascii="Times New Roman" w:hAnsi="Times New Roman" w:cs="Times New Roman"/>
                <w:sz w:val="20"/>
                <w:szCs w:val="20"/>
                <w:lang w:val="en-GB"/>
              </w:rPr>
              <w:t xml:space="preserve"> </w:t>
            </w:r>
            <w:r w:rsidR="00F46BD9" w:rsidRPr="00AA7A53">
              <w:rPr>
                <w:rFonts w:ascii="Times New Roman" w:hAnsi="Times New Roman" w:cs="Times New Roman"/>
                <w:sz w:val="20"/>
                <w:szCs w:val="20"/>
                <w:lang w:val="en-GB"/>
              </w:rPr>
              <w:t>mentioned</w:t>
            </w:r>
            <w:r w:rsidRPr="00AA7A53">
              <w:rPr>
                <w:rFonts w:ascii="Times New Roman" w:hAnsi="Times New Roman" w:cs="Times New Roman"/>
                <w:sz w:val="20"/>
                <w:szCs w:val="20"/>
                <w:lang w:val="en-GB"/>
              </w:rPr>
              <w:t xml:space="preserve"> risks. The plan </w:t>
            </w:r>
            <w:r w:rsidR="00F46BD9" w:rsidRPr="00AA7A53">
              <w:rPr>
                <w:rFonts w:ascii="Times New Roman" w:hAnsi="Times New Roman" w:cs="Times New Roman"/>
                <w:sz w:val="20"/>
                <w:szCs w:val="20"/>
                <w:lang w:val="en-GB"/>
              </w:rPr>
              <w:t>should</w:t>
            </w:r>
            <w:r w:rsidRPr="00AA7A53">
              <w:rPr>
                <w:rFonts w:ascii="Times New Roman" w:hAnsi="Times New Roman" w:cs="Times New Roman"/>
                <w:sz w:val="20"/>
                <w:szCs w:val="20"/>
                <w:lang w:val="en-GB"/>
              </w:rPr>
              <w:t xml:space="preserve"> give an overview of the national electricity crisis scenarios, as well as the relevant regional electricity crisis scenarios. This will foster regional energy cooperation and improve regional market integration.</w:t>
            </w:r>
          </w:p>
        </w:tc>
      </w:tr>
      <w:tr w:rsidR="00614438" w:rsidRPr="00AA7A53" w14:paraId="70106CFB" w14:textId="77777777" w:rsidTr="00614438">
        <w:trPr>
          <w:gridAfter w:val="1"/>
          <w:wAfter w:w="1212" w:type="dxa"/>
          <w:trHeight w:val="315"/>
        </w:trPr>
        <w:tc>
          <w:tcPr>
            <w:tcW w:w="3341" w:type="dxa"/>
            <w:tcBorders>
              <w:top w:val="nil"/>
              <w:left w:val="single" w:sz="8" w:space="0" w:color="auto"/>
              <w:bottom w:val="single" w:sz="8" w:space="0" w:color="auto"/>
              <w:right w:val="single" w:sz="8" w:space="0" w:color="auto"/>
            </w:tcBorders>
            <w:shd w:val="clear" w:color="auto" w:fill="244062"/>
            <w:vAlign w:val="center"/>
            <w:hideMark/>
          </w:tcPr>
          <w:p w14:paraId="45E8CF1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47" w:type="dxa"/>
            <w:gridSpan w:val="3"/>
            <w:tcBorders>
              <w:top w:val="single" w:sz="8" w:space="0" w:color="auto"/>
              <w:left w:val="nil"/>
              <w:bottom w:val="single" w:sz="8" w:space="0" w:color="auto"/>
              <w:right w:val="single" w:sz="8" w:space="0" w:color="000000"/>
            </w:tcBorders>
            <w:vAlign w:val="center"/>
            <w:hideMark/>
          </w:tcPr>
          <w:p w14:paraId="0F5CA41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These electricity crisis scenarios serve as a starting point for the identification of existing and planned preventive, preparedness, and emergency response measures in order to prevent, prepare for and manage electricity crises, both on a national and on a regional level.</w:t>
            </w:r>
          </w:p>
        </w:tc>
      </w:tr>
      <w:tr w:rsidR="00614438" w:rsidRPr="00AA7A53" w14:paraId="43FD3972" w14:textId="77777777" w:rsidTr="00614438">
        <w:trPr>
          <w:gridAfter w:val="1"/>
          <w:wAfter w:w="1212" w:type="dxa"/>
          <w:trHeight w:val="2295"/>
        </w:trPr>
        <w:tc>
          <w:tcPr>
            <w:tcW w:w="3341" w:type="dxa"/>
            <w:tcBorders>
              <w:top w:val="nil"/>
              <w:left w:val="single" w:sz="8" w:space="0" w:color="auto"/>
              <w:bottom w:val="single" w:sz="8" w:space="0" w:color="auto"/>
              <w:right w:val="single" w:sz="8" w:space="0" w:color="auto"/>
            </w:tcBorders>
            <w:shd w:val="clear" w:color="auto" w:fill="244062"/>
            <w:vAlign w:val="center"/>
            <w:hideMark/>
          </w:tcPr>
          <w:p w14:paraId="4131DCD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7" w:type="dxa"/>
            <w:gridSpan w:val="3"/>
            <w:tcBorders>
              <w:top w:val="single" w:sz="8" w:space="0" w:color="auto"/>
              <w:left w:val="nil"/>
              <w:bottom w:val="single" w:sz="8" w:space="0" w:color="auto"/>
              <w:right w:val="single" w:sz="8" w:space="0" w:color="000000"/>
            </w:tcBorders>
            <w:vAlign w:val="center"/>
            <w:hideMark/>
          </w:tcPr>
          <w:p w14:paraId="30F1B6C4" w14:textId="525DA432"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PM_ES6 concerns the preparation and implementation of measures of a Risk Preparedness Plan in accordance to the provisions of Regulation (EU) 2019/941. The Risk Preparedness Regulation in Power Sector introduces important rules for the cooperation between Member States (and </w:t>
            </w:r>
            <w:r w:rsidR="00CB7A8A" w:rsidRPr="00AA7A53">
              <w:rPr>
                <w:rFonts w:ascii="Times New Roman" w:hAnsi="Times New Roman" w:cs="Times New Roman"/>
                <w:sz w:val="20"/>
                <w:szCs w:val="20"/>
                <w:lang w:val="en-GB"/>
              </w:rPr>
              <w:t>for</w:t>
            </w:r>
            <w:r w:rsidRPr="00AA7A53">
              <w:rPr>
                <w:rFonts w:ascii="Times New Roman" w:hAnsi="Times New Roman" w:cs="Times New Roman"/>
                <w:sz w:val="20"/>
                <w:szCs w:val="20"/>
                <w:lang w:val="en-GB"/>
              </w:rPr>
              <w:t xml:space="preserve"> Serbia when the Energy Community</w:t>
            </w:r>
            <w:r w:rsidR="00CB7A8A" w:rsidRPr="00AA7A53">
              <w:rPr>
                <w:rFonts w:ascii="Times New Roman" w:hAnsi="Times New Roman" w:cs="Times New Roman"/>
                <w:sz w:val="20"/>
                <w:szCs w:val="20"/>
                <w:lang w:val="en-GB"/>
              </w:rPr>
              <w:t xml:space="preserve"> adopts the rules</w:t>
            </w:r>
            <w:r w:rsidRPr="00AA7A53">
              <w:rPr>
                <w:rFonts w:ascii="Times New Roman" w:hAnsi="Times New Roman" w:cs="Times New Roman"/>
                <w:sz w:val="20"/>
                <w:szCs w:val="20"/>
                <w:lang w:val="en-GB"/>
              </w:rPr>
              <w:t>) with the aim to prevent, prepare for, and manage electricity crises. It also establishes common provisions for risk assessment, risk preparedness plans, managing electricity crises, evaluation and monitoring. The plan is based on regional and national electricity crisis scenarios and therefore comprises national, regional and where applicable, bilateral measures planned or taken to prevent, prepare for and mitigate electricity crises.</w:t>
            </w:r>
          </w:p>
        </w:tc>
      </w:tr>
      <w:tr w:rsidR="00614438" w:rsidRPr="00AA7A53" w14:paraId="4171C6B9" w14:textId="77777777" w:rsidTr="00614438">
        <w:trPr>
          <w:gridAfter w:val="1"/>
          <w:wAfter w:w="1212" w:type="dxa"/>
          <w:trHeight w:val="315"/>
        </w:trPr>
        <w:tc>
          <w:tcPr>
            <w:tcW w:w="3341" w:type="dxa"/>
            <w:tcBorders>
              <w:top w:val="nil"/>
              <w:left w:val="single" w:sz="8" w:space="0" w:color="auto"/>
              <w:bottom w:val="single" w:sz="8" w:space="0" w:color="auto"/>
              <w:right w:val="single" w:sz="8" w:space="0" w:color="auto"/>
            </w:tcBorders>
            <w:shd w:val="clear" w:color="auto" w:fill="244062"/>
            <w:vAlign w:val="center"/>
            <w:hideMark/>
          </w:tcPr>
          <w:p w14:paraId="6491A5C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7" w:type="dxa"/>
            <w:gridSpan w:val="3"/>
            <w:tcBorders>
              <w:top w:val="single" w:sz="8" w:space="0" w:color="auto"/>
              <w:left w:val="nil"/>
              <w:bottom w:val="single" w:sz="8" w:space="0" w:color="auto"/>
              <w:right w:val="single" w:sz="8" w:space="0" w:color="000000"/>
            </w:tcBorders>
            <w:vAlign w:val="center"/>
            <w:hideMark/>
          </w:tcPr>
          <w:p w14:paraId="4290A0B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2024-2025</w:t>
            </w:r>
          </w:p>
        </w:tc>
      </w:tr>
      <w:tr w:rsidR="00614438" w:rsidRPr="00AA7A53" w14:paraId="39FBFB4F" w14:textId="77777777" w:rsidTr="00614438">
        <w:trPr>
          <w:gridAfter w:val="1"/>
          <w:wAfter w:w="1212" w:type="dxa"/>
          <w:trHeight w:val="315"/>
        </w:trPr>
        <w:tc>
          <w:tcPr>
            <w:tcW w:w="3341" w:type="dxa"/>
            <w:tcBorders>
              <w:top w:val="nil"/>
              <w:left w:val="single" w:sz="8" w:space="0" w:color="auto"/>
              <w:bottom w:val="single" w:sz="8" w:space="0" w:color="auto"/>
              <w:right w:val="single" w:sz="8" w:space="0" w:color="auto"/>
            </w:tcBorders>
            <w:shd w:val="clear" w:color="auto" w:fill="244062"/>
            <w:vAlign w:val="center"/>
            <w:hideMark/>
          </w:tcPr>
          <w:p w14:paraId="44E17CE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7" w:type="dxa"/>
            <w:gridSpan w:val="3"/>
            <w:tcBorders>
              <w:top w:val="single" w:sz="8" w:space="0" w:color="auto"/>
              <w:left w:val="nil"/>
              <w:bottom w:val="single" w:sz="8" w:space="0" w:color="auto"/>
              <w:right w:val="single" w:sz="8" w:space="0" w:color="000000"/>
            </w:tcBorders>
            <w:vAlign w:val="center"/>
            <w:hideMark/>
          </w:tcPr>
          <w:p w14:paraId="1982622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7114DD42" w14:textId="77777777" w:rsidTr="00614438">
        <w:trPr>
          <w:gridAfter w:val="1"/>
          <w:wAfter w:w="1212" w:type="dxa"/>
          <w:trHeight w:val="315"/>
        </w:trPr>
        <w:tc>
          <w:tcPr>
            <w:tcW w:w="3341" w:type="dxa"/>
            <w:tcBorders>
              <w:top w:val="nil"/>
              <w:left w:val="single" w:sz="8" w:space="0" w:color="auto"/>
              <w:bottom w:val="single" w:sz="8" w:space="0" w:color="auto"/>
              <w:right w:val="single" w:sz="8" w:space="0" w:color="auto"/>
            </w:tcBorders>
            <w:shd w:val="clear" w:color="auto" w:fill="244062"/>
            <w:vAlign w:val="center"/>
            <w:hideMark/>
          </w:tcPr>
          <w:p w14:paraId="12E4E5A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7" w:type="dxa"/>
            <w:gridSpan w:val="3"/>
            <w:tcBorders>
              <w:top w:val="single" w:sz="8" w:space="0" w:color="auto"/>
              <w:left w:val="nil"/>
              <w:bottom w:val="single" w:sz="8" w:space="0" w:color="auto"/>
              <w:right w:val="single" w:sz="8" w:space="0" w:color="000000"/>
            </w:tcBorders>
            <w:vAlign w:val="center"/>
            <w:hideMark/>
          </w:tcPr>
          <w:p w14:paraId="724C383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Electricity</w:t>
            </w:r>
          </w:p>
        </w:tc>
      </w:tr>
      <w:tr w:rsidR="00614438" w:rsidRPr="00AA7A53" w14:paraId="7BA4A4FD" w14:textId="77777777" w:rsidTr="00614438">
        <w:trPr>
          <w:gridAfter w:val="1"/>
          <w:wAfter w:w="1212" w:type="dxa"/>
          <w:trHeight w:val="315"/>
        </w:trPr>
        <w:tc>
          <w:tcPr>
            <w:tcW w:w="3341" w:type="dxa"/>
            <w:tcBorders>
              <w:top w:val="nil"/>
              <w:left w:val="single" w:sz="8" w:space="0" w:color="auto"/>
              <w:bottom w:val="single" w:sz="8" w:space="0" w:color="auto"/>
              <w:right w:val="single" w:sz="8" w:space="0" w:color="auto"/>
            </w:tcBorders>
            <w:shd w:val="clear" w:color="auto" w:fill="244062"/>
            <w:vAlign w:val="center"/>
            <w:hideMark/>
          </w:tcPr>
          <w:p w14:paraId="487919F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7" w:type="dxa"/>
            <w:gridSpan w:val="3"/>
            <w:tcBorders>
              <w:top w:val="single" w:sz="8" w:space="0" w:color="auto"/>
              <w:left w:val="nil"/>
              <w:bottom w:val="single" w:sz="8" w:space="0" w:color="auto"/>
              <w:right w:val="single" w:sz="8" w:space="0" w:color="000000"/>
            </w:tcBorders>
            <w:vAlign w:val="center"/>
            <w:hideMark/>
          </w:tcPr>
          <w:p w14:paraId="68E73090" w14:textId="77777777" w:rsidR="00614438" w:rsidRPr="00AA7A53" w:rsidRDefault="00614438" w:rsidP="00AA7A53">
            <w:pPr>
              <w:numPr>
                <w:ilvl w:val="0"/>
                <w:numId w:val="134"/>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0232A176" w14:textId="51C6AD73" w:rsidR="00CB7A8A" w:rsidRPr="00AA7A53" w:rsidRDefault="00CB7A8A" w:rsidP="00AA7A53">
            <w:pPr>
              <w:numPr>
                <w:ilvl w:val="0"/>
                <w:numId w:val="134"/>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Agency of the Republic of Serbia</w:t>
            </w:r>
          </w:p>
          <w:p w14:paraId="72B7437A" w14:textId="4387E87C" w:rsidR="00614438" w:rsidRPr="00AA7A53" w:rsidRDefault="00CB7A8A" w:rsidP="00AA7A53">
            <w:pPr>
              <w:numPr>
                <w:ilvl w:val="0"/>
                <w:numId w:val="134"/>
              </w:numPr>
              <w:spacing w:after="0"/>
              <w:jc w:val="both"/>
              <w:rPr>
                <w:rFonts w:ascii="Times New Roman" w:hAnsi="Times New Roman" w:cs="Times New Roman"/>
                <w:sz w:val="20"/>
                <w:szCs w:val="20"/>
              </w:rPr>
            </w:pPr>
            <w:r w:rsidRPr="00AA7A53">
              <w:rPr>
                <w:rFonts w:ascii="Times New Roman" w:hAnsi="Times New Roman" w:cs="Times New Roman"/>
                <w:sz w:val="20"/>
                <w:szCs w:val="20"/>
              </w:rPr>
              <w:t>Joint-stock company "Elektromreza Srbije".</w:t>
            </w:r>
          </w:p>
        </w:tc>
      </w:tr>
      <w:tr w:rsidR="00614438" w:rsidRPr="00AA7A53" w14:paraId="113CC7F8" w14:textId="77777777" w:rsidTr="00614438">
        <w:trPr>
          <w:gridAfter w:val="1"/>
          <w:wAfter w:w="1212" w:type="dxa"/>
          <w:trHeight w:val="315"/>
        </w:trPr>
        <w:tc>
          <w:tcPr>
            <w:tcW w:w="3341" w:type="dxa"/>
            <w:tcBorders>
              <w:top w:val="nil"/>
              <w:left w:val="single" w:sz="8" w:space="0" w:color="auto"/>
              <w:bottom w:val="single" w:sz="8" w:space="0" w:color="auto"/>
              <w:right w:val="nil"/>
            </w:tcBorders>
            <w:shd w:val="clear" w:color="auto" w:fill="244062"/>
            <w:vAlign w:val="center"/>
            <w:hideMark/>
          </w:tcPr>
          <w:p w14:paraId="765A7FE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7" w:type="dxa"/>
            <w:gridSpan w:val="3"/>
            <w:tcBorders>
              <w:top w:val="single" w:sz="8" w:space="0" w:color="auto"/>
              <w:left w:val="nil"/>
              <w:bottom w:val="single" w:sz="8" w:space="0" w:color="auto"/>
              <w:right w:val="single" w:sz="8" w:space="0" w:color="000000"/>
            </w:tcBorders>
            <w:vAlign w:val="center"/>
            <w:hideMark/>
          </w:tcPr>
          <w:p w14:paraId="08E9ED2F" w14:textId="77777777" w:rsidR="00614438" w:rsidRPr="00AA7A53" w:rsidRDefault="00614438" w:rsidP="00AA7A53">
            <w:pPr>
              <w:numPr>
                <w:ilvl w:val="0"/>
                <w:numId w:val="134"/>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4BF96F2E" w14:textId="77777777" w:rsidTr="00614438">
        <w:trPr>
          <w:gridAfter w:val="1"/>
          <w:wAfter w:w="1212" w:type="dxa"/>
          <w:trHeight w:val="315"/>
        </w:trPr>
        <w:tc>
          <w:tcPr>
            <w:tcW w:w="3341" w:type="dxa"/>
            <w:tcBorders>
              <w:top w:val="nil"/>
              <w:left w:val="single" w:sz="8" w:space="0" w:color="auto"/>
              <w:bottom w:val="single" w:sz="8" w:space="0" w:color="auto"/>
              <w:right w:val="nil"/>
            </w:tcBorders>
            <w:shd w:val="clear" w:color="auto" w:fill="244062"/>
            <w:vAlign w:val="center"/>
            <w:hideMark/>
          </w:tcPr>
          <w:p w14:paraId="63D028C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7" w:type="dxa"/>
            <w:gridSpan w:val="3"/>
            <w:tcBorders>
              <w:top w:val="single" w:sz="8" w:space="0" w:color="auto"/>
              <w:left w:val="nil"/>
              <w:bottom w:val="single" w:sz="8" w:space="0" w:color="auto"/>
              <w:right w:val="single" w:sz="8" w:space="0" w:color="000000"/>
            </w:tcBorders>
            <w:vAlign w:val="center"/>
            <w:hideMark/>
          </w:tcPr>
          <w:p w14:paraId="43B9DA53" w14:textId="730433FF"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Risk Preparedness Regulation in </w:t>
            </w:r>
            <w:r w:rsidR="00CB7A8A" w:rsidRPr="00AA7A53">
              <w:rPr>
                <w:rFonts w:ascii="Times New Roman" w:hAnsi="Times New Roman" w:cs="Times New Roman"/>
                <w:sz w:val="20"/>
                <w:szCs w:val="20"/>
                <w:lang w:val="en-GB"/>
              </w:rPr>
              <w:t xml:space="preserve">the </w:t>
            </w:r>
            <w:r w:rsidRPr="00AA7A53">
              <w:rPr>
                <w:rFonts w:ascii="Times New Roman" w:hAnsi="Times New Roman" w:cs="Times New Roman"/>
                <w:sz w:val="20"/>
                <w:szCs w:val="20"/>
                <w:lang w:val="en-GB"/>
              </w:rPr>
              <w:t xml:space="preserve">Power Sector 2019/941 adopted and </w:t>
            </w:r>
            <w:r w:rsidR="00CB7A8A" w:rsidRPr="00AA7A53">
              <w:rPr>
                <w:rFonts w:ascii="Times New Roman" w:hAnsi="Times New Roman" w:cs="Times New Roman"/>
                <w:sz w:val="20"/>
                <w:szCs w:val="20"/>
                <w:lang w:val="en-GB"/>
              </w:rPr>
              <w:t xml:space="preserve">a prepared and approved </w:t>
            </w:r>
            <w:r w:rsidRPr="00AA7A53">
              <w:rPr>
                <w:rFonts w:ascii="Times New Roman" w:hAnsi="Times New Roman" w:cs="Times New Roman"/>
                <w:sz w:val="20"/>
                <w:szCs w:val="20"/>
                <w:lang w:val="en-GB"/>
              </w:rPr>
              <w:t xml:space="preserve">Risk Preparedness Plan </w:t>
            </w:r>
          </w:p>
        </w:tc>
      </w:tr>
      <w:tr w:rsidR="00614438" w:rsidRPr="00AA7A53" w14:paraId="214B84E4" w14:textId="77777777" w:rsidTr="00614438">
        <w:trPr>
          <w:gridAfter w:val="1"/>
          <w:wAfter w:w="1212" w:type="dxa"/>
          <w:trHeight w:val="376"/>
        </w:trPr>
        <w:tc>
          <w:tcPr>
            <w:tcW w:w="3341" w:type="dxa"/>
            <w:tcBorders>
              <w:top w:val="nil"/>
              <w:left w:val="single" w:sz="8" w:space="0" w:color="auto"/>
              <w:bottom w:val="single" w:sz="8" w:space="0" w:color="auto"/>
              <w:right w:val="single" w:sz="8" w:space="0" w:color="auto"/>
            </w:tcBorders>
            <w:shd w:val="clear" w:color="auto" w:fill="244062"/>
            <w:vAlign w:val="center"/>
            <w:hideMark/>
          </w:tcPr>
          <w:p w14:paraId="3B2B071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7" w:type="dxa"/>
            <w:gridSpan w:val="3"/>
            <w:tcBorders>
              <w:top w:val="single" w:sz="8" w:space="0" w:color="auto"/>
              <w:left w:val="nil"/>
              <w:bottom w:val="single" w:sz="8" w:space="0" w:color="auto"/>
              <w:right w:val="single" w:sz="8" w:space="0" w:color="000000"/>
            </w:tcBorders>
            <w:vAlign w:val="center"/>
            <w:hideMark/>
          </w:tcPr>
          <w:p w14:paraId="7CBAB1FF" w14:textId="77777777" w:rsidR="00614438" w:rsidRPr="00AA7A53" w:rsidRDefault="00614438" w:rsidP="00AA7A53">
            <w:pPr>
              <w:numPr>
                <w:ilvl w:val="0"/>
                <w:numId w:val="134"/>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tc>
      </w:tr>
      <w:tr w:rsidR="00614438" w:rsidRPr="00AA7A53" w14:paraId="564E9387" w14:textId="77777777" w:rsidTr="00614438">
        <w:trPr>
          <w:gridAfter w:val="1"/>
          <w:wAfter w:w="1212" w:type="dxa"/>
          <w:trHeight w:val="458"/>
        </w:trPr>
        <w:tc>
          <w:tcPr>
            <w:tcW w:w="3341" w:type="dxa"/>
            <w:vMerge w:val="restart"/>
            <w:tcBorders>
              <w:top w:val="nil"/>
              <w:left w:val="single" w:sz="8" w:space="0" w:color="auto"/>
              <w:bottom w:val="single" w:sz="8" w:space="0" w:color="000000"/>
              <w:right w:val="single" w:sz="8" w:space="0" w:color="auto"/>
            </w:tcBorders>
            <w:shd w:val="clear" w:color="auto" w:fill="244062"/>
            <w:vAlign w:val="center"/>
            <w:hideMark/>
          </w:tcPr>
          <w:p w14:paraId="6935DF0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Union policy which resulted in the implementation of the PaM</w:t>
            </w:r>
          </w:p>
        </w:tc>
        <w:tc>
          <w:tcPr>
            <w:tcW w:w="6147"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2BA7606" w14:textId="77777777" w:rsidR="00614438" w:rsidRPr="00AA7A53" w:rsidRDefault="00614438" w:rsidP="00AA7A53">
            <w:pPr>
              <w:numPr>
                <w:ilvl w:val="0"/>
                <w:numId w:val="134"/>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Regulation (EU) 2019/941 </w:t>
            </w:r>
          </w:p>
        </w:tc>
      </w:tr>
      <w:tr w:rsidR="00614438" w:rsidRPr="00AA7A53" w14:paraId="53418C1F"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1F7E8999"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471671B"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1D8D5D5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2BFB1DF"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14A954BC"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F24711C"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74141D94"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1D099248" w14:textId="77777777" w:rsidTr="00614438">
        <w:trPr>
          <w:trHeight w:val="780"/>
        </w:trPr>
        <w:tc>
          <w:tcPr>
            <w:tcW w:w="3341" w:type="dxa"/>
            <w:tcBorders>
              <w:top w:val="nil"/>
              <w:left w:val="single" w:sz="8" w:space="0" w:color="auto"/>
              <w:bottom w:val="single" w:sz="8" w:space="0" w:color="auto"/>
              <w:right w:val="single" w:sz="8" w:space="0" w:color="auto"/>
            </w:tcBorders>
            <w:shd w:val="clear" w:color="auto" w:fill="244062"/>
            <w:vAlign w:val="center"/>
            <w:hideMark/>
          </w:tcPr>
          <w:p w14:paraId="4F17A2A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7" w:type="dxa"/>
            <w:gridSpan w:val="3"/>
            <w:tcBorders>
              <w:top w:val="single" w:sz="8" w:space="0" w:color="auto"/>
              <w:left w:val="nil"/>
              <w:bottom w:val="single" w:sz="8" w:space="0" w:color="auto"/>
              <w:right w:val="single" w:sz="8" w:space="0" w:color="000000"/>
            </w:tcBorders>
            <w:vAlign w:val="center"/>
            <w:hideMark/>
          </w:tcPr>
          <w:p w14:paraId="58C70CE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Energy Law</w:t>
            </w:r>
          </w:p>
        </w:tc>
        <w:tc>
          <w:tcPr>
            <w:tcW w:w="1212" w:type="dxa"/>
            <w:vAlign w:val="center"/>
            <w:hideMark/>
          </w:tcPr>
          <w:p w14:paraId="6746AA8B"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198B911" w14:textId="77777777" w:rsidTr="00614438">
        <w:trPr>
          <w:trHeight w:val="315"/>
        </w:trPr>
        <w:tc>
          <w:tcPr>
            <w:tcW w:w="3341" w:type="dxa"/>
            <w:tcBorders>
              <w:top w:val="nil"/>
              <w:left w:val="single" w:sz="8" w:space="0" w:color="auto"/>
              <w:bottom w:val="single" w:sz="8" w:space="0" w:color="auto"/>
              <w:right w:val="single" w:sz="8" w:space="0" w:color="auto"/>
            </w:tcBorders>
            <w:shd w:val="clear" w:color="auto" w:fill="244062"/>
            <w:vAlign w:val="center"/>
            <w:hideMark/>
          </w:tcPr>
          <w:p w14:paraId="133D8A5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7" w:type="dxa"/>
            <w:gridSpan w:val="3"/>
            <w:tcBorders>
              <w:top w:val="single" w:sz="8" w:space="0" w:color="auto"/>
              <w:left w:val="nil"/>
              <w:bottom w:val="single" w:sz="8" w:space="0" w:color="auto"/>
              <w:right w:val="single" w:sz="8" w:space="0" w:color="000000"/>
            </w:tcBorders>
            <w:vAlign w:val="center"/>
            <w:hideMark/>
          </w:tcPr>
          <w:p w14:paraId="3AF09ED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0.5 M€</w:t>
            </w:r>
          </w:p>
        </w:tc>
        <w:tc>
          <w:tcPr>
            <w:tcW w:w="1212" w:type="dxa"/>
            <w:vAlign w:val="center"/>
            <w:hideMark/>
          </w:tcPr>
          <w:p w14:paraId="3C0B8922"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C115CAB" w14:textId="77777777" w:rsidTr="00614438">
        <w:trPr>
          <w:trHeight w:val="315"/>
        </w:trPr>
        <w:tc>
          <w:tcPr>
            <w:tcW w:w="3341" w:type="dxa"/>
            <w:tcBorders>
              <w:top w:val="nil"/>
              <w:left w:val="single" w:sz="8" w:space="0" w:color="auto"/>
              <w:bottom w:val="single" w:sz="8" w:space="0" w:color="auto"/>
              <w:right w:val="single" w:sz="8" w:space="0" w:color="auto"/>
            </w:tcBorders>
            <w:shd w:val="clear" w:color="auto" w:fill="244062"/>
            <w:vAlign w:val="center"/>
            <w:hideMark/>
          </w:tcPr>
          <w:p w14:paraId="7B00813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7" w:type="dxa"/>
            <w:gridSpan w:val="3"/>
            <w:tcBorders>
              <w:top w:val="single" w:sz="8" w:space="0" w:color="auto"/>
              <w:left w:val="nil"/>
              <w:bottom w:val="single" w:sz="8" w:space="0" w:color="auto"/>
              <w:right w:val="single" w:sz="8" w:space="0" w:color="000000"/>
            </w:tcBorders>
            <w:vAlign w:val="center"/>
            <w:hideMark/>
          </w:tcPr>
          <w:p w14:paraId="5D6AE69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1212" w:type="dxa"/>
            <w:vAlign w:val="center"/>
            <w:hideMark/>
          </w:tcPr>
          <w:p w14:paraId="691DECC6" w14:textId="77777777" w:rsidR="00614438" w:rsidRPr="00AA7A53" w:rsidRDefault="00614438" w:rsidP="00AA7A53">
            <w:pPr>
              <w:spacing w:after="0"/>
              <w:jc w:val="both"/>
              <w:rPr>
                <w:rFonts w:ascii="Times New Roman" w:hAnsi="Times New Roman" w:cs="Times New Roman"/>
                <w:sz w:val="20"/>
                <w:szCs w:val="20"/>
                <w:lang w:val="en-GB"/>
              </w:rPr>
            </w:pPr>
          </w:p>
        </w:tc>
      </w:tr>
    </w:tbl>
    <w:p w14:paraId="011CE5D0"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343"/>
        <w:gridCol w:w="941"/>
        <w:gridCol w:w="945"/>
        <w:gridCol w:w="4259"/>
        <w:gridCol w:w="1212"/>
      </w:tblGrid>
      <w:tr w:rsidR="00614438" w:rsidRPr="00AA7A53" w14:paraId="387A455B" w14:textId="77777777" w:rsidTr="00614438">
        <w:trPr>
          <w:gridAfter w:val="1"/>
          <w:wAfter w:w="1212" w:type="dxa"/>
          <w:trHeight w:val="780"/>
        </w:trPr>
        <w:tc>
          <w:tcPr>
            <w:tcW w:w="3343"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4CA9204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41" w:type="dxa"/>
            <w:tcBorders>
              <w:top w:val="single" w:sz="8" w:space="0" w:color="auto"/>
              <w:left w:val="nil"/>
              <w:bottom w:val="single" w:sz="8" w:space="0" w:color="auto"/>
              <w:right w:val="single" w:sz="8" w:space="0" w:color="auto"/>
            </w:tcBorders>
            <w:shd w:val="clear" w:color="auto" w:fill="E7E6E6" w:themeFill="background2"/>
            <w:vAlign w:val="center"/>
            <w:hideMark/>
          </w:tcPr>
          <w:p w14:paraId="0F48E53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PM_ES7</w:t>
            </w:r>
          </w:p>
        </w:tc>
        <w:tc>
          <w:tcPr>
            <w:tcW w:w="945" w:type="dxa"/>
            <w:tcBorders>
              <w:top w:val="single" w:sz="8" w:space="0" w:color="auto"/>
              <w:left w:val="nil"/>
              <w:bottom w:val="single" w:sz="8" w:space="0" w:color="auto"/>
              <w:right w:val="single" w:sz="8" w:space="0" w:color="auto"/>
            </w:tcBorders>
            <w:shd w:val="clear" w:color="auto" w:fill="244062"/>
            <w:vAlign w:val="center"/>
            <w:hideMark/>
          </w:tcPr>
          <w:p w14:paraId="7A8F547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59" w:type="dxa"/>
            <w:tcBorders>
              <w:top w:val="single" w:sz="8" w:space="0" w:color="auto"/>
              <w:left w:val="nil"/>
              <w:bottom w:val="single" w:sz="8" w:space="0" w:color="auto"/>
              <w:right w:val="single" w:sz="8" w:space="0" w:color="auto"/>
            </w:tcBorders>
            <w:shd w:val="clear" w:color="auto" w:fill="E7E6E6" w:themeFill="background2"/>
            <w:vAlign w:val="center"/>
            <w:hideMark/>
          </w:tcPr>
          <w:p w14:paraId="67A8240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Update in Security of supply regulation (at least at a national level)</w:t>
            </w:r>
          </w:p>
        </w:tc>
      </w:tr>
      <w:tr w:rsidR="00614438" w:rsidRPr="00AA7A53" w14:paraId="5AC1C5A1" w14:textId="77777777" w:rsidTr="00614438">
        <w:trPr>
          <w:gridAfter w:val="1"/>
          <w:wAfter w:w="1212" w:type="dxa"/>
          <w:trHeight w:val="572"/>
        </w:trPr>
        <w:tc>
          <w:tcPr>
            <w:tcW w:w="3343" w:type="dxa"/>
            <w:tcBorders>
              <w:top w:val="nil"/>
              <w:left w:val="single" w:sz="8" w:space="0" w:color="auto"/>
              <w:bottom w:val="single" w:sz="8" w:space="0" w:color="auto"/>
              <w:right w:val="nil"/>
            </w:tcBorders>
            <w:shd w:val="clear" w:color="auto" w:fill="244062"/>
            <w:vAlign w:val="center"/>
            <w:hideMark/>
          </w:tcPr>
          <w:p w14:paraId="45C38BB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45" w:type="dxa"/>
            <w:gridSpan w:val="3"/>
            <w:tcBorders>
              <w:top w:val="single" w:sz="8" w:space="0" w:color="auto"/>
              <w:left w:val="nil"/>
              <w:bottom w:val="single" w:sz="8" w:space="0" w:color="auto"/>
              <w:right w:val="single" w:sz="8" w:space="0" w:color="000000"/>
            </w:tcBorders>
            <w:vAlign w:val="center"/>
            <w:hideMark/>
          </w:tcPr>
          <w:p w14:paraId="79D425F9" w14:textId="5DB8A4FF"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Ability to cope with constrained or interrupted supply of an energy source, </w:t>
            </w:r>
            <w:r w:rsidR="00CB7A8A" w:rsidRPr="00AA7A53">
              <w:rPr>
                <w:rFonts w:ascii="Times New Roman" w:hAnsi="Times New Roman" w:cs="Times New Roman"/>
                <w:sz w:val="20"/>
                <w:szCs w:val="20"/>
                <w:lang w:val="en-GB"/>
              </w:rPr>
              <w:t>f</w:t>
            </w:r>
            <w:r w:rsidRPr="00AA7A53">
              <w:rPr>
                <w:rFonts w:ascii="Times New Roman" w:hAnsi="Times New Roman" w:cs="Times New Roman"/>
                <w:sz w:val="20"/>
                <w:szCs w:val="20"/>
                <w:lang w:val="en-GB"/>
              </w:rPr>
              <w:t>lexibility of the national energy system, fostering regional energy cooperation and improving regional market integration.</w:t>
            </w:r>
          </w:p>
        </w:tc>
      </w:tr>
      <w:tr w:rsidR="00614438" w:rsidRPr="00AA7A53" w14:paraId="3459A6A6" w14:textId="77777777" w:rsidTr="00614438">
        <w:trPr>
          <w:gridAfter w:val="1"/>
          <w:wAfter w:w="1212" w:type="dxa"/>
          <w:trHeight w:val="315"/>
        </w:trPr>
        <w:tc>
          <w:tcPr>
            <w:tcW w:w="3343" w:type="dxa"/>
            <w:tcBorders>
              <w:top w:val="nil"/>
              <w:left w:val="single" w:sz="8" w:space="0" w:color="auto"/>
              <w:bottom w:val="single" w:sz="8" w:space="0" w:color="auto"/>
              <w:right w:val="single" w:sz="8" w:space="0" w:color="auto"/>
            </w:tcBorders>
            <w:shd w:val="clear" w:color="auto" w:fill="244062"/>
            <w:vAlign w:val="center"/>
            <w:hideMark/>
          </w:tcPr>
          <w:p w14:paraId="56C79B3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45" w:type="dxa"/>
            <w:gridSpan w:val="3"/>
            <w:tcBorders>
              <w:top w:val="single" w:sz="8" w:space="0" w:color="auto"/>
              <w:left w:val="nil"/>
              <w:bottom w:val="single" w:sz="8" w:space="0" w:color="auto"/>
              <w:right w:val="single" w:sz="8" w:space="0" w:color="000000"/>
            </w:tcBorders>
            <w:vAlign w:val="center"/>
            <w:hideMark/>
          </w:tcPr>
          <w:p w14:paraId="429A4BC5" w14:textId="3C93C476" w:rsidR="00614438" w:rsidRPr="00AA7A53" w:rsidRDefault="00CB7A8A"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No data</w:t>
            </w:r>
          </w:p>
        </w:tc>
      </w:tr>
      <w:tr w:rsidR="00614438" w:rsidRPr="00AA7A53" w14:paraId="418F24E3" w14:textId="77777777" w:rsidTr="00614438">
        <w:trPr>
          <w:gridAfter w:val="1"/>
          <w:wAfter w:w="1212" w:type="dxa"/>
          <w:trHeight w:val="584"/>
        </w:trPr>
        <w:tc>
          <w:tcPr>
            <w:tcW w:w="3343" w:type="dxa"/>
            <w:tcBorders>
              <w:top w:val="nil"/>
              <w:left w:val="single" w:sz="8" w:space="0" w:color="auto"/>
              <w:bottom w:val="single" w:sz="8" w:space="0" w:color="auto"/>
              <w:right w:val="single" w:sz="8" w:space="0" w:color="auto"/>
            </w:tcBorders>
            <w:shd w:val="clear" w:color="auto" w:fill="244062"/>
            <w:vAlign w:val="center"/>
            <w:hideMark/>
          </w:tcPr>
          <w:p w14:paraId="6E5AFF3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5" w:type="dxa"/>
            <w:gridSpan w:val="3"/>
            <w:tcBorders>
              <w:top w:val="single" w:sz="8" w:space="0" w:color="auto"/>
              <w:left w:val="nil"/>
              <w:bottom w:val="single" w:sz="8" w:space="0" w:color="auto"/>
              <w:right w:val="single" w:sz="8" w:space="0" w:color="000000"/>
            </w:tcBorders>
            <w:vAlign w:val="center"/>
            <w:hideMark/>
          </w:tcPr>
          <w:p w14:paraId="33FE348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The Decree on establishing the Crisis Plan to ensure security of natural gas supply and the Decree on establishing the Preventive Action Plan to ensure security of natural gas supply, adopted in 2018, are in line with the requirements of EU Regulation 994/2010 on measures to ensure security of natural gas supply.</w:t>
            </w:r>
          </w:p>
          <w:p w14:paraId="3A310A0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 the coming period, these acts will be harmonized with the requirements of EU Regulation 2017/1938 on measures to ensure security of natural gas supply.</w:t>
            </w:r>
          </w:p>
          <w:p w14:paraId="0659E41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 order to achieve the objectives of the INECP, a temporary support measure through a capacity remuneration mechanism will be considered. This measure will remunerate eligible participants for their contribution to medium and long-term security of supply (i.e. being available to increase generation or reduce demand when needed).</w:t>
            </w:r>
          </w:p>
        </w:tc>
      </w:tr>
      <w:tr w:rsidR="00614438" w:rsidRPr="00AA7A53" w14:paraId="6288247F" w14:textId="77777777" w:rsidTr="00614438">
        <w:trPr>
          <w:gridAfter w:val="1"/>
          <w:wAfter w:w="1212" w:type="dxa"/>
          <w:trHeight w:val="315"/>
        </w:trPr>
        <w:tc>
          <w:tcPr>
            <w:tcW w:w="3343" w:type="dxa"/>
            <w:tcBorders>
              <w:top w:val="nil"/>
              <w:left w:val="single" w:sz="8" w:space="0" w:color="auto"/>
              <w:bottom w:val="single" w:sz="8" w:space="0" w:color="auto"/>
              <w:right w:val="single" w:sz="8" w:space="0" w:color="auto"/>
            </w:tcBorders>
            <w:shd w:val="clear" w:color="auto" w:fill="244062"/>
            <w:vAlign w:val="center"/>
            <w:hideMark/>
          </w:tcPr>
          <w:p w14:paraId="2B86E19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5" w:type="dxa"/>
            <w:gridSpan w:val="3"/>
            <w:tcBorders>
              <w:top w:val="single" w:sz="8" w:space="0" w:color="auto"/>
              <w:left w:val="nil"/>
              <w:bottom w:val="single" w:sz="8" w:space="0" w:color="auto"/>
              <w:right w:val="single" w:sz="8" w:space="0" w:color="000000"/>
            </w:tcBorders>
            <w:vAlign w:val="center"/>
            <w:hideMark/>
          </w:tcPr>
          <w:p w14:paraId="708968D8" w14:textId="38C2856D" w:rsidR="00614438" w:rsidRPr="00AA7A53" w:rsidRDefault="00CB7A8A"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Until </w:t>
            </w:r>
            <w:r w:rsidR="00614438" w:rsidRPr="00AA7A53">
              <w:rPr>
                <w:rFonts w:ascii="Times New Roman" w:hAnsi="Times New Roman" w:cs="Times New Roman"/>
                <w:sz w:val="20"/>
                <w:szCs w:val="20"/>
                <w:lang w:val="en-GB"/>
              </w:rPr>
              <w:t>2025</w:t>
            </w:r>
          </w:p>
        </w:tc>
      </w:tr>
      <w:tr w:rsidR="00614438" w:rsidRPr="00AA7A53" w14:paraId="0DB81ADD" w14:textId="77777777" w:rsidTr="00614438">
        <w:trPr>
          <w:gridAfter w:val="1"/>
          <w:wAfter w:w="1212" w:type="dxa"/>
          <w:trHeight w:val="315"/>
        </w:trPr>
        <w:tc>
          <w:tcPr>
            <w:tcW w:w="3343" w:type="dxa"/>
            <w:tcBorders>
              <w:top w:val="nil"/>
              <w:left w:val="single" w:sz="8" w:space="0" w:color="auto"/>
              <w:bottom w:val="single" w:sz="8" w:space="0" w:color="auto"/>
              <w:right w:val="single" w:sz="8" w:space="0" w:color="auto"/>
            </w:tcBorders>
            <w:shd w:val="clear" w:color="auto" w:fill="244062"/>
            <w:vAlign w:val="center"/>
            <w:hideMark/>
          </w:tcPr>
          <w:p w14:paraId="1BED0A0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5" w:type="dxa"/>
            <w:gridSpan w:val="3"/>
            <w:tcBorders>
              <w:top w:val="single" w:sz="8" w:space="0" w:color="auto"/>
              <w:left w:val="nil"/>
              <w:bottom w:val="single" w:sz="8" w:space="0" w:color="auto"/>
              <w:right w:val="single" w:sz="8" w:space="0" w:color="000000"/>
            </w:tcBorders>
            <w:vAlign w:val="center"/>
            <w:hideMark/>
          </w:tcPr>
          <w:p w14:paraId="6FA7A6D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1F9FBA45" w14:textId="77777777" w:rsidTr="00614438">
        <w:trPr>
          <w:gridAfter w:val="1"/>
          <w:wAfter w:w="1212" w:type="dxa"/>
          <w:trHeight w:val="315"/>
        </w:trPr>
        <w:tc>
          <w:tcPr>
            <w:tcW w:w="3343" w:type="dxa"/>
            <w:tcBorders>
              <w:top w:val="nil"/>
              <w:left w:val="single" w:sz="8" w:space="0" w:color="auto"/>
              <w:bottom w:val="single" w:sz="8" w:space="0" w:color="auto"/>
              <w:right w:val="single" w:sz="8" w:space="0" w:color="auto"/>
            </w:tcBorders>
            <w:shd w:val="clear" w:color="auto" w:fill="244062"/>
            <w:vAlign w:val="center"/>
            <w:hideMark/>
          </w:tcPr>
          <w:p w14:paraId="6AEB4FE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5" w:type="dxa"/>
            <w:gridSpan w:val="3"/>
            <w:tcBorders>
              <w:top w:val="single" w:sz="8" w:space="0" w:color="auto"/>
              <w:left w:val="nil"/>
              <w:bottom w:val="single" w:sz="8" w:space="0" w:color="auto"/>
              <w:right w:val="single" w:sz="8" w:space="0" w:color="000000"/>
            </w:tcBorders>
            <w:vAlign w:val="center"/>
            <w:hideMark/>
          </w:tcPr>
          <w:p w14:paraId="60650C8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Electricity, Gas</w:t>
            </w:r>
          </w:p>
        </w:tc>
      </w:tr>
      <w:tr w:rsidR="00614438" w:rsidRPr="00AA7A53" w14:paraId="012D3B61" w14:textId="77777777" w:rsidTr="00614438">
        <w:trPr>
          <w:gridAfter w:val="1"/>
          <w:wAfter w:w="1212" w:type="dxa"/>
          <w:trHeight w:val="315"/>
        </w:trPr>
        <w:tc>
          <w:tcPr>
            <w:tcW w:w="3343" w:type="dxa"/>
            <w:tcBorders>
              <w:top w:val="nil"/>
              <w:left w:val="single" w:sz="8" w:space="0" w:color="auto"/>
              <w:bottom w:val="single" w:sz="8" w:space="0" w:color="auto"/>
              <w:right w:val="single" w:sz="8" w:space="0" w:color="auto"/>
            </w:tcBorders>
            <w:shd w:val="clear" w:color="auto" w:fill="244062"/>
            <w:vAlign w:val="center"/>
            <w:hideMark/>
          </w:tcPr>
          <w:p w14:paraId="4DB9A74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5" w:type="dxa"/>
            <w:gridSpan w:val="3"/>
            <w:tcBorders>
              <w:top w:val="single" w:sz="8" w:space="0" w:color="auto"/>
              <w:left w:val="nil"/>
              <w:bottom w:val="single" w:sz="8" w:space="0" w:color="auto"/>
              <w:right w:val="single" w:sz="8" w:space="0" w:color="000000"/>
            </w:tcBorders>
            <w:vAlign w:val="center"/>
            <w:hideMark/>
          </w:tcPr>
          <w:p w14:paraId="66525FAC" w14:textId="77777777" w:rsidR="00614438" w:rsidRPr="00AA7A53" w:rsidRDefault="00614438" w:rsidP="00AA7A53">
            <w:pPr>
              <w:numPr>
                <w:ilvl w:val="0"/>
                <w:numId w:val="134"/>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43C160C6" w14:textId="77777777" w:rsidTr="00614438">
        <w:trPr>
          <w:gridAfter w:val="1"/>
          <w:wAfter w:w="1212" w:type="dxa"/>
          <w:trHeight w:val="315"/>
        </w:trPr>
        <w:tc>
          <w:tcPr>
            <w:tcW w:w="3343" w:type="dxa"/>
            <w:tcBorders>
              <w:top w:val="nil"/>
              <w:left w:val="single" w:sz="8" w:space="0" w:color="auto"/>
              <w:bottom w:val="single" w:sz="8" w:space="0" w:color="auto"/>
              <w:right w:val="nil"/>
            </w:tcBorders>
            <w:shd w:val="clear" w:color="auto" w:fill="244062"/>
            <w:vAlign w:val="center"/>
            <w:hideMark/>
          </w:tcPr>
          <w:p w14:paraId="3F4BAF5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5" w:type="dxa"/>
            <w:gridSpan w:val="3"/>
            <w:tcBorders>
              <w:top w:val="single" w:sz="8" w:space="0" w:color="auto"/>
              <w:left w:val="nil"/>
              <w:bottom w:val="single" w:sz="8" w:space="0" w:color="auto"/>
              <w:right w:val="single" w:sz="8" w:space="0" w:color="000000"/>
            </w:tcBorders>
            <w:vAlign w:val="center"/>
            <w:hideMark/>
          </w:tcPr>
          <w:p w14:paraId="559156F2" w14:textId="77777777" w:rsidR="00614438" w:rsidRPr="00AA7A53" w:rsidRDefault="00614438" w:rsidP="00AA7A53">
            <w:pPr>
              <w:numPr>
                <w:ilvl w:val="0"/>
                <w:numId w:val="134"/>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41AECBF5" w14:textId="77777777" w:rsidTr="00614438">
        <w:trPr>
          <w:gridAfter w:val="1"/>
          <w:wAfter w:w="1212" w:type="dxa"/>
          <w:trHeight w:val="315"/>
        </w:trPr>
        <w:tc>
          <w:tcPr>
            <w:tcW w:w="3343" w:type="dxa"/>
            <w:tcBorders>
              <w:top w:val="nil"/>
              <w:left w:val="single" w:sz="8" w:space="0" w:color="auto"/>
              <w:bottom w:val="single" w:sz="8" w:space="0" w:color="auto"/>
              <w:right w:val="nil"/>
            </w:tcBorders>
            <w:shd w:val="clear" w:color="auto" w:fill="244062"/>
            <w:vAlign w:val="center"/>
            <w:hideMark/>
          </w:tcPr>
          <w:p w14:paraId="6CAA641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5" w:type="dxa"/>
            <w:gridSpan w:val="3"/>
            <w:tcBorders>
              <w:top w:val="single" w:sz="8" w:space="0" w:color="auto"/>
              <w:left w:val="nil"/>
              <w:bottom w:val="single" w:sz="8" w:space="0" w:color="auto"/>
              <w:right w:val="single" w:sz="8" w:space="0" w:color="000000"/>
            </w:tcBorders>
            <w:vAlign w:val="center"/>
            <w:hideMark/>
          </w:tcPr>
          <w:p w14:paraId="5FCFCB15" w14:textId="659255B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Adoption of regulation, preparation of preventive and </w:t>
            </w:r>
            <w:r w:rsidR="00A82E81" w:rsidRPr="00AA7A53">
              <w:rPr>
                <w:rFonts w:ascii="Times New Roman" w:hAnsi="Times New Roman" w:cs="Times New Roman"/>
                <w:sz w:val="20"/>
                <w:szCs w:val="20"/>
                <w:lang w:val="en-GB"/>
              </w:rPr>
              <w:t>crisis</w:t>
            </w:r>
            <w:r w:rsidRPr="00AA7A53">
              <w:rPr>
                <w:rFonts w:ascii="Times New Roman" w:hAnsi="Times New Roman" w:cs="Times New Roman"/>
                <w:sz w:val="20"/>
                <w:szCs w:val="20"/>
                <w:lang w:val="en-GB"/>
              </w:rPr>
              <w:t xml:space="preserve"> action plan according to the updated regulation</w:t>
            </w:r>
          </w:p>
        </w:tc>
      </w:tr>
      <w:tr w:rsidR="00614438" w:rsidRPr="00AA7A53" w14:paraId="02B78517" w14:textId="77777777" w:rsidTr="00614438">
        <w:trPr>
          <w:gridAfter w:val="1"/>
          <w:wAfter w:w="1212" w:type="dxa"/>
          <w:trHeight w:val="387"/>
        </w:trPr>
        <w:tc>
          <w:tcPr>
            <w:tcW w:w="3343" w:type="dxa"/>
            <w:tcBorders>
              <w:top w:val="nil"/>
              <w:left w:val="single" w:sz="8" w:space="0" w:color="auto"/>
              <w:bottom w:val="single" w:sz="8" w:space="0" w:color="auto"/>
              <w:right w:val="single" w:sz="8" w:space="0" w:color="auto"/>
            </w:tcBorders>
            <w:shd w:val="clear" w:color="auto" w:fill="244062"/>
            <w:vAlign w:val="center"/>
            <w:hideMark/>
          </w:tcPr>
          <w:p w14:paraId="69D33BF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5" w:type="dxa"/>
            <w:gridSpan w:val="3"/>
            <w:tcBorders>
              <w:top w:val="single" w:sz="8" w:space="0" w:color="auto"/>
              <w:left w:val="nil"/>
              <w:bottom w:val="single" w:sz="8" w:space="0" w:color="auto"/>
              <w:right w:val="single" w:sz="8" w:space="0" w:color="000000"/>
            </w:tcBorders>
            <w:vAlign w:val="center"/>
            <w:hideMark/>
          </w:tcPr>
          <w:p w14:paraId="67B12569" w14:textId="77777777" w:rsidR="00614438" w:rsidRPr="00AA7A53" w:rsidRDefault="00614438" w:rsidP="00AA7A53">
            <w:pPr>
              <w:numPr>
                <w:ilvl w:val="0"/>
                <w:numId w:val="134"/>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p w14:paraId="11F51872" w14:textId="77777777" w:rsidR="00614438" w:rsidRPr="00AA7A53" w:rsidRDefault="00614438" w:rsidP="00AA7A53">
            <w:pPr>
              <w:numPr>
                <w:ilvl w:val="0"/>
                <w:numId w:val="134"/>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65128269" w14:textId="77777777" w:rsidTr="00614438">
        <w:trPr>
          <w:gridAfter w:val="1"/>
          <w:wAfter w:w="1212" w:type="dxa"/>
          <w:trHeight w:val="458"/>
        </w:trPr>
        <w:tc>
          <w:tcPr>
            <w:tcW w:w="3343" w:type="dxa"/>
            <w:vMerge w:val="restart"/>
            <w:tcBorders>
              <w:top w:val="nil"/>
              <w:left w:val="single" w:sz="8" w:space="0" w:color="auto"/>
              <w:bottom w:val="single" w:sz="8" w:space="0" w:color="000000"/>
              <w:right w:val="single" w:sz="8" w:space="0" w:color="auto"/>
            </w:tcBorders>
            <w:shd w:val="clear" w:color="auto" w:fill="244062"/>
            <w:vAlign w:val="center"/>
            <w:hideMark/>
          </w:tcPr>
          <w:p w14:paraId="5579754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5"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2F943DC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8143617"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1221D9CD"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7AD5747"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0FFA156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8EA7E02"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0A6BB4C6"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102CE0B"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43A76C17"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0E673357" w14:textId="77777777" w:rsidTr="00614438">
        <w:trPr>
          <w:trHeight w:val="780"/>
        </w:trPr>
        <w:tc>
          <w:tcPr>
            <w:tcW w:w="3343" w:type="dxa"/>
            <w:tcBorders>
              <w:top w:val="nil"/>
              <w:left w:val="single" w:sz="8" w:space="0" w:color="auto"/>
              <w:bottom w:val="single" w:sz="8" w:space="0" w:color="auto"/>
              <w:right w:val="single" w:sz="8" w:space="0" w:color="auto"/>
            </w:tcBorders>
            <w:shd w:val="clear" w:color="auto" w:fill="244062"/>
            <w:vAlign w:val="center"/>
            <w:hideMark/>
          </w:tcPr>
          <w:p w14:paraId="26F0C96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5" w:type="dxa"/>
            <w:gridSpan w:val="3"/>
            <w:tcBorders>
              <w:top w:val="single" w:sz="8" w:space="0" w:color="auto"/>
              <w:left w:val="nil"/>
              <w:bottom w:val="single" w:sz="8" w:space="0" w:color="auto"/>
              <w:right w:val="single" w:sz="8" w:space="0" w:color="000000"/>
            </w:tcBorders>
            <w:vAlign w:val="center"/>
            <w:hideMark/>
          </w:tcPr>
          <w:p w14:paraId="7E6C24FF" w14:textId="77777777" w:rsidR="00614438" w:rsidRPr="00AA7A53" w:rsidRDefault="00614438" w:rsidP="00AA7A53">
            <w:pPr>
              <w:numPr>
                <w:ilvl w:val="0"/>
                <w:numId w:val="134"/>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w:t>
            </w:r>
          </w:p>
        </w:tc>
        <w:tc>
          <w:tcPr>
            <w:tcW w:w="1212" w:type="dxa"/>
            <w:vAlign w:val="center"/>
            <w:hideMark/>
          </w:tcPr>
          <w:p w14:paraId="15D4590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27C875D" w14:textId="77777777" w:rsidTr="00614438">
        <w:trPr>
          <w:trHeight w:val="315"/>
        </w:trPr>
        <w:tc>
          <w:tcPr>
            <w:tcW w:w="3343" w:type="dxa"/>
            <w:tcBorders>
              <w:top w:val="nil"/>
              <w:left w:val="single" w:sz="8" w:space="0" w:color="auto"/>
              <w:bottom w:val="single" w:sz="8" w:space="0" w:color="auto"/>
              <w:right w:val="single" w:sz="8" w:space="0" w:color="auto"/>
            </w:tcBorders>
            <w:shd w:val="clear" w:color="auto" w:fill="244062"/>
            <w:vAlign w:val="center"/>
            <w:hideMark/>
          </w:tcPr>
          <w:p w14:paraId="2829380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5" w:type="dxa"/>
            <w:gridSpan w:val="3"/>
            <w:tcBorders>
              <w:top w:val="single" w:sz="8" w:space="0" w:color="auto"/>
              <w:left w:val="nil"/>
              <w:bottom w:val="single" w:sz="8" w:space="0" w:color="auto"/>
              <w:right w:val="single" w:sz="8" w:space="0" w:color="000000"/>
            </w:tcBorders>
            <w:vAlign w:val="center"/>
            <w:hideMark/>
          </w:tcPr>
          <w:p w14:paraId="5056E01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0.5 M€</w:t>
            </w:r>
          </w:p>
        </w:tc>
        <w:tc>
          <w:tcPr>
            <w:tcW w:w="1212" w:type="dxa"/>
            <w:vAlign w:val="center"/>
            <w:hideMark/>
          </w:tcPr>
          <w:p w14:paraId="2FE0E9F7"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3F97D83" w14:textId="77777777" w:rsidTr="00614438">
        <w:trPr>
          <w:trHeight w:val="315"/>
        </w:trPr>
        <w:tc>
          <w:tcPr>
            <w:tcW w:w="3343" w:type="dxa"/>
            <w:tcBorders>
              <w:top w:val="nil"/>
              <w:left w:val="single" w:sz="8" w:space="0" w:color="auto"/>
              <w:bottom w:val="single" w:sz="8" w:space="0" w:color="auto"/>
              <w:right w:val="single" w:sz="8" w:space="0" w:color="auto"/>
            </w:tcBorders>
            <w:shd w:val="clear" w:color="auto" w:fill="244062"/>
            <w:vAlign w:val="center"/>
            <w:hideMark/>
          </w:tcPr>
          <w:p w14:paraId="5E61E46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5" w:type="dxa"/>
            <w:gridSpan w:val="3"/>
            <w:tcBorders>
              <w:top w:val="single" w:sz="8" w:space="0" w:color="auto"/>
              <w:left w:val="nil"/>
              <w:bottom w:val="single" w:sz="8" w:space="0" w:color="auto"/>
              <w:right w:val="single" w:sz="8" w:space="0" w:color="000000"/>
            </w:tcBorders>
            <w:vAlign w:val="center"/>
            <w:hideMark/>
          </w:tcPr>
          <w:p w14:paraId="6C85548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1212" w:type="dxa"/>
            <w:vAlign w:val="center"/>
            <w:hideMark/>
          </w:tcPr>
          <w:p w14:paraId="5207E56E" w14:textId="77777777" w:rsidR="00614438" w:rsidRPr="00AA7A53" w:rsidRDefault="00614438" w:rsidP="00AA7A53">
            <w:pPr>
              <w:spacing w:after="0"/>
              <w:jc w:val="both"/>
              <w:rPr>
                <w:rFonts w:ascii="Times New Roman" w:hAnsi="Times New Roman" w:cs="Times New Roman"/>
                <w:sz w:val="20"/>
                <w:szCs w:val="20"/>
                <w:lang w:val="en-GB"/>
              </w:rPr>
            </w:pPr>
          </w:p>
        </w:tc>
      </w:tr>
    </w:tbl>
    <w:p w14:paraId="6550C82E" w14:textId="77777777" w:rsidR="00614438" w:rsidRPr="00AA7A53" w:rsidRDefault="00614438" w:rsidP="00AA7A53">
      <w:pPr>
        <w:spacing w:after="0"/>
        <w:jc w:val="both"/>
        <w:rPr>
          <w:rFonts w:ascii="Times New Roman" w:hAnsi="Times New Roman" w:cs="Times New Roman"/>
          <w:sz w:val="20"/>
          <w:szCs w:val="20"/>
          <w:lang w:val="en-GB"/>
        </w:rPr>
      </w:pPr>
    </w:p>
    <w:tbl>
      <w:tblPr>
        <w:tblW w:w="9488" w:type="dxa"/>
        <w:tblLook w:val="04A0" w:firstRow="1" w:lastRow="0" w:firstColumn="1" w:lastColumn="0" w:noHBand="0" w:noVBand="1"/>
      </w:tblPr>
      <w:tblGrid>
        <w:gridCol w:w="3335"/>
        <w:gridCol w:w="960"/>
        <w:gridCol w:w="951"/>
        <w:gridCol w:w="4020"/>
        <w:gridCol w:w="222"/>
      </w:tblGrid>
      <w:tr w:rsidR="00614438" w:rsidRPr="00AA7A53" w14:paraId="232BAF1D" w14:textId="77777777" w:rsidTr="00614438">
        <w:trPr>
          <w:gridAfter w:val="1"/>
          <w:trHeight w:val="780"/>
        </w:trPr>
        <w:tc>
          <w:tcPr>
            <w:tcW w:w="3414"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671C726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61" w:type="dxa"/>
            <w:tcBorders>
              <w:top w:val="single" w:sz="8" w:space="0" w:color="auto"/>
              <w:left w:val="nil"/>
              <w:bottom w:val="single" w:sz="8" w:space="0" w:color="auto"/>
              <w:right w:val="single" w:sz="8" w:space="0" w:color="auto"/>
            </w:tcBorders>
            <w:shd w:val="clear" w:color="auto" w:fill="E7E6E6" w:themeFill="background2"/>
            <w:vAlign w:val="center"/>
            <w:hideMark/>
          </w:tcPr>
          <w:p w14:paraId="495D2C7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PM_ES8</w:t>
            </w:r>
          </w:p>
        </w:tc>
        <w:tc>
          <w:tcPr>
            <w:tcW w:w="965" w:type="dxa"/>
            <w:tcBorders>
              <w:top w:val="single" w:sz="8" w:space="0" w:color="auto"/>
              <w:left w:val="nil"/>
              <w:bottom w:val="single" w:sz="8" w:space="0" w:color="auto"/>
              <w:right w:val="single" w:sz="8" w:space="0" w:color="auto"/>
            </w:tcBorders>
            <w:shd w:val="clear" w:color="auto" w:fill="244062"/>
            <w:vAlign w:val="center"/>
            <w:hideMark/>
          </w:tcPr>
          <w:p w14:paraId="167F854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48" w:type="dxa"/>
            <w:tcBorders>
              <w:top w:val="single" w:sz="8" w:space="0" w:color="auto"/>
              <w:left w:val="nil"/>
              <w:bottom w:val="single" w:sz="8" w:space="0" w:color="auto"/>
              <w:right w:val="single" w:sz="8" w:space="0" w:color="auto"/>
            </w:tcBorders>
            <w:shd w:val="clear" w:color="auto" w:fill="E7E6E6" w:themeFill="background2"/>
            <w:vAlign w:val="center"/>
            <w:hideMark/>
          </w:tcPr>
          <w:p w14:paraId="3529E46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Oil product pipeline from Pancevo refinery to Novi Sad, Sombor, Belgrade and Nis, through Smederevo and Jagodina</w:t>
            </w:r>
          </w:p>
        </w:tc>
      </w:tr>
      <w:tr w:rsidR="00614438" w:rsidRPr="00AA7A53" w14:paraId="4216D3D3" w14:textId="77777777" w:rsidTr="00614438">
        <w:trPr>
          <w:gridAfter w:val="1"/>
          <w:trHeight w:val="572"/>
        </w:trPr>
        <w:tc>
          <w:tcPr>
            <w:tcW w:w="3414" w:type="dxa"/>
            <w:tcBorders>
              <w:top w:val="nil"/>
              <w:left w:val="single" w:sz="8" w:space="0" w:color="auto"/>
              <w:bottom w:val="single" w:sz="8" w:space="0" w:color="auto"/>
              <w:right w:val="nil"/>
            </w:tcBorders>
            <w:shd w:val="clear" w:color="auto" w:fill="244062"/>
            <w:vAlign w:val="center"/>
            <w:hideMark/>
          </w:tcPr>
          <w:p w14:paraId="5DE9BCC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 xml:space="preserve">Main objective: </w:t>
            </w:r>
          </w:p>
        </w:tc>
        <w:tc>
          <w:tcPr>
            <w:tcW w:w="6074" w:type="dxa"/>
            <w:gridSpan w:val="3"/>
            <w:tcBorders>
              <w:top w:val="single" w:sz="8" w:space="0" w:color="auto"/>
              <w:left w:val="nil"/>
              <w:bottom w:val="single" w:sz="8" w:space="0" w:color="auto"/>
              <w:right w:val="single" w:sz="8" w:space="0" w:color="000000"/>
            </w:tcBorders>
            <w:vAlign w:val="center"/>
            <w:hideMark/>
          </w:tcPr>
          <w:p w14:paraId="6AFB346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More efficient, cheaper, safer and more environmentally friendly supply of motor fuels to the market of the Republic of Serbia.</w:t>
            </w:r>
          </w:p>
        </w:tc>
      </w:tr>
      <w:tr w:rsidR="00614438" w:rsidRPr="00AA7A53" w14:paraId="5996F46C" w14:textId="77777777" w:rsidTr="00614438">
        <w:trPr>
          <w:gridAfter w:val="1"/>
          <w:trHeight w:val="315"/>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00C90F5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074" w:type="dxa"/>
            <w:gridSpan w:val="3"/>
            <w:tcBorders>
              <w:top w:val="single" w:sz="8" w:space="0" w:color="auto"/>
              <w:left w:val="nil"/>
              <w:bottom w:val="single" w:sz="8" w:space="0" w:color="auto"/>
              <w:right w:val="single" w:sz="8" w:space="0" w:color="000000"/>
            </w:tcBorders>
            <w:vAlign w:val="center"/>
            <w:hideMark/>
          </w:tcPr>
          <w:p w14:paraId="3C5D1261" w14:textId="5DD3BF8A" w:rsidR="00614438" w:rsidRPr="00AA7A53" w:rsidRDefault="00A82E81"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No data</w:t>
            </w:r>
          </w:p>
        </w:tc>
      </w:tr>
      <w:tr w:rsidR="00614438" w:rsidRPr="00AA7A53" w14:paraId="5353F274" w14:textId="77777777" w:rsidTr="00614438">
        <w:trPr>
          <w:gridAfter w:val="1"/>
          <w:trHeight w:val="584"/>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0F2BA8B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074" w:type="dxa"/>
            <w:gridSpan w:val="3"/>
            <w:tcBorders>
              <w:top w:val="single" w:sz="8" w:space="0" w:color="auto"/>
              <w:left w:val="nil"/>
              <w:bottom w:val="single" w:sz="8" w:space="0" w:color="auto"/>
              <w:right w:val="single" w:sz="8" w:space="0" w:color="000000"/>
            </w:tcBorders>
            <w:vAlign w:val="center"/>
            <w:hideMark/>
          </w:tcPr>
          <w:p w14:paraId="18F4CB14" w14:textId="2981D7BF"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Transnafta</w:t>
            </w:r>
            <w:r w:rsidR="00A82E81" w:rsidRPr="00AA7A53">
              <w:rPr>
                <w:rFonts w:ascii="Times New Roman" w:hAnsi="Times New Roman" w:cs="Times New Roman"/>
                <w:sz w:val="20"/>
                <w:szCs w:val="20"/>
                <w:lang w:val="en-GB"/>
              </w:rPr>
              <w:t xml:space="preserve"> JSC Pancevo</w:t>
            </w:r>
            <w:r w:rsidRPr="00AA7A53">
              <w:rPr>
                <w:rFonts w:ascii="Times New Roman" w:hAnsi="Times New Roman" w:cs="Times New Roman"/>
                <w:sz w:val="20"/>
                <w:szCs w:val="20"/>
                <w:lang w:val="en-GB"/>
              </w:rPr>
              <w:t xml:space="preserve"> plans the construction of a pipeline for transport of oil derivatives (gasoline and diesel) in the territory of Serbia, starting from </w:t>
            </w:r>
            <w:r w:rsidR="00A82E81" w:rsidRPr="00AA7A53">
              <w:rPr>
                <w:rFonts w:ascii="Times New Roman" w:hAnsi="Times New Roman" w:cs="Times New Roman"/>
                <w:sz w:val="20"/>
                <w:szCs w:val="20"/>
                <w:lang w:val="en-GB"/>
              </w:rPr>
              <w:t xml:space="preserve">the </w:t>
            </w:r>
            <w:r w:rsidRPr="00AA7A53">
              <w:rPr>
                <w:rFonts w:ascii="Times New Roman" w:hAnsi="Times New Roman" w:cs="Times New Roman"/>
                <w:sz w:val="20"/>
                <w:szCs w:val="20"/>
                <w:lang w:val="en-GB"/>
              </w:rPr>
              <w:t>Pancevo refinery to Novi Sad, Sombor, Belgrade and Nis, through Smederevo and Jagodina. The pipeline system will include terminals with appropriate storage capacities, pumping stations (secondary and main pumps) and measuring points for commercial measurement of received and delivered quantities. The pipeline’s total length is 402km, while its total capacity is 4.3 Mt/year. The pipeline system is expected to create conditions for cheaper, safer, more secure and more environment friendly supply of the market in motor fuels.</w:t>
            </w:r>
          </w:p>
          <w:p w14:paraId="021F7A2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The project includes three facilities:</w:t>
            </w:r>
          </w:p>
          <w:p w14:paraId="0C9D493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Facility I: Pancevo – Smederevo section; Pancevo - Novi Sad section.</w:t>
            </w:r>
          </w:p>
          <w:p w14:paraId="090E74D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Facility II: Smederevo – Jagodina section; Jagodina – Nis section.</w:t>
            </w:r>
          </w:p>
          <w:p w14:paraId="0AA4120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Facility III: Pancevo – Beograd section; Novi Sad - Sombor section.</w:t>
            </w:r>
          </w:p>
        </w:tc>
      </w:tr>
      <w:tr w:rsidR="00614438" w:rsidRPr="00AA7A53" w14:paraId="7086E2C9" w14:textId="77777777" w:rsidTr="00614438">
        <w:trPr>
          <w:gridAfter w:val="1"/>
          <w:trHeight w:val="315"/>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56893E9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074" w:type="dxa"/>
            <w:gridSpan w:val="3"/>
            <w:tcBorders>
              <w:top w:val="single" w:sz="8" w:space="0" w:color="auto"/>
              <w:left w:val="nil"/>
              <w:bottom w:val="single" w:sz="8" w:space="0" w:color="auto"/>
              <w:right w:val="single" w:sz="8" w:space="0" w:color="000000"/>
            </w:tcBorders>
            <w:vAlign w:val="center"/>
            <w:hideMark/>
          </w:tcPr>
          <w:p w14:paraId="6A34394B" w14:textId="1A742951" w:rsidR="00614438" w:rsidRPr="00AA7A53" w:rsidRDefault="00A82E81"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Until </w:t>
            </w:r>
            <w:r w:rsidR="00614438" w:rsidRPr="00AA7A53">
              <w:rPr>
                <w:rFonts w:ascii="Times New Roman" w:hAnsi="Times New Roman" w:cs="Times New Roman"/>
                <w:sz w:val="20"/>
                <w:szCs w:val="20"/>
                <w:lang w:val="en-GB"/>
              </w:rPr>
              <w:t>2029</w:t>
            </w:r>
          </w:p>
        </w:tc>
      </w:tr>
      <w:tr w:rsidR="00614438" w:rsidRPr="00AA7A53" w14:paraId="7DB83556" w14:textId="77777777" w:rsidTr="00614438">
        <w:trPr>
          <w:gridAfter w:val="1"/>
          <w:trHeight w:val="315"/>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01B7327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074" w:type="dxa"/>
            <w:gridSpan w:val="3"/>
            <w:tcBorders>
              <w:top w:val="single" w:sz="8" w:space="0" w:color="auto"/>
              <w:left w:val="nil"/>
              <w:bottom w:val="single" w:sz="8" w:space="0" w:color="auto"/>
              <w:right w:val="single" w:sz="8" w:space="0" w:color="000000"/>
            </w:tcBorders>
            <w:vAlign w:val="center"/>
            <w:hideMark/>
          </w:tcPr>
          <w:p w14:paraId="6C185D1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1F2762C3" w14:textId="77777777" w:rsidTr="00614438">
        <w:trPr>
          <w:gridAfter w:val="1"/>
          <w:trHeight w:val="315"/>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1EE3306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074" w:type="dxa"/>
            <w:gridSpan w:val="3"/>
            <w:tcBorders>
              <w:top w:val="single" w:sz="8" w:space="0" w:color="auto"/>
              <w:left w:val="nil"/>
              <w:bottom w:val="single" w:sz="8" w:space="0" w:color="auto"/>
              <w:right w:val="single" w:sz="8" w:space="0" w:color="000000"/>
            </w:tcBorders>
            <w:vAlign w:val="center"/>
            <w:hideMark/>
          </w:tcPr>
          <w:p w14:paraId="0CC5E67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Oil</w:t>
            </w:r>
          </w:p>
        </w:tc>
      </w:tr>
      <w:tr w:rsidR="00614438" w:rsidRPr="00AA7A53" w14:paraId="426F12F2" w14:textId="77777777" w:rsidTr="00614438">
        <w:trPr>
          <w:gridAfter w:val="1"/>
          <w:trHeight w:val="315"/>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45048C2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074" w:type="dxa"/>
            <w:gridSpan w:val="3"/>
            <w:tcBorders>
              <w:top w:val="single" w:sz="8" w:space="0" w:color="auto"/>
              <w:left w:val="nil"/>
              <w:bottom w:val="single" w:sz="8" w:space="0" w:color="auto"/>
              <w:right w:val="single" w:sz="8" w:space="0" w:color="000000"/>
            </w:tcBorders>
            <w:vAlign w:val="center"/>
            <w:hideMark/>
          </w:tcPr>
          <w:p w14:paraId="5A81D902" w14:textId="575300A9" w:rsidR="00614438" w:rsidRPr="00AA7A53" w:rsidRDefault="00614438" w:rsidP="00AA7A53">
            <w:pPr>
              <w:numPr>
                <w:ilvl w:val="0"/>
                <w:numId w:val="135"/>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Transnafta </w:t>
            </w:r>
            <w:r w:rsidR="00A82E81" w:rsidRPr="00AA7A53">
              <w:rPr>
                <w:rFonts w:ascii="Times New Roman" w:hAnsi="Times New Roman" w:cs="Times New Roman"/>
                <w:sz w:val="20"/>
                <w:szCs w:val="20"/>
              </w:rPr>
              <w:t>JSC</w:t>
            </w:r>
            <w:r w:rsidRPr="00AA7A53">
              <w:rPr>
                <w:rFonts w:ascii="Times New Roman" w:hAnsi="Times New Roman" w:cs="Times New Roman"/>
                <w:sz w:val="20"/>
                <w:szCs w:val="20"/>
              </w:rPr>
              <w:t xml:space="preserve"> Pancevo</w:t>
            </w:r>
          </w:p>
        </w:tc>
      </w:tr>
      <w:tr w:rsidR="00614438" w:rsidRPr="00AA7A53" w14:paraId="6ACD8233" w14:textId="77777777" w:rsidTr="00614438">
        <w:trPr>
          <w:gridAfter w:val="1"/>
          <w:trHeight w:val="315"/>
        </w:trPr>
        <w:tc>
          <w:tcPr>
            <w:tcW w:w="3414" w:type="dxa"/>
            <w:tcBorders>
              <w:top w:val="nil"/>
              <w:left w:val="single" w:sz="8" w:space="0" w:color="auto"/>
              <w:bottom w:val="single" w:sz="8" w:space="0" w:color="auto"/>
              <w:right w:val="nil"/>
            </w:tcBorders>
            <w:shd w:val="clear" w:color="auto" w:fill="244062"/>
            <w:vAlign w:val="center"/>
            <w:hideMark/>
          </w:tcPr>
          <w:p w14:paraId="3A36930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074" w:type="dxa"/>
            <w:gridSpan w:val="3"/>
            <w:tcBorders>
              <w:top w:val="single" w:sz="8" w:space="0" w:color="auto"/>
              <w:left w:val="nil"/>
              <w:bottom w:val="single" w:sz="8" w:space="0" w:color="auto"/>
              <w:right w:val="single" w:sz="8" w:space="0" w:color="000000"/>
            </w:tcBorders>
            <w:vAlign w:val="center"/>
            <w:hideMark/>
          </w:tcPr>
          <w:p w14:paraId="5AB22C9B" w14:textId="77777777" w:rsidR="00614438" w:rsidRPr="00AA7A53" w:rsidRDefault="00614438" w:rsidP="00AA7A53">
            <w:pPr>
              <w:numPr>
                <w:ilvl w:val="0"/>
                <w:numId w:val="13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00662CB3" w14:textId="77777777" w:rsidR="00614438" w:rsidRPr="00AA7A53" w:rsidRDefault="00614438" w:rsidP="00AA7A53">
            <w:pPr>
              <w:numPr>
                <w:ilvl w:val="0"/>
                <w:numId w:val="13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Ministy of Construction, Transport and Infrastructure</w:t>
            </w:r>
          </w:p>
        </w:tc>
      </w:tr>
      <w:tr w:rsidR="00614438" w:rsidRPr="00AA7A53" w14:paraId="0B6F367B" w14:textId="77777777" w:rsidTr="00614438">
        <w:trPr>
          <w:gridAfter w:val="1"/>
          <w:trHeight w:val="315"/>
        </w:trPr>
        <w:tc>
          <w:tcPr>
            <w:tcW w:w="3414" w:type="dxa"/>
            <w:tcBorders>
              <w:top w:val="nil"/>
              <w:left w:val="single" w:sz="8" w:space="0" w:color="auto"/>
              <w:bottom w:val="single" w:sz="8" w:space="0" w:color="auto"/>
              <w:right w:val="nil"/>
            </w:tcBorders>
            <w:shd w:val="clear" w:color="auto" w:fill="244062"/>
            <w:vAlign w:val="center"/>
            <w:hideMark/>
          </w:tcPr>
          <w:p w14:paraId="6908E10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074" w:type="dxa"/>
            <w:gridSpan w:val="3"/>
            <w:tcBorders>
              <w:top w:val="single" w:sz="8" w:space="0" w:color="auto"/>
              <w:left w:val="nil"/>
              <w:bottom w:val="single" w:sz="8" w:space="0" w:color="auto"/>
              <w:right w:val="single" w:sz="8" w:space="0" w:color="000000"/>
            </w:tcBorders>
            <w:vAlign w:val="center"/>
            <w:hideMark/>
          </w:tcPr>
          <w:p w14:paraId="14AEA7F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Pipeline capacity by product, pipeline length, terminals</w:t>
            </w:r>
          </w:p>
        </w:tc>
      </w:tr>
      <w:tr w:rsidR="00614438" w:rsidRPr="00AA7A53" w14:paraId="39411D13" w14:textId="77777777" w:rsidTr="00614438">
        <w:trPr>
          <w:gridAfter w:val="1"/>
          <w:trHeight w:val="387"/>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4489CE8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074" w:type="dxa"/>
            <w:gridSpan w:val="3"/>
            <w:tcBorders>
              <w:top w:val="single" w:sz="8" w:space="0" w:color="auto"/>
              <w:left w:val="nil"/>
              <w:bottom w:val="single" w:sz="8" w:space="0" w:color="auto"/>
              <w:right w:val="single" w:sz="8" w:space="0" w:color="000000"/>
            </w:tcBorders>
            <w:vAlign w:val="center"/>
            <w:hideMark/>
          </w:tcPr>
          <w:p w14:paraId="75C59DBC" w14:textId="77777777" w:rsidR="00614438" w:rsidRPr="00AA7A53" w:rsidRDefault="00614438" w:rsidP="00AA7A53">
            <w:pPr>
              <w:numPr>
                <w:ilvl w:val="0"/>
                <w:numId w:val="135"/>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39D78EE4" w14:textId="77777777" w:rsidTr="00614438">
        <w:trPr>
          <w:gridAfter w:val="1"/>
          <w:trHeight w:val="458"/>
        </w:trPr>
        <w:tc>
          <w:tcPr>
            <w:tcW w:w="3414" w:type="dxa"/>
            <w:vMerge w:val="restart"/>
            <w:tcBorders>
              <w:top w:val="nil"/>
              <w:left w:val="single" w:sz="8" w:space="0" w:color="auto"/>
              <w:bottom w:val="single" w:sz="8" w:space="0" w:color="000000"/>
              <w:right w:val="single" w:sz="8" w:space="0" w:color="auto"/>
            </w:tcBorders>
            <w:shd w:val="clear" w:color="auto" w:fill="244062"/>
            <w:vAlign w:val="center"/>
            <w:hideMark/>
          </w:tcPr>
          <w:p w14:paraId="12052B6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07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B5F15E3"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436EC68" w14:textId="77777777" w:rsidTr="00614438">
        <w:trPr>
          <w:trHeight w:val="450"/>
        </w:trPr>
        <w:tc>
          <w:tcPr>
            <w:tcW w:w="0" w:type="auto"/>
            <w:vMerge/>
            <w:tcBorders>
              <w:top w:val="nil"/>
              <w:left w:val="single" w:sz="8" w:space="0" w:color="auto"/>
              <w:bottom w:val="single" w:sz="8" w:space="0" w:color="000000"/>
              <w:right w:val="single" w:sz="8" w:space="0" w:color="auto"/>
            </w:tcBorders>
            <w:vAlign w:val="center"/>
            <w:hideMark/>
          </w:tcPr>
          <w:p w14:paraId="1D918A2F"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36F003E"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vAlign w:val="center"/>
            <w:hideMark/>
          </w:tcPr>
          <w:p w14:paraId="04693C32"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7344DEDE" w14:textId="77777777" w:rsidTr="00614438">
        <w:trPr>
          <w:trHeight w:val="450"/>
        </w:trPr>
        <w:tc>
          <w:tcPr>
            <w:tcW w:w="0" w:type="auto"/>
            <w:vMerge/>
            <w:tcBorders>
              <w:top w:val="nil"/>
              <w:left w:val="single" w:sz="8" w:space="0" w:color="auto"/>
              <w:bottom w:val="single" w:sz="8" w:space="0" w:color="000000"/>
              <w:right w:val="single" w:sz="8" w:space="0" w:color="auto"/>
            </w:tcBorders>
            <w:vAlign w:val="center"/>
            <w:hideMark/>
          </w:tcPr>
          <w:p w14:paraId="5A182BFE"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C5CA3C9"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vAlign w:val="center"/>
            <w:hideMark/>
          </w:tcPr>
          <w:p w14:paraId="3904412B"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5AFEB595" w14:textId="77777777" w:rsidTr="00614438">
        <w:trPr>
          <w:trHeight w:val="780"/>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3426D91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074" w:type="dxa"/>
            <w:gridSpan w:val="3"/>
            <w:tcBorders>
              <w:top w:val="single" w:sz="8" w:space="0" w:color="auto"/>
              <w:left w:val="nil"/>
              <w:bottom w:val="single" w:sz="8" w:space="0" w:color="auto"/>
              <w:right w:val="single" w:sz="8" w:space="0" w:color="000000"/>
            </w:tcBorders>
            <w:vAlign w:val="center"/>
            <w:hideMark/>
          </w:tcPr>
          <w:p w14:paraId="51633DAB" w14:textId="77777777" w:rsidR="00614438" w:rsidRPr="00AA7A53" w:rsidRDefault="00614438" w:rsidP="00AA7A53">
            <w:pPr>
              <w:numPr>
                <w:ilvl w:val="0"/>
                <w:numId w:val="135"/>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w:t>
            </w:r>
          </w:p>
        </w:tc>
        <w:tc>
          <w:tcPr>
            <w:tcW w:w="0" w:type="auto"/>
            <w:vAlign w:val="center"/>
            <w:hideMark/>
          </w:tcPr>
          <w:p w14:paraId="67419BB1"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734400B1" w14:textId="77777777" w:rsidTr="00614438">
        <w:trPr>
          <w:trHeight w:val="315"/>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7888FEA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074" w:type="dxa"/>
            <w:gridSpan w:val="3"/>
            <w:tcBorders>
              <w:top w:val="single" w:sz="8" w:space="0" w:color="auto"/>
              <w:left w:val="nil"/>
              <w:bottom w:val="single" w:sz="8" w:space="0" w:color="auto"/>
              <w:right w:val="single" w:sz="8" w:space="0" w:color="000000"/>
            </w:tcBorders>
            <w:vAlign w:val="center"/>
            <w:hideMark/>
          </w:tcPr>
          <w:p w14:paraId="3A9D36B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400 M€</w:t>
            </w:r>
          </w:p>
        </w:tc>
        <w:tc>
          <w:tcPr>
            <w:tcW w:w="0" w:type="auto"/>
            <w:vAlign w:val="center"/>
            <w:hideMark/>
          </w:tcPr>
          <w:p w14:paraId="3C49B8D1"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3163297A" w14:textId="77777777" w:rsidTr="00614438">
        <w:trPr>
          <w:trHeight w:val="315"/>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12DB6D2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074" w:type="dxa"/>
            <w:gridSpan w:val="3"/>
            <w:tcBorders>
              <w:top w:val="single" w:sz="8" w:space="0" w:color="auto"/>
              <w:left w:val="nil"/>
              <w:bottom w:val="single" w:sz="8" w:space="0" w:color="auto"/>
              <w:right w:val="single" w:sz="8" w:space="0" w:color="000000"/>
            </w:tcBorders>
            <w:vAlign w:val="center"/>
            <w:hideMark/>
          </w:tcPr>
          <w:p w14:paraId="06F8405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0" w:type="auto"/>
            <w:vAlign w:val="center"/>
            <w:hideMark/>
          </w:tcPr>
          <w:p w14:paraId="7CC875FB" w14:textId="77777777" w:rsidR="00614438" w:rsidRPr="00AA7A53" w:rsidRDefault="00614438" w:rsidP="00AA7A53">
            <w:pPr>
              <w:spacing w:after="0"/>
              <w:jc w:val="both"/>
              <w:rPr>
                <w:rFonts w:ascii="Times New Roman" w:hAnsi="Times New Roman" w:cs="Times New Roman"/>
                <w:sz w:val="20"/>
                <w:szCs w:val="20"/>
              </w:rPr>
            </w:pPr>
          </w:p>
        </w:tc>
      </w:tr>
    </w:tbl>
    <w:p w14:paraId="443AFA92" w14:textId="77777777" w:rsidR="00614438" w:rsidRPr="00AA7A53" w:rsidRDefault="00614438" w:rsidP="00AA7A53">
      <w:pPr>
        <w:spacing w:after="0"/>
        <w:jc w:val="both"/>
        <w:rPr>
          <w:rFonts w:ascii="Times New Roman" w:hAnsi="Times New Roman" w:cs="Times New Roman"/>
          <w:sz w:val="20"/>
          <w:szCs w:val="20"/>
          <w:lang w:val="en-GB"/>
        </w:rPr>
      </w:pPr>
    </w:p>
    <w:tbl>
      <w:tblPr>
        <w:tblW w:w="9488" w:type="dxa"/>
        <w:tblLook w:val="04A0" w:firstRow="1" w:lastRow="0" w:firstColumn="1" w:lastColumn="0" w:noHBand="0" w:noVBand="1"/>
      </w:tblPr>
      <w:tblGrid>
        <w:gridCol w:w="3332"/>
        <w:gridCol w:w="960"/>
        <w:gridCol w:w="951"/>
        <w:gridCol w:w="4023"/>
        <w:gridCol w:w="222"/>
      </w:tblGrid>
      <w:tr w:rsidR="00614438" w:rsidRPr="00AA7A53" w14:paraId="2505C9C2" w14:textId="77777777" w:rsidTr="00614438">
        <w:trPr>
          <w:gridAfter w:val="1"/>
          <w:trHeight w:val="780"/>
        </w:trPr>
        <w:tc>
          <w:tcPr>
            <w:tcW w:w="3414"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5AB974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61" w:type="dxa"/>
            <w:tcBorders>
              <w:top w:val="single" w:sz="8" w:space="0" w:color="auto"/>
              <w:left w:val="nil"/>
              <w:bottom w:val="single" w:sz="8" w:space="0" w:color="auto"/>
              <w:right w:val="single" w:sz="8" w:space="0" w:color="auto"/>
            </w:tcBorders>
            <w:shd w:val="clear" w:color="auto" w:fill="E7E6E6" w:themeFill="background2"/>
            <w:vAlign w:val="center"/>
            <w:hideMark/>
          </w:tcPr>
          <w:p w14:paraId="42D7F36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PM_ES9</w:t>
            </w:r>
          </w:p>
        </w:tc>
        <w:tc>
          <w:tcPr>
            <w:tcW w:w="965" w:type="dxa"/>
            <w:tcBorders>
              <w:top w:val="single" w:sz="8" w:space="0" w:color="auto"/>
              <w:left w:val="nil"/>
              <w:bottom w:val="single" w:sz="8" w:space="0" w:color="auto"/>
              <w:right w:val="single" w:sz="8" w:space="0" w:color="auto"/>
            </w:tcBorders>
            <w:shd w:val="clear" w:color="auto" w:fill="244062"/>
            <w:vAlign w:val="center"/>
            <w:hideMark/>
          </w:tcPr>
          <w:p w14:paraId="71A2C55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48" w:type="dxa"/>
            <w:tcBorders>
              <w:top w:val="single" w:sz="8" w:space="0" w:color="auto"/>
              <w:left w:val="nil"/>
              <w:bottom w:val="single" w:sz="8" w:space="0" w:color="auto"/>
              <w:right w:val="single" w:sz="8" w:space="0" w:color="auto"/>
            </w:tcBorders>
            <w:shd w:val="clear" w:color="auto" w:fill="E7E6E6" w:themeFill="background2"/>
            <w:vAlign w:val="center"/>
            <w:hideMark/>
          </w:tcPr>
          <w:p w14:paraId="0C79502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Development of a pumped storage project in Bistrica</w:t>
            </w:r>
          </w:p>
        </w:tc>
      </w:tr>
      <w:tr w:rsidR="00614438" w:rsidRPr="00AA7A53" w14:paraId="1FCB5F61" w14:textId="77777777" w:rsidTr="00614438">
        <w:trPr>
          <w:gridAfter w:val="1"/>
          <w:trHeight w:val="572"/>
        </w:trPr>
        <w:tc>
          <w:tcPr>
            <w:tcW w:w="3414" w:type="dxa"/>
            <w:tcBorders>
              <w:top w:val="nil"/>
              <w:left w:val="single" w:sz="8" w:space="0" w:color="auto"/>
              <w:bottom w:val="single" w:sz="8" w:space="0" w:color="auto"/>
              <w:right w:val="nil"/>
            </w:tcBorders>
            <w:shd w:val="clear" w:color="auto" w:fill="244062"/>
            <w:vAlign w:val="center"/>
            <w:hideMark/>
          </w:tcPr>
          <w:p w14:paraId="6A19D12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074" w:type="dxa"/>
            <w:gridSpan w:val="3"/>
            <w:tcBorders>
              <w:top w:val="single" w:sz="8" w:space="0" w:color="auto"/>
              <w:left w:val="nil"/>
              <w:bottom w:val="single" w:sz="8" w:space="0" w:color="auto"/>
              <w:right w:val="single" w:sz="8" w:space="0" w:color="000000"/>
            </w:tcBorders>
            <w:vAlign w:val="center"/>
            <w:hideMark/>
          </w:tcPr>
          <w:p w14:paraId="7B7A5993" w14:textId="39C543FC"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More diverse energy mix</w:t>
            </w:r>
            <w:r w:rsidR="00A82E81" w:rsidRPr="00AA7A53">
              <w:rPr>
                <w:rFonts w:ascii="Times New Roman" w:hAnsi="Times New Roman" w:cs="Times New Roman"/>
                <w:sz w:val="20"/>
                <w:szCs w:val="20"/>
                <w:lang w:val="en-GB"/>
              </w:rPr>
              <w:t xml:space="preserve"> </w:t>
            </w:r>
            <w:r w:rsidRPr="00AA7A53">
              <w:rPr>
                <w:rFonts w:ascii="Times New Roman" w:hAnsi="Times New Roman" w:cs="Times New Roman"/>
                <w:sz w:val="20"/>
                <w:szCs w:val="20"/>
                <w:lang w:val="en-GB"/>
              </w:rPr>
              <w:t>for the penetration of RES with the ability to absorb redundant energy from uncontrollable RES, contribution to the necessary power adequacy of the system, development of clean low carbon new technologies</w:t>
            </w:r>
          </w:p>
        </w:tc>
      </w:tr>
      <w:tr w:rsidR="00614438" w:rsidRPr="00AA7A53" w14:paraId="6747BA21" w14:textId="77777777" w:rsidTr="00614438">
        <w:trPr>
          <w:gridAfter w:val="1"/>
          <w:trHeight w:val="315"/>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5816D33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074" w:type="dxa"/>
            <w:gridSpan w:val="3"/>
            <w:tcBorders>
              <w:top w:val="single" w:sz="8" w:space="0" w:color="auto"/>
              <w:left w:val="nil"/>
              <w:bottom w:val="single" w:sz="8" w:space="0" w:color="auto"/>
              <w:right w:val="single" w:sz="8" w:space="0" w:color="000000"/>
            </w:tcBorders>
            <w:vAlign w:val="center"/>
            <w:hideMark/>
          </w:tcPr>
          <w:p w14:paraId="7EB0FF86" w14:textId="5FCDDBF5"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6</w:t>
            </w:r>
            <w:r w:rsidRPr="00AA7A53">
              <w:rPr>
                <w:rFonts w:ascii="Times New Roman" w:hAnsi="Times New Roman" w:cs="Times New Roman"/>
                <w:sz w:val="20"/>
                <w:szCs w:val="20"/>
                <w:lang w:val="sr-Cyrl-CS"/>
              </w:rPr>
              <w:t>25</w:t>
            </w:r>
            <w:r w:rsidR="00A82E81" w:rsidRPr="00AA7A53">
              <w:rPr>
                <w:rFonts w:ascii="Times New Roman" w:hAnsi="Times New Roman" w:cs="Times New Roman"/>
                <w:sz w:val="20"/>
                <w:szCs w:val="20"/>
              </w:rPr>
              <w:t xml:space="preserve"> </w:t>
            </w:r>
            <w:r w:rsidRPr="00AA7A53">
              <w:rPr>
                <w:rFonts w:ascii="Times New Roman" w:hAnsi="Times New Roman" w:cs="Times New Roman"/>
                <w:sz w:val="20"/>
                <w:szCs w:val="20"/>
                <w:lang w:val="en-GB"/>
              </w:rPr>
              <w:t>MW of additional generation capacity</w:t>
            </w:r>
          </w:p>
        </w:tc>
      </w:tr>
      <w:tr w:rsidR="00614438" w:rsidRPr="00AA7A53" w14:paraId="5ABA32FD" w14:textId="77777777" w:rsidTr="00614438">
        <w:trPr>
          <w:gridAfter w:val="1"/>
          <w:trHeight w:val="584"/>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45BC66F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074" w:type="dxa"/>
            <w:gridSpan w:val="3"/>
            <w:tcBorders>
              <w:top w:val="single" w:sz="8" w:space="0" w:color="auto"/>
              <w:left w:val="nil"/>
              <w:bottom w:val="single" w:sz="8" w:space="0" w:color="auto"/>
              <w:right w:val="single" w:sz="8" w:space="0" w:color="000000"/>
            </w:tcBorders>
            <w:vAlign w:val="center"/>
            <w:hideMark/>
          </w:tcPr>
          <w:p w14:paraId="67C70FE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In order to achieve the objectives of the INECP in the most cost-efficient manner and facilitate the penetration of RES, there is a need for energy storage systems to be built. More specifically, based on the performed studies and modelling results, the SEMS model considers that a new pumped storage project will be integrated in the system in 2031. This </w:t>
            </w:r>
            <w:r w:rsidRPr="00AA7A53">
              <w:rPr>
                <w:rFonts w:ascii="Times New Roman" w:hAnsi="Times New Roman" w:cs="Times New Roman"/>
                <w:sz w:val="20"/>
                <w:szCs w:val="20"/>
                <w:lang w:val="en-GB"/>
              </w:rPr>
              <w:lastRenderedPageBreak/>
              <w:t>asset will also support the operation of the system since it will increase the volume of available regulation capacities in the system.</w:t>
            </w:r>
          </w:p>
        </w:tc>
      </w:tr>
      <w:tr w:rsidR="00614438" w:rsidRPr="00AA7A53" w14:paraId="5C7A64DB" w14:textId="77777777" w:rsidTr="00614438">
        <w:trPr>
          <w:gridAfter w:val="1"/>
          <w:trHeight w:val="315"/>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3442E97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Implementation Timeframe</w:t>
            </w:r>
          </w:p>
        </w:tc>
        <w:tc>
          <w:tcPr>
            <w:tcW w:w="6074" w:type="dxa"/>
            <w:gridSpan w:val="3"/>
            <w:tcBorders>
              <w:top w:val="single" w:sz="8" w:space="0" w:color="auto"/>
              <w:left w:val="nil"/>
              <w:bottom w:val="single" w:sz="8" w:space="0" w:color="auto"/>
              <w:right w:val="single" w:sz="8" w:space="0" w:color="000000"/>
            </w:tcBorders>
            <w:vAlign w:val="center"/>
            <w:hideMark/>
          </w:tcPr>
          <w:p w14:paraId="0603D7CC" w14:textId="7328AD3F"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A82E81"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-2031</w:t>
            </w:r>
          </w:p>
        </w:tc>
      </w:tr>
      <w:tr w:rsidR="00614438" w:rsidRPr="00AA7A53" w14:paraId="1FA62A17" w14:textId="77777777" w:rsidTr="00614438">
        <w:trPr>
          <w:gridAfter w:val="1"/>
          <w:trHeight w:val="315"/>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5E7C04C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074" w:type="dxa"/>
            <w:gridSpan w:val="3"/>
            <w:tcBorders>
              <w:top w:val="single" w:sz="8" w:space="0" w:color="auto"/>
              <w:left w:val="nil"/>
              <w:bottom w:val="single" w:sz="8" w:space="0" w:color="auto"/>
              <w:right w:val="single" w:sz="8" w:space="0" w:color="000000"/>
            </w:tcBorders>
            <w:vAlign w:val="center"/>
            <w:hideMark/>
          </w:tcPr>
          <w:p w14:paraId="56D0B46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3FCD1FB3" w14:textId="77777777" w:rsidTr="00614438">
        <w:trPr>
          <w:gridAfter w:val="1"/>
          <w:trHeight w:val="315"/>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44A9773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074" w:type="dxa"/>
            <w:gridSpan w:val="3"/>
            <w:tcBorders>
              <w:top w:val="single" w:sz="8" w:space="0" w:color="auto"/>
              <w:left w:val="nil"/>
              <w:bottom w:val="single" w:sz="8" w:space="0" w:color="auto"/>
              <w:right w:val="single" w:sz="8" w:space="0" w:color="000000"/>
            </w:tcBorders>
            <w:vAlign w:val="center"/>
            <w:hideMark/>
          </w:tcPr>
          <w:p w14:paraId="344E6D8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Electricity</w:t>
            </w:r>
          </w:p>
        </w:tc>
      </w:tr>
      <w:tr w:rsidR="00614438" w:rsidRPr="00AA7A53" w14:paraId="781B1503" w14:textId="77777777" w:rsidTr="00614438">
        <w:trPr>
          <w:gridAfter w:val="1"/>
          <w:trHeight w:val="315"/>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3B45E45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074" w:type="dxa"/>
            <w:gridSpan w:val="3"/>
            <w:tcBorders>
              <w:top w:val="single" w:sz="8" w:space="0" w:color="auto"/>
              <w:left w:val="nil"/>
              <w:bottom w:val="single" w:sz="8" w:space="0" w:color="auto"/>
              <w:right w:val="single" w:sz="8" w:space="0" w:color="000000"/>
            </w:tcBorders>
            <w:vAlign w:val="center"/>
            <w:hideMark/>
          </w:tcPr>
          <w:p w14:paraId="03553D3E" w14:textId="7FB14201" w:rsidR="00614438" w:rsidRPr="00AA7A53" w:rsidRDefault="00A82E81" w:rsidP="00AA7A53">
            <w:pPr>
              <w:numPr>
                <w:ilvl w:val="0"/>
                <w:numId w:val="135"/>
              </w:numPr>
              <w:spacing w:after="0"/>
              <w:jc w:val="both"/>
              <w:rPr>
                <w:rFonts w:ascii="Times New Roman" w:hAnsi="Times New Roman" w:cs="Times New Roman"/>
                <w:sz w:val="20"/>
                <w:szCs w:val="20"/>
              </w:rPr>
            </w:pPr>
            <w:r w:rsidRPr="00AA7A53">
              <w:rPr>
                <w:rFonts w:ascii="Times New Roman" w:hAnsi="Times New Roman" w:cs="Times New Roman"/>
                <w:sz w:val="20"/>
                <w:szCs w:val="20"/>
              </w:rPr>
              <w:t>JSC “</w:t>
            </w:r>
            <w:r w:rsidR="00614438" w:rsidRPr="00AA7A53">
              <w:rPr>
                <w:rFonts w:ascii="Times New Roman" w:hAnsi="Times New Roman" w:cs="Times New Roman"/>
                <w:sz w:val="20"/>
                <w:szCs w:val="20"/>
              </w:rPr>
              <w:t>E</w:t>
            </w:r>
            <w:r w:rsidRPr="00AA7A53">
              <w:rPr>
                <w:rFonts w:ascii="Times New Roman" w:hAnsi="Times New Roman" w:cs="Times New Roman"/>
                <w:sz w:val="20"/>
                <w:szCs w:val="20"/>
              </w:rPr>
              <w:t xml:space="preserve">lektroprivreda </w:t>
            </w:r>
            <w:r w:rsidR="00614438" w:rsidRPr="00AA7A53">
              <w:rPr>
                <w:rFonts w:ascii="Times New Roman" w:hAnsi="Times New Roman" w:cs="Times New Roman"/>
                <w:sz w:val="20"/>
                <w:szCs w:val="20"/>
              </w:rPr>
              <w:t>S</w:t>
            </w:r>
            <w:r w:rsidRPr="00AA7A53">
              <w:rPr>
                <w:rFonts w:ascii="Times New Roman" w:hAnsi="Times New Roman" w:cs="Times New Roman"/>
                <w:sz w:val="20"/>
                <w:szCs w:val="20"/>
              </w:rPr>
              <w:t>rbije”</w:t>
            </w:r>
          </w:p>
        </w:tc>
      </w:tr>
      <w:tr w:rsidR="00614438" w:rsidRPr="00AA7A53" w14:paraId="711DA376" w14:textId="77777777" w:rsidTr="00614438">
        <w:trPr>
          <w:gridAfter w:val="1"/>
          <w:trHeight w:val="315"/>
        </w:trPr>
        <w:tc>
          <w:tcPr>
            <w:tcW w:w="3414" w:type="dxa"/>
            <w:tcBorders>
              <w:top w:val="nil"/>
              <w:left w:val="single" w:sz="8" w:space="0" w:color="auto"/>
              <w:bottom w:val="single" w:sz="8" w:space="0" w:color="auto"/>
              <w:right w:val="nil"/>
            </w:tcBorders>
            <w:shd w:val="clear" w:color="auto" w:fill="244062"/>
            <w:vAlign w:val="center"/>
            <w:hideMark/>
          </w:tcPr>
          <w:p w14:paraId="42021BB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074" w:type="dxa"/>
            <w:gridSpan w:val="3"/>
            <w:tcBorders>
              <w:top w:val="single" w:sz="8" w:space="0" w:color="auto"/>
              <w:left w:val="nil"/>
              <w:bottom w:val="single" w:sz="8" w:space="0" w:color="auto"/>
              <w:right w:val="single" w:sz="8" w:space="0" w:color="000000"/>
            </w:tcBorders>
            <w:vAlign w:val="center"/>
            <w:hideMark/>
          </w:tcPr>
          <w:p w14:paraId="65EDFD31" w14:textId="77777777" w:rsidR="00614438" w:rsidRPr="00AA7A53" w:rsidRDefault="00614438" w:rsidP="00AA7A53">
            <w:pPr>
              <w:numPr>
                <w:ilvl w:val="0"/>
                <w:numId w:val="13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7617261A" w14:textId="77777777" w:rsidR="00614438" w:rsidRPr="00AA7A53" w:rsidRDefault="00614438" w:rsidP="00AA7A53">
            <w:pPr>
              <w:numPr>
                <w:ilvl w:val="0"/>
                <w:numId w:val="13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tc>
      </w:tr>
      <w:tr w:rsidR="00614438" w:rsidRPr="00AA7A53" w14:paraId="3FD30BCE" w14:textId="77777777" w:rsidTr="00614438">
        <w:trPr>
          <w:gridAfter w:val="1"/>
          <w:trHeight w:val="315"/>
        </w:trPr>
        <w:tc>
          <w:tcPr>
            <w:tcW w:w="3414" w:type="dxa"/>
            <w:tcBorders>
              <w:top w:val="nil"/>
              <w:left w:val="single" w:sz="8" w:space="0" w:color="auto"/>
              <w:bottom w:val="single" w:sz="8" w:space="0" w:color="auto"/>
              <w:right w:val="nil"/>
            </w:tcBorders>
            <w:shd w:val="clear" w:color="auto" w:fill="244062"/>
            <w:vAlign w:val="center"/>
            <w:hideMark/>
          </w:tcPr>
          <w:p w14:paraId="1914D4F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074" w:type="dxa"/>
            <w:gridSpan w:val="3"/>
            <w:tcBorders>
              <w:top w:val="single" w:sz="8" w:space="0" w:color="auto"/>
              <w:left w:val="nil"/>
              <w:bottom w:val="single" w:sz="8" w:space="0" w:color="auto"/>
              <w:right w:val="single" w:sz="8" w:space="0" w:color="000000"/>
            </w:tcBorders>
            <w:vAlign w:val="center"/>
            <w:hideMark/>
          </w:tcPr>
          <w:p w14:paraId="4F3BAFC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Volume of pumped storage capacity in the system</w:t>
            </w:r>
          </w:p>
        </w:tc>
      </w:tr>
      <w:tr w:rsidR="00614438" w:rsidRPr="00AA7A53" w14:paraId="23113FB2" w14:textId="77777777" w:rsidTr="00614438">
        <w:trPr>
          <w:gridAfter w:val="1"/>
          <w:trHeight w:val="387"/>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1E78C59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074" w:type="dxa"/>
            <w:gridSpan w:val="3"/>
            <w:tcBorders>
              <w:top w:val="single" w:sz="8" w:space="0" w:color="auto"/>
              <w:left w:val="nil"/>
              <w:bottom w:val="single" w:sz="8" w:space="0" w:color="auto"/>
              <w:right w:val="single" w:sz="8" w:space="0" w:color="000000"/>
            </w:tcBorders>
            <w:vAlign w:val="center"/>
            <w:hideMark/>
          </w:tcPr>
          <w:p w14:paraId="1A41E178" w14:textId="77777777" w:rsidR="00614438" w:rsidRPr="00AA7A53" w:rsidRDefault="00614438" w:rsidP="00AA7A53">
            <w:pPr>
              <w:numPr>
                <w:ilvl w:val="0"/>
                <w:numId w:val="135"/>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p w14:paraId="6C736C5E" w14:textId="77777777" w:rsidR="00614438" w:rsidRPr="00AA7A53" w:rsidRDefault="00614438" w:rsidP="00AA7A53">
            <w:pPr>
              <w:numPr>
                <w:ilvl w:val="0"/>
                <w:numId w:val="135"/>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4D5AF8A6" w14:textId="77777777" w:rsidTr="00614438">
        <w:trPr>
          <w:gridAfter w:val="1"/>
          <w:trHeight w:val="458"/>
        </w:trPr>
        <w:tc>
          <w:tcPr>
            <w:tcW w:w="3414" w:type="dxa"/>
            <w:vMerge w:val="restart"/>
            <w:tcBorders>
              <w:top w:val="nil"/>
              <w:left w:val="single" w:sz="8" w:space="0" w:color="auto"/>
              <w:bottom w:val="single" w:sz="8" w:space="0" w:color="000000"/>
              <w:right w:val="single" w:sz="8" w:space="0" w:color="auto"/>
            </w:tcBorders>
            <w:shd w:val="clear" w:color="auto" w:fill="244062"/>
            <w:vAlign w:val="center"/>
            <w:hideMark/>
          </w:tcPr>
          <w:p w14:paraId="67C558B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07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8E96882"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DB00340" w14:textId="77777777" w:rsidTr="00614438">
        <w:trPr>
          <w:trHeight w:val="450"/>
        </w:trPr>
        <w:tc>
          <w:tcPr>
            <w:tcW w:w="0" w:type="auto"/>
            <w:vMerge/>
            <w:tcBorders>
              <w:top w:val="nil"/>
              <w:left w:val="single" w:sz="8" w:space="0" w:color="auto"/>
              <w:bottom w:val="single" w:sz="8" w:space="0" w:color="000000"/>
              <w:right w:val="single" w:sz="8" w:space="0" w:color="auto"/>
            </w:tcBorders>
            <w:vAlign w:val="center"/>
            <w:hideMark/>
          </w:tcPr>
          <w:p w14:paraId="3601E5B3"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1D5E55D"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vAlign w:val="center"/>
            <w:hideMark/>
          </w:tcPr>
          <w:p w14:paraId="05CCD264"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104E93CC" w14:textId="77777777" w:rsidTr="00614438">
        <w:trPr>
          <w:trHeight w:val="450"/>
        </w:trPr>
        <w:tc>
          <w:tcPr>
            <w:tcW w:w="0" w:type="auto"/>
            <w:vMerge/>
            <w:tcBorders>
              <w:top w:val="nil"/>
              <w:left w:val="single" w:sz="8" w:space="0" w:color="auto"/>
              <w:bottom w:val="single" w:sz="8" w:space="0" w:color="000000"/>
              <w:right w:val="single" w:sz="8" w:space="0" w:color="auto"/>
            </w:tcBorders>
            <w:vAlign w:val="center"/>
            <w:hideMark/>
          </w:tcPr>
          <w:p w14:paraId="04796C36"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139002A"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vAlign w:val="center"/>
            <w:hideMark/>
          </w:tcPr>
          <w:p w14:paraId="42C8115A"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33505F9E" w14:textId="77777777" w:rsidTr="00614438">
        <w:trPr>
          <w:trHeight w:val="780"/>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3188B46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074" w:type="dxa"/>
            <w:gridSpan w:val="3"/>
            <w:tcBorders>
              <w:top w:val="single" w:sz="8" w:space="0" w:color="auto"/>
              <w:left w:val="nil"/>
              <w:bottom w:val="single" w:sz="8" w:space="0" w:color="auto"/>
              <w:right w:val="single" w:sz="8" w:space="0" w:color="000000"/>
            </w:tcBorders>
            <w:vAlign w:val="center"/>
            <w:hideMark/>
          </w:tcPr>
          <w:p w14:paraId="647CBAB6" w14:textId="77777777" w:rsidR="00614438" w:rsidRPr="00AA7A53" w:rsidRDefault="00614438" w:rsidP="00AA7A53">
            <w:pPr>
              <w:numPr>
                <w:ilvl w:val="0"/>
                <w:numId w:val="135"/>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w:t>
            </w:r>
          </w:p>
        </w:tc>
        <w:tc>
          <w:tcPr>
            <w:tcW w:w="0" w:type="auto"/>
            <w:vAlign w:val="center"/>
            <w:hideMark/>
          </w:tcPr>
          <w:p w14:paraId="2013D147"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66C6DFB6" w14:textId="77777777" w:rsidTr="00614438">
        <w:trPr>
          <w:trHeight w:val="315"/>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2D710D8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074" w:type="dxa"/>
            <w:gridSpan w:val="3"/>
            <w:tcBorders>
              <w:top w:val="single" w:sz="8" w:space="0" w:color="auto"/>
              <w:left w:val="nil"/>
              <w:bottom w:val="single" w:sz="8" w:space="0" w:color="auto"/>
              <w:right w:val="single" w:sz="8" w:space="0" w:color="000000"/>
            </w:tcBorders>
            <w:vAlign w:val="center"/>
            <w:hideMark/>
          </w:tcPr>
          <w:p w14:paraId="6521122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sr-Cyrl-CS"/>
              </w:rPr>
              <w:t xml:space="preserve">1100 </w:t>
            </w:r>
            <w:r w:rsidRPr="00AA7A53">
              <w:rPr>
                <w:rFonts w:ascii="Times New Roman" w:hAnsi="Times New Roman" w:cs="Times New Roman"/>
                <w:sz w:val="20"/>
                <w:szCs w:val="20"/>
                <w:lang w:val="en-GB"/>
              </w:rPr>
              <w:t>M€</w:t>
            </w:r>
          </w:p>
        </w:tc>
        <w:tc>
          <w:tcPr>
            <w:tcW w:w="0" w:type="auto"/>
            <w:vAlign w:val="center"/>
            <w:hideMark/>
          </w:tcPr>
          <w:p w14:paraId="40C1D2F5"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40964FC5" w14:textId="77777777" w:rsidTr="00614438">
        <w:trPr>
          <w:trHeight w:val="315"/>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768139B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074" w:type="dxa"/>
            <w:gridSpan w:val="3"/>
            <w:tcBorders>
              <w:top w:val="single" w:sz="8" w:space="0" w:color="auto"/>
              <w:left w:val="nil"/>
              <w:bottom w:val="single" w:sz="8" w:space="0" w:color="auto"/>
              <w:right w:val="single" w:sz="8" w:space="0" w:color="000000"/>
            </w:tcBorders>
            <w:vAlign w:val="center"/>
            <w:hideMark/>
          </w:tcPr>
          <w:p w14:paraId="5690BB5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0" w:type="auto"/>
            <w:vAlign w:val="center"/>
            <w:hideMark/>
          </w:tcPr>
          <w:p w14:paraId="09709F27" w14:textId="77777777" w:rsidR="00614438" w:rsidRPr="00AA7A53" w:rsidRDefault="00614438" w:rsidP="00AA7A53">
            <w:pPr>
              <w:spacing w:after="0"/>
              <w:jc w:val="both"/>
              <w:rPr>
                <w:rFonts w:ascii="Times New Roman" w:hAnsi="Times New Roman" w:cs="Times New Roman"/>
                <w:sz w:val="20"/>
                <w:szCs w:val="20"/>
              </w:rPr>
            </w:pPr>
          </w:p>
        </w:tc>
      </w:tr>
    </w:tbl>
    <w:p w14:paraId="617EFFAC" w14:textId="77777777" w:rsidR="00614438" w:rsidRPr="00AA7A53" w:rsidRDefault="00614438" w:rsidP="00AA7A53">
      <w:pPr>
        <w:spacing w:after="0"/>
        <w:jc w:val="both"/>
        <w:rPr>
          <w:rFonts w:ascii="Times New Roman" w:hAnsi="Times New Roman" w:cs="Times New Roman"/>
          <w:sz w:val="20"/>
          <w:szCs w:val="20"/>
          <w:lang w:val="en-GB"/>
        </w:rPr>
      </w:pPr>
    </w:p>
    <w:tbl>
      <w:tblPr>
        <w:tblW w:w="9488" w:type="dxa"/>
        <w:tblLook w:val="04A0" w:firstRow="1" w:lastRow="0" w:firstColumn="1" w:lastColumn="0" w:noHBand="0" w:noVBand="1"/>
      </w:tblPr>
      <w:tblGrid>
        <w:gridCol w:w="3303"/>
        <w:gridCol w:w="1039"/>
        <w:gridCol w:w="946"/>
        <w:gridCol w:w="3978"/>
        <w:gridCol w:w="222"/>
      </w:tblGrid>
      <w:tr w:rsidR="00614438" w:rsidRPr="00AA7A53" w14:paraId="285708AD" w14:textId="77777777" w:rsidTr="00614438">
        <w:trPr>
          <w:gridAfter w:val="1"/>
          <w:trHeight w:val="780"/>
        </w:trPr>
        <w:tc>
          <w:tcPr>
            <w:tcW w:w="3414"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602351C8" w14:textId="77777777" w:rsidR="00614438" w:rsidRPr="00AA7A53" w:rsidRDefault="00614438" w:rsidP="00AA7A53">
            <w:pPr>
              <w:spacing w:after="0"/>
              <w:jc w:val="both"/>
              <w:rPr>
                <w:rFonts w:ascii="Times New Roman" w:hAnsi="Times New Roman" w:cs="Times New Roman"/>
                <w:sz w:val="20"/>
                <w:szCs w:val="20"/>
                <w:lang w:val="en-GB"/>
              </w:rPr>
            </w:pPr>
            <w:bookmarkStart w:id="154" w:name="_Hlk151138520"/>
            <w:r w:rsidRPr="00AA7A53">
              <w:rPr>
                <w:rFonts w:ascii="Times New Roman" w:hAnsi="Times New Roman" w:cs="Times New Roman"/>
                <w:sz w:val="20"/>
                <w:szCs w:val="20"/>
                <w:lang w:val="en-GB"/>
              </w:rPr>
              <w:t xml:space="preserve">Policy measure code: </w:t>
            </w:r>
          </w:p>
        </w:tc>
        <w:tc>
          <w:tcPr>
            <w:tcW w:w="961" w:type="dxa"/>
            <w:tcBorders>
              <w:top w:val="single" w:sz="8" w:space="0" w:color="auto"/>
              <w:left w:val="nil"/>
              <w:bottom w:val="single" w:sz="8" w:space="0" w:color="auto"/>
              <w:right w:val="single" w:sz="8" w:space="0" w:color="auto"/>
            </w:tcBorders>
            <w:shd w:val="clear" w:color="auto" w:fill="E7E6E6" w:themeFill="background2"/>
            <w:vAlign w:val="center"/>
            <w:hideMark/>
          </w:tcPr>
          <w:p w14:paraId="46055FD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PM_ES10</w:t>
            </w:r>
          </w:p>
        </w:tc>
        <w:tc>
          <w:tcPr>
            <w:tcW w:w="965" w:type="dxa"/>
            <w:tcBorders>
              <w:top w:val="single" w:sz="8" w:space="0" w:color="auto"/>
              <w:left w:val="nil"/>
              <w:bottom w:val="single" w:sz="8" w:space="0" w:color="auto"/>
              <w:right w:val="single" w:sz="8" w:space="0" w:color="auto"/>
            </w:tcBorders>
            <w:shd w:val="clear" w:color="auto" w:fill="244062"/>
            <w:vAlign w:val="center"/>
            <w:hideMark/>
          </w:tcPr>
          <w:p w14:paraId="573B84F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48" w:type="dxa"/>
            <w:tcBorders>
              <w:top w:val="single" w:sz="8" w:space="0" w:color="auto"/>
              <w:left w:val="nil"/>
              <w:bottom w:val="single" w:sz="8" w:space="0" w:color="auto"/>
              <w:right w:val="single" w:sz="8" w:space="0" w:color="auto"/>
            </w:tcBorders>
            <w:shd w:val="clear" w:color="auto" w:fill="E7E6E6" w:themeFill="background2"/>
            <w:vAlign w:val="center"/>
            <w:hideMark/>
          </w:tcPr>
          <w:p w14:paraId="2167DB5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Development of additional dispatchable generation from natural gas</w:t>
            </w:r>
          </w:p>
        </w:tc>
        <w:bookmarkEnd w:id="154"/>
      </w:tr>
      <w:tr w:rsidR="00614438" w:rsidRPr="00AA7A53" w14:paraId="29ECAE60" w14:textId="77777777" w:rsidTr="00614438">
        <w:trPr>
          <w:gridAfter w:val="1"/>
          <w:trHeight w:val="572"/>
        </w:trPr>
        <w:tc>
          <w:tcPr>
            <w:tcW w:w="3414" w:type="dxa"/>
            <w:tcBorders>
              <w:top w:val="nil"/>
              <w:left w:val="single" w:sz="8" w:space="0" w:color="auto"/>
              <w:bottom w:val="single" w:sz="8" w:space="0" w:color="auto"/>
              <w:right w:val="nil"/>
            </w:tcBorders>
            <w:shd w:val="clear" w:color="auto" w:fill="244062"/>
            <w:vAlign w:val="center"/>
            <w:hideMark/>
          </w:tcPr>
          <w:p w14:paraId="2DF4ADC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074" w:type="dxa"/>
            <w:gridSpan w:val="3"/>
            <w:tcBorders>
              <w:top w:val="single" w:sz="8" w:space="0" w:color="auto"/>
              <w:left w:val="nil"/>
              <w:bottom w:val="single" w:sz="8" w:space="0" w:color="auto"/>
              <w:right w:val="single" w:sz="8" w:space="0" w:color="000000"/>
            </w:tcBorders>
            <w:vAlign w:val="center"/>
            <w:hideMark/>
          </w:tcPr>
          <w:p w14:paraId="1EBBE92A" w14:textId="33813E67" w:rsidR="00A82E81" w:rsidRPr="00AA7A53" w:rsidRDefault="00A82E81"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 higher level of diversification of the energy mix, for the integration of RES with the possibility of absorbing excess energy from unmanageable RES, a contribution to the necessary adequacy of the power system</w:t>
            </w:r>
          </w:p>
        </w:tc>
      </w:tr>
      <w:tr w:rsidR="00614438" w:rsidRPr="00AA7A53" w14:paraId="1FFFCB24" w14:textId="77777777" w:rsidTr="00614438">
        <w:trPr>
          <w:gridAfter w:val="1"/>
          <w:trHeight w:val="315"/>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77EA629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074" w:type="dxa"/>
            <w:gridSpan w:val="3"/>
            <w:tcBorders>
              <w:top w:val="single" w:sz="8" w:space="0" w:color="auto"/>
              <w:left w:val="nil"/>
              <w:bottom w:val="single" w:sz="8" w:space="0" w:color="auto"/>
              <w:right w:val="single" w:sz="8" w:space="0" w:color="000000"/>
            </w:tcBorders>
            <w:vAlign w:val="center"/>
            <w:hideMark/>
          </w:tcPr>
          <w:p w14:paraId="75D5A3F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350MW of additional generation capacity</w:t>
            </w:r>
          </w:p>
        </w:tc>
      </w:tr>
      <w:tr w:rsidR="00614438" w:rsidRPr="00AA7A53" w14:paraId="20B915A2" w14:textId="77777777" w:rsidTr="00614438">
        <w:trPr>
          <w:gridAfter w:val="1"/>
          <w:trHeight w:val="584"/>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3320F58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074" w:type="dxa"/>
            <w:gridSpan w:val="3"/>
            <w:tcBorders>
              <w:top w:val="single" w:sz="8" w:space="0" w:color="auto"/>
              <w:left w:val="nil"/>
              <w:bottom w:val="single" w:sz="8" w:space="0" w:color="auto"/>
              <w:right w:val="single" w:sz="8" w:space="0" w:color="000000"/>
            </w:tcBorders>
            <w:vAlign w:val="center"/>
            <w:hideMark/>
          </w:tcPr>
          <w:p w14:paraId="1278008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 order to achieve the objectives of the INECP in the most cost-efficient manner and facilitate the penetration of RES, there is a need for additional dispatchable generation to be built. More specifically, based on the performed studies and modelling results, the SEMS model considers that a new gas power plant will be integrated in the system by 2028. This asset will also support the operation of the system since it will increase the volume of available regulation capacities in the system.</w:t>
            </w:r>
          </w:p>
        </w:tc>
      </w:tr>
      <w:tr w:rsidR="00614438" w:rsidRPr="00AA7A53" w14:paraId="015C561F" w14:textId="77777777" w:rsidTr="00614438">
        <w:trPr>
          <w:gridAfter w:val="1"/>
          <w:trHeight w:val="315"/>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777FB27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074" w:type="dxa"/>
            <w:gridSpan w:val="3"/>
            <w:tcBorders>
              <w:top w:val="single" w:sz="8" w:space="0" w:color="auto"/>
              <w:left w:val="nil"/>
              <w:bottom w:val="single" w:sz="8" w:space="0" w:color="auto"/>
              <w:right w:val="single" w:sz="8" w:space="0" w:color="000000"/>
            </w:tcBorders>
            <w:vAlign w:val="center"/>
            <w:hideMark/>
          </w:tcPr>
          <w:p w14:paraId="78EEEF39" w14:textId="41650BD3"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A82E81"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-2028</w:t>
            </w:r>
          </w:p>
        </w:tc>
      </w:tr>
      <w:tr w:rsidR="00614438" w:rsidRPr="00AA7A53" w14:paraId="70A9F96A" w14:textId="77777777" w:rsidTr="00614438">
        <w:trPr>
          <w:gridAfter w:val="1"/>
          <w:trHeight w:val="315"/>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4E6092D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074" w:type="dxa"/>
            <w:gridSpan w:val="3"/>
            <w:tcBorders>
              <w:top w:val="single" w:sz="8" w:space="0" w:color="auto"/>
              <w:left w:val="nil"/>
              <w:bottom w:val="single" w:sz="8" w:space="0" w:color="auto"/>
              <w:right w:val="single" w:sz="8" w:space="0" w:color="000000"/>
            </w:tcBorders>
            <w:vAlign w:val="center"/>
            <w:hideMark/>
          </w:tcPr>
          <w:p w14:paraId="69EE290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10C985BD" w14:textId="77777777" w:rsidTr="00614438">
        <w:trPr>
          <w:gridAfter w:val="1"/>
          <w:trHeight w:val="315"/>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43D256F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074" w:type="dxa"/>
            <w:gridSpan w:val="3"/>
            <w:tcBorders>
              <w:top w:val="single" w:sz="8" w:space="0" w:color="auto"/>
              <w:left w:val="nil"/>
              <w:bottom w:val="single" w:sz="8" w:space="0" w:color="auto"/>
              <w:right w:val="single" w:sz="8" w:space="0" w:color="000000"/>
            </w:tcBorders>
            <w:vAlign w:val="center"/>
            <w:hideMark/>
          </w:tcPr>
          <w:p w14:paraId="775EF42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Electricity</w:t>
            </w:r>
          </w:p>
        </w:tc>
      </w:tr>
      <w:tr w:rsidR="00614438" w:rsidRPr="00AA7A53" w14:paraId="25D70ACE" w14:textId="77777777" w:rsidTr="00614438">
        <w:trPr>
          <w:gridAfter w:val="1"/>
          <w:trHeight w:val="315"/>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1E1C6A0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074" w:type="dxa"/>
            <w:gridSpan w:val="3"/>
            <w:tcBorders>
              <w:top w:val="single" w:sz="8" w:space="0" w:color="auto"/>
              <w:left w:val="nil"/>
              <w:bottom w:val="single" w:sz="8" w:space="0" w:color="auto"/>
              <w:right w:val="single" w:sz="8" w:space="0" w:color="000000"/>
            </w:tcBorders>
            <w:vAlign w:val="center"/>
            <w:hideMark/>
          </w:tcPr>
          <w:p w14:paraId="431C0AC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5002195" w14:textId="77777777" w:rsidTr="00614438">
        <w:trPr>
          <w:gridAfter w:val="1"/>
          <w:trHeight w:val="315"/>
        </w:trPr>
        <w:tc>
          <w:tcPr>
            <w:tcW w:w="3414" w:type="dxa"/>
            <w:tcBorders>
              <w:top w:val="nil"/>
              <w:left w:val="single" w:sz="8" w:space="0" w:color="auto"/>
              <w:bottom w:val="single" w:sz="8" w:space="0" w:color="auto"/>
              <w:right w:val="nil"/>
            </w:tcBorders>
            <w:shd w:val="clear" w:color="auto" w:fill="244062"/>
            <w:vAlign w:val="center"/>
            <w:hideMark/>
          </w:tcPr>
          <w:p w14:paraId="45C63A6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074" w:type="dxa"/>
            <w:gridSpan w:val="3"/>
            <w:tcBorders>
              <w:top w:val="single" w:sz="8" w:space="0" w:color="auto"/>
              <w:left w:val="nil"/>
              <w:bottom w:val="single" w:sz="8" w:space="0" w:color="auto"/>
              <w:right w:val="single" w:sz="8" w:space="0" w:color="000000"/>
            </w:tcBorders>
            <w:vAlign w:val="center"/>
            <w:hideMark/>
          </w:tcPr>
          <w:p w14:paraId="60BA8842" w14:textId="77777777" w:rsidR="00614438" w:rsidRPr="00AA7A53" w:rsidRDefault="00614438" w:rsidP="00AA7A53">
            <w:pPr>
              <w:numPr>
                <w:ilvl w:val="0"/>
                <w:numId w:val="13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6F0A30D4" w14:textId="77777777" w:rsidR="00614438" w:rsidRPr="00AA7A53" w:rsidRDefault="00614438" w:rsidP="00AA7A53">
            <w:pPr>
              <w:numPr>
                <w:ilvl w:val="0"/>
                <w:numId w:val="13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tc>
      </w:tr>
      <w:tr w:rsidR="00614438" w:rsidRPr="00AA7A53" w14:paraId="54193A54" w14:textId="77777777" w:rsidTr="00614438">
        <w:trPr>
          <w:gridAfter w:val="1"/>
          <w:trHeight w:val="315"/>
        </w:trPr>
        <w:tc>
          <w:tcPr>
            <w:tcW w:w="3414" w:type="dxa"/>
            <w:tcBorders>
              <w:top w:val="nil"/>
              <w:left w:val="single" w:sz="8" w:space="0" w:color="auto"/>
              <w:bottom w:val="single" w:sz="8" w:space="0" w:color="auto"/>
              <w:right w:val="nil"/>
            </w:tcBorders>
            <w:shd w:val="clear" w:color="auto" w:fill="244062"/>
            <w:vAlign w:val="center"/>
            <w:hideMark/>
          </w:tcPr>
          <w:p w14:paraId="211558F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074" w:type="dxa"/>
            <w:gridSpan w:val="3"/>
            <w:tcBorders>
              <w:top w:val="single" w:sz="8" w:space="0" w:color="auto"/>
              <w:left w:val="nil"/>
              <w:bottom w:val="single" w:sz="8" w:space="0" w:color="auto"/>
              <w:right w:val="single" w:sz="8" w:space="0" w:color="000000"/>
            </w:tcBorders>
            <w:vAlign w:val="center"/>
            <w:hideMark/>
          </w:tcPr>
          <w:p w14:paraId="4B032E6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Volume of dispatchable generation capacity in the system</w:t>
            </w:r>
          </w:p>
        </w:tc>
      </w:tr>
      <w:tr w:rsidR="00614438" w:rsidRPr="00AA7A53" w14:paraId="08D0DC36" w14:textId="77777777" w:rsidTr="00614438">
        <w:trPr>
          <w:gridAfter w:val="1"/>
          <w:trHeight w:val="387"/>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66DF98D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074" w:type="dxa"/>
            <w:gridSpan w:val="3"/>
            <w:tcBorders>
              <w:top w:val="single" w:sz="8" w:space="0" w:color="auto"/>
              <w:left w:val="nil"/>
              <w:bottom w:val="single" w:sz="8" w:space="0" w:color="auto"/>
              <w:right w:val="single" w:sz="8" w:space="0" w:color="000000"/>
            </w:tcBorders>
            <w:vAlign w:val="center"/>
            <w:hideMark/>
          </w:tcPr>
          <w:p w14:paraId="2AF707EF" w14:textId="77777777" w:rsidR="00614438" w:rsidRPr="00AA7A53" w:rsidRDefault="00614438" w:rsidP="00AA7A53">
            <w:pPr>
              <w:numPr>
                <w:ilvl w:val="0"/>
                <w:numId w:val="135"/>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p w14:paraId="61F82C85" w14:textId="77777777" w:rsidR="00614438" w:rsidRPr="00AA7A53" w:rsidRDefault="00614438" w:rsidP="00AA7A53">
            <w:pPr>
              <w:numPr>
                <w:ilvl w:val="0"/>
                <w:numId w:val="135"/>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4B28E178" w14:textId="77777777" w:rsidTr="00614438">
        <w:trPr>
          <w:gridAfter w:val="1"/>
          <w:trHeight w:val="458"/>
        </w:trPr>
        <w:tc>
          <w:tcPr>
            <w:tcW w:w="3414" w:type="dxa"/>
            <w:vMerge w:val="restart"/>
            <w:tcBorders>
              <w:top w:val="nil"/>
              <w:left w:val="single" w:sz="8" w:space="0" w:color="auto"/>
              <w:bottom w:val="single" w:sz="8" w:space="0" w:color="000000"/>
              <w:right w:val="single" w:sz="8" w:space="0" w:color="auto"/>
            </w:tcBorders>
            <w:shd w:val="clear" w:color="auto" w:fill="244062"/>
            <w:vAlign w:val="center"/>
            <w:hideMark/>
          </w:tcPr>
          <w:p w14:paraId="4F9CBAB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07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4AB2DF2F"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A4350E0" w14:textId="77777777" w:rsidTr="00614438">
        <w:trPr>
          <w:trHeight w:val="450"/>
        </w:trPr>
        <w:tc>
          <w:tcPr>
            <w:tcW w:w="0" w:type="auto"/>
            <w:vMerge/>
            <w:tcBorders>
              <w:top w:val="nil"/>
              <w:left w:val="single" w:sz="8" w:space="0" w:color="auto"/>
              <w:bottom w:val="single" w:sz="8" w:space="0" w:color="000000"/>
              <w:right w:val="single" w:sz="8" w:space="0" w:color="auto"/>
            </w:tcBorders>
            <w:vAlign w:val="center"/>
            <w:hideMark/>
          </w:tcPr>
          <w:p w14:paraId="7A5E98CC"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A18D302"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vAlign w:val="center"/>
            <w:hideMark/>
          </w:tcPr>
          <w:p w14:paraId="4563A1CF"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45FD1EE2" w14:textId="77777777" w:rsidTr="00614438">
        <w:trPr>
          <w:trHeight w:val="450"/>
        </w:trPr>
        <w:tc>
          <w:tcPr>
            <w:tcW w:w="0" w:type="auto"/>
            <w:vMerge/>
            <w:tcBorders>
              <w:top w:val="nil"/>
              <w:left w:val="single" w:sz="8" w:space="0" w:color="auto"/>
              <w:bottom w:val="single" w:sz="8" w:space="0" w:color="000000"/>
              <w:right w:val="single" w:sz="8" w:space="0" w:color="auto"/>
            </w:tcBorders>
            <w:vAlign w:val="center"/>
            <w:hideMark/>
          </w:tcPr>
          <w:p w14:paraId="23827094"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E259104"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vAlign w:val="center"/>
            <w:hideMark/>
          </w:tcPr>
          <w:p w14:paraId="62392995"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4F7856D6" w14:textId="77777777" w:rsidTr="00614438">
        <w:trPr>
          <w:trHeight w:val="780"/>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1A96913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Relevant National Planning Document (Legal, Regulatory Acts etc)</w:t>
            </w:r>
          </w:p>
        </w:tc>
        <w:tc>
          <w:tcPr>
            <w:tcW w:w="6074" w:type="dxa"/>
            <w:gridSpan w:val="3"/>
            <w:tcBorders>
              <w:top w:val="single" w:sz="8" w:space="0" w:color="auto"/>
              <w:left w:val="nil"/>
              <w:bottom w:val="single" w:sz="8" w:space="0" w:color="auto"/>
              <w:right w:val="single" w:sz="8" w:space="0" w:color="000000"/>
            </w:tcBorders>
            <w:vAlign w:val="center"/>
            <w:hideMark/>
          </w:tcPr>
          <w:p w14:paraId="1D4D4E36" w14:textId="77777777" w:rsidR="00614438" w:rsidRPr="00AA7A53" w:rsidRDefault="00614438" w:rsidP="00AA7A53">
            <w:pPr>
              <w:numPr>
                <w:ilvl w:val="0"/>
                <w:numId w:val="135"/>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w:t>
            </w:r>
          </w:p>
        </w:tc>
        <w:tc>
          <w:tcPr>
            <w:tcW w:w="0" w:type="auto"/>
            <w:vAlign w:val="center"/>
            <w:hideMark/>
          </w:tcPr>
          <w:p w14:paraId="39BE2AAF"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3C1FAC40" w14:textId="77777777" w:rsidTr="00614438">
        <w:trPr>
          <w:trHeight w:val="315"/>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56A832B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074" w:type="dxa"/>
            <w:gridSpan w:val="3"/>
            <w:tcBorders>
              <w:top w:val="single" w:sz="8" w:space="0" w:color="auto"/>
              <w:left w:val="nil"/>
              <w:bottom w:val="single" w:sz="8" w:space="0" w:color="auto"/>
              <w:right w:val="single" w:sz="8" w:space="0" w:color="000000"/>
            </w:tcBorders>
            <w:vAlign w:val="center"/>
            <w:hideMark/>
          </w:tcPr>
          <w:p w14:paraId="0DAEBB0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300 M€</w:t>
            </w:r>
          </w:p>
        </w:tc>
        <w:tc>
          <w:tcPr>
            <w:tcW w:w="0" w:type="auto"/>
            <w:vAlign w:val="center"/>
            <w:hideMark/>
          </w:tcPr>
          <w:p w14:paraId="0349AA87"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05F9F6AF" w14:textId="77777777" w:rsidTr="00614438">
        <w:trPr>
          <w:trHeight w:val="315"/>
        </w:trPr>
        <w:tc>
          <w:tcPr>
            <w:tcW w:w="3414" w:type="dxa"/>
            <w:tcBorders>
              <w:top w:val="nil"/>
              <w:left w:val="single" w:sz="8" w:space="0" w:color="auto"/>
              <w:bottom w:val="single" w:sz="8" w:space="0" w:color="auto"/>
              <w:right w:val="single" w:sz="8" w:space="0" w:color="auto"/>
            </w:tcBorders>
            <w:shd w:val="clear" w:color="auto" w:fill="244062"/>
            <w:vAlign w:val="center"/>
            <w:hideMark/>
          </w:tcPr>
          <w:p w14:paraId="261FD75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074" w:type="dxa"/>
            <w:gridSpan w:val="3"/>
            <w:tcBorders>
              <w:top w:val="single" w:sz="8" w:space="0" w:color="auto"/>
              <w:left w:val="nil"/>
              <w:bottom w:val="single" w:sz="8" w:space="0" w:color="auto"/>
              <w:right w:val="single" w:sz="8" w:space="0" w:color="000000"/>
            </w:tcBorders>
            <w:vAlign w:val="center"/>
            <w:hideMark/>
          </w:tcPr>
          <w:p w14:paraId="2E95D98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0" w:type="auto"/>
            <w:vAlign w:val="center"/>
            <w:hideMark/>
          </w:tcPr>
          <w:p w14:paraId="45C732F0" w14:textId="77777777" w:rsidR="00614438" w:rsidRPr="00AA7A53" w:rsidRDefault="00614438" w:rsidP="00AA7A53">
            <w:pPr>
              <w:spacing w:after="0"/>
              <w:jc w:val="both"/>
              <w:rPr>
                <w:rFonts w:ascii="Times New Roman" w:hAnsi="Times New Roman" w:cs="Times New Roman"/>
                <w:sz w:val="20"/>
                <w:szCs w:val="20"/>
              </w:rPr>
            </w:pPr>
          </w:p>
        </w:tc>
      </w:tr>
    </w:tbl>
    <w:p w14:paraId="617954B7"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342"/>
        <w:gridCol w:w="1043"/>
        <w:gridCol w:w="843"/>
        <w:gridCol w:w="4260"/>
        <w:gridCol w:w="1212"/>
      </w:tblGrid>
      <w:tr w:rsidR="00614438" w:rsidRPr="00AA7A53" w14:paraId="7921B2F8" w14:textId="77777777" w:rsidTr="00614438">
        <w:trPr>
          <w:gridAfter w:val="1"/>
          <w:wAfter w:w="1212" w:type="dxa"/>
          <w:trHeight w:val="780"/>
        </w:trPr>
        <w:tc>
          <w:tcPr>
            <w:tcW w:w="3342"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06B3D2B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043" w:type="dxa"/>
            <w:tcBorders>
              <w:top w:val="single" w:sz="8" w:space="0" w:color="auto"/>
              <w:left w:val="nil"/>
              <w:bottom w:val="single" w:sz="8" w:space="0" w:color="auto"/>
              <w:right w:val="single" w:sz="8" w:space="0" w:color="auto"/>
            </w:tcBorders>
            <w:shd w:val="clear" w:color="auto" w:fill="E7E6E6" w:themeFill="background2"/>
            <w:vAlign w:val="center"/>
            <w:hideMark/>
          </w:tcPr>
          <w:p w14:paraId="3BA76EF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PM_ES11</w:t>
            </w:r>
          </w:p>
        </w:tc>
        <w:tc>
          <w:tcPr>
            <w:tcW w:w="843" w:type="dxa"/>
            <w:tcBorders>
              <w:top w:val="single" w:sz="8" w:space="0" w:color="auto"/>
              <w:left w:val="nil"/>
              <w:bottom w:val="single" w:sz="8" w:space="0" w:color="auto"/>
              <w:right w:val="single" w:sz="8" w:space="0" w:color="auto"/>
            </w:tcBorders>
            <w:shd w:val="clear" w:color="auto" w:fill="244062"/>
            <w:vAlign w:val="center"/>
            <w:hideMark/>
          </w:tcPr>
          <w:p w14:paraId="2159450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60" w:type="dxa"/>
            <w:tcBorders>
              <w:top w:val="single" w:sz="8" w:space="0" w:color="auto"/>
              <w:left w:val="nil"/>
              <w:bottom w:val="single" w:sz="8" w:space="0" w:color="auto"/>
              <w:right w:val="single" w:sz="8" w:space="0" w:color="auto"/>
            </w:tcBorders>
            <w:shd w:val="clear" w:color="auto" w:fill="E7E6E6" w:themeFill="background2"/>
            <w:vAlign w:val="center"/>
            <w:hideMark/>
          </w:tcPr>
          <w:p w14:paraId="78B955E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Modernisation of the coal mining industry</w:t>
            </w:r>
          </w:p>
        </w:tc>
      </w:tr>
      <w:tr w:rsidR="00614438" w:rsidRPr="00AA7A53" w14:paraId="72440547" w14:textId="77777777" w:rsidTr="00614438">
        <w:trPr>
          <w:gridAfter w:val="1"/>
          <w:wAfter w:w="1212" w:type="dxa"/>
          <w:trHeight w:val="588"/>
        </w:trPr>
        <w:tc>
          <w:tcPr>
            <w:tcW w:w="3342" w:type="dxa"/>
            <w:tcBorders>
              <w:top w:val="nil"/>
              <w:left w:val="single" w:sz="8" w:space="0" w:color="auto"/>
              <w:bottom w:val="single" w:sz="8" w:space="0" w:color="auto"/>
              <w:right w:val="nil"/>
            </w:tcBorders>
            <w:shd w:val="clear" w:color="auto" w:fill="244062"/>
            <w:vAlign w:val="center"/>
            <w:hideMark/>
          </w:tcPr>
          <w:p w14:paraId="1CDBC08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46" w:type="dxa"/>
            <w:gridSpan w:val="3"/>
            <w:tcBorders>
              <w:top w:val="single" w:sz="8" w:space="0" w:color="auto"/>
              <w:left w:val="nil"/>
              <w:bottom w:val="single" w:sz="8" w:space="0" w:color="auto"/>
              <w:right w:val="single" w:sz="8" w:space="0" w:color="000000"/>
            </w:tcBorders>
            <w:vAlign w:val="center"/>
            <w:hideMark/>
          </w:tcPr>
          <w:p w14:paraId="35755B8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Ability to cope with constrained or interrupted supply of an energy source, Flexibility of the national energy system</w:t>
            </w:r>
          </w:p>
        </w:tc>
      </w:tr>
      <w:tr w:rsidR="00614438" w:rsidRPr="00AA7A53" w14:paraId="799E074D" w14:textId="77777777" w:rsidTr="00614438">
        <w:trPr>
          <w:gridAfter w:val="1"/>
          <w:wAfter w:w="1212" w:type="dxa"/>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368B757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46" w:type="dxa"/>
            <w:gridSpan w:val="3"/>
            <w:tcBorders>
              <w:top w:val="single" w:sz="8" w:space="0" w:color="auto"/>
              <w:left w:val="nil"/>
              <w:bottom w:val="single" w:sz="8" w:space="0" w:color="auto"/>
              <w:right w:val="single" w:sz="8" w:space="0" w:color="000000"/>
            </w:tcBorders>
            <w:vAlign w:val="center"/>
            <w:hideMark/>
          </w:tcPr>
          <w:p w14:paraId="1F256B9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Sufficient level of coal in storage</w:t>
            </w:r>
          </w:p>
        </w:tc>
      </w:tr>
      <w:tr w:rsidR="00614438" w:rsidRPr="00AA7A53" w14:paraId="73C054F5" w14:textId="77777777" w:rsidTr="00614438">
        <w:trPr>
          <w:gridAfter w:val="1"/>
          <w:wAfter w:w="1212" w:type="dxa"/>
          <w:trHeight w:val="692"/>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3E8B07B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46" w:type="dxa"/>
            <w:gridSpan w:val="3"/>
            <w:tcBorders>
              <w:top w:val="single" w:sz="8" w:space="0" w:color="auto"/>
              <w:left w:val="nil"/>
              <w:bottom w:val="single" w:sz="8" w:space="0" w:color="auto"/>
              <w:right w:val="single" w:sz="8" w:space="0" w:color="000000"/>
            </w:tcBorders>
            <w:vAlign w:val="center"/>
            <w:hideMark/>
          </w:tcPr>
          <w:p w14:paraId="76B2C85F" w14:textId="53A6943F"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In order to achieve the objectives of the INECP in the most cost-efficient manner and ensure a safe and reliable energy system, investments should be made to modernise the coal mining industry in Serbia. This </w:t>
            </w:r>
            <w:r w:rsidR="00A82E81" w:rsidRPr="00AA7A53">
              <w:rPr>
                <w:rFonts w:ascii="Times New Roman" w:hAnsi="Times New Roman" w:cs="Times New Roman"/>
                <w:sz w:val="20"/>
                <w:szCs w:val="20"/>
                <w:lang w:val="en-GB"/>
              </w:rPr>
              <w:t xml:space="preserve">measure </w:t>
            </w:r>
            <w:r w:rsidRPr="00AA7A53">
              <w:rPr>
                <w:rFonts w:ascii="Times New Roman" w:hAnsi="Times New Roman" w:cs="Times New Roman"/>
                <w:sz w:val="20"/>
                <w:szCs w:val="20"/>
                <w:lang w:val="en-GB"/>
              </w:rPr>
              <w:t>will mitigate any concerns regarding constrained or interrupted supply of energy.</w:t>
            </w:r>
          </w:p>
          <w:p w14:paraId="43BDD1C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The modernisation of coal mining is coupled with a modernisation of the older power plants, so that they can be compatible with the Large Combustion Plant Directive requirements. Such transitional measures are necessary to ensure a smooth energy transition in Serbia.</w:t>
            </w:r>
          </w:p>
          <w:p w14:paraId="6424D30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More specifically, the modernisation of the coal mining industry includes investments in systems that lead to the reduction of harmful emissions and their associated negative impact on the environment due to more efficient and increased productivity. These investments will help with better product quality because of selective mining, homogenization and the introduction of an integral coal quality management system. These actions will ensure that the operation of the coal mining industry complies with the highest environmental standards, and facilitate the reduction of dust emissions, particulate matter, etc.</w:t>
            </w:r>
          </w:p>
        </w:tc>
      </w:tr>
      <w:tr w:rsidR="00614438" w:rsidRPr="00AA7A53" w14:paraId="73B585B3" w14:textId="77777777" w:rsidTr="00614438">
        <w:trPr>
          <w:gridAfter w:val="1"/>
          <w:wAfter w:w="1212" w:type="dxa"/>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34883BA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46" w:type="dxa"/>
            <w:gridSpan w:val="3"/>
            <w:tcBorders>
              <w:top w:val="single" w:sz="8" w:space="0" w:color="auto"/>
              <w:left w:val="nil"/>
              <w:bottom w:val="single" w:sz="8" w:space="0" w:color="auto"/>
              <w:right w:val="single" w:sz="8" w:space="0" w:color="000000"/>
            </w:tcBorders>
            <w:vAlign w:val="center"/>
            <w:hideMark/>
          </w:tcPr>
          <w:p w14:paraId="69657139" w14:textId="2894519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C846BC"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7704F9BF" w14:textId="77777777" w:rsidTr="00614438">
        <w:trPr>
          <w:gridAfter w:val="1"/>
          <w:wAfter w:w="1212" w:type="dxa"/>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15D716B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46" w:type="dxa"/>
            <w:gridSpan w:val="3"/>
            <w:tcBorders>
              <w:top w:val="single" w:sz="8" w:space="0" w:color="auto"/>
              <w:left w:val="nil"/>
              <w:bottom w:val="single" w:sz="8" w:space="0" w:color="auto"/>
              <w:right w:val="single" w:sz="8" w:space="0" w:color="000000"/>
            </w:tcBorders>
            <w:vAlign w:val="center"/>
            <w:hideMark/>
          </w:tcPr>
          <w:p w14:paraId="7790547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2A87537D" w14:textId="77777777" w:rsidTr="00614438">
        <w:trPr>
          <w:gridAfter w:val="1"/>
          <w:wAfter w:w="1212" w:type="dxa"/>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14EE0E4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46" w:type="dxa"/>
            <w:gridSpan w:val="3"/>
            <w:tcBorders>
              <w:top w:val="single" w:sz="8" w:space="0" w:color="auto"/>
              <w:left w:val="nil"/>
              <w:bottom w:val="single" w:sz="8" w:space="0" w:color="auto"/>
              <w:right w:val="single" w:sz="8" w:space="0" w:color="000000"/>
            </w:tcBorders>
            <w:vAlign w:val="center"/>
            <w:hideMark/>
          </w:tcPr>
          <w:p w14:paraId="0BA7417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Coal</w:t>
            </w:r>
          </w:p>
        </w:tc>
      </w:tr>
      <w:tr w:rsidR="00614438" w:rsidRPr="00AA7A53" w14:paraId="2F98CC07" w14:textId="77777777" w:rsidTr="00614438">
        <w:trPr>
          <w:gridAfter w:val="1"/>
          <w:wAfter w:w="1212" w:type="dxa"/>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249AB36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46" w:type="dxa"/>
            <w:gridSpan w:val="3"/>
            <w:tcBorders>
              <w:top w:val="single" w:sz="8" w:space="0" w:color="auto"/>
              <w:left w:val="nil"/>
              <w:bottom w:val="single" w:sz="8" w:space="0" w:color="auto"/>
              <w:right w:val="single" w:sz="8" w:space="0" w:color="000000"/>
            </w:tcBorders>
            <w:vAlign w:val="center"/>
            <w:hideMark/>
          </w:tcPr>
          <w:p w14:paraId="5DE1842E" w14:textId="55DA887D" w:rsidR="00614438" w:rsidRPr="00AA7A53" w:rsidRDefault="00C846BC" w:rsidP="00AA7A53">
            <w:pPr>
              <w:numPr>
                <w:ilvl w:val="0"/>
                <w:numId w:val="133"/>
              </w:numPr>
              <w:spacing w:after="0"/>
              <w:jc w:val="both"/>
              <w:rPr>
                <w:rFonts w:ascii="Times New Roman" w:hAnsi="Times New Roman" w:cs="Times New Roman"/>
                <w:sz w:val="20"/>
                <w:szCs w:val="20"/>
              </w:rPr>
            </w:pPr>
            <w:r w:rsidRPr="00AA7A53">
              <w:rPr>
                <w:rFonts w:ascii="Times New Roman" w:hAnsi="Times New Roman" w:cs="Times New Roman"/>
                <w:sz w:val="20"/>
                <w:szCs w:val="20"/>
              </w:rPr>
              <w:t>JSC “Elektroprivreda Srbije”</w:t>
            </w:r>
          </w:p>
        </w:tc>
      </w:tr>
      <w:tr w:rsidR="00614438" w:rsidRPr="00AA7A53" w14:paraId="0992D846" w14:textId="77777777" w:rsidTr="00614438">
        <w:trPr>
          <w:gridAfter w:val="1"/>
          <w:wAfter w:w="1212" w:type="dxa"/>
          <w:trHeight w:val="315"/>
        </w:trPr>
        <w:tc>
          <w:tcPr>
            <w:tcW w:w="3342" w:type="dxa"/>
            <w:tcBorders>
              <w:top w:val="nil"/>
              <w:left w:val="single" w:sz="8" w:space="0" w:color="auto"/>
              <w:bottom w:val="single" w:sz="8" w:space="0" w:color="auto"/>
              <w:right w:val="nil"/>
            </w:tcBorders>
            <w:shd w:val="clear" w:color="auto" w:fill="244062"/>
            <w:vAlign w:val="center"/>
            <w:hideMark/>
          </w:tcPr>
          <w:p w14:paraId="13D7F0E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46" w:type="dxa"/>
            <w:gridSpan w:val="3"/>
            <w:tcBorders>
              <w:top w:val="single" w:sz="8" w:space="0" w:color="auto"/>
              <w:left w:val="nil"/>
              <w:bottom w:val="single" w:sz="8" w:space="0" w:color="auto"/>
              <w:right w:val="single" w:sz="8" w:space="0" w:color="000000"/>
            </w:tcBorders>
            <w:vAlign w:val="center"/>
            <w:hideMark/>
          </w:tcPr>
          <w:p w14:paraId="3738654C" w14:textId="77777777" w:rsidR="00614438" w:rsidRPr="00AA7A53" w:rsidRDefault="00614438" w:rsidP="00AA7A53">
            <w:pPr>
              <w:numPr>
                <w:ilvl w:val="0"/>
                <w:numId w:val="133"/>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6CE1FFD3" w14:textId="77777777" w:rsidTr="00614438">
        <w:trPr>
          <w:gridAfter w:val="1"/>
          <w:wAfter w:w="1212" w:type="dxa"/>
          <w:trHeight w:val="315"/>
        </w:trPr>
        <w:tc>
          <w:tcPr>
            <w:tcW w:w="3342" w:type="dxa"/>
            <w:tcBorders>
              <w:top w:val="nil"/>
              <w:left w:val="single" w:sz="8" w:space="0" w:color="auto"/>
              <w:bottom w:val="single" w:sz="8" w:space="0" w:color="auto"/>
              <w:right w:val="nil"/>
            </w:tcBorders>
            <w:shd w:val="clear" w:color="auto" w:fill="244062"/>
            <w:vAlign w:val="center"/>
            <w:hideMark/>
          </w:tcPr>
          <w:p w14:paraId="617FA9B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46" w:type="dxa"/>
            <w:gridSpan w:val="3"/>
            <w:tcBorders>
              <w:top w:val="single" w:sz="8" w:space="0" w:color="auto"/>
              <w:left w:val="nil"/>
              <w:bottom w:val="single" w:sz="8" w:space="0" w:color="auto"/>
              <w:right w:val="single" w:sz="8" w:space="0" w:color="000000"/>
            </w:tcBorders>
            <w:vAlign w:val="center"/>
            <w:hideMark/>
          </w:tcPr>
          <w:p w14:paraId="799F3C8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Volume of energy product in stock</w:t>
            </w:r>
          </w:p>
        </w:tc>
      </w:tr>
      <w:tr w:rsidR="00614438" w:rsidRPr="00AA7A53" w14:paraId="32AD73A1" w14:textId="77777777" w:rsidTr="00614438">
        <w:trPr>
          <w:gridAfter w:val="1"/>
          <w:wAfter w:w="1212" w:type="dxa"/>
          <w:trHeight w:val="491"/>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35203A5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46" w:type="dxa"/>
            <w:gridSpan w:val="3"/>
            <w:tcBorders>
              <w:top w:val="single" w:sz="8" w:space="0" w:color="auto"/>
              <w:left w:val="nil"/>
              <w:bottom w:val="single" w:sz="8" w:space="0" w:color="auto"/>
              <w:right w:val="single" w:sz="8" w:space="0" w:color="000000"/>
            </w:tcBorders>
            <w:vAlign w:val="center"/>
            <w:hideMark/>
          </w:tcPr>
          <w:p w14:paraId="306BCD3D" w14:textId="77777777" w:rsidR="00614438" w:rsidRPr="00AA7A53" w:rsidRDefault="00614438" w:rsidP="00AA7A53">
            <w:pPr>
              <w:numPr>
                <w:ilvl w:val="0"/>
                <w:numId w:val="133"/>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591E7579" w14:textId="77777777" w:rsidTr="00614438">
        <w:trPr>
          <w:gridAfter w:val="1"/>
          <w:wAfter w:w="1212" w:type="dxa"/>
          <w:trHeight w:val="458"/>
        </w:trPr>
        <w:tc>
          <w:tcPr>
            <w:tcW w:w="3342" w:type="dxa"/>
            <w:vMerge w:val="restart"/>
            <w:tcBorders>
              <w:top w:val="nil"/>
              <w:left w:val="single" w:sz="8" w:space="0" w:color="auto"/>
              <w:bottom w:val="single" w:sz="8" w:space="0" w:color="000000"/>
              <w:right w:val="single" w:sz="8" w:space="0" w:color="auto"/>
            </w:tcBorders>
            <w:shd w:val="clear" w:color="auto" w:fill="244062"/>
            <w:vAlign w:val="center"/>
            <w:hideMark/>
          </w:tcPr>
          <w:p w14:paraId="4339B27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46"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7815ECC" w14:textId="0313EFF7" w:rsidR="00614438" w:rsidRPr="00AA7A53" w:rsidRDefault="00C846BC" w:rsidP="00AA7A53">
            <w:pPr>
              <w:numPr>
                <w:ilvl w:val="0"/>
                <w:numId w:val="133"/>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Risk preparedness </w:t>
            </w:r>
            <w:r w:rsidR="00614438" w:rsidRPr="00AA7A53">
              <w:rPr>
                <w:rFonts w:ascii="Times New Roman" w:hAnsi="Times New Roman" w:cs="Times New Roman"/>
                <w:sz w:val="20"/>
                <w:szCs w:val="20"/>
              </w:rPr>
              <w:t>plan (Government Regulation)</w:t>
            </w:r>
          </w:p>
        </w:tc>
      </w:tr>
      <w:tr w:rsidR="00614438" w:rsidRPr="00AA7A53" w14:paraId="58229654"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008D9A19"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35D5D37"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3FCDE04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C203288" w14:textId="77777777" w:rsidTr="00614438">
        <w:trPr>
          <w:trHeight w:val="315"/>
        </w:trPr>
        <w:tc>
          <w:tcPr>
            <w:tcW w:w="0" w:type="auto"/>
            <w:vMerge/>
            <w:tcBorders>
              <w:top w:val="nil"/>
              <w:left w:val="single" w:sz="8" w:space="0" w:color="auto"/>
              <w:bottom w:val="single" w:sz="8" w:space="0" w:color="000000"/>
              <w:right w:val="single" w:sz="8" w:space="0" w:color="auto"/>
            </w:tcBorders>
            <w:vAlign w:val="center"/>
            <w:hideMark/>
          </w:tcPr>
          <w:p w14:paraId="41EE02BC"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2EBC78D"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0A536396"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302A8AF5" w14:textId="77777777" w:rsidTr="00614438">
        <w:trPr>
          <w:trHeight w:val="311"/>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3A3F585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46" w:type="dxa"/>
            <w:gridSpan w:val="3"/>
            <w:tcBorders>
              <w:top w:val="single" w:sz="8" w:space="0" w:color="auto"/>
              <w:left w:val="nil"/>
              <w:bottom w:val="single" w:sz="8" w:space="0" w:color="auto"/>
              <w:right w:val="single" w:sz="8" w:space="0" w:color="000000"/>
            </w:tcBorders>
            <w:vAlign w:val="center"/>
            <w:hideMark/>
          </w:tcPr>
          <w:p w14:paraId="2B2D89CE" w14:textId="77777777" w:rsidR="00614438" w:rsidRPr="00AA7A53" w:rsidRDefault="00614438" w:rsidP="00AA7A53">
            <w:pPr>
              <w:numPr>
                <w:ilvl w:val="0"/>
                <w:numId w:val="134"/>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w:t>
            </w:r>
          </w:p>
        </w:tc>
        <w:tc>
          <w:tcPr>
            <w:tcW w:w="1212" w:type="dxa"/>
            <w:vAlign w:val="center"/>
            <w:hideMark/>
          </w:tcPr>
          <w:p w14:paraId="0D0C6926"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95F7D8A" w14:textId="77777777" w:rsidTr="00614438">
        <w:trPr>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6B219CA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46" w:type="dxa"/>
            <w:gridSpan w:val="3"/>
            <w:tcBorders>
              <w:top w:val="single" w:sz="8" w:space="0" w:color="auto"/>
              <w:left w:val="nil"/>
              <w:bottom w:val="single" w:sz="8" w:space="0" w:color="auto"/>
              <w:right w:val="single" w:sz="8" w:space="0" w:color="000000"/>
            </w:tcBorders>
            <w:vAlign w:val="center"/>
            <w:hideMark/>
          </w:tcPr>
          <w:p w14:paraId="0384006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1.3 B€</w:t>
            </w:r>
          </w:p>
        </w:tc>
        <w:tc>
          <w:tcPr>
            <w:tcW w:w="1212" w:type="dxa"/>
            <w:vAlign w:val="center"/>
            <w:hideMark/>
          </w:tcPr>
          <w:p w14:paraId="7A1100F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9701FFF" w14:textId="77777777" w:rsidTr="00614438">
        <w:trPr>
          <w:trHeight w:val="315"/>
        </w:trPr>
        <w:tc>
          <w:tcPr>
            <w:tcW w:w="3342" w:type="dxa"/>
            <w:tcBorders>
              <w:top w:val="nil"/>
              <w:left w:val="single" w:sz="8" w:space="0" w:color="auto"/>
              <w:bottom w:val="single" w:sz="8" w:space="0" w:color="auto"/>
              <w:right w:val="single" w:sz="8" w:space="0" w:color="auto"/>
            </w:tcBorders>
            <w:shd w:val="clear" w:color="auto" w:fill="244062"/>
            <w:vAlign w:val="center"/>
            <w:hideMark/>
          </w:tcPr>
          <w:p w14:paraId="5F6007C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46" w:type="dxa"/>
            <w:gridSpan w:val="3"/>
            <w:tcBorders>
              <w:top w:val="single" w:sz="8" w:space="0" w:color="auto"/>
              <w:left w:val="nil"/>
              <w:bottom w:val="single" w:sz="8" w:space="0" w:color="auto"/>
              <w:right w:val="single" w:sz="8" w:space="0" w:color="000000"/>
            </w:tcBorders>
            <w:vAlign w:val="center"/>
            <w:hideMark/>
          </w:tcPr>
          <w:p w14:paraId="02162AE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Own funds</w:t>
            </w:r>
          </w:p>
        </w:tc>
        <w:tc>
          <w:tcPr>
            <w:tcW w:w="1212" w:type="dxa"/>
            <w:vAlign w:val="center"/>
            <w:hideMark/>
          </w:tcPr>
          <w:p w14:paraId="27783403" w14:textId="77777777" w:rsidR="00614438" w:rsidRPr="00AA7A53" w:rsidRDefault="00614438" w:rsidP="00AA7A53">
            <w:pPr>
              <w:spacing w:after="0"/>
              <w:jc w:val="both"/>
              <w:rPr>
                <w:rFonts w:ascii="Times New Roman" w:hAnsi="Times New Roman" w:cs="Times New Roman"/>
                <w:sz w:val="20"/>
                <w:szCs w:val="20"/>
                <w:lang w:val="en-GB"/>
              </w:rPr>
            </w:pPr>
          </w:p>
        </w:tc>
      </w:tr>
    </w:tbl>
    <w:p w14:paraId="6D88605C" w14:textId="77777777" w:rsidR="00614438" w:rsidRPr="00AA7A53" w:rsidRDefault="00614438" w:rsidP="00AA7A53">
      <w:pPr>
        <w:spacing w:after="0"/>
        <w:jc w:val="both"/>
        <w:rPr>
          <w:rFonts w:ascii="Times New Roman" w:hAnsi="Times New Roman" w:cs="Times New Roman"/>
          <w:sz w:val="20"/>
          <w:szCs w:val="20"/>
          <w:lang w:val="en-GB"/>
        </w:rPr>
      </w:pPr>
    </w:p>
    <w:p w14:paraId="23E5AAC0" w14:textId="5090F1CA" w:rsidR="00614438" w:rsidRPr="00614438" w:rsidRDefault="00614438" w:rsidP="00C846BC">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Except </w:t>
      </w:r>
      <w:r w:rsidR="00C846BC">
        <w:rPr>
          <w:rFonts w:ascii="Times New Roman" w:hAnsi="Times New Roman" w:cs="Times New Roman"/>
          <w:sz w:val="24"/>
          <w:szCs w:val="24"/>
          <w:lang w:val="en-GB"/>
        </w:rPr>
        <w:t xml:space="preserve">for </w:t>
      </w:r>
      <w:r w:rsidRPr="00614438">
        <w:rPr>
          <w:rFonts w:ascii="Times New Roman" w:hAnsi="Times New Roman" w:cs="Times New Roman"/>
          <w:sz w:val="24"/>
          <w:szCs w:val="24"/>
          <w:lang w:val="en-GB"/>
        </w:rPr>
        <w:t>the measures presented in the previous tables, the following measures related to the other dimensions also affect the energy security dimension and contribute to the achievement of the energy security targets:</w:t>
      </w:r>
    </w:p>
    <w:p w14:paraId="3CD44F02" w14:textId="7EBBCFE5" w:rsidR="00614438" w:rsidRPr="00614438" w:rsidRDefault="00C846BC" w:rsidP="00614438">
      <w:pPr>
        <w:jc w:val="both"/>
        <w:rPr>
          <w:rFonts w:ascii="Times New Roman" w:hAnsi="Times New Roman" w:cs="Times New Roman"/>
          <w:sz w:val="24"/>
          <w:szCs w:val="24"/>
          <w:lang w:val="en-GB"/>
        </w:rPr>
      </w:pPr>
      <w:r>
        <w:rPr>
          <w:rFonts w:ascii="Times New Roman" w:hAnsi="Times New Roman" w:cs="Times New Roman"/>
          <w:sz w:val="24"/>
          <w:szCs w:val="24"/>
        </w:rPr>
        <w:lastRenderedPageBreak/>
        <w:t xml:space="preserve">1) The </w:t>
      </w:r>
      <w:r w:rsidR="00614438" w:rsidRPr="00614438">
        <w:rPr>
          <w:rFonts w:ascii="Times New Roman" w:hAnsi="Times New Roman" w:cs="Times New Roman"/>
          <w:sz w:val="24"/>
          <w:szCs w:val="24"/>
        </w:rPr>
        <w:t xml:space="preserve">Dimension </w:t>
      </w:r>
      <w:r>
        <w:rPr>
          <w:rFonts w:ascii="Times New Roman" w:hAnsi="Times New Roman" w:cs="Times New Roman"/>
          <w:sz w:val="24"/>
          <w:szCs w:val="24"/>
        </w:rPr>
        <w:t xml:space="preserve">of </w:t>
      </w:r>
      <w:r w:rsidR="00614438" w:rsidRPr="00614438">
        <w:rPr>
          <w:rFonts w:ascii="Times New Roman" w:hAnsi="Times New Roman" w:cs="Times New Roman"/>
          <w:sz w:val="24"/>
          <w:szCs w:val="24"/>
        </w:rPr>
        <w:t>internal energy market: PM_IEM2 - PM_IEM7, PM_IEM8 (PM_IEM8.1 –PM_IEM8.8), PM_IEM9 - PM_IEM14, PM_IEM16, PM_IEM18, PM_IEM20, PM_IEM21, PM_IEM31 and PM_IEM32</w:t>
      </w:r>
    </w:p>
    <w:p w14:paraId="37E7CF9A" w14:textId="6DA10B12" w:rsidR="00614438" w:rsidRPr="00614438" w:rsidRDefault="00C846BC" w:rsidP="00614438">
      <w:pPr>
        <w:jc w:val="both"/>
        <w:rPr>
          <w:rFonts w:ascii="Times New Roman" w:hAnsi="Times New Roman" w:cs="Times New Roman"/>
          <w:sz w:val="24"/>
          <w:szCs w:val="24"/>
        </w:rPr>
      </w:pPr>
      <w:r>
        <w:rPr>
          <w:rFonts w:ascii="Times New Roman" w:hAnsi="Times New Roman" w:cs="Times New Roman"/>
          <w:sz w:val="24"/>
          <w:szCs w:val="24"/>
        </w:rPr>
        <w:t xml:space="preserve">2) The </w:t>
      </w:r>
      <w:r w:rsidR="00614438" w:rsidRPr="00614438">
        <w:rPr>
          <w:rFonts w:ascii="Times New Roman" w:hAnsi="Times New Roman" w:cs="Times New Roman"/>
          <w:sz w:val="24"/>
          <w:szCs w:val="24"/>
        </w:rPr>
        <w:t xml:space="preserve">Dimension </w:t>
      </w:r>
      <w:r>
        <w:rPr>
          <w:rFonts w:ascii="Times New Roman" w:hAnsi="Times New Roman" w:cs="Times New Roman"/>
          <w:sz w:val="24"/>
          <w:szCs w:val="24"/>
        </w:rPr>
        <w:t xml:space="preserve">of </w:t>
      </w:r>
      <w:r w:rsidR="00614438" w:rsidRPr="00614438">
        <w:rPr>
          <w:rFonts w:ascii="Times New Roman" w:hAnsi="Times New Roman" w:cs="Times New Roman"/>
          <w:sz w:val="24"/>
          <w:szCs w:val="24"/>
        </w:rPr>
        <w:t>research, innovation and competitiveness: PM_RIC10 – PM_RIC14</w:t>
      </w:r>
    </w:p>
    <w:p w14:paraId="5314128C" w14:textId="77777777" w:rsidR="00614438" w:rsidRPr="00614438" w:rsidRDefault="00614438" w:rsidP="00614438">
      <w:pPr>
        <w:jc w:val="both"/>
        <w:rPr>
          <w:rFonts w:ascii="Times New Roman" w:hAnsi="Times New Roman" w:cs="Times New Roman"/>
          <w:sz w:val="24"/>
          <w:szCs w:val="24"/>
          <w:lang w:val="en-GB"/>
        </w:rPr>
      </w:pPr>
    </w:p>
    <w:p w14:paraId="44186943" w14:textId="6F7B92A2" w:rsidR="00614438" w:rsidRPr="00614438" w:rsidRDefault="00C846BC" w:rsidP="00C846BC">
      <w:pPr>
        <w:jc w:val="center"/>
        <w:rPr>
          <w:rFonts w:ascii="Times New Roman" w:hAnsi="Times New Roman" w:cs="Times New Roman"/>
          <w:sz w:val="24"/>
          <w:szCs w:val="24"/>
          <w:lang w:val="en-GB"/>
        </w:rPr>
      </w:pPr>
      <w:bookmarkStart w:id="155" w:name="_Toc79772556"/>
      <w:bookmarkStart w:id="156" w:name="_Toc118991776"/>
      <w:bookmarkStart w:id="157" w:name="_Toc153545048"/>
      <w:r>
        <w:rPr>
          <w:rFonts w:ascii="Times New Roman" w:hAnsi="Times New Roman" w:cs="Times New Roman"/>
          <w:sz w:val="24"/>
          <w:szCs w:val="24"/>
          <w:lang w:val="en-GB"/>
        </w:rPr>
        <w:t xml:space="preserve">3.4 The </w:t>
      </w:r>
      <w:r w:rsidR="00614438" w:rsidRPr="00614438">
        <w:rPr>
          <w:rFonts w:ascii="Times New Roman" w:hAnsi="Times New Roman" w:cs="Times New Roman"/>
          <w:sz w:val="24"/>
          <w:szCs w:val="24"/>
          <w:lang w:val="en-GB"/>
        </w:rPr>
        <w:t>Internal Energy Market</w:t>
      </w:r>
      <w:bookmarkEnd w:id="155"/>
      <w:bookmarkEnd w:id="156"/>
      <w:bookmarkEnd w:id="157"/>
      <w:r>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Dimension</w:t>
      </w:r>
    </w:p>
    <w:p w14:paraId="778B1876" w14:textId="6B5187D4" w:rsidR="00614438" w:rsidRPr="00614438" w:rsidRDefault="00C846BC" w:rsidP="00C846BC">
      <w:pPr>
        <w:jc w:val="center"/>
        <w:rPr>
          <w:rFonts w:ascii="Times New Roman" w:hAnsi="Times New Roman" w:cs="Times New Roman"/>
          <w:sz w:val="24"/>
          <w:szCs w:val="24"/>
          <w:lang w:val="en-GB"/>
        </w:rPr>
      </w:pPr>
      <w:r>
        <w:rPr>
          <w:rFonts w:ascii="Times New Roman" w:hAnsi="Times New Roman" w:cs="Times New Roman"/>
          <w:sz w:val="24"/>
          <w:szCs w:val="24"/>
          <w:lang w:val="en-GB"/>
        </w:rPr>
        <w:t>3.4.1 I</w:t>
      </w:r>
      <w:r w:rsidR="00614438" w:rsidRPr="00614438">
        <w:rPr>
          <w:rFonts w:ascii="Times New Roman" w:hAnsi="Times New Roman" w:cs="Times New Roman"/>
          <w:sz w:val="24"/>
          <w:szCs w:val="24"/>
          <w:lang w:val="en-GB"/>
        </w:rPr>
        <w:t>nterconnectivity</w:t>
      </w:r>
      <w:r>
        <w:rPr>
          <w:rFonts w:ascii="Times New Roman" w:hAnsi="Times New Roman" w:cs="Times New Roman"/>
          <w:sz w:val="24"/>
          <w:szCs w:val="24"/>
          <w:lang w:val="en-GB"/>
        </w:rPr>
        <w:t xml:space="preserve"> in the </w:t>
      </w:r>
      <w:r w:rsidRPr="00614438">
        <w:rPr>
          <w:rFonts w:ascii="Times New Roman" w:hAnsi="Times New Roman" w:cs="Times New Roman"/>
          <w:sz w:val="24"/>
          <w:szCs w:val="24"/>
          <w:lang w:val="en-GB"/>
        </w:rPr>
        <w:t>Electricity</w:t>
      </w:r>
      <w:r>
        <w:rPr>
          <w:rFonts w:ascii="Times New Roman" w:hAnsi="Times New Roman" w:cs="Times New Roman"/>
          <w:sz w:val="24"/>
          <w:szCs w:val="24"/>
          <w:lang w:val="en-GB"/>
        </w:rPr>
        <w:t xml:space="preserve"> Sector</w:t>
      </w:r>
    </w:p>
    <w:p w14:paraId="2E366100"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90"/>
        <w:gridCol w:w="1106"/>
        <w:gridCol w:w="934"/>
        <w:gridCol w:w="4158"/>
        <w:gridCol w:w="1212"/>
      </w:tblGrid>
      <w:tr w:rsidR="00614438" w:rsidRPr="00AA7A53" w14:paraId="3B19EFC4" w14:textId="77777777" w:rsidTr="00614438">
        <w:trPr>
          <w:gridAfter w:val="1"/>
          <w:wAfter w:w="1212" w:type="dxa"/>
          <w:trHeight w:val="780"/>
        </w:trPr>
        <w:tc>
          <w:tcPr>
            <w:tcW w:w="3290"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773419D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106" w:type="dxa"/>
            <w:tcBorders>
              <w:top w:val="single" w:sz="8" w:space="0" w:color="auto"/>
              <w:left w:val="nil"/>
              <w:bottom w:val="single" w:sz="8" w:space="0" w:color="auto"/>
              <w:right w:val="single" w:sz="8" w:space="0" w:color="auto"/>
            </w:tcBorders>
            <w:shd w:val="clear" w:color="auto" w:fill="E7E6E6" w:themeFill="background2"/>
            <w:vAlign w:val="center"/>
            <w:hideMark/>
          </w:tcPr>
          <w:p w14:paraId="24D0029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PM_IEM2</w:t>
            </w:r>
          </w:p>
        </w:tc>
        <w:tc>
          <w:tcPr>
            <w:tcW w:w="934" w:type="dxa"/>
            <w:tcBorders>
              <w:top w:val="single" w:sz="8" w:space="0" w:color="auto"/>
              <w:left w:val="nil"/>
              <w:bottom w:val="single" w:sz="8" w:space="0" w:color="auto"/>
              <w:right w:val="single" w:sz="8" w:space="0" w:color="auto"/>
            </w:tcBorders>
            <w:shd w:val="clear" w:color="auto" w:fill="244062"/>
            <w:vAlign w:val="center"/>
            <w:hideMark/>
          </w:tcPr>
          <w:p w14:paraId="5B00C27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58" w:type="dxa"/>
            <w:tcBorders>
              <w:top w:val="single" w:sz="8" w:space="0" w:color="auto"/>
              <w:left w:val="nil"/>
              <w:bottom w:val="single" w:sz="8" w:space="0" w:color="auto"/>
              <w:right w:val="single" w:sz="8" w:space="0" w:color="auto"/>
            </w:tcBorders>
            <w:shd w:val="clear" w:color="auto" w:fill="E7E6E6" w:themeFill="background2"/>
            <w:vAlign w:val="center"/>
            <w:hideMark/>
          </w:tcPr>
          <w:p w14:paraId="4730EDA7" w14:textId="4EBF7CE8" w:rsidR="00614438" w:rsidRPr="00AA7A53" w:rsidRDefault="00614438" w:rsidP="00AA7A53">
            <w:pPr>
              <w:spacing w:after="0"/>
              <w:jc w:val="both"/>
              <w:rPr>
                <w:rFonts w:ascii="Times New Roman" w:hAnsi="Times New Roman" w:cs="Times New Roman"/>
                <w:sz w:val="20"/>
                <w:szCs w:val="20"/>
                <w:lang w:val="en-GB"/>
              </w:rPr>
            </w:pPr>
            <w:bookmarkStart w:id="158" w:name="_Hlk113476490"/>
            <w:r w:rsidRPr="00AA7A53">
              <w:rPr>
                <w:rFonts w:ascii="Times New Roman" w:hAnsi="Times New Roman" w:cs="Times New Roman"/>
                <w:sz w:val="20"/>
                <w:szCs w:val="20"/>
                <w:lang w:val="en-GB"/>
              </w:rPr>
              <w:t>Implementation of Trans</w:t>
            </w:r>
            <w:r w:rsidR="005A4955" w:rsidRPr="00AA7A53">
              <w:rPr>
                <w:rFonts w:ascii="Times New Roman" w:hAnsi="Times New Roman" w:cs="Times New Roman"/>
                <w:sz w:val="20"/>
                <w:szCs w:val="20"/>
                <w:lang w:val="en-GB"/>
              </w:rPr>
              <w:t>-B</w:t>
            </w:r>
            <w:r w:rsidRPr="00AA7A53">
              <w:rPr>
                <w:rFonts w:ascii="Times New Roman" w:hAnsi="Times New Roman" w:cs="Times New Roman"/>
                <w:sz w:val="20"/>
                <w:szCs w:val="20"/>
                <w:lang w:val="en-GB"/>
              </w:rPr>
              <w:t>alkan Corridor: OHL Obrenovac (RS) - Bajina Basta (RS)</w:t>
            </w:r>
            <w:bookmarkEnd w:id="158"/>
          </w:p>
        </w:tc>
      </w:tr>
      <w:tr w:rsidR="00614438" w:rsidRPr="00AA7A53" w14:paraId="5A01F0DA" w14:textId="77777777" w:rsidTr="00614438">
        <w:trPr>
          <w:gridAfter w:val="1"/>
          <w:wAfter w:w="1212" w:type="dxa"/>
          <w:trHeight w:val="960"/>
        </w:trPr>
        <w:tc>
          <w:tcPr>
            <w:tcW w:w="3290" w:type="dxa"/>
            <w:tcBorders>
              <w:top w:val="nil"/>
              <w:left w:val="single" w:sz="8" w:space="0" w:color="auto"/>
              <w:bottom w:val="single" w:sz="8" w:space="0" w:color="auto"/>
              <w:right w:val="nil"/>
            </w:tcBorders>
            <w:shd w:val="clear" w:color="auto" w:fill="244062"/>
            <w:vAlign w:val="center"/>
            <w:hideMark/>
          </w:tcPr>
          <w:p w14:paraId="6D1012B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98" w:type="dxa"/>
            <w:gridSpan w:val="3"/>
            <w:tcBorders>
              <w:top w:val="single" w:sz="8" w:space="0" w:color="auto"/>
              <w:left w:val="nil"/>
              <w:bottom w:val="single" w:sz="8" w:space="0" w:color="auto"/>
              <w:right w:val="single" w:sz="8" w:space="0" w:color="000000"/>
            </w:tcBorders>
            <w:vAlign w:val="center"/>
            <w:hideMark/>
          </w:tcPr>
          <w:p w14:paraId="1CAAA82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Maintaining and achieving the interconnectivity targets; planning and implementation of electricity and gas transmission infrastructure projects (and, where relevant, modernization projects); ensuring the reliability of the customers’ power supply; creation of conditions for further industrial development of the areas where the project is located; integration of the desired level of RES; providing the necessary level of flexibility of the power system; which are necessary for the achievement of objectives and targets under the five dimensions of the Energy Union.</w:t>
            </w:r>
          </w:p>
        </w:tc>
      </w:tr>
      <w:tr w:rsidR="00614438" w:rsidRPr="00AA7A53" w14:paraId="4762C210" w14:textId="77777777" w:rsidTr="00614438">
        <w:trPr>
          <w:gridAfter w:val="1"/>
          <w:wAfter w:w="1212" w:type="dxa"/>
          <w:trHeight w:val="315"/>
        </w:trPr>
        <w:tc>
          <w:tcPr>
            <w:tcW w:w="3290" w:type="dxa"/>
            <w:tcBorders>
              <w:top w:val="nil"/>
              <w:left w:val="single" w:sz="8" w:space="0" w:color="auto"/>
              <w:bottom w:val="single" w:sz="8" w:space="0" w:color="auto"/>
              <w:right w:val="single" w:sz="8" w:space="0" w:color="auto"/>
            </w:tcBorders>
            <w:shd w:val="clear" w:color="auto" w:fill="244062"/>
            <w:vAlign w:val="center"/>
            <w:hideMark/>
          </w:tcPr>
          <w:p w14:paraId="1781D1B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98" w:type="dxa"/>
            <w:gridSpan w:val="3"/>
            <w:tcBorders>
              <w:top w:val="single" w:sz="8" w:space="0" w:color="auto"/>
              <w:left w:val="nil"/>
              <w:bottom w:val="single" w:sz="8" w:space="0" w:color="auto"/>
              <w:right w:val="single" w:sz="8" w:space="0" w:color="000000"/>
            </w:tcBorders>
            <w:vAlign w:val="center"/>
            <w:hideMark/>
          </w:tcPr>
          <w:p w14:paraId="6A57DA6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Interconnectivity targets maintained as they are foreseen until 2030, N-1 security criterion, other CBA indicators</w:t>
            </w:r>
          </w:p>
        </w:tc>
      </w:tr>
      <w:tr w:rsidR="00614438" w:rsidRPr="00AA7A53" w14:paraId="077F4382" w14:textId="77777777" w:rsidTr="00614438">
        <w:trPr>
          <w:gridAfter w:val="1"/>
          <w:wAfter w:w="1212" w:type="dxa"/>
          <w:trHeight w:val="1393"/>
        </w:trPr>
        <w:tc>
          <w:tcPr>
            <w:tcW w:w="3290" w:type="dxa"/>
            <w:tcBorders>
              <w:top w:val="nil"/>
              <w:left w:val="single" w:sz="8" w:space="0" w:color="auto"/>
              <w:bottom w:val="single" w:sz="8" w:space="0" w:color="auto"/>
              <w:right w:val="single" w:sz="8" w:space="0" w:color="auto"/>
            </w:tcBorders>
            <w:shd w:val="clear" w:color="auto" w:fill="244062"/>
            <w:vAlign w:val="center"/>
            <w:hideMark/>
          </w:tcPr>
          <w:p w14:paraId="32BBCA7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98" w:type="dxa"/>
            <w:gridSpan w:val="3"/>
            <w:tcBorders>
              <w:top w:val="single" w:sz="8" w:space="0" w:color="auto"/>
              <w:left w:val="nil"/>
              <w:bottom w:val="single" w:sz="8" w:space="0" w:color="auto"/>
              <w:right w:val="single" w:sz="8" w:space="0" w:color="000000"/>
            </w:tcBorders>
            <w:vAlign w:val="center"/>
            <w:hideMark/>
          </w:tcPr>
          <w:p w14:paraId="6951F05E" w14:textId="2327C2A0"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PM_IEM2 corresponds to a set of infrastructure measures comprising the Trans</w:t>
            </w:r>
            <w:r w:rsidR="005A4955" w:rsidRPr="00AA7A53">
              <w:rPr>
                <w:rFonts w:ascii="Times New Roman" w:hAnsi="Times New Roman" w:cs="Times New Roman"/>
                <w:sz w:val="20"/>
                <w:szCs w:val="20"/>
                <w:lang w:val="en-GB"/>
              </w:rPr>
              <w:t>-B</w:t>
            </w:r>
            <w:r w:rsidRPr="00AA7A53">
              <w:rPr>
                <w:rFonts w:ascii="Times New Roman" w:hAnsi="Times New Roman" w:cs="Times New Roman"/>
                <w:sz w:val="20"/>
                <w:szCs w:val="20"/>
                <w:lang w:val="en-GB"/>
              </w:rPr>
              <w:t>alkan Corridor -Phase I as it its included in the Serbian TYNDP 2021-2030. The overall project cost is estimated at 58,24 million (EUR 40 million) and donations (EUR 13.1 million) were signed at the end of 2020 and the beginning of 2021.</w:t>
            </w:r>
          </w:p>
        </w:tc>
      </w:tr>
      <w:tr w:rsidR="00614438" w:rsidRPr="00AA7A53" w14:paraId="217A03A8" w14:textId="77777777" w:rsidTr="00614438">
        <w:trPr>
          <w:gridAfter w:val="1"/>
          <w:wAfter w:w="1212" w:type="dxa"/>
          <w:trHeight w:val="315"/>
        </w:trPr>
        <w:tc>
          <w:tcPr>
            <w:tcW w:w="3290" w:type="dxa"/>
            <w:tcBorders>
              <w:top w:val="nil"/>
              <w:left w:val="single" w:sz="8" w:space="0" w:color="auto"/>
              <w:bottom w:val="single" w:sz="8" w:space="0" w:color="auto"/>
              <w:right w:val="single" w:sz="8" w:space="0" w:color="auto"/>
            </w:tcBorders>
            <w:shd w:val="clear" w:color="auto" w:fill="244062"/>
            <w:vAlign w:val="center"/>
            <w:hideMark/>
          </w:tcPr>
          <w:p w14:paraId="384D814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98" w:type="dxa"/>
            <w:gridSpan w:val="3"/>
            <w:tcBorders>
              <w:top w:val="single" w:sz="8" w:space="0" w:color="auto"/>
              <w:left w:val="nil"/>
              <w:bottom w:val="single" w:sz="8" w:space="0" w:color="auto"/>
              <w:right w:val="single" w:sz="8" w:space="0" w:color="000000"/>
            </w:tcBorders>
            <w:vAlign w:val="center"/>
            <w:hideMark/>
          </w:tcPr>
          <w:p w14:paraId="106583B2" w14:textId="772F9ABD" w:rsidR="00614438" w:rsidRPr="00AA7A53" w:rsidRDefault="005A4955"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Until </w:t>
            </w:r>
            <w:r w:rsidR="00614438" w:rsidRPr="00AA7A53">
              <w:rPr>
                <w:rFonts w:ascii="Times New Roman" w:hAnsi="Times New Roman" w:cs="Times New Roman"/>
                <w:sz w:val="20"/>
                <w:szCs w:val="20"/>
                <w:lang w:val="en-GB"/>
              </w:rPr>
              <w:t>2026</w:t>
            </w:r>
          </w:p>
        </w:tc>
      </w:tr>
      <w:tr w:rsidR="00614438" w:rsidRPr="00AA7A53" w14:paraId="5017812A" w14:textId="77777777" w:rsidTr="00614438">
        <w:trPr>
          <w:gridAfter w:val="1"/>
          <w:wAfter w:w="1212" w:type="dxa"/>
          <w:trHeight w:val="315"/>
        </w:trPr>
        <w:tc>
          <w:tcPr>
            <w:tcW w:w="3290" w:type="dxa"/>
            <w:tcBorders>
              <w:top w:val="nil"/>
              <w:left w:val="single" w:sz="8" w:space="0" w:color="auto"/>
              <w:bottom w:val="single" w:sz="8" w:space="0" w:color="auto"/>
              <w:right w:val="single" w:sz="8" w:space="0" w:color="auto"/>
            </w:tcBorders>
            <w:shd w:val="clear" w:color="auto" w:fill="244062"/>
            <w:vAlign w:val="center"/>
            <w:hideMark/>
          </w:tcPr>
          <w:p w14:paraId="60EAFC2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98" w:type="dxa"/>
            <w:gridSpan w:val="3"/>
            <w:tcBorders>
              <w:top w:val="single" w:sz="8" w:space="0" w:color="auto"/>
              <w:left w:val="nil"/>
              <w:bottom w:val="single" w:sz="8" w:space="0" w:color="auto"/>
              <w:right w:val="single" w:sz="8" w:space="0" w:color="000000"/>
            </w:tcBorders>
            <w:vAlign w:val="center"/>
            <w:hideMark/>
          </w:tcPr>
          <w:p w14:paraId="31D83FE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69C6C48E" w14:textId="77777777" w:rsidTr="00614438">
        <w:trPr>
          <w:gridAfter w:val="1"/>
          <w:wAfter w:w="1212" w:type="dxa"/>
          <w:trHeight w:val="315"/>
        </w:trPr>
        <w:tc>
          <w:tcPr>
            <w:tcW w:w="3290" w:type="dxa"/>
            <w:tcBorders>
              <w:top w:val="nil"/>
              <w:left w:val="single" w:sz="8" w:space="0" w:color="auto"/>
              <w:bottom w:val="single" w:sz="8" w:space="0" w:color="auto"/>
              <w:right w:val="single" w:sz="8" w:space="0" w:color="auto"/>
            </w:tcBorders>
            <w:shd w:val="clear" w:color="auto" w:fill="244062"/>
            <w:vAlign w:val="center"/>
            <w:hideMark/>
          </w:tcPr>
          <w:p w14:paraId="30C30DB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98" w:type="dxa"/>
            <w:gridSpan w:val="3"/>
            <w:tcBorders>
              <w:top w:val="single" w:sz="8" w:space="0" w:color="auto"/>
              <w:left w:val="nil"/>
              <w:bottom w:val="single" w:sz="8" w:space="0" w:color="auto"/>
              <w:right w:val="single" w:sz="8" w:space="0" w:color="000000"/>
            </w:tcBorders>
            <w:vAlign w:val="center"/>
            <w:hideMark/>
          </w:tcPr>
          <w:p w14:paraId="45F1D6B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Electricity</w:t>
            </w:r>
          </w:p>
        </w:tc>
      </w:tr>
      <w:tr w:rsidR="00614438" w:rsidRPr="00AA7A53" w14:paraId="691FE4A0" w14:textId="77777777" w:rsidTr="00614438">
        <w:trPr>
          <w:gridAfter w:val="1"/>
          <w:wAfter w:w="1212" w:type="dxa"/>
          <w:trHeight w:val="315"/>
        </w:trPr>
        <w:tc>
          <w:tcPr>
            <w:tcW w:w="3290" w:type="dxa"/>
            <w:tcBorders>
              <w:top w:val="nil"/>
              <w:left w:val="single" w:sz="8" w:space="0" w:color="auto"/>
              <w:bottom w:val="single" w:sz="8" w:space="0" w:color="auto"/>
              <w:right w:val="single" w:sz="8" w:space="0" w:color="auto"/>
            </w:tcBorders>
            <w:shd w:val="clear" w:color="auto" w:fill="244062"/>
            <w:vAlign w:val="center"/>
            <w:hideMark/>
          </w:tcPr>
          <w:p w14:paraId="096F5D8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98" w:type="dxa"/>
            <w:gridSpan w:val="3"/>
            <w:tcBorders>
              <w:top w:val="single" w:sz="8" w:space="0" w:color="auto"/>
              <w:left w:val="nil"/>
              <w:bottom w:val="single" w:sz="8" w:space="0" w:color="auto"/>
              <w:right w:val="single" w:sz="8" w:space="0" w:color="000000"/>
            </w:tcBorders>
            <w:vAlign w:val="center"/>
            <w:hideMark/>
          </w:tcPr>
          <w:p w14:paraId="10637A4E" w14:textId="77777777" w:rsidR="00614438" w:rsidRPr="00AA7A53" w:rsidRDefault="00614438" w:rsidP="00AA7A53">
            <w:pPr>
              <w:numPr>
                <w:ilvl w:val="0"/>
                <w:numId w:val="13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5357C4A6" w14:textId="19EA2429" w:rsidR="00614438" w:rsidRPr="00AA7A53" w:rsidRDefault="005A4955" w:rsidP="00AA7A53">
            <w:pPr>
              <w:numPr>
                <w:ilvl w:val="0"/>
                <w:numId w:val="136"/>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JSC </w:t>
            </w:r>
            <w:r w:rsidR="00614438" w:rsidRPr="00AA7A53">
              <w:rPr>
                <w:rFonts w:ascii="Times New Roman" w:hAnsi="Times New Roman" w:cs="Times New Roman"/>
                <w:sz w:val="20"/>
                <w:szCs w:val="20"/>
              </w:rPr>
              <w:t>“Elektromreža Srbije“ - EMS</w:t>
            </w:r>
          </w:p>
        </w:tc>
      </w:tr>
      <w:tr w:rsidR="00614438" w:rsidRPr="00AA7A53" w14:paraId="377D0093" w14:textId="77777777" w:rsidTr="00614438">
        <w:trPr>
          <w:gridAfter w:val="1"/>
          <w:wAfter w:w="1212" w:type="dxa"/>
          <w:trHeight w:val="315"/>
        </w:trPr>
        <w:tc>
          <w:tcPr>
            <w:tcW w:w="3290" w:type="dxa"/>
            <w:tcBorders>
              <w:top w:val="nil"/>
              <w:left w:val="single" w:sz="8" w:space="0" w:color="auto"/>
              <w:bottom w:val="single" w:sz="8" w:space="0" w:color="auto"/>
              <w:right w:val="nil"/>
            </w:tcBorders>
            <w:shd w:val="clear" w:color="auto" w:fill="244062"/>
            <w:vAlign w:val="center"/>
            <w:hideMark/>
          </w:tcPr>
          <w:p w14:paraId="0792C38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98" w:type="dxa"/>
            <w:gridSpan w:val="3"/>
            <w:tcBorders>
              <w:top w:val="single" w:sz="8" w:space="0" w:color="auto"/>
              <w:left w:val="nil"/>
              <w:bottom w:val="single" w:sz="8" w:space="0" w:color="auto"/>
              <w:right w:val="single" w:sz="8" w:space="0" w:color="000000"/>
            </w:tcBorders>
            <w:vAlign w:val="center"/>
            <w:hideMark/>
          </w:tcPr>
          <w:p w14:paraId="246450D0" w14:textId="26E4DF48" w:rsidR="00614438" w:rsidRPr="00AA7A53" w:rsidRDefault="00614438" w:rsidP="00AA7A53">
            <w:pPr>
              <w:numPr>
                <w:ilvl w:val="0"/>
                <w:numId w:val="136"/>
              </w:numPr>
              <w:spacing w:after="0"/>
              <w:jc w:val="both"/>
              <w:rPr>
                <w:rFonts w:ascii="Times New Roman" w:hAnsi="Times New Roman" w:cs="Times New Roman"/>
                <w:sz w:val="20"/>
                <w:szCs w:val="20"/>
              </w:rPr>
            </w:pPr>
            <w:r w:rsidRPr="00AA7A53">
              <w:rPr>
                <w:rFonts w:ascii="Times New Roman" w:hAnsi="Times New Roman" w:cs="Times New Roman"/>
                <w:sz w:val="20"/>
                <w:szCs w:val="20"/>
              </w:rPr>
              <w:t> </w:t>
            </w:r>
            <w:r w:rsidR="005A4955" w:rsidRPr="00AA7A53">
              <w:rPr>
                <w:rFonts w:ascii="Times New Roman" w:hAnsi="Times New Roman" w:cs="Times New Roman"/>
                <w:sz w:val="20"/>
                <w:szCs w:val="20"/>
              </w:rPr>
              <w:t xml:space="preserve">JSC </w:t>
            </w:r>
            <w:r w:rsidRPr="00AA7A53">
              <w:rPr>
                <w:rFonts w:ascii="Times New Roman" w:hAnsi="Times New Roman" w:cs="Times New Roman"/>
                <w:sz w:val="20"/>
                <w:szCs w:val="20"/>
              </w:rPr>
              <w:t>“Elektromreža Srbije“ - EMS</w:t>
            </w:r>
          </w:p>
        </w:tc>
      </w:tr>
      <w:tr w:rsidR="00614438" w:rsidRPr="00AA7A53" w14:paraId="16C5585C" w14:textId="77777777" w:rsidTr="00614438">
        <w:trPr>
          <w:gridAfter w:val="1"/>
          <w:wAfter w:w="1212" w:type="dxa"/>
          <w:trHeight w:val="315"/>
        </w:trPr>
        <w:tc>
          <w:tcPr>
            <w:tcW w:w="3290" w:type="dxa"/>
            <w:tcBorders>
              <w:top w:val="nil"/>
              <w:left w:val="single" w:sz="8" w:space="0" w:color="auto"/>
              <w:bottom w:val="single" w:sz="8" w:space="0" w:color="auto"/>
              <w:right w:val="nil"/>
            </w:tcBorders>
            <w:shd w:val="clear" w:color="auto" w:fill="244062"/>
            <w:vAlign w:val="center"/>
            <w:hideMark/>
          </w:tcPr>
          <w:p w14:paraId="518BC60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98" w:type="dxa"/>
            <w:gridSpan w:val="3"/>
            <w:tcBorders>
              <w:top w:val="single" w:sz="8" w:space="0" w:color="auto"/>
              <w:left w:val="nil"/>
              <w:bottom w:val="single" w:sz="8" w:space="0" w:color="auto"/>
              <w:right w:val="single" w:sz="8" w:space="0" w:color="000000"/>
            </w:tcBorders>
            <w:vAlign w:val="center"/>
            <w:hideMark/>
          </w:tcPr>
          <w:p w14:paraId="7A39682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Interconnectivity targets</w:t>
            </w:r>
          </w:p>
          <w:p w14:paraId="075D063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The possibility of connecting additional RES capacities</w:t>
            </w:r>
          </w:p>
        </w:tc>
      </w:tr>
      <w:tr w:rsidR="00614438" w:rsidRPr="00AA7A53" w14:paraId="5FF34524" w14:textId="77777777" w:rsidTr="00614438">
        <w:trPr>
          <w:gridAfter w:val="1"/>
          <w:wAfter w:w="1212" w:type="dxa"/>
          <w:trHeight w:val="677"/>
        </w:trPr>
        <w:tc>
          <w:tcPr>
            <w:tcW w:w="3290" w:type="dxa"/>
            <w:tcBorders>
              <w:top w:val="nil"/>
              <w:left w:val="single" w:sz="8" w:space="0" w:color="auto"/>
              <w:bottom w:val="single" w:sz="8" w:space="0" w:color="auto"/>
              <w:right w:val="single" w:sz="8" w:space="0" w:color="auto"/>
            </w:tcBorders>
            <w:shd w:val="clear" w:color="auto" w:fill="244062"/>
            <w:vAlign w:val="center"/>
            <w:hideMark/>
          </w:tcPr>
          <w:p w14:paraId="2BDB811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98" w:type="dxa"/>
            <w:gridSpan w:val="3"/>
            <w:tcBorders>
              <w:top w:val="single" w:sz="8" w:space="0" w:color="auto"/>
              <w:left w:val="nil"/>
              <w:bottom w:val="single" w:sz="8" w:space="0" w:color="auto"/>
              <w:right w:val="single" w:sz="8" w:space="0" w:color="000000"/>
            </w:tcBorders>
            <w:vAlign w:val="center"/>
            <w:hideMark/>
          </w:tcPr>
          <w:p w14:paraId="1EF4F826" w14:textId="77777777" w:rsidR="00614438" w:rsidRPr="00AA7A53" w:rsidRDefault="00614438" w:rsidP="00AA7A53">
            <w:pPr>
              <w:numPr>
                <w:ilvl w:val="0"/>
                <w:numId w:val="136"/>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p w14:paraId="36E08FA4" w14:textId="77777777" w:rsidR="00614438" w:rsidRPr="00AA7A53" w:rsidRDefault="00614438" w:rsidP="00AA7A53">
            <w:pPr>
              <w:numPr>
                <w:ilvl w:val="0"/>
                <w:numId w:val="136"/>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3FFED8BD" w14:textId="77777777" w:rsidTr="00614438">
        <w:trPr>
          <w:gridAfter w:val="1"/>
          <w:wAfter w:w="1212" w:type="dxa"/>
          <w:trHeight w:val="458"/>
        </w:trPr>
        <w:tc>
          <w:tcPr>
            <w:tcW w:w="3290" w:type="dxa"/>
            <w:vMerge w:val="restart"/>
            <w:tcBorders>
              <w:top w:val="nil"/>
              <w:left w:val="single" w:sz="8" w:space="0" w:color="auto"/>
              <w:bottom w:val="single" w:sz="8" w:space="0" w:color="000000"/>
              <w:right w:val="single" w:sz="8" w:space="0" w:color="auto"/>
            </w:tcBorders>
            <w:shd w:val="clear" w:color="auto" w:fill="244062"/>
            <w:vAlign w:val="center"/>
            <w:hideMark/>
          </w:tcPr>
          <w:p w14:paraId="12B0699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98"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4D0AFB0" w14:textId="77777777" w:rsidR="00614438" w:rsidRPr="00AA7A53" w:rsidRDefault="00614438" w:rsidP="00AA7A53">
            <w:pPr>
              <w:numPr>
                <w:ilvl w:val="0"/>
                <w:numId w:val="136"/>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2009/72/EC</w:t>
            </w:r>
          </w:p>
          <w:p w14:paraId="24F0ABE3" w14:textId="77777777" w:rsidR="00614438" w:rsidRPr="00AA7A53" w:rsidRDefault="00614438" w:rsidP="00AA7A53">
            <w:pPr>
              <w:numPr>
                <w:ilvl w:val="0"/>
                <w:numId w:val="136"/>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347/2013</w:t>
            </w:r>
          </w:p>
        </w:tc>
      </w:tr>
      <w:tr w:rsidR="00614438" w:rsidRPr="00AA7A53" w14:paraId="7590F14E"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2ECDAA1F"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3042A79"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71DE3B2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5BC8F3B" w14:textId="77777777" w:rsidTr="00614438">
        <w:trPr>
          <w:trHeight w:val="315"/>
        </w:trPr>
        <w:tc>
          <w:tcPr>
            <w:tcW w:w="0" w:type="auto"/>
            <w:vMerge/>
            <w:tcBorders>
              <w:top w:val="nil"/>
              <w:left w:val="single" w:sz="8" w:space="0" w:color="auto"/>
              <w:bottom w:val="single" w:sz="8" w:space="0" w:color="000000"/>
              <w:right w:val="single" w:sz="8" w:space="0" w:color="auto"/>
            </w:tcBorders>
            <w:vAlign w:val="center"/>
            <w:hideMark/>
          </w:tcPr>
          <w:p w14:paraId="548633F2"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B83B96F"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476DAE17"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082F19BA" w14:textId="77777777" w:rsidTr="00614438">
        <w:trPr>
          <w:trHeight w:val="780"/>
        </w:trPr>
        <w:tc>
          <w:tcPr>
            <w:tcW w:w="3290" w:type="dxa"/>
            <w:tcBorders>
              <w:top w:val="nil"/>
              <w:left w:val="single" w:sz="8" w:space="0" w:color="auto"/>
              <w:bottom w:val="single" w:sz="8" w:space="0" w:color="auto"/>
              <w:right w:val="single" w:sz="8" w:space="0" w:color="auto"/>
            </w:tcBorders>
            <w:shd w:val="clear" w:color="auto" w:fill="244062"/>
            <w:vAlign w:val="center"/>
            <w:hideMark/>
          </w:tcPr>
          <w:p w14:paraId="3DCFB35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98" w:type="dxa"/>
            <w:gridSpan w:val="3"/>
            <w:tcBorders>
              <w:top w:val="single" w:sz="8" w:space="0" w:color="auto"/>
              <w:left w:val="nil"/>
              <w:bottom w:val="single" w:sz="8" w:space="0" w:color="auto"/>
              <w:right w:val="single" w:sz="8" w:space="0" w:color="000000"/>
            </w:tcBorders>
            <w:vAlign w:val="center"/>
            <w:hideMark/>
          </w:tcPr>
          <w:p w14:paraId="641FA91B" w14:textId="77777777" w:rsidR="00614438" w:rsidRPr="00AA7A53" w:rsidRDefault="00614438" w:rsidP="00AA7A53">
            <w:pPr>
              <w:numPr>
                <w:ilvl w:val="0"/>
                <w:numId w:val="136"/>
              </w:numPr>
              <w:spacing w:after="0"/>
              <w:jc w:val="both"/>
              <w:rPr>
                <w:rFonts w:ascii="Times New Roman" w:hAnsi="Times New Roman" w:cs="Times New Roman"/>
                <w:sz w:val="20"/>
                <w:szCs w:val="20"/>
              </w:rPr>
            </w:pPr>
            <w:r w:rsidRPr="00AA7A53">
              <w:rPr>
                <w:rFonts w:ascii="Times New Roman" w:hAnsi="Times New Roman" w:cs="Times New Roman"/>
                <w:sz w:val="20"/>
                <w:szCs w:val="20"/>
              </w:rPr>
              <w:t>TYNDP 2021-2030</w:t>
            </w:r>
          </w:p>
        </w:tc>
        <w:tc>
          <w:tcPr>
            <w:tcW w:w="1212" w:type="dxa"/>
            <w:vAlign w:val="center"/>
            <w:hideMark/>
          </w:tcPr>
          <w:p w14:paraId="2DA759D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7F906B1" w14:textId="77777777" w:rsidTr="00614438">
        <w:trPr>
          <w:trHeight w:val="315"/>
        </w:trPr>
        <w:tc>
          <w:tcPr>
            <w:tcW w:w="3290" w:type="dxa"/>
            <w:tcBorders>
              <w:top w:val="nil"/>
              <w:left w:val="single" w:sz="8" w:space="0" w:color="auto"/>
              <w:bottom w:val="single" w:sz="8" w:space="0" w:color="auto"/>
              <w:right w:val="single" w:sz="8" w:space="0" w:color="auto"/>
            </w:tcBorders>
            <w:shd w:val="clear" w:color="auto" w:fill="244062"/>
            <w:vAlign w:val="center"/>
            <w:hideMark/>
          </w:tcPr>
          <w:p w14:paraId="11FAAF0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98" w:type="dxa"/>
            <w:gridSpan w:val="3"/>
            <w:tcBorders>
              <w:top w:val="single" w:sz="8" w:space="0" w:color="auto"/>
              <w:left w:val="nil"/>
              <w:bottom w:val="single" w:sz="8" w:space="0" w:color="auto"/>
              <w:right w:val="single" w:sz="8" w:space="0" w:color="000000"/>
            </w:tcBorders>
            <w:vAlign w:val="center"/>
            <w:hideMark/>
          </w:tcPr>
          <w:p w14:paraId="5918FA0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89,68 M€</w:t>
            </w:r>
          </w:p>
        </w:tc>
        <w:tc>
          <w:tcPr>
            <w:tcW w:w="1212" w:type="dxa"/>
            <w:vAlign w:val="center"/>
            <w:hideMark/>
          </w:tcPr>
          <w:p w14:paraId="2E3BD22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40D7C3D" w14:textId="77777777" w:rsidTr="00614438">
        <w:trPr>
          <w:trHeight w:val="315"/>
        </w:trPr>
        <w:tc>
          <w:tcPr>
            <w:tcW w:w="3290" w:type="dxa"/>
            <w:tcBorders>
              <w:top w:val="nil"/>
              <w:left w:val="single" w:sz="8" w:space="0" w:color="auto"/>
              <w:bottom w:val="single" w:sz="8" w:space="0" w:color="auto"/>
              <w:right w:val="single" w:sz="8" w:space="0" w:color="auto"/>
            </w:tcBorders>
            <w:shd w:val="clear" w:color="auto" w:fill="244062"/>
            <w:vAlign w:val="center"/>
            <w:hideMark/>
          </w:tcPr>
          <w:p w14:paraId="378291D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98" w:type="dxa"/>
            <w:gridSpan w:val="3"/>
            <w:tcBorders>
              <w:top w:val="single" w:sz="8" w:space="0" w:color="auto"/>
              <w:left w:val="nil"/>
              <w:bottom w:val="single" w:sz="8" w:space="0" w:color="auto"/>
              <w:right w:val="single" w:sz="8" w:space="0" w:color="000000"/>
            </w:tcBorders>
            <w:vAlign w:val="center"/>
            <w:hideMark/>
          </w:tcPr>
          <w:p w14:paraId="2720A66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1212" w:type="dxa"/>
            <w:vAlign w:val="center"/>
            <w:hideMark/>
          </w:tcPr>
          <w:p w14:paraId="2A9CFFC9" w14:textId="77777777" w:rsidR="00614438" w:rsidRPr="00AA7A53" w:rsidRDefault="00614438" w:rsidP="00AA7A53">
            <w:pPr>
              <w:spacing w:after="0"/>
              <w:jc w:val="both"/>
              <w:rPr>
                <w:rFonts w:ascii="Times New Roman" w:hAnsi="Times New Roman" w:cs="Times New Roman"/>
                <w:sz w:val="20"/>
                <w:szCs w:val="20"/>
                <w:lang w:val="en-GB"/>
              </w:rPr>
            </w:pPr>
          </w:p>
        </w:tc>
      </w:tr>
    </w:tbl>
    <w:p w14:paraId="74640F2B"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54"/>
        <w:gridCol w:w="1207"/>
        <w:gridCol w:w="927"/>
        <w:gridCol w:w="4100"/>
        <w:gridCol w:w="1212"/>
      </w:tblGrid>
      <w:tr w:rsidR="00614438" w:rsidRPr="00AA7A53" w14:paraId="682D8FC0" w14:textId="77777777" w:rsidTr="00614438">
        <w:trPr>
          <w:gridAfter w:val="1"/>
          <w:wAfter w:w="1212" w:type="dxa"/>
          <w:trHeight w:val="780"/>
        </w:trPr>
        <w:tc>
          <w:tcPr>
            <w:tcW w:w="3254"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DA6CAC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 xml:space="preserve">Policy measure code: </w:t>
            </w:r>
          </w:p>
        </w:tc>
        <w:tc>
          <w:tcPr>
            <w:tcW w:w="12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42BCF16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PM_IEM3</w:t>
            </w:r>
          </w:p>
        </w:tc>
        <w:tc>
          <w:tcPr>
            <w:tcW w:w="927" w:type="dxa"/>
            <w:tcBorders>
              <w:top w:val="single" w:sz="8" w:space="0" w:color="auto"/>
              <w:left w:val="nil"/>
              <w:bottom w:val="single" w:sz="8" w:space="0" w:color="auto"/>
              <w:right w:val="single" w:sz="8" w:space="0" w:color="auto"/>
            </w:tcBorders>
            <w:shd w:val="clear" w:color="auto" w:fill="244062"/>
            <w:vAlign w:val="center"/>
            <w:hideMark/>
          </w:tcPr>
          <w:p w14:paraId="6585EB7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00" w:type="dxa"/>
            <w:tcBorders>
              <w:top w:val="single" w:sz="8" w:space="0" w:color="auto"/>
              <w:left w:val="nil"/>
              <w:bottom w:val="single" w:sz="8" w:space="0" w:color="auto"/>
              <w:right w:val="single" w:sz="8" w:space="0" w:color="auto"/>
            </w:tcBorders>
            <w:shd w:val="clear" w:color="auto" w:fill="E7E6E6" w:themeFill="background2"/>
            <w:vAlign w:val="center"/>
            <w:hideMark/>
          </w:tcPr>
          <w:p w14:paraId="5DA6EF0C" w14:textId="47622EA5"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Trans</w:t>
            </w:r>
            <w:r w:rsidR="005A4955" w:rsidRPr="00AA7A53">
              <w:rPr>
                <w:rFonts w:ascii="Times New Roman" w:hAnsi="Times New Roman" w:cs="Times New Roman"/>
                <w:sz w:val="20"/>
                <w:szCs w:val="20"/>
                <w:lang w:val="en-GB"/>
              </w:rPr>
              <w:t>-B</w:t>
            </w:r>
            <w:r w:rsidRPr="00AA7A53">
              <w:rPr>
                <w:rFonts w:ascii="Times New Roman" w:hAnsi="Times New Roman" w:cs="Times New Roman"/>
                <w:sz w:val="20"/>
                <w:szCs w:val="20"/>
                <w:lang w:val="en-GB"/>
              </w:rPr>
              <w:t>alkan Corridor: OHL B.Basta (RS) – Visegrad (BA) – Pljevlja (ME)</w:t>
            </w:r>
          </w:p>
        </w:tc>
      </w:tr>
      <w:tr w:rsidR="00614438" w:rsidRPr="00AA7A53" w14:paraId="0F83BEA2" w14:textId="77777777" w:rsidTr="00614438">
        <w:trPr>
          <w:gridAfter w:val="1"/>
          <w:wAfter w:w="1212" w:type="dxa"/>
          <w:trHeight w:val="960"/>
        </w:trPr>
        <w:tc>
          <w:tcPr>
            <w:tcW w:w="3254" w:type="dxa"/>
            <w:tcBorders>
              <w:top w:val="nil"/>
              <w:left w:val="single" w:sz="8" w:space="0" w:color="auto"/>
              <w:bottom w:val="single" w:sz="8" w:space="0" w:color="auto"/>
              <w:right w:val="nil"/>
            </w:tcBorders>
            <w:shd w:val="clear" w:color="auto" w:fill="244062"/>
            <w:vAlign w:val="center"/>
            <w:hideMark/>
          </w:tcPr>
          <w:p w14:paraId="36F0A44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34" w:type="dxa"/>
            <w:gridSpan w:val="3"/>
            <w:tcBorders>
              <w:top w:val="single" w:sz="8" w:space="0" w:color="auto"/>
              <w:left w:val="nil"/>
              <w:bottom w:val="single" w:sz="8" w:space="0" w:color="auto"/>
              <w:right w:val="single" w:sz="8" w:space="0" w:color="000000"/>
            </w:tcBorders>
            <w:vAlign w:val="center"/>
            <w:hideMark/>
          </w:tcPr>
          <w:p w14:paraId="48DADE0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Maintaining and achieving the interconnectivity targets; planning and implementation of electricity and gas transmission infrastructure projects (and, where relevant, modernization projects); ensuring the reliability of the customers’ power supply; creation of conditions for further industrial development of the areas where the project is located; integration of the desired level of RES; providing the necessary level of flexibility of the power system; which are necessary for the achievement of objectives and targets under the five dimensions of the Energy Union.</w:t>
            </w:r>
          </w:p>
        </w:tc>
      </w:tr>
      <w:tr w:rsidR="00614438" w:rsidRPr="00AA7A53" w14:paraId="1DA23CB8" w14:textId="77777777" w:rsidTr="00614438">
        <w:trPr>
          <w:gridAfter w:val="1"/>
          <w:wAfter w:w="1212" w:type="dxa"/>
          <w:trHeight w:val="315"/>
        </w:trPr>
        <w:tc>
          <w:tcPr>
            <w:tcW w:w="3254" w:type="dxa"/>
            <w:tcBorders>
              <w:top w:val="nil"/>
              <w:left w:val="single" w:sz="8" w:space="0" w:color="auto"/>
              <w:bottom w:val="single" w:sz="8" w:space="0" w:color="auto"/>
              <w:right w:val="single" w:sz="8" w:space="0" w:color="auto"/>
            </w:tcBorders>
            <w:shd w:val="clear" w:color="auto" w:fill="244062"/>
            <w:vAlign w:val="center"/>
            <w:hideMark/>
          </w:tcPr>
          <w:p w14:paraId="4C35006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34" w:type="dxa"/>
            <w:gridSpan w:val="3"/>
            <w:tcBorders>
              <w:top w:val="single" w:sz="8" w:space="0" w:color="auto"/>
              <w:left w:val="nil"/>
              <w:bottom w:val="single" w:sz="8" w:space="0" w:color="auto"/>
              <w:right w:val="single" w:sz="8" w:space="0" w:color="000000"/>
            </w:tcBorders>
            <w:vAlign w:val="center"/>
            <w:hideMark/>
          </w:tcPr>
          <w:p w14:paraId="285D480F" w14:textId="773EA33C"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Interconnectivity targets </w:t>
            </w:r>
            <w:r w:rsidR="00624889" w:rsidRPr="00AA7A53">
              <w:rPr>
                <w:rFonts w:ascii="Times New Roman" w:hAnsi="Times New Roman" w:cs="Times New Roman"/>
                <w:sz w:val="20"/>
                <w:szCs w:val="20"/>
                <w:lang w:val="en-GB"/>
              </w:rPr>
              <w:t xml:space="preserve">fulfilled, planned until </w:t>
            </w:r>
            <w:r w:rsidRPr="00AA7A53">
              <w:rPr>
                <w:rFonts w:ascii="Times New Roman" w:hAnsi="Times New Roman" w:cs="Times New Roman"/>
                <w:sz w:val="20"/>
                <w:szCs w:val="20"/>
                <w:lang w:val="en-GB"/>
              </w:rPr>
              <w:t>2030, N-1 security criterion, other CBA indicators</w:t>
            </w:r>
          </w:p>
        </w:tc>
      </w:tr>
      <w:tr w:rsidR="00614438" w:rsidRPr="00AA7A53" w14:paraId="2C2935AE" w14:textId="77777777" w:rsidTr="00614438">
        <w:trPr>
          <w:gridAfter w:val="1"/>
          <w:wAfter w:w="1212" w:type="dxa"/>
          <w:trHeight w:val="1383"/>
        </w:trPr>
        <w:tc>
          <w:tcPr>
            <w:tcW w:w="3254" w:type="dxa"/>
            <w:tcBorders>
              <w:top w:val="nil"/>
              <w:left w:val="single" w:sz="8" w:space="0" w:color="auto"/>
              <w:bottom w:val="single" w:sz="8" w:space="0" w:color="auto"/>
              <w:right w:val="single" w:sz="8" w:space="0" w:color="auto"/>
            </w:tcBorders>
            <w:shd w:val="clear" w:color="auto" w:fill="244062"/>
            <w:vAlign w:val="center"/>
            <w:hideMark/>
          </w:tcPr>
          <w:p w14:paraId="74002D7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34" w:type="dxa"/>
            <w:gridSpan w:val="3"/>
            <w:tcBorders>
              <w:top w:val="single" w:sz="8" w:space="0" w:color="auto"/>
              <w:left w:val="nil"/>
              <w:bottom w:val="single" w:sz="8" w:space="0" w:color="auto"/>
              <w:right w:val="single" w:sz="8" w:space="0" w:color="000000"/>
            </w:tcBorders>
            <w:vAlign w:val="center"/>
            <w:hideMark/>
          </w:tcPr>
          <w:p w14:paraId="45DC36A5" w14:textId="1CA444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PM_IEM3 corresponds to a set of infrastructure measures comprising the Trans</w:t>
            </w:r>
            <w:r w:rsidR="00C72A2E" w:rsidRPr="00AA7A53">
              <w:rPr>
                <w:rFonts w:ascii="Times New Roman" w:hAnsi="Times New Roman" w:cs="Times New Roman"/>
                <w:sz w:val="20"/>
                <w:szCs w:val="20"/>
                <w:lang w:val="en-GB"/>
              </w:rPr>
              <w:t>-B</w:t>
            </w:r>
            <w:r w:rsidRPr="00AA7A53">
              <w:rPr>
                <w:rFonts w:ascii="Times New Roman" w:hAnsi="Times New Roman" w:cs="Times New Roman"/>
                <w:sz w:val="20"/>
                <w:szCs w:val="20"/>
                <w:lang w:val="en-GB"/>
              </w:rPr>
              <w:t>alkan Corridor -Phase I as it its included in the Serbian TYNDP 2021-2030. The overall project cost is estimated at 40,8 million</w:t>
            </w:r>
            <w:r w:rsidR="00624889" w:rsidRPr="00AA7A53">
              <w:rPr>
                <w:rFonts w:ascii="Times New Roman" w:hAnsi="Times New Roman" w:cs="Times New Roman"/>
                <w:sz w:val="20"/>
                <w:szCs w:val="20"/>
                <w:lang w:val="en-GB"/>
              </w:rPr>
              <w:t xml:space="preserve"> EUR</w:t>
            </w:r>
            <w:r w:rsidRPr="00AA7A53">
              <w:rPr>
                <w:rFonts w:ascii="Times New Roman" w:hAnsi="Times New Roman" w:cs="Times New Roman"/>
                <w:sz w:val="20"/>
                <w:szCs w:val="20"/>
                <w:lang w:val="en-GB"/>
              </w:rPr>
              <w:t>. There is still no firm grant and loan agreement for the project. It is expected to be fully operational by 2027 (according to the current planning documents).</w:t>
            </w:r>
          </w:p>
        </w:tc>
      </w:tr>
      <w:tr w:rsidR="00614438" w:rsidRPr="00AA7A53" w14:paraId="7537BF0C" w14:textId="77777777" w:rsidTr="00614438">
        <w:trPr>
          <w:gridAfter w:val="1"/>
          <w:wAfter w:w="1212" w:type="dxa"/>
          <w:trHeight w:val="315"/>
        </w:trPr>
        <w:tc>
          <w:tcPr>
            <w:tcW w:w="3254" w:type="dxa"/>
            <w:tcBorders>
              <w:top w:val="nil"/>
              <w:left w:val="single" w:sz="8" w:space="0" w:color="auto"/>
              <w:bottom w:val="single" w:sz="8" w:space="0" w:color="auto"/>
              <w:right w:val="single" w:sz="8" w:space="0" w:color="auto"/>
            </w:tcBorders>
            <w:shd w:val="clear" w:color="auto" w:fill="244062"/>
            <w:vAlign w:val="center"/>
            <w:hideMark/>
          </w:tcPr>
          <w:p w14:paraId="43FD109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34" w:type="dxa"/>
            <w:gridSpan w:val="3"/>
            <w:tcBorders>
              <w:top w:val="single" w:sz="8" w:space="0" w:color="auto"/>
              <w:left w:val="nil"/>
              <w:bottom w:val="single" w:sz="8" w:space="0" w:color="auto"/>
              <w:right w:val="single" w:sz="8" w:space="0" w:color="000000"/>
            </w:tcBorders>
            <w:vAlign w:val="center"/>
            <w:hideMark/>
          </w:tcPr>
          <w:p w14:paraId="5E72CD38" w14:textId="48C80E64"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624889"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316D4CC1" w14:textId="77777777" w:rsidTr="00614438">
        <w:trPr>
          <w:gridAfter w:val="1"/>
          <w:wAfter w:w="1212" w:type="dxa"/>
          <w:trHeight w:val="315"/>
        </w:trPr>
        <w:tc>
          <w:tcPr>
            <w:tcW w:w="3254" w:type="dxa"/>
            <w:tcBorders>
              <w:top w:val="nil"/>
              <w:left w:val="single" w:sz="8" w:space="0" w:color="auto"/>
              <w:bottom w:val="single" w:sz="8" w:space="0" w:color="auto"/>
              <w:right w:val="single" w:sz="8" w:space="0" w:color="auto"/>
            </w:tcBorders>
            <w:shd w:val="clear" w:color="auto" w:fill="244062"/>
            <w:vAlign w:val="center"/>
            <w:hideMark/>
          </w:tcPr>
          <w:p w14:paraId="76A92A2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34" w:type="dxa"/>
            <w:gridSpan w:val="3"/>
            <w:tcBorders>
              <w:top w:val="single" w:sz="8" w:space="0" w:color="auto"/>
              <w:left w:val="nil"/>
              <w:bottom w:val="single" w:sz="8" w:space="0" w:color="auto"/>
              <w:right w:val="single" w:sz="8" w:space="0" w:color="000000"/>
            </w:tcBorders>
            <w:vAlign w:val="center"/>
            <w:hideMark/>
          </w:tcPr>
          <w:p w14:paraId="52C3825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07F513A1" w14:textId="77777777" w:rsidTr="00614438">
        <w:trPr>
          <w:gridAfter w:val="1"/>
          <w:wAfter w:w="1212" w:type="dxa"/>
          <w:trHeight w:val="315"/>
        </w:trPr>
        <w:tc>
          <w:tcPr>
            <w:tcW w:w="3254" w:type="dxa"/>
            <w:tcBorders>
              <w:top w:val="nil"/>
              <w:left w:val="single" w:sz="8" w:space="0" w:color="auto"/>
              <w:bottom w:val="single" w:sz="8" w:space="0" w:color="auto"/>
              <w:right w:val="single" w:sz="8" w:space="0" w:color="auto"/>
            </w:tcBorders>
            <w:shd w:val="clear" w:color="auto" w:fill="244062"/>
            <w:vAlign w:val="center"/>
            <w:hideMark/>
          </w:tcPr>
          <w:p w14:paraId="4926649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34" w:type="dxa"/>
            <w:gridSpan w:val="3"/>
            <w:tcBorders>
              <w:top w:val="single" w:sz="8" w:space="0" w:color="auto"/>
              <w:left w:val="nil"/>
              <w:bottom w:val="single" w:sz="8" w:space="0" w:color="auto"/>
              <w:right w:val="single" w:sz="8" w:space="0" w:color="000000"/>
            </w:tcBorders>
            <w:vAlign w:val="center"/>
            <w:hideMark/>
          </w:tcPr>
          <w:p w14:paraId="60ED3AC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Electricity</w:t>
            </w:r>
          </w:p>
        </w:tc>
      </w:tr>
      <w:tr w:rsidR="00614438" w:rsidRPr="00AA7A53" w14:paraId="27C31E7B" w14:textId="77777777" w:rsidTr="00614438">
        <w:trPr>
          <w:gridAfter w:val="1"/>
          <w:wAfter w:w="1212" w:type="dxa"/>
          <w:trHeight w:val="315"/>
        </w:trPr>
        <w:tc>
          <w:tcPr>
            <w:tcW w:w="3254" w:type="dxa"/>
            <w:tcBorders>
              <w:top w:val="nil"/>
              <w:left w:val="single" w:sz="8" w:space="0" w:color="auto"/>
              <w:bottom w:val="single" w:sz="8" w:space="0" w:color="auto"/>
              <w:right w:val="single" w:sz="8" w:space="0" w:color="auto"/>
            </w:tcBorders>
            <w:shd w:val="clear" w:color="auto" w:fill="244062"/>
            <w:vAlign w:val="center"/>
            <w:hideMark/>
          </w:tcPr>
          <w:p w14:paraId="5FFEBC7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34" w:type="dxa"/>
            <w:gridSpan w:val="3"/>
            <w:tcBorders>
              <w:top w:val="single" w:sz="8" w:space="0" w:color="auto"/>
              <w:left w:val="nil"/>
              <w:bottom w:val="single" w:sz="8" w:space="0" w:color="auto"/>
              <w:right w:val="single" w:sz="8" w:space="0" w:color="000000"/>
            </w:tcBorders>
            <w:vAlign w:val="center"/>
            <w:hideMark/>
          </w:tcPr>
          <w:p w14:paraId="4A90E4D1" w14:textId="77777777" w:rsidR="00614438" w:rsidRPr="00AA7A53" w:rsidRDefault="00614438" w:rsidP="00AA7A53">
            <w:pPr>
              <w:numPr>
                <w:ilvl w:val="0"/>
                <w:numId w:val="13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33A6F99F" w14:textId="7A038D1B" w:rsidR="00614438" w:rsidRPr="00AA7A53" w:rsidRDefault="00C72A2E" w:rsidP="00AA7A53">
            <w:pPr>
              <w:numPr>
                <w:ilvl w:val="0"/>
                <w:numId w:val="136"/>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JSC </w:t>
            </w:r>
            <w:r w:rsidR="00614438" w:rsidRPr="00AA7A53">
              <w:rPr>
                <w:rFonts w:ascii="Times New Roman" w:hAnsi="Times New Roman" w:cs="Times New Roman"/>
                <w:sz w:val="20"/>
                <w:szCs w:val="20"/>
              </w:rPr>
              <w:t>“Elektromreža Srbije“ - EMS</w:t>
            </w:r>
          </w:p>
        </w:tc>
      </w:tr>
      <w:tr w:rsidR="00614438" w:rsidRPr="00AA7A53" w14:paraId="178DFD75" w14:textId="77777777" w:rsidTr="00614438">
        <w:trPr>
          <w:gridAfter w:val="1"/>
          <w:wAfter w:w="1212" w:type="dxa"/>
          <w:trHeight w:val="315"/>
        </w:trPr>
        <w:tc>
          <w:tcPr>
            <w:tcW w:w="3254" w:type="dxa"/>
            <w:tcBorders>
              <w:top w:val="nil"/>
              <w:left w:val="single" w:sz="8" w:space="0" w:color="auto"/>
              <w:bottom w:val="single" w:sz="8" w:space="0" w:color="auto"/>
              <w:right w:val="nil"/>
            </w:tcBorders>
            <w:shd w:val="clear" w:color="auto" w:fill="244062"/>
            <w:vAlign w:val="center"/>
            <w:hideMark/>
          </w:tcPr>
          <w:p w14:paraId="037526B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34" w:type="dxa"/>
            <w:gridSpan w:val="3"/>
            <w:tcBorders>
              <w:top w:val="single" w:sz="8" w:space="0" w:color="auto"/>
              <w:left w:val="nil"/>
              <w:bottom w:val="single" w:sz="8" w:space="0" w:color="auto"/>
              <w:right w:val="single" w:sz="8" w:space="0" w:color="000000"/>
            </w:tcBorders>
            <w:vAlign w:val="center"/>
            <w:hideMark/>
          </w:tcPr>
          <w:p w14:paraId="405BA9CD" w14:textId="009FD1ED" w:rsidR="00614438" w:rsidRPr="00AA7A53" w:rsidRDefault="00614438" w:rsidP="00AA7A53">
            <w:pPr>
              <w:numPr>
                <w:ilvl w:val="0"/>
                <w:numId w:val="136"/>
              </w:numPr>
              <w:spacing w:after="0"/>
              <w:jc w:val="both"/>
              <w:rPr>
                <w:rFonts w:ascii="Times New Roman" w:hAnsi="Times New Roman" w:cs="Times New Roman"/>
                <w:sz w:val="20"/>
                <w:szCs w:val="20"/>
              </w:rPr>
            </w:pPr>
            <w:r w:rsidRPr="00AA7A53">
              <w:rPr>
                <w:rFonts w:ascii="Times New Roman" w:hAnsi="Times New Roman" w:cs="Times New Roman"/>
                <w:sz w:val="20"/>
                <w:szCs w:val="20"/>
              </w:rPr>
              <w:t> </w:t>
            </w:r>
            <w:r w:rsidR="00C72A2E" w:rsidRPr="00AA7A53">
              <w:rPr>
                <w:rFonts w:ascii="Times New Roman" w:hAnsi="Times New Roman" w:cs="Times New Roman"/>
                <w:sz w:val="20"/>
                <w:szCs w:val="20"/>
              </w:rPr>
              <w:t xml:space="preserve">JSC </w:t>
            </w:r>
            <w:r w:rsidRPr="00AA7A53">
              <w:rPr>
                <w:rFonts w:ascii="Times New Roman" w:hAnsi="Times New Roman" w:cs="Times New Roman"/>
                <w:sz w:val="20"/>
                <w:szCs w:val="20"/>
              </w:rPr>
              <w:t>“Elektromreža Srbije“ - EMS</w:t>
            </w:r>
          </w:p>
        </w:tc>
      </w:tr>
      <w:tr w:rsidR="00614438" w:rsidRPr="00AA7A53" w14:paraId="2B416345" w14:textId="77777777" w:rsidTr="00614438">
        <w:trPr>
          <w:gridAfter w:val="1"/>
          <w:wAfter w:w="1212" w:type="dxa"/>
          <w:trHeight w:val="315"/>
        </w:trPr>
        <w:tc>
          <w:tcPr>
            <w:tcW w:w="3254" w:type="dxa"/>
            <w:tcBorders>
              <w:top w:val="nil"/>
              <w:left w:val="single" w:sz="8" w:space="0" w:color="auto"/>
              <w:bottom w:val="single" w:sz="8" w:space="0" w:color="auto"/>
              <w:right w:val="nil"/>
            </w:tcBorders>
            <w:shd w:val="clear" w:color="auto" w:fill="244062"/>
            <w:vAlign w:val="center"/>
            <w:hideMark/>
          </w:tcPr>
          <w:p w14:paraId="3D413F2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34" w:type="dxa"/>
            <w:gridSpan w:val="3"/>
            <w:tcBorders>
              <w:top w:val="single" w:sz="8" w:space="0" w:color="auto"/>
              <w:left w:val="nil"/>
              <w:bottom w:val="single" w:sz="8" w:space="0" w:color="auto"/>
              <w:right w:val="single" w:sz="8" w:space="0" w:color="000000"/>
            </w:tcBorders>
            <w:vAlign w:val="center"/>
            <w:hideMark/>
          </w:tcPr>
          <w:p w14:paraId="0B1FB5B9" w14:textId="58EDE92D" w:rsidR="00614438" w:rsidRPr="00AA7A53" w:rsidRDefault="00614438" w:rsidP="00AA7A53">
            <w:pPr>
              <w:pStyle w:val="ListParagraph"/>
              <w:numPr>
                <w:ilvl w:val="0"/>
                <w:numId w:val="261"/>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Interconnectivity targets</w:t>
            </w:r>
          </w:p>
          <w:p w14:paraId="5A8B40CA" w14:textId="15A1F33F" w:rsidR="00614438" w:rsidRPr="00AA7A53" w:rsidRDefault="00614438" w:rsidP="00AA7A53">
            <w:pPr>
              <w:pStyle w:val="ListParagraph"/>
              <w:numPr>
                <w:ilvl w:val="0"/>
                <w:numId w:val="261"/>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The possibility of connecting additional RES capacities</w:t>
            </w:r>
          </w:p>
        </w:tc>
      </w:tr>
      <w:tr w:rsidR="00614438" w:rsidRPr="00AA7A53" w14:paraId="7F90694E" w14:textId="77777777" w:rsidTr="00614438">
        <w:trPr>
          <w:gridAfter w:val="1"/>
          <w:wAfter w:w="1212" w:type="dxa"/>
          <w:trHeight w:val="518"/>
        </w:trPr>
        <w:tc>
          <w:tcPr>
            <w:tcW w:w="3254" w:type="dxa"/>
            <w:tcBorders>
              <w:top w:val="nil"/>
              <w:left w:val="single" w:sz="8" w:space="0" w:color="auto"/>
              <w:bottom w:val="single" w:sz="8" w:space="0" w:color="auto"/>
              <w:right w:val="single" w:sz="8" w:space="0" w:color="auto"/>
            </w:tcBorders>
            <w:shd w:val="clear" w:color="auto" w:fill="244062"/>
            <w:vAlign w:val="center"/>
            <w:hideMark/>
          </w:tcPr>
          <w:p w14:paraId="068A186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34" w:type="dxa"/>
            <w:gridSpan w:val="3"/>
            <w:tcBorders>
              <w:top w:val="single" w:sz="8" w:space="0" w:color="auto"/>
              <w:left w:val="nil"/>
              <w:bottom w:val="single" w:sz="8" w:space="0" w:color="auto"/>
              <w:right w:val="single" w:sz="8" w:space="0" w:color="000000"/>
            </w:tcBorders>
            <w:vAlign w:val="center"/>
            <w:hideMark/>
          </w:tcPr>
          <w:p w14:paraId="7AD6BBB8" w14:textId="77777777" w:rsidR="00614438" w:rsidRPr="00AA7A53" w:rsidRDefault="00614438" w:rsidP="00AA7A53">
            <w:pPr>
              <w:numPr>
                <w:ilvl w:val="0"/>
                <w:numId w:val="136"/>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p w14:paraId="1AEC8AAA" w14:textId="77777777" w:rsidR="00614438" w:rsidRPr="00AA7A53" w:rsidRDefault="00614438" w:rsidP="00AA7A53">
            <w:pPr>
              <w:numPr>
                <w:ilvl w:val="0"/>
                <w:numId w:val="136"/>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59B7BADF" w14:textId="77777777" w:rsidTr="00614438">
        <w:trPr>
          <w:gridAfter w:val="1"/>
          <w:wAfter w:w="1212" w:type="dxa"/>
          <w:trHeight w:val="458"/>
        </w:trPr>
        <w:tc>
          <w:tcPr>
            <w:tcW w:w="3254" w:type="dxa"/>
            <w:vMerge w:val="restart"/>
            <w:tcBorders>
              <w:top w:val="nil"/>
              <w:left w:val="single" w:sz="8" w:space="0" w:color="auto"/>
              <w:bottom w:val="single" w:sz="8" w:space="0" w:color="000000"/>
              <w:right w:val="single" w:sz="8" w:space="0" w:color="auto"/>
            </w:tcBorders>
            <w:shd w:val="clear" w:color="auto" w:fill="244062"/>
            <w:vAlign w:val="center"/>
            <w:hideMark/>
          </w:tcPr>
          <w:p w14:paraId="6224D57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3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A1E0116" w14:textId="77777777" w:rsidR="00614438" w:rsidRPr="00AA7A53" w:rsidRDefault="00614438" w:rsidP="00AA7A53">
            <w:pPr>
              <w:numPr>
                <w:ilvl w:val="0"/>
                <w:numId w:val="136"/>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2009/72/EC</w:t>
            </w:r>
          </w:p>
          <w:p w14:paraId="2C1C6E14" w14:textId="77777777" w:rsidR="00614438" w:rsidRPr="00AA7A53" w:rsidRDefault="00614438" w:rsidP="00AA7A53">
            <w:pPr>
              <w:numPr>
                <w:ilvl w:val="0"/>
                <w:numId w:val="136"/>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347/2013</w:t>
            </w:r>
          </w:p>
        </w:tc>
      </w:tr>
      <w:tr w:rsidR="00614438" w:rsidRPr="00AA7A53" w14:paraId="4EF7FAFB"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7888F365"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8EE6998"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2D55C87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D31B1E6"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1A645E28"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77CD862"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2B85F5C1"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1EF78137" w14:textId="77777777" w:rsidTr="00614438">
        <w:trPr>
          <w:trHeight w:val="780"/>
        </w:trPr>
        <w:tc>
          <w:tcPr>
            <w:tcW w:w="3254" w:type="dxa"/>
            <w:tcBorders>
              <w:top w:val="nil"/>
              <w:left w:val="single" w:sz="8" w:space="0" w:color="auto"/>
              <w:bottom w:val="single" w:sz="8" w:space="0" w:color="auto"/>
              <w:right w:val="single" w:sz="8" w:space="0" w:color="auto"/>
            </w:tcBorders>
            <w:shd w:val="clear" w:color="auto" w:fill="244062"/>
            <w:vAlign w:val="center"/>
            <w:hideMark/>
          </w:tcPr>
          <w:p w14:paraId="068294A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34" w:type="dxa"/>
            <w:gridSpan w:val="3"/>
            <w:tcBorders>
              <w:top w:val="single" w:sz="8" w:space="0" w:color="auto"/>
              <w:left w:val="nil"/>
              <w:bottom w:val="single" w:sz="8" w:space="0" w:color="auto"/>
              <w:right w:val="single" w:sz="8" w:space="0" w:color="000000"/>
            </w:tcBorders>
            <w:vAlign w:val="center"/>
            <w:hideMark/>
          </w:tcPr>
          <w:p w14:paraId="5A8DAB2D" w14:textId="77777777" w:rsidR="00614438" w:rsidRPr="00AA7A53" w:rsidRDefault="00614438" w:rsidP="00AA7A53">
            <w:pPr>
              <w:numPr>
                <w:ilvl w:val="0"/>
                <w:numId w:val="137"/>
              </w:numPr>
              <w:spacing w:after="0"/>
              <w:jc w:val="both"/>
              <w:rPr>
                <w:rFonts w:ascii="Times New Roman" w:hAnsi="Times New Roman" w:cs="Times New Roman"/>
                <w:sz w:val="20"/>
                <w:szCs w:val="20"/>
              </w:rPr>
            </w:pPr>
            <w:r w:rsidRPr="00AA7A53">
              <w:rPr>
                <w:rFonts w:ascii="Times New Roman" w:hAnsi="Times New Roman" w:cs="Times New Roman"/>
                <w:sz w:val="20"/>
                <w:szCs w:val="20"/>
              </w:rPr>
              <w:t>TYNDP 2021-2030</w:t>
            </w:r>
          </w:p>
        </w:tc>
        <w:tc>
          <w:tcPr>
            <w:tcW w:w="1212" w:type="dxa"/>
            <w:vAlign w:val="center"/>
            <w:hideMark/>
          </w:tcPr>
          <w:p w14:paraId="07ECB56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31286AF" w14:textId="77777777" w:rsidTr="00614438">
        <w:trPr>
          <w:trHeight w:val="315"/>
        </w:trPr>
        <w:tc>
          <w:tcPr>
            <w:tcW w:w="3254" w:type="dxa"/>
            <w:tcBorders>
              <w:top w:val="nil"/>
              <w:left w:val="single" w:sz="8" w:space="0" w:color="auto"/>
              <w:bottom w:val="single" w:sz="8" w:space="0" w:color="auto"/>
              <w:right w:val="single" w:sz="8" w:space="0" w:color="auto"/>
            </w:tcBorders>
            <w:shd w:val="clear" w:color="auto" w:fill="244062"/>
            <w:vAlign w:val="center"/>
            <w:hideMark/>
          </w:tcPr>
          <w:p w14:paraId="1824E43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34" w:type="dxa"/>
            <w:gridSpan w:val="3"/>
            <w:tcBorders>
              <w:top w:val="single" w:sz="8" w:space="0" w:color="auto"/>
              <w:left w:val="nil"/>
              <w:bottom w:val="single" w:sz="8" w:space="0" w:color="auto"/>
              <w:right w:val="single" w:sz="8" w:space="0" w:color="000000"/>
            </w:tcBorders>
            <w:vAlign w:val="center"/>
            <w:hideMark/>
          </w:tcPr>
          <w:p w14:paraId="5A52CAA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52,32 M€</w:t>
            </w:r>
          </w:p>
        </w:tc>
        <w:tc>
          <w:tcPr>
            <w:tcW w:w="1212" w:type="dxa"/>
            <w:vAlign w:val="center"/>
            <w:hideMark/>
          </w:tcPr>
          <w:p w14:paraId="3535FC08"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E338599" w14:textId="77777777" w:rsidTr="00614438">
        <w:trPr>
          <w:trHeight w:val="315"/>
        </w:trPr>
        <w:tc>
          <w:tcPr>
            <w:tcW w:w="3254" w:type="dxa"/>
            <w:tcBorders>
              <w:top w:val="nil"/>
              <w:left w:val="single" w:sz="8" w:space="0" w:color="auto"/>
              <w:bottom w:val="single" w:sz="8" w:space="0" w:color="auto"/>
              <w:right w:val="single" w:sz="8" w:space="0" w:color="auto"/>
            </w:tcBorders>
            <w:shd w:val="clear" w:color="auto" w:fill="244062"/>
            <w:vAlign w:val="center"/>
            <w:hideMark/>
          </w:tcPr>
          <w:p w14:paraId="28C5E83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34" w:type="dxa"/>
            <w:gridSpan w:val="3"/>
            <w:tcBorders>
              <w:top w:val="single" w:sz="8" w:space="0" w:color="auto"/>
              <w:left w:val="nil"/>
              <w:bottom w:val="single" w:sz="8" w:space="0" w:color="auto"/>
              <w:right w:val="single" w:sz="8" w:space="0" w:color="000000"/>
            </w:tcBorders>
            <w:vAlign w:val="center"/>
            <w:hideMark/>
          </w:tcPr>
          <w:p w14:paraId="4B6ACE4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1212" w:type="dxa"/>
            <w:vAlign w:val="center"/>
            <w:hideMark/>
          </w:tcPr>
          <w:p w14:paraId="5B77CE55" w14:textId="77777777" w:rsidR="00614438" w:rsidRPr="00AA7A53" w:rsidRDefault="00614438" w:rsidP="00AA7A53">
            <w:pPr>
              <w:spacing w:after="0"/>
              <w:jc w:val="both"/>
              <w:rPr>
                <w:rFonts w:ascii="Times New Roman" w:hAnsi="Times New Roman" w:cs="Times New Roman"/>
                <w:sz w:val="20"/>
                <w:szCs w:val="20"/>
                <w:lang w:val="en-GB"/>
              </w:rPr>
            </w:pPr>
          </w:p>
        </w:tc>
      </w:tr>
    </w:tbl>
    <w:p w14:paraId="3998F595"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41"/>
        <w:gridCol w:w="1243"/>
        <w:gridCol w:w="925"/>
        <w:gridCol w:w="4079"/>
        <w:gridCol w:w="1212"/>
      </w:tblGrid>
      <w:tr w:rsidR="00614438" w:rsidRPr="00AA7A53" w14:paraId="21AF597F" w14:textId="77777777" w:rsidTr="00624889">
        <w:trPr>
          <w:gridAfter w:val="1"/>
          <w:wAfter w:w="1212" w:type="dxa"/>
          <w:trHeight w:val="780"/>
        </w:trPr>
        <w:tc>
          <w:tcPr>
            <w:tcW w:w="3241"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C12150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243" w:type="dxa"/>
            <w:tcBorders>
              <w:top w:val="single" w:sz="8" w:space="0" w:color="auto"/>
              <w:left w:val="nil"/>
              <w:bottom w:val="single" w:sz="8" w:space="0" w:color="auto"/>
              <w:right w:val="single" w:sz="8" w:space="0" w:color="auto"/>
            </w:tcBorders>
            <w:shd w:val="clear" w:color="auto" w:fill="E7E6E6" w:themeFill="background2"/>
            <w:vAlign w:val="center"/>
            <w:hideMark/>
          </w:tcPr>
          <w:p w14:paraId="1CBE1E8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PM_IEM4</w:t>
            </w:r>
          </w:p>
        </w:tc>
        <w:tc>
          <w:tcPr>
            <w:tcW w:w="925" w:type="dxa"/>
            <w:tcBorders>
              <w:top w:val="single" w:sz="8" w:space="0" w:color="auto"/>
              <w:left w:val="nil"/>
              <w:bottom w:val="single" w:sz="8" w:space="0" w:color="auto"/>
              <w:right w:val="single" w:sz="8" w:space="0" w:color="auto"/>
            </w:tcBorders>
            <w:shd w:val="clear" w:color="auto" w:fill="244062"/>
            <w:vAlign w:val="center"/>
            <w:hideMark/>
          </w:tcPr>
          <w:p w14:paraId="44A5676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079" w:type="dxa"/>
            <w:tcBorders>
              <w:top w:val="single" w:sz="8" w:space="0" w:color="auto"/>
              <w:left w:val="nil"/>
              <w:bottom w:val="single" w:sz="8" w:space="0" w:color="auto"/>
              <w:right w:val="single" w:sz="8" w:space="0" w:color="auto"/>
            </w:tcBorders>
            <w:shd w:val="clear" w:color="auto" w:fill="E7E6E6" w:themeFill="background2"/>
            <w:vAlign w:val="center"/>
            <w:hideMark/>
          </w:tcPr>
          <w:p w14:paraId="187D804A" w14:textId="561CC37A"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Interconnection between Resita (RO) and Pancevo (RS)</w:t>
            </w:r>
          </w:p>
        </w:tc>
      </w:tr>
      <w:tr w:rsidR="00614438" w:rsidRPr="00AA7A53" w14:paraId="24BCD85C" w14:textId="77777777" w:rsidTr="00624889">
        <w:trPr>
          <w:gridAfter w:val="1"/>
          <w:wAfter w:w="1212" w:type="dxa"/>
          <w:trHeight w:val="960"/>
        </w:trPr>
        <w:tc>
          <w:tcPr>
            <w:tcW w:w="3241" w:type="dxa"/>
            <w:tcBorders>
              <w:top w:val="nil"/>
              <w:left w:val="single" w:sz="8" w:space="0" w:color="auto"/>
              <w:bottom w:val="single" w:sz="8" w:space="0" w:color="auto"/>
              <w:right w:val="nil"/>
            </w:tcBorders>
            <w:shd w:val="clear" w:color="auto" w:fill="244062"/>
            <w:vAlign w:val="center"/>
            <w:hideMark/>
          </w:tcPr>
          <w:p w14:paraId="5F0922F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47" w:type="dxa"/>
            <w:gridSpan w:val="3"/>
            <w:tcBorders>
              <w:top w:val="single" w:sz="8" w:space="0" w:color="auto"/>
              <w:left w:val="nil"/>
              <w:bottom w:val="single" w:sz="8" w:space="0" w:color="auto"/>
              <w:right w:val="single" w:sz="8" w:space="0" w:color="000000"/>
            </w:tcBorders>
            <w:vAlign w:val="center"/>
            <w:hideMark/>
          </w:tcPr>
          <w:p w14:paraId="7C8F690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Maintaining and achieving the interconnectivity targets; planning and implementation of electricity and gas transmission infrastructure projects (and, where relevant, modernization projects); ensuring the reliability of the customers’ power supply; creation of conditions for further industrial development of the areas where the project is located; integration of the desired level of RES; providing the necessary level of flexibility of the power system; which are necessary for the achievement of objectives and targets under the five dimensions of the Energy Union.</w:t>
            </w:r>
          </w:p>
        </w:tc>
      </w:tr>
      <w:tr w:rsidR="00624889" w:rsidRPr="00AA7A53" w14:paraId="4F147E5C" w14:textId="77777777" w:rsidTr="00624889">
        <w:trPr>
          <w:gridAfter w:val="1"/>
          <w:wAfter w:w="1212" w:type="dxa"/>
          <w:trHeight w:val="315"/>
        </w:trPr>
        <w:tc>
          <w:tcPr>
            <w:tcW w:w="3241" w:type="dxa"/>
            <w:tcBorders>
              <w:top w:val="nil"/>
              <w:left w:val="single" w:sz="8" w:space="0" w:color="auto"/>
              <w:bottom w:val="single" w:sz="8" w:space="0" w:color="auto"/>
              <w:right w:val="single" w:sz="8" w:space="0" w:color="auto"/>
            </w:tcBorders>
            <w:shd w:val="clear" w:color="auto" w:fill="244062"/>
            <w:vAlign w:val="center"/>
            <w:hideMark/>
          </w:tcPr>
          <w:p w14:paraId="7BC4F87E" w14:textId="77777777" w:rsidR="00624889" w:rsidRPr="00AA7A53" w:rsidRDefault="00624889"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47" w:type="dxa"/>
            <w:gridSpan w:val="3"/>
            <w:tcBorders>
              <w:top w:val="single" w:sz="8" w:space="0" w:color="auto"/>
              <w:left w:val="nil"/>
              <w:bottom w:val="single" w:sz="8" w:space="0" w:color="auto"/>
              <w:right w:val="single" w:sz="8" w:space="0" w:color="000000"/>
            </w:tcBorders>
            <w:vAlign w:val="center"/>
            <w:hideMark/>
          </w:tcPr>
          <w:p w14:paraId="4E7DE705" w14:textId="7D8BD48D" w:rsidR="00624889" w:rsidRPr="00AA7A53" w:rsidRDefault="00624889"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Interconnectivity targets fulfilled, planned until 2030, N-1 security criterion, other CBA indicators</w:t>
            </w:r>
          </w:p>
        </w:tc>
      </w:tr>
      <w:tr w:rsidR="00614438" w:rsidRPr="00AA7A53" w14:paraId="0AA4C1DA" w14:textId="77777777" w:rsidTr="00624889">
        <w:trPr>
          <w:gridAfter w:val="1"/>
          <w:wAfter w:w="1212" w:type="dxa"/>
          <w:trHeight w:val="1395"/>
        </w:trPr>
        <w:tc>
          <w:tcPr>
            <w:tcW w:w="3241" w:type="dxa"/>
            <w:tcBorders>
              <w:top w:val="nil"/>
              <w:left w:val="single" w:sz="8" w:space="0" w:color="auto"/>
              <w:bottom w:val="single" w:sz="8" w:space="0" w:color="auto"/>
              <w:right w:val="single" w:sz="8" w:space="0" w:color="auto"/>
            </w:tcBorders>
            <w:shd w:val="clear" w:color="auto" w:fill="244062"/>
            <w:vAlign w:val="center"/>
            <w:hideMark/>
          </w:tcPr>
          <w:p w14:paraId="60407D9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Description:</w:t>
            </w:r>
          </w:p>
        </w:tc>
        <w:tc>
          <w:tcPr>
            <w:tcW w:w="6247" w:type="dxa"/>
            <w:gridSpan w:val="3"/>
            <w:tcBorders>
              <w:top w:val="single" w:sz="8" w:space="0" w:color="auto"/>
              <w:left w:val="nil"/>
              <w:bottom w:val="single" w:sz="8" w:space="0" w:color="auto"/>
              <w:right w:val="single" w:sz="8" w:space="0" w:color="000000"/>
            </w:tcBorders>
            <w:vAlign w:val="center"/>
            <w:hideMark/>
          </w:tcPr>
          <w:p w14:paraId="251DFDF7" w14:textId="6D85EB48"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PM_IEM4 corresponds to a set of infrastructure measures comprising the Serbian - Romanian Interconnection as it is included in the Serbian TYNDP 2021-2030. The project has been completed on the Serbian side up to the Romanian border. Completion on the Romanian side </w:t>
            </w:r>
            <w:r w:rsidR="00624889" w:rsidRPr="00AA7A53">
              <w:rPr>
                <w:rFonts w:ascii="Times New Roman" w:hAnsi="Times New Roman" w:cs="Times New Roman"/>
                <w:sz w:val="20"/>
                <w:szCs w:val="20"/>
                <w:lang w:val="en-GB"/>
              </w:rPr>
              <w:t xml:space="preserve">is </w:t>
            </w:r>
            <w:r w:rsidRPr="00AA7A53">
              <w:rPr>
                <w:rFonts w:ascii="Times New Roman" w:hAnsi="Times New Roman" w:cs="Times New Roman"/>
                <w:sz w:val="20"/>
                <w:szCs w:val="20"/>
                <w:lang w:val="en-GB"/>
              </w:rPr>
              <w:t>still underway. It is necessary for the Romanian transmission system operator Transelectrica to implement the 400 kV TS Resica</w:t>
            </w:r>
            <w:r w:rsidR="00624889"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as well as a 400 kV OHL from TS Portile de Fier to TS Resica section from the border to TS Resita. The section of the 400 kV transmission line from the Romanian border to TS Resica has been completed.</w:t>
            </w:r>
          </w:p>
        </w:tc>
      </w:tr>
      <w:tr w:rsidR="00614438" w:rsidRPr="00AA7A53" w14:paraId="466FE963" w14:textId="77777777" w:rsidTr="00624889">
        <w:trPr>
          <w:gridAfter w:val="1"/>
          <w:wAfter w:w="1212" w:type="dxa"/>
          <w:trHeight w:val="315"/>
        </w:trPr>
        <w:tc>
          <w:tcPr>
            <w:tcW w:w="3241" w:type="dxa"/>
            <w:tcBorders>
              <w:top w:val="nil"/>
              <w:left w:val="single" w:sz="8" w:space="0" w:color="auto"/>
              <w:bottom w:val="single" w:sz="8" w:space="0" w:color="auto"/>
              <w:right w:val="single" w:sz="8" w:space="0" w:color="auto"/>
            </w:tcBorders>
            <w:shd w:val="clear" w:color="auto" w:fill="244062"/>
            <w:vAlign w:val="center"/>
            <w:hideMark/>
          </w:tcPr>
          <w:p w14:paraId="6DAD88D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47" w:type="dxa"/>
            <w:gridSpan w:val="3"/>
            <w:tcBorders>
              <w:top w:val="single" w:sz="8" w:space="0" w:color="auto"/>
              <w:left w:val="nil"/>
              <w:bottom w:val="single" w:sz="8" w:space="0" w:color="auto"/>
              <w:right w:val="single" w:sz="8" w:space="0" w:color="000000"/>
            </w:tcBorders>
            <w:vAlign w:val="center"/>
            <w:hideMark/>
          </w:tcPr>
          <w:p w14:paraId="3568306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Completed in 2017 (for the Serbian side)</w:t>
            </w:r>
          </w:p>
          <w:p w14:paraId="79156FD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2026-2030 (for the Romanian side)</w:t>
            </w:r>
          </w:p>
        </w:tc>
      </w:tr>
      <w:tr w:rsidR="00614438" w:rsidRPr="00AA7A53" w14:paraId="2EAE79BF" w14:textId="77777777" w:rsidTr="00624889">
        <w:trPr>
          <w:gridAfter w:val="1"/>
          <w:wAfter w:w="1212" w:type="dxa"/>
          <w:trHeight w:val="315"/>
        </w:trPr>
        <w:tc>
          <w:tcPr>
            <w:tcW w:w="3241" w:type="dxa"/>
            <w:tcBorders>
              <w:top w:val="nil"/>
              <w:left w:val="single" w:sz="8" w:space="0" w:color="auto"/>
              <w:bottom w:val="single" w:sz="8" w:space="0" w:color="auto"/>
              <w:right w:val="single" w:sz="8" w:space="0" w:color="auto"/>
            </w:tcBorders>
            <w:shd w:val="clear" w:color="auto" w:fill="244062"/>
            <w:vAlign w:val="center"/>
            <w:hideMark/>
          </w:tcPr>
          <w:p w14:paraId="4E595EF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47" w:type="dxa"/>
            <w:gridSpan w:val="3"/>
            <w:tcBorders>
              <w:top w:val="single" w:sz="8" w:space="0" w:color="auto"/>
              <w:left w:val="nil"/>
              <w:bottom w:val="single" w:sz="8" w:space="0" w:color="auto"/>
              <w:right w:val="single" w:sz="8" w:space="0" w:color="000000"/>
            </w:tcBorders>
            <w:vAlign w:val="center"/>
            <w:hideMark/>
          </w:tcPr>
          <w:p w14:paraId="559E22E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68AE4B10" w14:textId="77777777" w:rsidTr="00624889">
        <w:trPr>
          <w:gridAfter w:val="1"/>
          <w:wAfter w:w="1212" w:type="dxa"/>
          <w:trHeight w:val="315"/>
        </w:trPr>
        <w:tc>
          <w:tcPr>
            <w:tcW w:w="3241" w:type="dxa"/>
            <w:tcBorders>
              <w:top w:val="nil"/>
              <w:left w:val="single" w:sz="8" w:space="0" w:color="auto"/>
              <w:bottom w:val="single" w:sz="8" w:space="0" w:color="auto"/>
              <w:right w:val="single" w:sz="8" w:space="0" w:color="auto"/>
            </w:tcBorders>
            <w:shd w:val="clear" w:color="auto" w:fill="244062"/>
            <w:vAlign w:val="center"/>
            <w:hideMark/>
          </w:tcPr>
          <w:p w14:paraId="76816F3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47" w:type="dxa"/>
            <w:gridSpan w:val="3"/>
            <w:tcBorders>
              <w:top w:val="single" w:sz="8" w:space="0" w:color="auto"/>
              <w:left w:val="nil"/>
              <w:bottom w:val="single" w:sz="8" w:space="0" w:color="auto"/>
              <w:right w:val="single" w:sz="8" w:space="0" w:color="000000"/>
            </w:tcBorders>
            <w:vAlign w:val="center"/>
            <w:hideMark/>
          </w:tcPr>
          <w:p w14:paraId="5E93D70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Electricity</w:t>
            </w:r>
          </w:p>
        </w:tc>
      </w:tr>
      <w:tr w:rsidR="00614438" w:rsidRPr="00AA7A53" w14:paraId="2AD690CA" w14:textId="77777777" w:rsidTr="00624889">
        <w:trPr>
          <w:gridAfter w:val="1"/>
          <w:wAfter w:w="1212" w:type="dxa"/>
          <w:trHeight w:val="315"/>
        </w:trPr>
        <w:tc>
          <w:tcPr>
            <w:tcW w:w="3241" w:type="dxa"/>
            <w:tcBorders>
              <w:top w:val="nil"/>
              <w:left w:val="single" w:sz="8" w:space="0" w:color="auto"/>
              <w:bottom w:val="single" w:sz="8" w:space="0" w:color="auto"/>
              <w:right w:val="single" w:sz="8" w:space="0" w:color="auto"/>
            </w:tcBorders>
            <w:shd w:val="clear" w:color="auto" w:fill="244062"/>
            <w:vAlign w:val="center"/>
            <w:hideMark/>
          </w:tcPr>
          <w:p w14:paraId="0182A53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47" w:type="dxa"/>
            <w:gridSpan w:val="3"/>
            <w:tcBorders>
              <w:top w:val="single" w:sz="8" w:space="0" w:color="auto"/>
              <w:left w:val="nil"/>
              <w:bottom w:val="single" w:sz="8" w:space="0" w:color="auto"/>
              <w:right w:val="single" w:sz="8" w:space="0" w:color="000000"/>
            </w:tcBorders>
            <w:vAlign w:val="center"/>
            <w:hideMark/>
          </w:tcPr>
          <w:p w14:paraId="0C09FBBE" w14:textId="77777777" w:rsidR="00614438" w:rsidRPr="00AA7A53" w:rsidRDefault="00614438" w:rsidP="00AA7A53">
            <w:pPr>
              <w:numPr>
                <w:ilvl w:val="0"/>
                <w:numId w:val="13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760B4EAF" w14:textId="483645D8" w:rsidR="00614438" w:rsidRPr="00AA7A53" w:rsidRDefault="00624889" w:rsidP="00AA7A53">
            <w:pPr>
              <w:numPr>
                <w:ilvl w:val="0"/>
                <w:numId w:val="136"/>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JSC </w:t>
            </w:r>
            <w:r w:rsidR="00614438" w:rsidRPr="00AA7A53">
              <w:rPr>
                <w:rFonts w:ascii="Times New Roman" w:hAnsi="Times New Roman" w:cs="Times New Roman"/>
                <w:sz w:val="20"/>
                <w:szCs w:val="20"/>
              </w:rPr>
              <w:t>“Elektromreža Srbije“ - EMS</w:t>
            </w:r>
          </w:p>
        </w:tc>
      </w:tr>
      <w:tr w:rsidR="00614438" w:rsidRPr="00AA7A53" w14:paraId="33A65C10" w14:textId="77777777" w:rsidTr="00624889">
        <w:trPr>
          <w:gridAfter w:val="1"/>
          <w:wAfter w:w="1212" w:type="dxa"/>
          <w:trHeight w:val="315"/>
        </w:trPr>
        <w:tc>
          <w:tcPr>
            <w:tcW w:w="3241" w:type="dxa"/>
            <w:tcBorders>
              <w:top w:val="nil"/>
              <w:left w:val="single" w:sz="8" w:space="0" w:color="auto"/>
              <w:bottom w:val="single" w:sz="8" w:space="0" w:color="auto"/>
              <w:right w:val="nil"/>
            </w:tcBorders>
            <w:shd w:val="clear" w:color="auto" w:fill="244062"/>
            <w:vAlign w:val="center"/>
            <w:hideMark/>
          </w:tcPr>
          <w:p w14:paraId="047D655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47" w:type="dxa"/>
            <w:gridSpan w:val="3"/>
            <w:tcBorders>
              <w:top w:val="single" w:sz="8" w:space="0" w:color="auto"/>
              <w:left w:val="nil"/>
              <w:bottom w:val="single" w:sz="8" w:space="0" w:color="auto"/>
              <w:right w:val="single" w:sz="8" w:space="0" w:color="000000"/>
            </w:tcBorders>
            <w:vAlign w:val="center"/>
            <w:hideMark/>
          </w:tcPr>
          <w:p w14:paraId="59A54073" w14:textId="55A9C427" w:rsidR="00614438" w:rsidRPr="00AA7A53" w:rsidRDefault="00614438" w:rsidP="00AA7A53">
            <w:pPr>
              <w:numPr>
                <w:ilvl w:val="0"/>
                <w:numId w:val="136"/>
              </w:numPr>
              <w:spacing w:after="0"/>
              <w:jc w:val="both"/>
              <w:rPr>
                <w:rFonts w:ascii="Times New Roman" w:hAnsi="Times New Roman" w:cs="Times New Roman"/>
                <w:sz w:val="20"/>
                <w:szCs w:val="20"/>
              </w:rPr>
            </w:pPr>
            <w:r w:rsidRPr="00AA7A53">
              <w:rPr>
                <w:rFonts w:ascii="Times New Roman" w:hAnsi="Times New Roman" w:cs="Times New Roman"/>
                <w:sz w:val="20"/>
                <w:szCs w:val="20"/>
              </w:rPr>
              <w:t> </w:t>
            </w:r>
            <w:r w:rsidR="00624889" w:rsidRPr="00AA7A53">
              <w:rPr>
                <w:rFonts w:ascii="Times New Roman" w:hAnsi="Times New Roman" w:cs="Times New Roman"/>
                <w:sz w:val="20"/>
                <w:szCs w:val="20"/>
              </w:rPr>
              <w:t xml:space="preserve">JSC </w:t>
            </w:r>
            <w:r w:rsidRPr="00AA7A53">
              <w:rPr>
                <w:rFonts w:ascii="Times New Roman" w:hAnsi="Times New Roman" w:cs="Times New Roman"/>
                <w:sz w:val="20"/>
                <w:szCs w:val="20"/>
              </w:rPr>
              <w:t>“Elektromreža Srbije“ - EMS</w:t>
            </w:r>
          </w:p>
        </w:tc>
      </w:tr>
      <w:tr w:rsidR="00614438" w:rsidRPr="00AA7A53" w14:paraId="602D491F" w14:textId="77777777" w:rsidTr="00624889">
        <w:trPr>
          <w:gridAfter w:val="1"/>
          <w:wAfter w:w="1212" w:type="dxa"/>
          <w:trHeight w:val="315"/>
        </w:trPr>
        <w:tc>
          <w:tcPr>
            <w:tcW w:w="3241" w:type="dxa"/>
            <w:tcBorders>
              <w:top w:val="nil"/>
              <w:left w:val="single" w:sz="8" w:space="0" w:color="auto"/>
              <w:bottom w:val="single" w:sz="8" w:space="0" w:color="auto"/>
              <w:right w:val="nil"/>
            </w:tcBorders>
            <w:shd w:val="clear" w:color="auto" w:fill="244062"/>
            <w:vAlign w:val="center"/>
            <w:hideMark/>
          </w:tcPr>
          <w:p w14:paraId="102694F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47" w:type="dxa"/>
            <w:gridSpan w:val="3"/>
            <w:tcBorders>
              <w:top w:val="single" w:sz="8" w:space="0" w:color="auto"/>
              <w:left w:val="nil"/>
              <w:bottom w:val="single" w:sz="8" w:space="0" w:color="auto"/>
              <w:right w:val="single" w:sz="8" w:space="0" w:color="000000"/>
            </w:tcBorders>
            <w:vAlign w:val="center"/>
            <w:hideMark/>
          </w:tcPr>
          <w:p w14:paraId="332CFE8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Interconnectivity targets</w:t>
            </w:r>
          </w:p>
        </w:tc>
      </w:tr>
      <w:tr w:rsidR="00614438" w:rsidRPr="00AA7A53" w14:paraId="3F450CD4" w14:textId="77777777" w:rsidTr="00624889">
        <w:trPr>
          <w:gridAfter w:val="1"/>
          <w:wAfter w:w="1212" w:type="dxa"/>
          <w:trHeight w:val="453"/>
        </w:trPr>
        <w:tc>
          <w:tcPr>
            <w:tcW w:w="3241" w:type="dxa"/>
            <w:tcBorders>
              <w:top w:val="nil"/>
              <w:left w:val="single" w:sz="8" w:space="0" w:color="auto"/>
              <w:bottom w:val="single" w:sz="8" w:space="0" w:color="auto"/>
              <w:right w:val="single" w:sz="8" w:space="0" w:color="auto"/>
            </w:tcBorders>
            <w:shd w:val="clear" w:color="auto" w:fill="244062"/>
            <w:vAlign w:val="center"/>
            <w:hideMark/>
          </w:tcPr>
          <w:p w14:paraId="445B206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47" w:type="dxa"/>
            <w:gridSpan w:val="3"/>
            <w:tcBorders>
              <w:top w:val="single" w:sz="8" w:space="0" w:color="auto"/>
              <w:left w:val="nil"/>
              <w:bottom w:val="single" w:sz="8" w:space="0" w:color="auto"/>
              <w:right w:val="single" w:sz="8" w:space="0" w:color="000000"/>
            </w:tcBorders>
            <w:vAlign w:val="center"/>
            <w:hideMark/>
          </w:tcPr>
          <w:p w14:paraId="76F7BA3B" w14:textId="77777777" w:rsidR="00614438" w:rsidRPr="00AA7A53" w:rsidRDefault="00614438" w:rsidP="00AA7A53">
            <w:pPr>
              <w:numPr>
                <w:ilvl w:val="0"/>
                <w:numId w:val="137"/>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p w14:paraId="18B051F6" w14:textId="77777777" w:rsidR="00614438" w:rsidRPr="00AA7A53" w:rsidRDefault="00614438" w:rsidP="00AA7A53">
            <w:pPr>
              <w:numPr>
                <w:ilvl w:val="0"/>
                <w:numId w:val="137"/>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1E71B5D8" w14:textId="77777777" w:rsidTr="00624889">
        <w:trPr>
          <w:gridAfter w:val="1"/>
          <w:wAfter w:w="1212" w:type="dxa"/>
          <w:trHeight w:val="458"/>
        </w:trPr>
        <w:tc>
          <w:tcPr>
            <w:tcW w:w="3241" w:type="dxa"/>
            <w:vMerge w:val="restart"/>
            <w:tcBorders>
              <w:top w:val="nil"/>
              <w:left w:val="single" w:sz="8" w:space="0" w:color="auto"/>
              <w:bottom w:val="single" w:sz="8" w:space="0" w:color="000000"/>
              <w:right w:val="single" w:sz="8" w:space="0" w:color="auto"/>
            </w:tcBorders>
            <w:shd w:val="clear" w:color="auto" w:fill="244062"/>
            <w:vAlign w:val="center"/>
            <w:hideMark/>
          </w:tcPr>
          <w:p w14:paraId="5709FF4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47"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5930D9A" w14:textId="77777777" w:rsidR="00614438" w:rsidRPr="00AA7A53" w:rsidRDefault="00614438" w:rsidP="00AA7A53">
            <w:pPr>
              <w:numPr>
                <w:ilvl w:val="0"/>
                <w:numId w:val="136"/>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2009/72/EC</w:t>
            </w:r>
          </w:p>
          <w:p w14:paraId="657D995F" w14:textId="77777777" w:rsidR="00614438" w:rsidRPr="00AA7A53" w:rsidRDefault="00614438" w:rsidP="00AA7A53">
            <w:pPr>
              <w:numPr>
                <w:ilvl w:val="0"/>
                <w:numId w:val="136"/>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347/2013</w:t>
            </w:r>
          </w:p>
        </w:tc>
      </w:tr>
      <w:tr w:rsidR="00614438" w:rsidRPr="00AA7A53" w14:paraId="5F4830D5"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0B59DB44"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13D713C"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7D2DC0BE"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A8533AA"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6F86464D"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D43D988"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7EFCFD0F"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6FBFBB6D" w14:textId="77777777" w:rsidTr="00624889">
        <w:trPr>
          <w:trHeight w:val="780"/>
        </w:trPr>
        <w:tc>
          <w:tcPr>
            <w:tcW w:w="3241" w:type="dxa"/>
            <w:tcBorders>
              <w:top w:val="nil"/>
              <w:left w:val="single" w:sz="8" w:space="0" w:color="auto"/>
              <w:bottom w:val="single" w:sz="8" w:space="0" w:color="auto"/>
              <w:right w:val="single" w:sz="8" w:space="0" w:color="auto"/>
            </w:tcBorders>
            <w:shd w:val="clear" w:color="auto" w:fill="244062"/>
            <w:vAlign w:val="center"/>
            <w:hideMark/>
          </w:tcPr>
          <w:p w14:paraId="731BED7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47" w:type="dxa"/>
            <w:gridSpan w:val="3"/>
            <w:tcBorders>
              <w:top w:val="single" w:sz="8" w:space="0" w:color="auto"/>
              <w:left w:val="nil"/>
              <w:bottom w:val="single" w:sz="8" w:space="0" w:color="auto"/>
              <w:right w:val="single" w:sz="8" w:space="0" w:color="000000"/>
            </w:tcBorders>
            <w:vAlign w:val="center"/>
            <w:hideMark/>
          </w:tcPr>
          <w:p w14:paraId="117250AB" w14:textId="77777777" w:rsidR="00614438" w:rsidRPr="00AA7A53" w:rsidRDefault="00614438" w:rsidP="00AA7A53">
            <w:pPr>
              <w:numPr>
                <w:ilvl w:val="0"/>
                <w:numId w:val="138"/>
              </w:numPr>
              <w:spacing w:after="0"/>
              <w:jc w:val="both"/>
              <w:rPr>
                <w:rFonts w:ascii="Times New Roman" w:hAnsi="Times New Roman" w:cs="Times New Roman"/>
                <w:sz w:val="20"/>
                <w:szCs w:val="20"/>
              </w:rPr>
            </w:pPr>
            <w:r w:rsidRPr="00AA7A53">
              <w:rPr>
                <w:rFonts w:ascii="Times New Roman" w:hAnsi="Times New Roman" w:cs="Times New Roman"/>
                <w:sz w:val="20"/>
                <w:szCs w:val="20"/>
              </w:rPr>
              <w:t>TYNDP 2021-2030</w:t>
            </w:r>
          </w:p>
        </w:tc>
        <w:tc>
          <w:tcPr>
            <w:tcW w:w="1212" w:type="dxa"/>
            <w:vAlign w:val="center"/>
            <w:hideMark/>
          </w:tcPr>
          <w:p w14:paraId="698D6099"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3AF7B49" w14:textId="77777777" w:rsidTr="00624889">
        <w:trPr>
          <w:trHeight w:val="315"/>
        </w:trPr>
        <w:tc>
          <w:tcPr>
            <w:tcW w:w="3241" w:type="dxa"/>
            <w:tcBorders>
              <w:top w:val="nil"/>
              <w:left w:val="single" w:sz="8" w:space="0" w:color="auto"/>
              <w:bottom w:val="single" w:sz="8" w:space="0" w:color="auto"/>
              <w:right w:val="single" w:sz="8" w:space="0" w:color="auto"/>
            </w:tcBorders>
            <w:shd w:val="clear" w:color="auto" w:fill="244062"/>
            <w:vAlign w:val="center"/>
            <w:hideMark/>
          </w:tcPr>
          <w:p w14:paraId="2986296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47" w:type="dxa"/>
            <w:gridSpan w:val="3"/>
            <w:tcBorders>
              <w:top w:val="single" w:sz="8" w:space="0" w:color="auto"/>
              <w:left w:val="nil"/>
              <w:bottom w:val="single" w:sz="8" w:space="0" w:color="auto"/>
              <w:right w:val="single" w:sz="8" w:space="0" w:color="000000"/>
            </w:tcBorders>
            <w:vAlign w:val="center"/>
            <w:hideMark/>
          </w:tcPr>
          <w:p w14:paraId="1AEE2D8E" w14:textId="13C749D0"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Project completed </w:t>
            </w:r>
            <w:r w:rsidR="00624889" w:rsidRPr="00AA7A53">
              <w:rPr>
                <w:rFonts w:ascii="Times New Roman" w:hAnsi="Times New Roman" w:cs="Times New Roman"/>
                <w:sz w:val="20"/>
                <w:szCs w:val="20"/>
                <w:lang w:val="en-GB"/>
              </w:rPr>
              <w:t>on</w:t>
            </w:r>
            <w:r w:rsidRPr="00AA7A53">
              <w:rPr>
                <w:rFonts w:ascii="Times New Roman" w:hAnsi="Times New Roman" w:cs="Times New Roman"/>
                <w:sz w:val="20"/>
                <w:szCs w:val="20"/>
                <w:lang w:val="en-GB"/>
              </w:rPr>
              <w:t xml:space="preserve"> the Serbian </w:t>
            </w:r>
            <w:r w:rsidR="00624889" w:rsidRPr="00AA7A53">
              <w:rPr>
                <w:rFonts w:ascii="Times New Roman" w:hAnsi="Times New Roman" w:cs="Times New Roman"/>
                <w:sz w:val="20"/>
                <w:szCs w:val="20"/>
                <w:lang w:val="en-GB"/>
              </w:rPr>
              <w:t>territory</w:t>
            </w:r>
          </w:p>
        </w:tc>
        <w:tc>
          <w:tcPr>
            <w:tcW w:w="1212" w:type="dxa"/>
            <w:vAlign w:val="center"/>
            <w:hideMark/>
          </w:tcPr>
          <w:p w14:paraId="3E5666B8"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75A9B86" w14:textId="77777777" w:rsidTr="00624889">
        <w:trPr>
          <w:trHeight w:val="315"/>
        </w:trPr>
        <w:tc>
          <w:tcPr>
            <w:tcW w:w="3241" w:type="dxa"/>
            <w:tcBorders>
              <w:top w:val="nil"/>
              <w:left w:val="single" w:sz="8" w:space="0" w:color="auto"/>
              <w:bottom w:val="single" w:sz="8" w:space="0" w:color="auto"/>
              <w:right w:val="single" w:sz="8" w:space="0" w:color="auto"/>
            </w:tcBorders>
            <w:shd w:val="clear" w:color="auto" w:fill="244062"/>
            <w:vAlign w:val="center"/>
            <w:hideMark/>
          </w:tcPr>
          <w:p w14:paraId="4E195C3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47" w:type="dxa"/>
            <w:gridSpan w:val="3"/>
            <w:tcBorders>
              <w:top w:val="single" w:sz="8" w:space="0" w:color="auto"/>
              <w:left w:val="nil"/>
              <w:bottom w:val="single" w:sz="8" w:space="0" w:color="auto"/>
              <w:right w:val="single" w:sz="8" w:space="0" w:color="000000"/>
            </w:tcBorders>
            <w:vAlign w:val="center"/>
            <w:hideMark/>
          </w:tcPr>
          <w:p w14:paraId="3DF3626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None required</w:t>
            </w:r>
          </w:p>
        </w:tc>
        <w:tc>
          <w:tcPr>
            <w:tcW w:w="1212" w:type="dxa"/>
            <w:vAlign w:val="center"/>
            <w:hideMark/>
          </w:tcPr>
          <w:p w14:paraId="3D12DAA4" w14:textId="77777777" w:rsidR="00614438" w:rsidRPr="00AA7A53" w:rsidRDefault="00614438" w:rsidP="00AA7A53">
            <w:pPr>
              <w:spacing w:after="0"/>
              <w:jc w:val="both"/>
              <w:rPr>
                <w:rFonts w:ascii="Times New Roman" w:hAnsi="Times New Roman" w:cs="Times New Roman"/>
                <w:sz w:val="20"/>
                <w:szCs w:val="20"/>
                <w:lang w:val="en-GB"/>
              </w:rPr>
            </w:pPr>
          </w:p>
        </w:tc>
      </w:tr>
    </w:tbl>
    <w:p w14:paraId="0A0D2446"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44"/>
        <w:gridCol w:w="1243"/>
        <w:gridCol w:w="927"/>
        <w:gridCol w:w="4074"/>
        <w:gridCol w:w="1212"/>
      </w:tblGrid>
      <w:tr w:rsidR="00614438" w:rsidRPr="00AA7A53" w14:paraId="2B9381D0" w14:textId="77777777" w:rsidTr="00624889">
        <w:trPr>
          <w:gridAfter w:val="1"/>
          <w:wAfter w:w="1212" w:type="dxa"/>
          <w:trHeight w:val="780"/>
        </w:trPr>
        <w:tc>
          <w:tcPr>
            <w:tcW w:w="3244"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535349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243" w:type="dxa"/>
            <w:tcBorders>
              <w:top w:val="single" w:sz="8" w:space="0" w:color="auto"/>
              <w:left w:val="nil"/>
              <w:bottom w:val="single" w:sz="8" w:space="0" w:color="auto"/>
              <w:right w:val="single" w:sz="8" w:space="0" w:color="auto"/>
            </w:tcBorders>
            <w:shd w:val="clear" w:color="auto" w:fill="E7E6E6" w:themeFill="background2"/>
            <w:vAlign w:val="center"/>
            <w:hideMark/>
          </w:tcPr>
          <w:p w14:paraId="552EA62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PM_IEM5</w:t>
            </w:r>
          </w:p>
        </w:tc>
        <w:tc>
          <w:tcPr>
            <w:tcW w:w="927" w:type="dxa"/>
            <w:tcBorders>
              <w:top w:val="single" w:sz="8" w:space="0" w:color="auto"/>
              <w:left w:val="nil"/>
              <w:bottom w:val="single" w:sz="8" w:space="0" w:color="auto"/>
              <w:right w:val="single" w:sz="8" w:space="0" w:color="auto"/>
            </w:tcBorders>
            <w:shd w:val="clear" w:color="auto" w:fill="244062"/>
            <w:vAlign w:val="center"/>
            <w:hideMark/>
          </w:tcPr>
          <w:p w14:paraId="79A8C2D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074" w:type="dxa"/>
            <w:tcBorders>
              <w:top w:val="single" w:sz="8" w:space="0" w:color="auto"/>
              <w:left w:val="nil"/>
              <w:bottom w:val="single" w:sz="8" w:space="0" w:color="auto"/>
              <w:right w:val="single" w:sz="8" w:space="0" w:color="auto"/>
            </w:tcBorders>
            <w:shd w:val="clear" w:color="auto" w:fill="E7E6E6" w:themeFill="background2"/>
            <w:vAlign w:val="center"/>
            <w:hideMark/>
          </w:tcPr>
          <w:p w14:paraId="5A4887E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Pannonian corridor</w:t>
            </w:r>
          </w:p>
        </w:tc>
      </w:tr>
      <w:tr w:rsidR="00614438" w:rsidRPr="00AA7A53" w14:paraId="5ED1CB9B" w14:textId="77777777" w:rsidTr="00624889">
        <w:trPr>
          <w:gridAfter w:val="1"/>
          <w:wAfter w:w="1212" w:type="dxa"/>
          <w:trHeight w:val="960"/>
        </w:trPr>
        <w:tc>
          <w:tcPr>
            <w:tcW w:w="3244" w:type="dxa"/>
            <w:tcBorders>
              <w:top w:val="nil"/>
              <w:left w:val="single" w:sz="8" w:space="0" w:color="auto"/>
              <w:bottom w:val="single" w:sz="8" w:space="0" w:color="auto"/>
              <w:right w:val="nil"/>
            </w:tcBorders>
            <w:shd w:val="clear" w:color="auto" w:fill="244062"/>
            <w:vAlign w:val="center"/>
            <w:hideMark/>
          </w:tcPr>
          <w:p w14:paraId="54E7E5E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44" w:type="dxa"/>
            <w:gridSpan w:val="3"/>
            <w:tcBorders>
              <w:top w:val="single" w:sz="8" w:space="0" w:color="auto"/>
              <w:left w:val="nil"/>
              <w:bottom w:val="single" w:sz="8" w:space="0" w:color="auto"/>
              <w:right w:val="single" w:sz="8" w:space="0" w:color="000000"/>
            </w:tcBorders>
            <w:vAlign w:val="center"/>
            <w:hideMark/>
          </w:tcPr>
          <w:p w14:paraId="5F6C750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Maintaining and achieving the interconnectivity targets; planning and implementation of electricity and gas transmission infrastructure projects (and, where relevant, modernization projects); ensuring the reliability of the customers’ power supply; creation of conditions for further industrial development of the areas where the project is located; integration of the desired level of RES; providing the necessary level of flexibility of the power system; which are necessary for the achievement of objectives and targets under the five dimensions of the Energy Union.</w:t>
            </w:r>
          </w:p>
        </w:tc>
      </w:tr>
      <w:tr w:rsidR="00624889" w:rsidRPr="00AA7A53" w14:paraId="16147AF7" w14:textId="77777777" w:rsidTr="00624889">
        <w:trPr>
          <w:gridAfter w:val="1"/>
          <w:wAfter w:w="1212" w:type="dxa"/>
          <w:trHeight w:val="315"/>
        </w:trPr>
        <w:tc>
          <w:tcPr>
            <w:tcW w:w="3244" w:type="dxa"/>
            <w:tcBorders>
              <w:top w:val="nil"/>
              <w:left w:val="single" w:sz="8" w:space="0" w:color="auto"/>
              <w:bottom w:val="single" w:sz="8" w:space="0" w:color="auto"/>
              <w:right w:val="single" w:sz="8" w:space="0" w:color="auto"/>
            </w:tcBorders>
            <w:shd w:val="clear" w:color="auto" w:fill="244062"/>
            <w:vAlign w:val="center"/>
            <w:hideMark/>
          </w:tcPr>
          <w:p w14:paraId="317CD925" w14:textId="77777777" w:rsidR="00624889" w:rsidRPr="00AA7A53" w:rsidRDefault="00624889"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44" w:type="dxa"/>
            <w:gridSpan w:val="3"/>
            <w:tcBorders>
              <w:top w:val="single" w:sz="8" w:space="0" w:color="auto"/>
              <w:left w:val="nil"/>
              <w:bottom w:val="single" w:sz="8" w:space="0" w:color="auto"/>
              <w:right w:val="single" w:sz="8" w:space="0" w:color="000000"/>
            </w:tcBorders>
            <w:vAlign w:val="center"/>
            <w:hideMark/>
          </w:tcPr>
          <w:p w14:paraId="1DA32022" w14:textId="23A24B32" w:rsidR="00624889" w:rsidRPr="00AA7A53" w:rsidRDefault="00624889"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Interconnectivity targets fulfilled, planned until 2030, N-1 security criterion, other CBA indicators</w:t>
            </w:r>
          </w:p>
        </w:tc>
      </w:tr>
      <w:tr w:rsidR="00614438" w:rsidRPr="00AA7A53" w14:paraId="22C43FB4" w14:textId="77777777" w:rsidTr="00624889">
        <w:trPr>
          <w:gridAfter w:val="1"/>
          <w:wAfter w:w="1212" w:type="dxa"/>
          <w:trHeight w:val="1090"/>
        </w:trPr>
        <w:tc>
          <w:tcPr>
            <w:tcW w:w="3244" w:type="dxa"/>
            <w:tcBorders>
              <w:top w:val="nil"/>
              <w:left w:val="single" w:sz="8" w:space="0" w:color="auto"/>
              <w:bottom w:val="single" w:sz="8" w:space="0" w:color="auto"/>
              <w:right w:val="single" w:sz="8" w:space="0" w:color="auto"/>
            </w:tcBorders>
            <w:shd w:val="clear" w:color="auto" w:fill="244062"/>
            <w:vAlign w:val="center"/>
            <w:hideMark/>
          </w:tcPr>
          <w:p w14:paraId="2ABE1B9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44" w:type="dxa"/>
            <w:gridSpan w:val="3"/>
            <w:tcBorders>
              <w:top w:val="single" w:sz="8" w:space="0" w:color="auto"/>
              <w:left w:val="nil"/>
              <w:bottom w:val="single" w:sz="8" w:space="0" w:color="auto"/>
              <w:right w:val="single" w:sz="8" w:space="0" w:color="000000"/>
            </w:tcBorders>
            <w:vAlign w:val="center"/>
            <w:hideMark/>
          </w:tcPr>
          <w:p w14:paraId="5A34483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It corresponds to a set of infrastructural 400 kV transmission lines in the area of Vojvodina, which will further enable the integration of electricity from renewable sources, as well as increase the cross-border transmission capacity between Serbia and Hungary.</w:t>
            </w:r>
          </w:p>
        </w:tc>
      </w:tr>
      <w:tr w:rsidR="00614438" w:rsidRPr="00AA7A53" w14:paraId="7EF16F25" w14:textId="77777777" w:rsidTr="00624889">
        <w:trPr>
          <w:gridAfter w:val="1"/>
          <w:wAfter w:w="1212" w:type="dxa"/>
          <w:trHeight w:val="315"/>
        </w:trPr>
        <w:tc>
          <w:tcPr>
            <w:tcW w:w="3244" w:type="dxa"/>
            <w:tcBorders>
              <w:top w:val="nil"/>
              <w:left w:val="single" w:sz="8" w:space="0" w:color="auto"/>
              <w:bottom w:val="single" w:sz="8" w:space="0" w:color="auto"/>
              <w:right w:val="single" w:sz="8" w:space="0" w:color="auto"/>
            </w:tcBorders>
            <w:shd w:val="clear" w:color="auto" w:fill="244062"/>
            <w:vAlign w:val="center"/>
            <w:hideMark/>
          </w:tcPr>
          <w:p w14:paraId="5DCC935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44" w:type="dxa"/>
            <w:gridSpan w:val="3"/>
            <w:tcBorders>
              <w:top w:val="single" w:sz="8" w:space="0" w:color="auto"/>
              <w:left w:val="nil"/>
              <w:bottom w:val="single" w:sz="8" w:space="0" w:color="auto"/>
              <w:right w:val="single" w:sz="8" w:space="0" w:color="000000"/>
            </w:tcBorders>
            <w:vAlign w:val="center"/>
            <w:hideMark/>
          </w:tcPr>
          <w:p w14:paraId="0C3C436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2025 - 2030</w:t>
            </w:r>
          </w:p>
        </w:tc>
      </w:tr>
      <w:tr w:rsidR="00614438" w:rsidRPr="00AA7A53" w14:paraId="16ADF2F8" w14:textId="77777777" w:rsidTr="00624889">
        <w:trPr>
          <w:gridAfter w:val="1"/>
          <w:wAfter w:w="1212" w:type="dxa"/>
          <w:trHeight w:val="315"/>
        </w:trPr>
        <w:tc>
          <w:tcPr>
            <w:tcW w:w="3244" w:type="dxa"/>
            <w:tcBorders>
              <w:top w:val="nil"/>
              <w:left w:val="single" w:sz="8" w:space="0" w:color="auto"/>
              <w:bottom w:val="single" w:sz="8" w:space="0" w:color="auto"/>
              <w:right w:val="single" w:sz="8" w:space="0" w:color="auto"/>
            </w:tcBorders>
            <w:shd w:val="clear" w:color="auto" w:fill="244062"/>
            <w:vAlign w:val="center"/>
            <w:hideMark/>
          </w:tcPr>
          <w:p w14:paraId="0F41E44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44" w:type="dxa"/>
            <w:gridSpan w:val="3"/>
            <w:tcBorders>
              <w:top w:val="single" w:sz="8" w:space="0" w:color="auto"/>
              <w:left w:val="nil"/>
              <w:bottom w:val="single" w:sz="8" w:space="0" w:color="auto"/>
              <w:right w:val="single" w:sz="8" w:space="0" w:color="000000"/>
            </w:tcBorders>
            <w:vAlign w:val="center"/>
            <w:hideMark/>
          </w:tcPr>
          <w:p w14:paraId="6DDEC81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35C25C43" w14:textId="77777777" w:rsidTr="00624889">
        <w:trPr>
          <w:gridAfter w:val="1"/>
          <w:wAfter w:w="1212" w:type="dxa"/>
          <w:trHeight w:val="315"/>
        </w:trPr>
        <w:tc>
          <w:tcPr>
            <w:tcW w:w="3244" w:type="dxa"/>
            <w:tcBorders>
              <w:top w:val="nil"/>
              <w:left w:val="single" w:sz="8" w:space="0" w:color="auto"/>
              <w:bottom w:val="single" w:sz="8" w:space="0" w:color="auto"/>
              <w:right w:val="single" w:sz="8" w:space="0" w:color="auto"/>
            </w:tcBorders>
            <w:shd w:val="clear" w:color="auto" w:fill="244062"/>
            <w:vAlign w:val="center"/>
            <w:hideMark/>
          </w:tcPr>
          <w:p w14:paraId="2A4ECFF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44" w:type="dxa"/>
            <w:gridSpan w:val="3"/>
            <w:tcBorders>
              <w:top w:val="single" w:sz="8" w:space="0" w:color="auto"/>
              <w:left w:val="nil"/>
              <w:bottom w:val="single" w:sz="8" w:space="0" w:color="auto"/>
              <w:right w:val="single" w:sz="8" w:space="0" w:color="000000"/>
            </w:tcBorders>
            <w:vAlign w:val="center"/>
            <w:hideMark/>
          </w:tcPr>
          <w:p w14:paraId="2C8CEF3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Electricity</w:t>
            </w:r>
          </w:p>
        </w:tc>
      </w:tr>
      <w:tr w:rsidR="00614438" w:rsidRPr="00AA7A53" w14:paraId="2F9C16AD" w14:textId="77777777" w:rsidTr="00624889">
        <w:trPr>
          <w:gridAfter w:val="1"/>
          <w:wAfter w:w="1212" w:type="dxa"/>
          <w:trHeight w:val="315"/>
        </w:trPr>
        <w:tc>
          <w:tcPr>
            <w:tcW w:w="3244" w:type="dxa"/>
            <w:tcBorders>
              <w:top w:val="nil"/>
              <w:left w:val="single" w:sz="8" w:space="0" w:color="auto"/>
              <w:bottom w:val="single" w:sz="8" w:space="0" w:color="auto"/>
              <w:right w:val="single" w:sz="8" w:space="0" w:color="auto"/>
            </w:tcBorders>
            <w:shd w:val="clear" w:color="auto" w:fill="244062"/>
            <w:vAlign w:val="center"/>
            <w:hideMark/>
          </w:tcPr>
          <w:p w14:paraId="7C5A482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44" w:type="dxa"/>
            <w:gridSpan w:val="3"/>
            <w:tcBorders>
              <w:top w:val="single" w:sz="8" w:space="0" w:color="auto"/>
              <w:left w:val="nil"/>
              <w:bottom w:val="single" w:sz="8" w:space="0" w:color="auto"/>
              <w:right w:val="single" w:sz="8" w:space="0" w:color="000000"/>
            </w:tcBorders>
            <w:vAlign w:val="center"/>
            <w:hideMark/>
          </w:tcPr>
          <w:p w14:paraId="2E8F3439" w14:textId="77777777" w:rsidR="00614438" w:rsidRPr="00AA7A53" w:rsidRDefault="00614438" w:rsidP="00AA7A53">
            <w:pPr>
              <w:numPr>
                <w:ilvl w:val="0"/>
                <w:numId w:val="138"/>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46D334C4" w14:textId="1731B2E7" w:rsidR="00614438" w:rsidRPr="00AA7A53" w:rsidRDefault="00624889" w:rsidP="00AA7A53">
            <w:pPr>
              <w:numPr>
                <w:ilvl w:val="0"/>
                <w:numId w:val="138"/>
              </w:numPr>
              <w:spacing w:after="0"/>
              <w:jc w:val="both"/>
              <w:rPr>
                <w:rFonts w:ascii="Times New Roman" w:hAnsi="Times New Roman" w:cs="Times New Roman"/>
                <w:sz w:val="20"/>
                <w:szCs w:val="20"/>
              </w:rPr>
            </w:pPr>
            <w:r w:rsidRPr="00AA7A53">
              <w:rPr>
                <w:rFonts w:ascii="Times New Roman" w:hAnsi="Times New Roman" w:cs="Times New Roman"/>
                <w:sz w:val="20"/>
                <w:szCs w:val="20"/>
              </w:rPr>
              <w:t>JSC “Elektromreža Srbije“ - EMS</w:t>
            </w:r>
          </w:p>
        </w:tc>
      </w:tr>
      <w:tr w:rsidR="00624889" w:rsidRPr="00AA7A53" w14:paraId="16A4C395" w14:textId="77777777" w:rsidTr="00624889">
        <w:trPr>
          <w:gridAfter w:val="1"/>
          <w:wAfter w:w="1212" w:type="dxa"/>
          <w:trHeight w:val="315"/>
        </w:trPr>
        <w:tc>
          <w:tcPr>
            <w:tcW w:w="3244" w:type="dxa"/>
            <w:tcBorders>
              <w:top w:val="nil"/>
              <w:left w:val="single" w:sz="8" w:space="0" w:color="auto"/>
              <w:bottom w:val="single" w:sz="8" w:space="0" w:color="auto"/>
              <w:right w:val="nil"/>
            </w:tcBorders>
            <w:shd w:val="clear" w:color="auto" w:fill="244062"/>
            <w:vAlign w:val="center"/>
            <w:hideMark/>
          </w:tcPr>
          <w:p w14:paraId="121EABAA" w14:textId="77777777" w:rsidR="00624889" w:rsidRPr="00AA7A53" w:rsidRDefault="00624889"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44" w:type="dxa"/>
            <w:gridSpan w:val="3"/>
            <w:tcBorders>
              <w:top w:val="single" w:sz="8" w:space="0" w:color="auto"/>
              <w:left w:val="nil"/>
              <w:bottom w:val="single" w:sz="8" w:space="0" w:color="auto"/>
              <w:right w:val="single" w:sz="8" w:space="0" w:color="000000"/>
            </w:tcBorders>
            <w:vAlign w:val="center"/>
            <w:hideMark/>
          </w:tcPr>
          <w:p w14:paraId="3DAC50CE" w14:textId="3993CC6A" w:rsidR="00624889" w:rsidRPr="00AA7A53" w:rsidRDefault="00624889" w:rsidP="00AA7A53">
            <w:pPr>
              <w:numPr>
                <w:ilvl w:val="0"/>
                <w:numId w:val="138"/>
              </w:numPr>
              <w:spacing w:after="0"/>
              <w:jc w:val="both"/>
              <w:rPr>
                <w:rFonts w:ascii="Times New Roman" w:hAnsi="Times New Roman" w:cs="Times New Roman"/>
                <w:sz w:val="20"/>
                <w:szCs w:val="20"/>
              </w:rPr>
            </w:pPr>
            <w:r w:rsidRPr="00AA7A53">
              <w:rPr>
                <w:rFonts w:ascii="Times New Roman" w:hAnsi="Times New Roman" w:cs="Times New Roman"/>
                <w:sz w:val="20"/>
                <w:szCs w:val="20"/>
              </w:rPr>
              <w:t> JSC “Elektromreža Srbije“ - EMS</w:t>
            </w:r>
          </w:p>
        </w:tc>
      </w:tr>
      <w:tr w:rsidR="00614438" w:rsidRPr="00AA7A53" w14:paraId="4B0089D8" w14:textId="77777777" w:rsidTr="00624889">
        <w:trPr>
          <w:gridAfter w:val="1"/>
          <w:wAfter w:w="1212" w:type="dxa"/>
          <w:trHeight w:val="315"/>
        </w:trPr>
        <w:tc>
          <w:tcPr>
            <w:tcW w:w="3244" w:type="dxa"/>
            <w:tcBorders>
              <w:top w:val="nil"/>
              <w:left w:val="single" w:sz="8" w:space="0" w:color="auto"/>
              <w:bottom w:val="single" w:sz="8" w:space="0" w:color="auto"/>
              <w:right w:val="nil"/>
            </w:tcBorders>
            <w:shd w:val="clear" w:color="auto" w:fill="244062"/>
            <w:vAlign w:val="center"/>
            <w:hideMark/>
          </w:tcPr>
          <w:p w14:paraId="49EFEF5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44" w:type="dxa"/>
            <w:gridSpan w:val="3"/>
            <w:tcBorders>
              <w:top w:val="single" w:sz="8" w:space="0" w:color="auto"/>
              <w:left w:val="nil"/>
              <w:bottom w:val="single" w:sz="8" w:space="0" w:color="auto"/>
              <w:right w:val="single" w:sz="8" w:space="0" w:color="000000"/>
            </w:tcBorders>
            <w:vAlign w:val="center"/>
            <w:hideMark/>
          </w:tcPr>
          <w:p w14:paraId="14BCB52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Interconnectivity targets</w:t>
            </w:r>
          </w:p>
          <w:p w14:paraId="267E013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 xml:space="preserve">The possibility of connecting additional RES capacities </w:t>
            </w:r>
          </w:p>
        </w:tc>
      </w:tr>
      <w:tr w:rsidR="00614438" w:rsidRPr="00AA7A53" w14:paraId="7379C6D7" w14:textId="77777777" w:rsidTr="00624889">
        <w:trPr>
          <w:gridAfter w:val="1"/>
          <w:wAfter w:w="1212" w:type="dxa"/>
          <w:trHeight w:val="525"/>
        </w:trPr>
        <w:tc>
          <w:tcPr>
            <w:tcW w:w="3244" w:type="dxa"/>
            <w:tcBorders>
              <w:top w:val="nil"/>
              <w:left w:val="single" w:sz="8" w:space="0" w:color="auto"/>
              <w:bottom w:val="single" w:sz="8" w:space="0" w:color="auto"/>
              <w:right w:val="single" w:sz="8" w:space="0" w:color="auto"/>
            </w:tcBorders>
            <w:shd w:val="clear" w:color="auto" w:fill="244062"/>
            <w:vAlign w:val="center"/>
            <w:hideMark/>
          </w:tcPr>
          <w:p w14:paraId="6EB5038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Other relevant Energy Union dimension(s) affected</w:t>
            </w:r>
          </w:p>
        </w:tc>
        <w:tc>
          <w:tcPr>
            <w:tcW w:w="6244" w:type="dxa"/>
            <w:gridSpan w:val="3"/>
            <w:tcBorders>
              <w:top w:val="single" w:sz="8" w:space="0" w:color="auto"/>
              <w:left w:val="nil"/>
              <w:bottom w:val="single" w:sz="8" w:space="0" w:color="auto"/>
              <w:right w:val="single" w:sz="8" w:space="0" w:color="000000"/>
            </w:tcBorders>
            <w:vAlign w:val="center"/>
            <w:hideMark/>
          </w:tcPr>
          <w:p w14:paraId="315526A3" w14:textId="77777777" w:rsidR="00614438" w:rsidRPr="00AA7A53" w:rsidRDefault="00614438" w:rsidP="00AA7A53">
            <w:pPr>
              <w:numPr>
                <w:ilvl w:val="0"/>
                <w:numId w:val="138"/>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p w14:paraId="2AB817E7" w14:textId="77777777" w:rsidR="00614438" w:rsidRPr="00AA7A53" w:rsidRDefault="00614438" w:rsidP="00AA7A53">
            <w:pPr>
              <w:numPr>
                <w:ilvl w:val="0"/>
                <w:numId w:val="138"/>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24361374" w14:textId="77777777" w:rsidTr="00624889">
        <w:trPr>
          <w:gridAfter w:val="1"/>
          <w:wAfter w:w="1212" w:type="dxa"/>
          <w:trHeight w:val="458"/>
        </w:trPr>
        <w:tc>
          <w:tcPr>
            <w:tcW w:w="3244" w:type="dxa"/>
            <w:vMerge w:val="restart"/>
            <w:tcBorders>
              <w:top w:val="nil"/>
              <w:left w:val="single" w:sz="8" w:space="0" w:color="auto"/>
              <w:bottom w:val="single" w:sz="8" w:space="0" w:color="000000"/>
              <w:right w:val="single" w:sz="8" w:space="0" w:color="auto"/>
            </w:tcBorders>
            <w:shd w:val="clear" w:color="auto" w:fill="244062"/>
            <w:vAlign w:val="center"/>
            <w:hideMark/>
          </w:tcPr>
          <w:p w14:paraId="21CE22B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4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C167CA6" w14:textId="77777777" w:rsidR="00614438" w:rsidRPr="00AA7A53" w:rsidRDefault="00614438" w:rsidP="00AA7A53">
            <w:pPr>
              <w:numPr>
                <w:ilvl w:val="0"/>
                <w:numId w:val="136"/>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2009/72/EC</w:t>
            </w:r>
          </w:p>
          <w:p w14:paraId="05B8F906" w14:textId="77777777" w:rsidR="00614438" w:rsidRPr="00AA7A53" w:rsidRDefault="00614438" w:rsidP="00AA7A53">
            <w:pPr>
              <w:numPr>
                <w:ilvl w:val="0"/>
                <w:numId w:val="136"/>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347/2013</w:t>
            </w:r>
          </w:p>
        </w:tc>
      </w:tr>
      <w:tr w:rsidR="00614438" w:rsidRPr="00AA7A53" w14:paraId="0191B579"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49950C6D"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60A8FC8"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0E3AD1DD"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9C0FB5A" w14:textId="77777777" w:rsidTr="00614438">
        <w:trPr>
          <w:trHeight w:val="113"/>
        </w:trPr>
        <w:tc>
          <w:tcPr>
            <w:tcW w:w="0" w:type="auto"/>
            <w:vMerge/>
            <w:tcBorders>
              <w:top w:val="nil"/>
              <w:left w:val="single" w:sz="8" w:space="0" w:color="auto"/>
              <w:bottom w:val="single" w:sz="8" w:space="0" w:color="000000"/>
              <w:right w:val="single" w:sz="8" w:space="0" w:color="auto"/>
            </w:tcBorders>
            <w:vAlign w:val="center"/>
            <w:hideMark/>
          </w:tcPr>
          <w:p w14:paraId="4DEBA08C"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37B0089"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00D07FBC"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32A73C17" w14:textId="77777777" w:rsidTr="00624889">
        <w:trPr>
          <w:trHeight w:val="780"/>
        </w:trPr>
        <w:tc>
          <w:tcPr>
            <w:tcW w:w="3244" w:type="dxa"/>
            <w:tcBorders>
              <w:top w:val="nil"/>
              <w:left w:val="single" w:sz="8" w:space="0" w:color="auto"/>
              <w:bottom w:val="single" w:sz="8" w:space="0" w:color="auto"/>
              <w:right w:val="single" w:sz="8" w:space="0" w:color="auto"/>
            </w:tcBorders>
            <w:shd w:val="clear" w:color="auto" w:fill="244062"/>
            <w:vAlign w:val="center"/>
            <w:hideMark/>
          </w:tcPr>
          <w:p w14:paraId="5B77A46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44" w:type="dxa"/>
            <w:gridSpan w:val="3"/>
            <w:tcBorders>
              <w:top w:val="single" w:sz="8" w:space="0" w:color="auto"/>
              <w:left w:val="nil"/>
              <w:bottom w:val="single" w:sz="8" w:space="0" w:color="auto"/>
              <w:right w:val="single" w:sz="8" w:space="0" w:color="000000"/>
            </w:tcBorders>
            <w:vAlign w:val="center"/>
            <w:hideMark/>
          </w:tcPr>
          <w:p w14:paraId="17EB00A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TYNDP 2021-2030</w:t>
            </w:r>
          </w:p>
        </w:tc>
        <w:tc>
          <w:tcPr>
            <w:tcW w:w="1212" w:type="dxa"/>
            <w:vAlign w:val="center"/>
            <w:hideMark/>
          </w:tcPr>
          <w:p w14:paraId="2D83C19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F148C98" w14:textId="77777777" w:rsidTr="00624889">
        <w:trPr>
          <w:trHeight w:val="315"/>
        </w:trPr>
        <w:tc>
          <w:tcPr>
            <w:tcW w:w="3244" w:type="dxa"/>
            <w:tcBorders>
              <w:top w:val="nil"/>
              <w:left w:val="single" w:sz="8" w:space="0" w:color="auto"/>
              <w:bottom w:val="single" w:sz="8" w:space="0" w:color="auto"/>
              <w:right w:val="single" w:sz="8" w:space="0" w:color="auto"/>
            </w:tcBorders>
            <w:shd w:val="clear" w:color="auto" w:fill="244062"/>
            <w:vAlign w:val="center"/>
            <w:hideMark/>
          </w:tcPr>
          <w:p w14:paraId="54B8FD9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44" w:type="dxa"/>
            <w:gridSpan w:val="3"/>
            <w:tcBorders>
              <w:top w:val="single" w:sz="8" w:space="0" w:color="auto"/>
              <w:left w:val="nil"/>
              <w:bottom w:val="single" w:sz="8" w:space="0" w:color="auto"/>
              <w:right w:val="single" w:sz="8" w:space="0" w:color="000000"/>
            </w:tcBorders>
            <w:vAlign w:val="center"/>
            <w:hideMark/>
          </w:tcPr>
          <w:p w14:paraId="57E595B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108 M€</w:t>
            </w:r>
          </w:p>
        </w:tc>
        <w:tc>
          <w:tcPr>
            <w:tcW w:w="1212" w:type="dxa"/>
            <w:vAlign w:val="center"/>
            <w:hideMark/>
          </w:tcPr>
          <w:p w14:paraId="1DAE9EF3"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FD9CBF4" w14:textId="77777777" w:rsidTr="00624889">
        <w:trPr>
          <w:trHeight w:val="315"/>
        </w:trPr>
        <w:tc>
          <w:tcPr>
            <w:tcW w:w="3244" w:type="dxa"/>
            <w:tcBorders>
              <w:top w:val="nil"/>
              <w:left w:val="single" w:sz="8" w:space="0" w:color="auto"/>
              <w:bottom w:val="single" w:sz="8" w:space="0" w:color="auto"/>
              <w:right w:val="single" w:sz="8" w:space="0" w:color="auto"/>
            </w:tcBorders>
            <w:shd w:val="clear" w:color="auto" w:fill="244062"/>
            <w:vAlign w:val="center"/>
            <w:hideMark/>
          </w:tcPr>
          <w:p w14:paraId="6262858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44" w:type="dxa"/>
            <w:gridSpan w:val="3"/>
            <w:tcBorders>
              <w:top w:val="single" w:sz="8" w:space="0" w:color="auto"/>
              <w:left w:val="nil"/>
              <w:bottom w:val="single" w:sz="8" w:space="0" w:color="auto"/>
              <w:right w:val="single" w:sz="8" w:space="0" w:color="000000"/>
            </w:tcBorders>
            <w:vAlign w:val="center"/>
            <w:hideMark/>
          </w:tcPr>
          <w:p w14:paraId="78A94B8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1212" w:type="dxa"/>
            <w:vAlign w:val="center"/>
            <w:hideMark/>
          </w:tcPr>
          <w:p w14:paraId="11C28E4D" w14:textId="77777777" w:rsidR="00614438" w:rsidRPr="00AA7A53" w:rsidRDefault="00614438" w:rsidP="00AA7A53">
            <w:pPr>
              <w:spacing w:after="0"/>
              <w:jc w:val="both"/>
              <w:rPr>
                <w:rFonts w:ascii="Times New Roman" w:hAnsi="Times New Roman" w:cs="Times New Roman"/>
                <w:sz w:val="20"/>
                <w:szCs w:val="20"/>
                <w:lang w:val="en-GB"/>
              </w:rPr>
            </w:pPr>
          </w:p>
        </w:tc>
      </w:tr>
    </w:tbl>
    <w:p w14:paraId="11724163"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48"/>
        <w:gridCol w:w="1243"/>
        <w:gridCol w:w="931"/>
        <w:gridCol w:w="4066"/>
        <w:gridCol w:w="1212"/>
      </w:tblGrid>
      <w:tr w:rsidR="00614438" w:rsidRPr="00AA7A53" w14:paraId="0BCBBDC6" w14:textId="77777777" w:rsidTr="00624889">
        <w:trPr>
          <w:gridAfter w:val="1"/>
          <w:wAfter w:w="1212" w:type="dxa"/>
          <w:trHeight w:val="780"/>
        </w:trPr>
        <w:tc>
          <w:tcPr>
            <w:tcW w:w="3248"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67431C4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243" w:type="dxa"/>
            <w:tcBorders>
              <w:top w:val="single" w:sz="8" w:space="0" w:color="auto"/>
              <w:left w:val="nil"/>
              <w:bottom w:val="single" w:sz="8" w:space="0" w:color="auto"/>
              <w:right w:val="single" w:sz="8" w:space="0" w:color="auto"/>
            </w:tcBorders>
            <w:shd w:val="clear" w:color="auto" w:fill="E7E6E6" w:themeFill="background2"/>
            <w:vAlign w:val="center"/>
            <w:hideMark/>
          </w:tcPr>
          <w:p w14:paraId="149FA05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PM_IEM6</w:t>
            </w:r>
          </w:p>
        </w:tc>
        <w:tc>
          <w:tcPr>
            <w:tcW w:w="931" w:type="dxa"/>
            <w:tcBorders>
              <w:top w:val="single" w:sz="8" w:space="0" w:color="auto"/>
              <w:left w:val="nil"/>
              <w:bottom w:val="single" w:sz="8" w:space="0" w:color="auto"/>
              <w:right w:val="single" w:sz="8" w:space="0" w:color="auto"/>
            </w:tcBorders>
            <w:shd w:val="clear" w:color="auto" w:fill="244062"/>
            <w:vAlign w:val="center"/>
            <w:hideMark/>
          </w:tcPr>
          <w:p w14:paraId="4AD5E77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066" w:type="dxa"/>
            <w:tcBorders>
              <w:top w:val="single" w:sz="8" w:space="0" w:color="auto"/>
              <w:left w:val="nil"/>
              <w:bottom w:val="single" w:sz="8" w:space="0" w:color="auto"/>
              <w:right w:val="single" w:sz="8" w:space="0" w:color="auto"/>
            </w:tcBorders>
            <w:shd w:val="clear" w:color="auto" w:fill="E7E6E6" w:themeFill="background2"/>
            <w:vAlign w:val="center"/>
            <w:hideMark/>
          </w:tcPr>
          <w:p w14:paraId="0B1DA83C" w14:textId="3CB82C66"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Central</w:t>
            </w:r>
            <w:r w:rsidR="00624889"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Balkan</w:t>
            </w:r>
            <w:r w:rsidR="00624889" w:rsidRPr="00AA7A53">
              <w:rPr>
                <w:rFonts w:ascii="Times New Roman" w:hAnsi="Times New Roman" w:cs="Times New Roman"/>
                <w:sz w:val="20"/>
                <w:szCs w:val="20"/>
                <w:lang w:val="en-GB"/>
              </w:rPr>
              <w:t>s</w:t>
            </w:r>
            <w:r w:rsidRPr="00AA7A53">
              <w:rPr>
                <w:rFonts w:ascii="Times New Roman" w:hAnsi="Times New Roman" w:cs="Times New Roman"/>
                <w:sz w:val="20"/>
                <w:szCs w:val="20"/>
                <w:lang w:val="en-GB"/>
              </w:rPr>
              <w:t xml:space="preserve"> Corridor</w:t>
            </w:r>
          </w:p>
        </w:tc>
      </w:tr>
      <w:tr w:rsidR="00614438" w:rsidRPr="00AA7A53" w14:paraId="7C7B5621" w14:textId="77777777" w:rsidTr="00624889">
        <w:trPr>
          <w:gridAfter w:val="1"/>
          <w:wAfter w:w="1212" w:type="dxa"/>
          <w:trHeight w:val="960"/>
        </w:trPr>
        <w:tc>
          <w:tcPr>
            <w:tcW w:w="3248" w:type="dxa"/>
            <w:tcBorders>
              <w:top w:val="nil"/>
              <w:left w:val="single" w:sz="8" w:space="0" w:color="auto"/>
              <w:bottom w:val="single" w:sz="8" w:space="0" w:color="auto"/>
              <w:right w:val="nil"/>
            </w:tcBorders>
            <w:shd w:val="clear" w:color="auto" w:fill="244062"/>
            <w:vAlign w:val="center"/>
            <w:hideMark/>
          </w:tcPr>
          <w:p w14:paraId="223BFC5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40" w:type="dxa"/>
            <w:gridSpan w:val="3"/>
            <w:tcBorders>
              <w:top w:val="single" w:sz="8" w:space="0" w:color="auto"/>
              <w:left w:val="nil"/>
              <w:bottom w:val="single" w:sz="8" w:space="0" w:color="auto"/>
              <w:right w:val="single" w:sz="8" w:space="0" w:color="000000"/>
            </w:tcBorders>
            <w:vAlign w:val="center"/>
            <w:hideMark/>
          </w:tcPr>
          <w:p w14:paraId="724C844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Maintaining and achieving the interconnectivity targets; planning and implementation of electricity and gas transmission infrastructure projects (and, where relevant, modernization projects); ensuring the reliability of the customers’ power supply; creation of conditions for further industrial development of the areas where the project is located; integration of the desired level of RES; providing the necessary level of flexibility of the power system; which are necessary for the achievement of objectives and targets under the five dimensions of the Energy Union.</w:t>
            </w:r>
          </w:p>
        </w:tc>
      </w:tr>
      <w:tr w:rsidR="00624889" w:rsidRPr="00AA7A53" w14:paraId="3B7EE938" w14:textId="77777777" w:rsidTr="00624889">
        <w:trPr>
          <w:gridAfter w:val="1"/>
          <w:wAfter w:w="1212" w:type="dxa"/>
          <w:trHeight w:val="315"/>
        </w:trPr>
        <w:tc>
          <w:tcPr>
            <w:tcW w:w="3248" w:type="dxa"/>
            <w:tcBorders>
              <w:top w:val="nil"/>
              <w:left w:val="single" w:sz="8" w:space="0" w:color="auto"/>
              <w:bottom w:val="single" w:sz="8" w:space="0" w:color="auto"/>
              <w:right w:val="single" w:sz="8" w:space="0" w:color="auto"/>
            </w:tcBorders>
            <w:shd w:val="clear" w:color="auto" w:fill="244062"/>
            <w:vAlign w:val="center"/>
            <w:hideMark/>
          </w:tcPr>
          <w:p w14:paraId="22A434FD" w14:textId="77777777" w:rsidR="00624889" w:rsidRPr="00AA7A53" w:rsidRDefault="00624889"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40" w:type="dxa"/>
            <w:gridSpan w:val="3"/>
            <w:tcBorders>
              <w:top w:val="single" w:sz="8" w:space="0" w:color="auto"/>
              <w:left w:val="nil"/>
              <w:bottom w:val="single" w:sz="8" w:space="0" w:color="auto"/>
              <w:right w:val="single" w:sz="8" w:space="0" w:color="000000"/>
            </w:tcBorders>
            <w:vAlign w:val="center"/>
            <w:hideMark/>
          </w:tcPr>
          <w:p w14:paraId="10919146" w14:textId="3726786C" w:rsidR="00624889" w:rsidRPr="00AA7A53" w:rsidRDefault="00624889"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Interconnectivity targets fulfilled, planned until 2030, N-1 security criterion, other CBA indicators</w:t>
            </w:r>
          </w:p>
        </w:tc>
      </w:tr>
      <w:tr w:rsidR="00614438" w:rsidRPr="00AA7A53" w14:paraId="180ED9D3" w14:textId="77777777" w:rsidTr="00624889">
        <w:trPr>
          <w:gridAfter w:val="1"/>
          <w:wAfter w:w="1212" w:type="dxa"/>
          <w:trHeight w:val="1090"/>
        </w:trPr>
        <w:tc>
          <w:tcPr>
            <w:tcW w:w="3248" w:type="dxa"/>
            <w:tcBorders>
              <w:top w:val="nil"/>
              <w:left w:val="single" w:sz="8" w:space="0" w:color="auto"/>
              <w:bottom w:val="single" w:sz="8" w:space="0" w:color="auto"/>
              <w:right w:val="single" w:sz="8" w:space="0" w:color="auto"/>
            </w:tcBorders>
            <w:shd w:val="clear" w:color="auto" w:fill="244062"/>
            <w:vAlign w:val="center"/>
            <w:hideMark/>
          </w:tcPr>
          <w:p w14:paraId="0EC5EB6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40" w:type="dxa"/>
            <w:gridSpan w:val="3"/>
            <w:tcBorders>
              <w:top w:val="single" w:sz="8" w:space="0" w:color="auto"/>
              <w:left w:val="nil"/>
              <w:bottom w:val="single" w:sz="8" w:space="0" w:color="auto"/>
              <w:right w:val="single" w:sz="8" w:space="0" w:color="000000"/>
            </w:tcBorders>
            <w:vAlign w:val="center"/>
            <w:hideMark/>
          </w:tcPr>
          <w:p w14:paraId="59E5858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The measure corresponds to a set of infrastructural 400 kV transmission lines in the area of central Serbia, which will enable the further integration of electricity from renewable sources, increase the reliability of supply and increase cross-border transmission capacity between Serbia, Bulgaria, Montenegro and Bosnia and Herzegovina.</w:t>
            </w:r>
          </w:p>
          <w:p w14:paraId="55401FC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It should be emphasized that the first section of this project is expected to be completed by 2030. This refers to the OHL 2x400kV SS Jagodina 4 – SS Požarevac 3, with building of SS 400kV Požarevac 3, which will represent the first phase of building of the new SS 400/110kV Požarevac 3.</w:t>
            </w:r>
          </w:p>
        </w:tc>
      </w:tr>
      <w:tr w:rsidR="00614438" w:rsidRPr="00AA7A53" w14:paraId="4411F8D3" w14:textId="77777777" w:rsidTr="00624889">
        <w:trPr>
          <w:gridAfter w:val="1"/>
          <w:wAfter w:w="1212" w:type="dxa"/>
          <w:trHeight w:val="315"/>
        </w:trPr>
        <w:tc>
          <w:tcPr>
            <w:tcW w:w="3248" w:type="dxa"/>
            <w:tcBorders>
              <w:top w:val="nil"/>
              <w:left w:val="single" w:sz="8" w:space="0" w:color="auto"/>
              <w:bottom w:val="single" w:sz="8" w:space="0" w:color="auto"/>
              <w:right w:val="single" w:sz="8" w:space="0" w:color="auto"/>
            </w:tcBorders>
            <w:shd w:val="clear" w:color="auto" w:fill="244062"/>
            <w:vAlign w:val="center"/>
            <w:hideMark/>
          </w:tcPr>
          <w:p w14:paraId="0CC73BA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40" w:type="dxa"/>
            <w:gridSpan w:val="3"/>
            <w:tcBorders>
              <w:top w:val="single" w:sz="8" w:space="0" w:color="auto"/>
              <w:left w:val="nil"/>
              <w:bottom w:val="single" w:sz="8" w:space="0" w:color="auto"/>
              <w:right w:val="single" w:sz="8" w:space="0" w:color="000000"/>
            </w:tcBorders>
            <w:vAlign w:val="center"/>
            <w:hideMark/>
          </w:tcPr>
          <w:p w14:paraId="52488B39" w14:textId="1F65A7C3" w:rsidR="00614438" w:rsidRPr="00AA7A53" w:rsidRDefault="00624889"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until</w:t>
            </w:r>
            <w:r w:rsidR="00614438" w:rsidRPr="00AA7A53">
              <w:rPr>
                <w:rFonts w:ascii="Times New Roman" w:hAnsi="Times New Roman" w:cs="Times New Roman"/>
                <w:sz w:val="20"/>
                <w:szCs w:val="20"/>
                <w:lang w:val="en-GB"/>
              </w:rPr>
              <w:t xml:space="preserve"> 2030</w:t>
            </w:r>
          </w:p>
        </w:tc>
      </w:tr>
      <w:tr w:rsidR="00614438" w:rsidRPr="00AA7A53" w14:paraId="695906EB" w14:textId="77777777" w:rsidTr="00624889">
        <w:trPr>
          <w:gridAfter w:val="1"/>
          <w:wAfter w:w="1212" w:type="dxa"/>
          <w:trHeight w:val="315"/>
        </w:trPr>
        <w:tc>
          <w:tcPr>
            <w:tcW w:w="3248" w:type="dxa"/>
            <w:tcBorders>
              <w:top w:val="nil"/>
              <w:left w:val="single" w:sz="8" w:space="0" w:color="auto"/>
              <w:bottom w:val="single" w:sz="8" w:space="0" w:color="auto"/>
              <w:right w:val="single" w:sz="8" w:space="0" w:color="auto"/>
            </w:tcBorders>
            <w:shd w:val="clear" w:color="auto" w:fill="244062"/>
            <w:vAlign w:val="center"/>
            <w:hideMark/>
          </w:tcPr>
          <w:p w14:paraId="00839EC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40" w:type="dxa"/>
            <w:gridSpan w:val="3"/>
            <w:tcBorders>
              <w:top w:val="single" w:sz="8" w:space="0" w:color="auto"/>
              <w:left w:val="nil"/>
              <w:bottom w:val="single" w:sz="8" w:space="0" w:color="auto"/>
              <w:right w:val="single" w:sz="8" w:space="0" w:color="000000"/>
            </w:tcBorders>
            <w:vAlign w:val="center"/>
            <w:hideMark/>
          </w:tcPr>
          <w:p w14:paraId="54700AB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154A760F" w14:textId="77777777" w:rsidTr="00624889">
        <w:trPr>
          <w:gridAfter w:val="1"/>
          <w:wAfter w:w="1212" w:type="dxa"/>
          <w:trHeight w:val="315"/>
        </w:trPr>
        <w:tc>
          <w:tcPr>
            <w:tcW w:w="3248" w:type="dxa"/>
            <w:tcBorders>
              <w:top w:val="nil"/>
              <w:left w:val="single" w:sz="8" w:space="0" w:color="auto"/>
              <w:bottom w:val="single" w:sz="8" w:space="0" w:color="auto"/>
              <w:right w:val="single" w:sz="8" w:space="0" w:color="auto"/>
            </w:tcBorders>
            <w:shd w:val="clear" w:color="auto" w:fill="244062"/>
            <w:vAlign w:val="center"/>
            <w:hideMark/>
          </w:tcPr>
          <w:p w14:paraId="176B604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40" w:type="dxa"/>
            <w:gridSpan w:val="3"/>
            <w:tcBorders>
              <w:top w:val="single" w:sz="8" w:space="0" w:color="auto"/>
              <w:left w:val="nil"/>
              <w:bottom w:val="single" w:sz="8" w:space="0" w:color="auto"/>
              <w:right w:val="single" w:sz="8" w:space="0" w:color="000000"/>
            </w:tcBorders>
            <w:vAlign w:val="center"/>
            <w:hideMark/>
          </w:tcPr>
          <w:p w14:paraId="0D58734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Electricity</w:t>
            </w:r>
          </w:p>
        </w:tc>
      </w:tr>
      <w:tr w:rsidR="00614438" w:rsidRPr="00AA7A53" w14:paraId="7E7518A2" w14:textId="77777777" w:rsidTr="00624889">
        <w:trPr>
          <w:gridAfter w:val="1"/>
          <w:wAfter w:w="1212" w:type="dxa"/>
          <w:trHeight w:val="315"/>
        </w:trPr>
        <w:tc>
          <w:tcPr>
            <w:tcW w:w="3248" w:type="dxa"/>
            <w:tcBorders>
              <w:top w:val="nil"/>
              <w:left w:val="single" w:sz="8" w:space="0" w:color="auto"/>
              <w:bottom w:val="single" w:sz="8" w:space="0" w:color="auto"/>
              <w:right w:val="single" w:sz="8" w:space="0" w:color="auto"/>
            </w:tcBorders>
            <w:shd w:val="clear" w:color="auto" w:fill="244062"/>
            <w:vAlign w:val="center"/>
            <w:hideMark/>
          </w:tcPr>
          <w:p w14:paraId="649FD11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40" w:type="dxa"/>
            <w:gridSpan w:val="3"/>
            <w:tcBorders>
              <w:top w:val="single" w:sz="8" w:space="0" w:color="auto"/>
              <w:left w:val="nil"/>
              <w:bottom w:val="single" w:sz="8" w:space="0" w:color="auto"/>
              <w:right w:val="single" w:sz="8" w:space="0" w:color="000000"/>
            </w:tcBorders>
            <w:vAlign w:val="center"/>
            <w:hideMark/>
          </w:tcPr>
          <w:p w14:paraId="6224A582" w14:textId="77777777" w:rsidR="00614438" w:rsidRPr="00AA7A53" w:rsidRDefault="00614438" w:rsidP="00AA7A53">
            <w:pPr>
              <w:numPr>
                <w:ilvl w:val="0"/>
                <w:numId w:val="138"/>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32EE63BD" w14:textId="7A3DF8E6" w:rsidR="00614438" w:rsidRPr="00AA7A53" w:rsidRDefault="00624889" w:rsidP="00AA7A53">
            <w:pPr>
              <w:numPr>
                <w:ilvl w:val="0"/>
                <w:numId w:val="138"/>
              </w:numPr>
              <w:spacing w:after="0"/>
              <w:jc w:val="both"/>
              <w:rPr>
                <w:rFonts w:ascii="Times New Roman" w:hAnsi="Times New Roman" w:cs="Times New Roman"/>
                <w:sz w:val="20"/>
                <w:szCs w:val="20"/>
              </w:rPr>
            </w:pPr>
            <w:r w:rsidRPr="00AA7A53">
              <w:rPr>
                <w:rFonts w:ascii="Times New Roman" w:hAnsi="Times New Roman" w:cs="Times New Roman"/>
                <w:sz w:val="20"/>
                <w:szCs w:val="20"/>
              </w:rPr>
              <w:t>JSC “Elektromreža Srbije“ - EMS</w:t>
            </w:r>
          </w:p>
        </w:tc>
      </w:tr>
      <w:tr w:rsidR="00624889" w:rsidRPr="00AA7A53" w14:paraId="367C5FA5" w14:textId="77777777" w:rsidTr="00624889">
        <w:trPr>
          <w:gridAfter w:val="1"/>
          <w:wAfter w:w="1212" w:type="dxa"/>
          <w:trHeight w:val="315"/>
        </w:trPr>
        <w:tc>
          <w:tcPr>
            <w:tcW w:w="3248" w:type="dxa"/>
            <w:tcBorders>
              <w:top w:val="nil"/>
              <w:left w:val="single" w:sz="8" w:space="0" w:color="auto"/>
              <w:bottom w:val="single" w:sz="8" w:space="0" w:color="auto"/>
              <w:right w:val="nil"/>
            </w:tcBorders>
            <w:shd w:val="clear" w:color="auto" w:fill="244062"/>
            <w:vAlign w:val="center"/>
            <w:hideMark/>
          </w:tcPr>
          <w:p w14:paraId="6D3EE9EC" w14:textId="77777777" w:rsidR="00624889" w:rsidRPr="00AA7A53" w:rsidRDefault="00624889"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40" w:type="dxa"/>
            <w:gridSpan w:val="3"/>
            <w:tcBorders>
              <w:top w:val="single" w:sz="8" w:space="0" w:color="auto"/>
              <w:left w:val="nil"/>
              <w:bottom w:val="single" w:sz="8" w:space="0" w:color="auto"/>
              <w:right w:val="single" w:sz="8" w:space="0" w:color="000000"/>
            </w:tcBorders>
            <w:vAlign w:val="center"/>
            <w:hideMark/>
          </w:tcPr>
          <w:p w14:paraId="21A0F24E" w14:textId="654BE985" w:rsidR="00624889" w:rsidRPr="00AA7A53" w:rsidRDefault="00624889" w:rsidP="00AA7A53">
            <w:pPr>
              <w:numPr>
                <w:ilvl w:val="0"/>
                <w:numId w:val="138"/>
              </w:numPr>
              <w:spacing w:after="0"/>
              <w:jc w:val="both"/>
              <w:rPr>
                <w:rFonts w:ascii="Times New Roman" w:hAnsi="Times New Roman" w:cs="Times New Roman"/>
                <w:sz w:val="20"/>
                <w:szCs w:val="20"/>
              </w:rPr>
            </w:pPr>
            <w:r w:rsidRPr="00AA7A53">
              <w:rPr>
                <w:rFonts w:ascii="Times New Roman" w:hAnsi="Times New Roman" w:cs="Times New Roman"/>
                <w:sz w:val="20"/>
                <w:szCs w:val="20"/>
              </w:rPr>
              <w:t> JSC “Elektromreža Srbije“ - EMS</w:t>
            </w:r>
          </w:p>
        </w:tc>
      </w:tr>
      <w:tr w:rsidR="00614438" w:rsidRPr="00AA7A53" w14:paraId="6AA6BF54" w14:textId="77777777" w:rsidTr="00624889">
        <w:trPr>
          <w:gridAfter w:val="1"/>
          <w:wAfter w:w="1212" w:type="dxa"/>
          <w:trHeight w:val="315"/>
        </w:trPr>
        <w:tc>
          <w:tcPr>
            <w:tcW w:w="3248" w:type="dxa"/>
            <w:tcBorders>
              <w:top w:val="nil"/>
              <w:left w:val="single" w:sz="8" w:space="0" w:color="auto"/>
              <w:bottom w:val="single" w:sz="8" w:space="0" w:color="auto"/>
              <w:right w:val="nil"/>
            </w:tcBorders>
            <w:shd w:val="clear" w:color="auto" w:fill="244062"/>
            <w:vAlign w:val="center"/>
            <w:hideMark/>
          </w:tcPr>
          <w:p w14:paraId="5C6E177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40" w:type="dxa"/>
            <w:gridSpan w:val="3"/>
            <w:tcBorders>
              <w:top w:val="single" w:sz="8" w:space="0" w:color="auto"/>
              <w:left w:val="nil"/>
              <w:bottom w:val="single" w:sz="8" w:space="0" w:color="auto"/>
              <w:right w:val="single" w:sz="8" w:space="0" w:color="000000"/>
            </w:tcBorders>
            <w:vAlign w:val="center"/>
            <w:hideMark/>
          </w:tcPr>
          <w:p w14:paraId="0686A72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Interconnectivity targets</w:t>
            </w:r>
          </w:p>
          <w:p w14:paraId="76C7D0E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The possibility of connecting additional RES capacities </w:t>
            </w:r>
          </w:p>
        </w:tc>
      </w:tr>
      <w:tr w:rsidR="00614438" w:rsidRPr="00AA7A53" w14:paraId="7AD92852" w14:textId="77777777" w:rsidTr="00624889">
        <w:trPr>
          <w:gridAfter w:val="1"/>
          <w:wAfter w:w="1212" w:type="dxa"/>
          <w:trHeight w:val="525"/>
        </w:trPr>
        <w:tc>
          <w:tcPr>
            <w:tcW w:w="3248" w:type="dxa"/>
            <w:tcBorders>
              <w:top w:val="nil"/>
              <w:left w:val="single" w:sz="8" w:space="0" w:color="auto"/>
              <w:bottom w:val="single" w:sz="8" w:space="0" w:color="auto"/>
              <w:right w:val="single" w:sz="8" w:space="0" w:color="auto"/>
            </w:tcBorders>
            <w:shd w:val="clear" w:color="auto" w:fill="244062"/>
            <w:vAlign w:val="center"/>
            <w:hideMark/>
          </w:tcPr>
          <w:p w14:paraId="1A06F26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40" w:type="dxa"/>
            <w:gridSpan w:val="3"/>
            <w:tcBorders>
              <w:top w:val="single" w:sz="8" w:space="0" w:color="auto"/>
              <w:left w:val="nil"/>
              <w:bottom w:val="single" w:sz="8" w:space="0" w:color="auto"/>
              <w:right w:val="single" w:sz="8" w:space="0" w:color="000000"/>
            </w:tcBorders>
            <w:vAlign w:val="center"/>
            <w:hideMark/>
          </w:tcPr>
          <w:p w14:paraId="178D2631" w14:textId="77777777" w:rsidR="00614438" w:rsidRPr="00AA7A53" w:rsidRDefault="00614438" w:rsidP="00AA7A53">
            <w:pPr>
              <w:numPr>
                <w:ilvl w:val="0"/>
                <w:numId w:val="138"/>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p w14:paraId="1CFEED0F" w14:textId="77777777" w:rsidR="00614438" w:rsidRPr="00AA7A53" w:rsidRDefault="00614438" w:rsidP="00AA7A53">
            <w:pPr>
              <w:numPr>
                <w:ilvl w:val="0"/>
                <w:numId w:val="138"/>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29DB88CC" w14:textId="77777777" w:rsidTr="00624889">
        <w:trPr>
          <w:gridAfter w:val="1"/>
          <w:wAfter w:w="1212" w:type="dxa"/>
          <w:trHeight w:val="458"/>
        </w:trPr>
        <w:tc>
          <w:tcPr>
            <w:tcW w:w="3248" w:type="dxa"/>
            <w:vMerge w:val="restart"/>
            <w:tcBorders>
              <w:top w:val="nil"/>
              <w:left w:val="single" w:sz="8" w:space="0" w:color="auto"/>
              <w:bottom w:val="single" w:sz="8" w:space="0" w:color="000000"/>
              <w:right w:val="single" w:sz="8" w:space="0" w:color="auto"/>
            </w:tcBorders>
            <w:shd w:val="clear" w:color="auto" w:fill="244062"/>
            <w:vAlign w:val="center"/>
            <w:hideMark/>
          </w:tcPr>
          <w:p w14:paraId="77ECC3C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4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11EA797" w14:textId="77777777" w:rsidR="00614438" w:rsidRPr="00AA7A53" w:rsidRDefault="00614438" w:rsidP="00AA7A53">
            <w:pPr>
              <w:numPr>
                <w:ilvl w:val="0"/>
                <w:numId w:val="136"/>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2009/72/EC</w:t>
            </w:r>
          </w:p>
          <w:p w14:paraId="20103C07" w14:textId="77777777" w:rsidR="00614438" w:rsidRPr="00AA7A53" w:rsidRDefault="00614438" w:rsidP="00AA7A53">
            <w:pPr>
              <w:numPr>
                <w:ilvl w:val="0"/>
                <w:numId w:val="136"/>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347/2013</w:t>
            </w:r>
          </w:p>
        </w:tc>
      </w:tr>
      <w:tr w:rsidR="00614438" w:rsidRPr="00AA7A53" w14:paraId="000374EB"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661BD30C"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47C6480"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432866FB"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276CA67" w14:textId="77777777" w:rsidTr="00614438">
        <w:trPr>
          <w:trHeight w:val="113"/>
        </w:trPr>
        <w:tc>
          <w:tcPr>
            <w:tcW w:w="0" w:type="auto"/>
            <w:vMerge/>
            <w:tcBorders>
              <w:top w:val="nil"/>
              <w:left w:val="single" w:sz="8" w:space="0" w:color="auto"/>
              <w:bottom w:val="single" w:sz="8" w:space="0" w:color="000000"/>
              <w:right w:val="single" w:sz="8" w:space="0" w:color="auto"/>
            </w:tcBorders>
            <w:vAlign w:val="center"/>
            <w:hideMark/>
          </w:tcPr>
          <w:p w14:paraId="1FA904A9"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2247E18"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3D0636F3"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5AE8DF01" w14:textId="77777777" w:rsidTr="00624889">
        <w:trPr>
          <w:trHeight w:val="780"/>
        </w:trPr>
        <w:tc>
          <w:tcPr>
            <w:tcW w:w="3248" w:type="dxa"/>
            <w:tcBorders>
              <w:top w:val="nil"/>
              <w:left w:val="single" w:sz="8" w:space="0" w:color="auto"/>
              <w:bottom w:val="single" w:sz="8" w:space="0" w:color="auto"/>
              <w:right w:val="single" w:sz="8" w:space="0" w:color="auto"/>
            </w:tcBorders>
            <w:shd w:val="clear" w:color="auto" w:fill="244062"/>
            <w:vAlign w:val="center"/>
            <w:hideMark/>
          </w:tcPr>
          <w:p w14:paraId="123FA38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40" w:type="dxa"/>
            <w:gridSpan w:val="3"/>
            <w:tcBorders>
              <w:top w:val="single" w:sz="8" w:space="0" w:color="auto"/>
              <w:left w:val="nil"/>
              <w:bottom w:val="single" w:sz="8" w:space="0" w:color="auto"/>
              <w:right w:val="single" w:sz="8" w:space="0" w:color="000000"/>
            </w:tcBorders>
            <w:vAlign w:val="center"/>
            <w:hideMark/>
          </w:tcPr>
          <w:p w14:paraId="2E71C1F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TYNDP 2021-2030</w:t>
            </w:r>
          </w:p>
        </w:tc>
        <w:tc>
          <w:tcPr>
            <w:tcW w:w="1212" w:type="dxa"/>
            <w:vAlign w:val="center"/>
            <w:hideMark/>
          </w:tcPr>
          <w:p w14:paraId="5D2B22F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EB404BD" w14:textId="77777777" w:rsidTr="00624889">
        <w:trPr>
          <w:trHeight w:val="315"/>
        </w:trPr>
        <w:tc>
          <w:tcPr>
            <w:tcW w:w="3248" w:type="dxa"/>
            <w:tcBorders>
              <w:top w:val="nil"/>
              <w:left w:val="single" w:sz="8" w:space="0" w:color="auto"/>
              <w:bottom w:val="single" w:sz="8" w:space="0" w:color="auto"/>
              <w:right w:val="single" w:sz="8" w:space="0" w:color="auto"/>
            </w:tcBorders>
            <w:shd w:val="clear" w:color="auto" w:fill="244062"/>
            <w:vAlign w:val="center"/>
            <w:hideMark/>
          </w:tcPr>
          <w:p w14:paraId="32C0069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40" w:type="dxa"/>
            <w:gridSpan w:val="3"/>
            <w:tcBorders>
              <w:top w:val="single" w:sz="8" w:space="0" w:color="auto"/>
              <w:left w:val="nil"/>
              <w:bottom w:val="single" w:sz="8" w:space="0" w:color="auto"/>
              <w:right w:val="single" w:sz="8" w:space="0" w:color="000000"/>
            </w:tcBorders>
            <w:vAlign w:val="center"/>
            <w:hideMark/>
          </w:tcPr>
          <w:p w14:paraId="0BC90DB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214,07 M€</w:t>
            </w:r>
          </w:p>
        </w:tc>
        <w:tc>
          <w:tcPr>
            <w:tcW w:w="1212" w:type="dxa"/>
            <w:vAlign w:val="center"/>
            <w:hideMark/>
          </w:tcPr>
          <w:p w14:paraId="3B2111C8"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46EE25C" w14:textId="77777777" w:rsidTr="00624889">
        <w:trPr>
          <w:trHeight w:val="315"/>
        </w:trPr>
        <w:tc>
          <w:tcPr>
            <w:tcW w:w="3248" w:type="dxa"/>
            <w:tcBorders>
              <w:top w:val="nil"/>
              <w:left w:val="single" w:sz="8" w:space="0" w:color="auto"/>
              <w:bottom w:val="single" w:sz="8" w:space="0" w:color="auto"/>
              <w:right w:val="single" w:sz="8" w:space="0" w:color="auto"/>
            </w:tcBorders>
            <w:shd w:val="clear" w:color="auto" w:fill="244062"/>
            <w:vAlign w:val="center"/>
            <w:hideMark/>
          </w:tcPr>
          <w:p w14:paraId="5B26B3C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Financing source(s)</w:t>
            </w:r>
          </w:p>
        </w:tc>
        <w:tc>
          <w:tcPr>
            <w:tcW w:w="6240" w:type="dxa"/>
            <w:gridSpan w:val="3"/>
            <w:tcBorders>
              <w:top w:val="single" w:sz="8" w:space="0" w:color="auto"/>
              <w:left w:val="nil"/>
              <w:bottom w:val="single" w:sz="8" w:space="0" w:color="auto"/>
              <w:right w:val="single" w:sz="8" w:space="0" w:color="000000"/>
            </w:tcBorders>
            <w:vAlign w:val="center"/>
            <w:hideMark/>
          </w:tcPr>
          <w:p w14:paraId="76CADEE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1212" w:type="dxa"/>
            <w:vAlign w:val="center"/>
            <w:hideMark/>
          </w:tcPr>
          <w:p w14:paraId="5FD75F46" w14:textId="77777777" w:rsidR="00614438" w:rsidRPr="00AA7A53" w:rsidRDefault="00614438" w:rsidP="00AA7A53">
            <w:pPr>
              <w:spacing w:after="0"/>
              <w:jc w:val="both"/>
              <w:rPr>
                <w:rFonts w:ascii="Times New Roman" w:hAnsi="Times New Roman" w:cs="Times New Roman"/>
                <w:sz w:val="20"/>
                <w:szCs w:val="20"/>
                <w:lang w:val="en-GB"/>
              </w:rPr>
            </w:pPr>
          </w:p>
        </w:tc>
      </w:tr>
    </w:tbl>
    <w:p w14:paraId="0CEECCC6"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46"/>
        <w:gridCol w:w="1243"/>
        <w:gridCol w:w="926"/>
        <w:gridCol w:w="4073"/>
        <w:gridCol w:w="1212"/>
      </w:tblGrid>
      <w:tr w:rsidR="00614438" w:rsidRPr="00AA7A53" w14:paraId="5A9B5989" w14:textId="77777777" w:rsidTr="00624889">
        <w:trPr>
          <w:gridAfter w:val="1"/>
          <w:wAfter w:w="1212" w:type="dxa"/>
          <w:trHeight w:val="780"/>
        </w:trPr>
        <w:tc>
          <w:tcPr>
            <w:tcW w:w="3246"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40328A3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243" w:type="dxa"/>
            <w:tcBorders>
              <w:top w:val="single" w:sz="8" w:space="0" w:color="auto"/>
              <w:left w:val="nil"/>
              <w:bottom w:val="single" w:sz="8" w:space="0" w:color="auto"/>
              <w:right w:val="single" w:sz="8" w:space="0" w:color="auto"/>
            </w:tcBorders>
            <w:shd w:val="clear" w:color="auto" w:fill="E7E6E6" w:themeFill="background2"/>
            <w:vAlign w:val="center"/>
            <w:hideMark/>
          </w:tcPr>
          <w:p w14:paraId="6DEE3CD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PM_IEM7</w:t>
            </w:r>
          </w:p>
        </w:tc>
        <w:tc>
          <w:tcPr>
            <w:tcW w:w="926" w:type="dxa"/>
            <w:tcBorders>
              <w:top w:val="single" w:sz="8" w:space="0" w:color="auto"/>
              <w:left w:val="nil"/>
              <w:bottom w:val="single" w:sz="8" w:space="0" w:color="auto"/>
              <w:right w:val="single" w:sz="8" w:space="0" w:color="auto"/>
            </w:tcBorders>
            <w:shd w:val="clear" w:color="auto" w:fill="244062"/>
            <w:vAlign w:val="center"/>
            <w:hideMark/>
          </w:tcPr>
          <w:p w14:paraId="67A11FE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073" w:type="dxa"/>
            <w:tcBorders>
              <w:top w:val="single" w:sz="8" w:space="0" w:color="auto"/>
              <w:left w:val="nil"/>
              <w:bottom w:val="single" w:sz="8" w:space="0" w:color="auto"/>
              <w:right w:val="single" w:sz="8" w:space="0" w:color="auto"/>
            </w:tcBorders>
            <w:shd w:val="clear" w:color="auto" w:fill="E7E6E6" w:themeFill="background2"/>
            <w:vAlign w:val="center"/>
            <w:hideMark/>
          </w:tcPr>
          <w:p w14:paraId="2B50ECD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RES integration cluster of projects – North Corridor </w:t>
            </w:r>
          </w:p>
        </w:tc>
      </w:tr>
      <w:tr w:rsidR="00614438" w:rsidRPr="00AA7A53" w14:paraId="22E9FB15" w14:textId="77777777" w:rsidTr="00624889">
        <w:trPr>
          <w:gridAfter w:val="1"/>
          <w:wAfter w:w="1212" w:type="dxa"/>
          <w:trHeight w:val="960"/>
        </w:trPr>
        <w:tc>
          <w:tcPr>
            <w:tcW w:w="3246" w:type="dxa"/>
            <w:tcBorders>
              <w:top w:val="nil"/>
              <w:left w:val="single" w:sz="8" w:space="0" w:color="auto"/>
              <w:bottom w:val="single" w:sz="8" w:space="0" w:color="auto"/>
              <w:right w:val="nil"/>
            </w:tcBorders>
            <w:shd w:val="clear" w:color="auto" w:fill="244062"/>
            <w:vAlign w:val="center"/>
            <w:hideMark/>
          </w:tcPr>
          <w:p w14:paraId="14C6BDA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42" w:type="dxa"/>
            <w:gridSpan w:val="3"/>
            <w:tcBorders>
              <w:top w:val="single" w:sz="8" w:space="0" w:color="auto"/>
              <w:left w:val="nil"/>
              <w:bottom w:val="single" w:sz="8" w:space="0" w:color="auto"/>
              <w:right w:val="single" w:sz="8" w:space="0" w:color="000000"/>
            </w:tcBorders>
            <w:vAlign w:val="center"/>
            <w:hideMark/>
          </w:tcPr>
          <w:p w14:paraId="2766843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Maintaining and achieving the interconnectivity targets; planning and implementation of electricity and gas transmission infrastructure projects (and, where relevant, modernization projects); ensuring the reliability of the customers’ power supply; creation of conditions for further industrial development of the areas where the project is located; integration of the desired level of RES; providing the necessary level of flexibility of the power system; which are necessary for the achievement of objectives and targets under the five dimensions of the Energy Union.</w:t>
            </w:r>
          </w:p>
        </w:tc>
      </w:tr>
      <w:tr w:rsidR="00624889" w:rsidRPr="00AA7A53" w14:paraId="570224A1" w14:textId="77777777" w:rsidTr="00624889">
        <w:trPr>
          <w:gridAfter w:val="1"/>
          <w:wAfter w:w="1212" w:type="dxa"/>
          <w:trHeight w:val="315"/>
        </w:trPr>
        <w:tc>
          <w:tcPr>
            <w:tcW w:w="3246" w:type="dxa"/>
            <w:tcBorders>
              <w:top w:val="nil"/>
              <w:left w:val="single" w:sz="8" w:space="0" w:color="auto"/>
              <w:bottom w:val="single" w:sz="8" w:space="0" w:color="auto"/>
              <w:right w:val="single" w:sz="8" w:space="0" w:color="auto"/>
            </w:tcBorders>
            <w:shd w:val="clear" w:color="auto" w:fill="244062"/>
            <w:vAlign w:val="center"/>
            <w:hideMark/>
          </w:tcPr>
          <w:p w14:paraId="05521FB6" w14:textId="77777777" w:rsidR="00624889" w:rsidRPr="00AA7A53" w:rsidRDefault="00624889"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42" w:type="dxa"/>
            <w:gridSpan w:val="3"/>
            <w:tcBorders>
              <w:top w:val="single" w:sz="8" w:space="0" w:color="auto"/>
              <w:left w:val="nil"/>
              <w:bottom w:val="single" w:sz="8" w:space="0" w:color="auto"/>
              <w:right w:val="single" w:sz="8" w:space="0" w:color="000000"/>
            </w:tcBorders>
            <w:vAlign w:val="center"/>
            <w:hideMark/>
          </w:tcPr>
          <w:p w14:paraId="3A973CBE" w14:textId="4AFC5DF1" w:rsidR="00624889" w:rsidRPr="00AA7A53" w:rsidRDefault="00624889"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Interconnectivity targets fulfilled, planned until 2030, N-1 security criterion, other CBA indicators</w:t>
            </w:r>
          </w:p>
        </w:tc>
      </w:tr>
      <w:tr w:rsidR="00614438" w:rsidRPr="00AA7A53" w14:paraId="56F4F366" w14:textId="77777777" w:rsidTr="00624889">
        <w:trPr>
          <w:gridAfter w:val="1"/>
          <w:wAfter w:w="1212" w:type="dxa"/>
          <w:trHeight w:val="1708"/>
        </w:trPr>
        <w:tc>
          <w:tcPr>
            <w:tcW w:w="3246" w:type="dxa"/>
            <w:tcBorders>
              <w:top w:val="nil"/>
              <w:left w:val="single" w:sz="8" w:space="0" w:color="auto"/>
              <w:bottom w:val="single" w:sz="8" w:space="0" w:color="auto"/>
              <w:right w:val="single" w:sz="8" w:space="0" w:color="auto"/>
            </w:tcBorders>
            <w:shd w:val="clear" w:color="auto" w:fill="244062"/>
            <w:vAlign w:val="center"/>
            <w:hideMark/>
          </w:tcPr>
          <w:p w14:paraId="08442C0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42" w:type="dxa"/>
            <w:gridSpan w:val="3"/>
            <w:tcBorders>
              <w:top w:val="single" w:sz="8" w:space="0" w:color="auto"/>
              <w:left w:val="nil"/>
              <w:bottom w:val="single" w:sz="8" w:space="0" w:color="auto"/>
              <w:right w:val="single" w:sz="8" w:space="0" w:color="000000"/>
            </w:tcBorders>
            <w:vAlign w:val="center"/>
            <w:hideMark/>
          </w:tcPr>
          <w:p w14:paraId="3A58CAF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PM_IEM7 corresponds to a set of infrastructure measures complementing the BEOGRID cluster and together with the Serbian - Romanian Interconnection (expected to be ready by 2029) are collectively referred to as North Corridor in the Serbian TYNDP 2021-2030.</w:t>
            </w:r>
          </w:p>
          <w:p w14:paraId="7B6F9D87" w14:textId="7D459DD4"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The BEOGRID cluster involves a set of infrastructure measures as they are included in the Serbian TYNDP 2021-2030 and is expected to be completed by 2028. The overall project comprises the Belgrade 50 substation 400/110 kV with associated 400 kV and 110 kV outlets and the overhead double line 400 kV TS from Belgrade 50 substation to the region of southern Banat (close to wind farm </w:t>
            </w:r>
            <w:r w:rsidR="00DA68C0" w:rsidRPr="00AA7A53">
              <w:rPr>
                <w:rFonts w:ascii="Times New Roman" w:hAnsi="Times New Roman" w:cs="Times New Roman"/>
                <w:sz w:val="20"/>
                <w:szCs w:val="20"/>
                <w:lang w:val="en-GB"/>
              </w:rPr>
              <w:t>Cu</w:t>
            </w:r>
            <w:r w:rsidRPr="00AA7A53">
              <w:rPr>
                <w:rFonts w:ascii="Times New Roman" w:hAnsi="Times New Roman" w:cs="Times New Roman"/>
                <w:sz w:val="20"/>
                <w:szCs w:val="20"/>
                <w:lang w:val="en-GB"/>
              </w:rPr>
              <w:t>buk).</w:t>
            </w:r>
          </w:p>
          <w:p w14:paraId="03FB338A" w14:textId="62ADA9F9"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Overall, the infrastructure works</w:t>
            </w:r>
            <w:r w:rsidR="00DA68C0" w:rsidRPr="00AA7A53">
              <w:rPr>
                <w:rFonts w:ascii="Times New Roman" w:hAnsi="Times New Roman" w:cs="Times New Roman"/>
                <w:sz w:val="20"/>
                <w:szCs w:val="20"/>
                <w:lang w:val="en-GB"/>
              </w:rPr>
              <w:t>, which</w:t>
            </w:r>
            <w:r w:rsidRPr="00AA7A53">
              <w:rPr>
                <w:rFonts w:ascii="Times New Roman" w:hAnsi="Times New Roman" w:cs="Times New Roman"/>
                <w:sz w:val="20"/>
                <w:szCs w:val="20"/>
                <w:lang w:val="en-GB"/>
              </w:rPr>
              <w:t xml:space="preserve"> correspond to an overall investment of ca. 84 million EUR</w:t>
            </w:r>
            <w:r w:rsidR="00DA68C0"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are expected to be fully in operation by 2030.</w:t>
            </w:r>
          </w:p>
        </w:tc>
      </w:tr>
      <w:tr w:rsidR="00614438" w:rsidRPr="00AA7A53" w14:paraId="4230C3D8" w14:textId="77777777" w:rsidTr="00624889">
        <w:trPr>
          <w:gridAfter w:val="1"/>
          <w:wAfter w:w="1212" w:type="dxa"/>
          <w:trHeight w:val="315"/>
        </w:trPr>
        <w:tc>
          <w:tcPr>
            <w:tcW w:w="3246" w:type="dxa"/>
            <w:tcBorders>
              <w:top w:val="nil"/>
              <w:left w:val="single" w:sz="8" w:space="0" w:color="auto"/>
              <w:bottom w:val="single" w:sz="8" w:space="0" w:color="auto"/>
              <w:right w:val="single" w:sz="8" w:space="0" w:color="auto"/>
            </w:tcBorders>
            <w:shd w:val="clear" w:color="auto" w:fill="244062"/>
            <w:vAlign w:val="center"/>
            <w:hideMark/>
          </w:tcPr>
          <w:p w14:paraId="0E2A67B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42" w:type="dxa"/>
            <w:gridSpan w:val="3"/>
            <w:tcBorders>
              <w:top w:val="single" w:sz="8" w:space="0" w:color="auto"/>
              <w:left w:val="nil"/>
              <w:bottom w:val="single" w:sz="8" w:space="0" w:color="auto"/>
              <w:right w:val="single" w:sz="8" w:space="0" w:color="000000"/>
            </w:tcBorders>
            <w:vAlign w:val="center"/>
            <w:hideMark/>
          </w:tcPr>
          <w:p w14:paraId="0BD9EB9E" w14:textId="135F216A" w:rsidR="00614438" w:rsidRPr="00AA7A53" w:rsidRDefault="00DA68C0"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Until </w:t>
            </w:r>
            <w:r w:rsidR="00614438" w:rsidRPr="00AA7A53">
              <w:rPr>
                <w:rFonts w:ascii="Times New Roman" w:hAnsi="Times New Roman" w:cs="Times New Roman"/>
                <w:sz w:val="20"/>
                <w:szCs w:val="20"/>
                <w:lang w:val="en-GB"/>
              </w:rPr>
              <w:t>2029</w:t>
            </w:r>
          </w:p>
        </w:tc>
      </w:tr>
      <w:tr w:rsidR="00614438" w:rsidRPr="00AA7A53" w14:paraId="0B7495BA" w14:textId="77777777" w:rsidTr="00624889">
        <w:trPr>
          <w:gridAfter w:val="1"/>
          <w:wAfter w:w="1212" w:type="dxa"/>
          <w:trHeight w:val="315"/>
        </w:trPr>
        <w:tc>
          <w:tcPr>
            <w:tcW w:w="3246" w:type="dxa"/>
            <w:tcBorders>
              <w:top w:val="nil"/>
              <w:left w:val="single" w:sz="8" w:space="0" w:color="auto"/>
              <w:bottom w:val="single" w:sz="8" w:space="0" w:color="auto"/>
              <w:right w:val="single" w:sz="8" w:space="0" w:color="auto"/>
            </w:tcBorders>
            <w:shd w:val="clear" w:color="auto" w:fill="244062"/>
            <w:vAlign w:val="center"/>
            <w:hideMark/>
          </w:tcPr>
          <w:p w14:paraId="63D61F3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42" w:type="dxa"/>
            <w:gridSpan w:val="3"/>
            <w:tcBorders>
              <w:top w:val="single" w:sz="8" w:space="0" w:color="auto"/>
              <w:left w:val="nil"/>
              <w:bottom w:val="single" w:sz="8" w:space="0" w:color="auto"/>
              <w:right w:val="single" w:sz="8" w:space="0" w:color="000000"/>
            </w:tcBorders>
            <w:vAlign w:val="center"/>
            <w:hideMark/>
          </w:tcPr>
          <w:p w14:paraId="28777FF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69278D4E" w14:textId="77777777" w:rsidTr="00624889">
        <w:trPr>
          <w:gridAfter w:val="1"/>
          <w:wAfter w:w="1212" w:type="dxa"/>
          <w:trHeight w:val="315"/>
        </w:trPr>
        <w:tc>
          <w:tcPr>
            <w:tcW w:w="3246" w:type="dxa"/>
            <w:tcBorders>
              <w:top w:val="nil"/>
              <w:left w:val="single" w:sz="8" w:space="0" w:color="auto"/>
              <w:bottom w:val="single" w:sz="8" w:space="0" w:color="auto"/>
              <w:right w:val="single" w:sz="8" w:space="0" w:color="auto"/>
            </w:tcBorders>
            <w:shd w:val="clear" w:color="auto" w:fill="244062"/>
            <w:vAlign w:val="center"/>
            <w:hideMark/>
          </w:tcPr>
          <w:p w14:paraId="12A0AB2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42" w:type="dxa"/>
            <w:gridSpan w:val="3"/>
            <w:tcBorders>
              <w:top w:val="single" w:sz="8" w:space="0" w:color="auto"/>
              <w:left w:val="nil"/>
              <w:bottom w:val="single" w:sz="8" w:space="0" w:color="auto"/>
              <w:right w:val="single" w:sz="8" w:space="0" w:color="000000"/>
            </w:tcBorders>
            <w:vAlign w:val="center"/>
            <w:hideMark/>
          </w:tcPr>
          <w:p w14:paraId="38D1F16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Electricity</w:t>
            </w:r>
          </w:p>
        </w:tc>
      </w:tr>
      <w:tr w:rsidR="00614438" w:rsidRPr="00AA7A53" w14:paraId="73650B09" w14:textId="77777777" w:rsidTr="00624889">
        <w:trPr>
          <w:gridAfter w:val="1"/>
          <w:wAfter w:w="1212" w:type="dxa"/>
          <w:trHeight w:val="315"/>
        </w:trPr>
        <w:tc>
          <w:tcPr>
            <w:tcW w:w="3246" w:type="dxa"/>
            <w:tcBorders>
              <w:top w:val="nil"/>
              <w:left w:val="single" w:sz="8" w:space="0" w:color="auto"/>
              <w:bottom w:val="single" w:sz="8" w:space="0" w:color="auto"/>
              <w:right w:val="single" w:sz="8" w:space="0" w:color="auto"/>
            </w:tcBorders>
            <w:shd w:val="clear" w:color="auto" w:fill="244062"/>
            <w:vAlign w:val="center"/>
            <w:hideMark/>
          </w:tcPr>
          <w:p w14:paraId="2D64D7B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42" w:type="dxa"/>
            <w:gridSpan w:val="3"/>
            <w:tcBorders>
              <w:top w:val="single" w:sz="8" w:space="0" w:color="auto"/>
              <w:left w:val="nil"/>
              <w:bottom w:val="single" w:sz="8" w:space="0" w:color="auto"/>
              <w:right w:val="single" w:sz="8" w:space="0" w:color="000000"/>
            </w:tcBorders>
            <w:vAlign w:val="center"/>
            <w:hideMark/>
          </w:tcPr>
          <w:p w14:paraId="10B40396" w14:textId="77777777" w:rsidR="00614438" w:rsidRPr="00AA7A53" w:rsidRDefault="00614438" w:rsidP="00AA7A53">
            <w:pPr>
              <w:numPr>
                <w:ilvl w:val="0"/>
                <w:numId w:val="138"/>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64FA5A3F" w14:textId="40AC5888" w:rsidR="00614438" w:rsidRPr="00AA7A53" w:rsidRDefault="00DA68C0" w:rsidP="00AA7A53">
            <w:pPr>
              <w:numPr>
                <w:ilvl w:val="0"/>
                <w:numId w:val="138"/>
              </w:numPr>
              <w:spacing w:after="0"/>
              <w:jc w:val="both"/>
              <w:rPr>
                <w:rFonts w:ascii="Times New Roman" w:hAnsi="Times New Roman" w:cs="Times New Roman"/>
                <w:sz w:val="20"/>
                <w:szCs w:val="20"/>
              </w:rPr>
            </w:pPr>
            <w:r w:rsidRPr="00AA7A53">
              <w:rPr>
                <w:rFonts w:ascii="Times New Roman" w:hAnsi="Times New Roman" w:cs="Times New Roman"/>
                <w:sz w:val="20"/>
                <w:szCs w:val="20"/>
              </w:rPr>
              <w:t>JSC “Elektromreža Srbije“ - EMS</w:t>
            </w:r>
          </w:p>
        </w:tc>
      </w:tr>
      <w:tr w:rsidR="00614438" w:rsidRPr="00AA7A53" w14:paraId="77D831D4" w14:textId="77777777" w:rsidTr="00624889">
        <w:trPr>
          <w:gridAfter w:val="1"/>
          <w:wAfter w:w="1212" w:type="dxa"/>
          <w:trHeight w:val="315"/>
        </w:trPr>
        <w:tc>
          <w:tcPr>
            <w:tcW w:w="3246" w:type="dxa"/>
            <w:tcBorders>
              <w:top w:val="nil"/>
              <w:left w:val="single" w:sz="8" w:space="0" w:color="auto"/>
              <w:bottom w:val="single" w:sz="8" w:space="0" w:color="auto"/>
              <w:right w:val="nil"/>
            </w:tcBorders>
            <w:shd w:val="clear" w:color="auto" w:fill="244062"/>
            <w:vAlign w:val="center"/>
            <w:hideMark/>
          </w:tcPr>
          <w:p w14:paraId="0665448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42" w:type="dxa"/>
            <w:gridSpan w:val="3"/>
            <w:tcBorders>
              <w:top w:val="single" w:sz="8" w:space="0" w:color="auto"/>
              <w:left w:val="nil"/>
              <w:bottom w:val="single" w:sz="8" w:space="0" w:color="auto"/>
              <w:right w:val="single" w:sz="8" w:space="0" w:color="000000"/>
            </w:tcBorders>
            <w:vAlign w:val="center"/>
            <w:hideMark/>
          </w:tcPr>
          <w:p w14:paraId="76034E1A" w14:textId="446A0C14" w:rsidR="00614438" w:rsidRPr="00AA7A53" w:rsidRDefault="00DA68C0" w:rsidP="00AA7A53">
            <w:pPr>
              <w:numPr>
                <w:ilvl w:val="0"/>
                <w:numId w:val="138"/>
              </w:numPr>
              <w:spacing w:after="0"/>
              <w:jc w:val="both"/>
              <w:rPr>
                <w:rFonts w:ascii="Times New Roman" w:hAnsi="Times New Roman" w:cs="Times New Roman"/>
                <w:sz w:val="20"/>
                <w:szCs w:val="20"/>
              </w:rPr>
            </w:pPr>
            <w:r w:rsidRPr="00AA7A53">
              <w:rPr>
                <w:rFonts w:ascii="Times New Roman" w:hAnsi="Times New Roman" w:cs="Times New Roman"/>
                <w:sz w:val="20"/>
                <w:szCs w:val="20"/>
              </w:rPr>
              <w:t>JSC “Elektromreža Srbije“ - EMS</w:t>
            </w:r>
          </w:p>
        </w:tc>
      </w:tr>
      <w:tr w:rsidR="00614438" w:rsidRPr="00AA7A53" w14:paraId="5994FFC6" w14:textId="77777777" w:rsidTr="00624889">
        <w:trPr>
          <w:gridAfter w:val="1"/>
          <w:wAfter w:w="1212" w:type="dxa"/>
          <w:trHeight w:val="315"/>
        </w:trPr>
        <w:tc>
          <w:tcPr>
            <w:tcW w:w="3246" w:type="dxa"/>
            <w:tcBorders>
              <w:top w:val="nil"/>
              <w:left w:val="single" w:sz="8" w:space="0" w:color="auto"/>
              <w:bottom w:val="single" w:sz="8" w:space="0" w:color="auto"/>
              <w:right w:val="nil"/>
            </w:tcBorders>
            <w:shd w:val="clear" w:color="auto" w:fill="244062"/>
            <w:vAlign w:val="center"/>
            <w:hideMark/>
          </w:tcPr>
          <w:p w14:paraId="3BFC91E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42" w:type="dxa"/>
            <w:gridSpan w:val="3"/>
            <w:tcBorders>
              <w:top w:val="single" w:sz="8" w:space="0" w:color="auto"/>
              <w:left w:val="nil"/>
              <w:bottom w:val="single" w:sz="8" w:space="0" w:color="auto"/>
              <w:right w:val="single" w:sz="8" w:space="0" w:color="000000"/>
            </w:tcBorders>
            <w:vAlign w:val="center"/>
            <w:hideMark/>
          </w:tcPr>
          <w:p w14:paraId="6376C09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Interconnectivity targets</w:t>
            </w:r>
          </w:p>
          <w:p w14:paraId="5DC7EB2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The possibility of connecting additional RES capacities </w:t>
            </w:r>
          </w:p>
        </w:tc>
      </w:tr>
      <w:tr w:rsidR="00614438" w:rsidRPr="00AA7A53" w14:paraId="199D8077" w14:textId="77777777" w:rsidTr="00624889">
        <w:trPr>
          <w:gridAfter w:val="1"/>
          <w:wAfter w:w="1212" w:type="dxa"/>
          <w:trHeight w:val="525"/>
        </w:trPr>
        <w:tc>
          <w:tcPr>
            <w:tcW w:w="3246" w:type="dxa"/>
            <w:tcBorders>
              <w:top w:val="nil"/>
              <w:left w:val="single" w:sz="8" w:space="0" w:color="auto"/>
              <w:bottom w:val="single" w:sz="8" w:space="0" w:color="auto"/>
              <w:right w:val="single" w:sz="8" w:space="0" w:color="auto"/>
            </w:tcBorders>
            <w:shd w:val="clear" w:color="auto" w:fill="244062"/>
            <w:vAlign w:val="center"/>
            <w:hideMark/>
          </w:tcPr>
          <w:p w14:paraId="4425292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42" w:type="dxa"/>
            <w:gridSpan w:val="3"/>
            <w:tcBorders>
              <w:top w:val="single" w:sz="8" w:space="0" w:color="auto"/>
              <w:left w:val="nil"/>
              <w:bottom w:val="single" w:sz="8" w:space="0" w:color="auto"/>
              <w:right w:val="single" w:sz="8" w:space="0" w:color="000000"/>
            </w:tcBorders>
            <w:vAlign w:val="center"/>
            <w:hideMark/>
          </w:tcPr>
          <w:p w14:paraId="60A83E97" w14:textId="77777777" w:rsidR="00614438" w:rsidRPr="00AA7A53" w:rsidRDefault="00614438" w:rsidP="00AA7A53">
            <w:pPr>
              <w:numPr>
                <w:ilvl w:val="0"/>
                <w:numId w:val="138"/>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p w14:paraId="31761201" w14:textId="77777777" w:rsidR="00614438" w:rsidRPr="00AA7A53" w:rsidRDefault="00614438" w:rsidP="00AA7A53">
            <w:pPr>
              <w:numPr>
                <w:ilvl w:val="0"/>
                <w:numId w:val="138"/>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4F5FB12E" w14:textId="77777777" w:rsidTr="00624889">
        <w:trPr>
          <w:gridAfter w:val="1"/>
          <w:wAfter w:w="1212" w:type="dxa"/>
          <w:trHeight w:val="458"/>
        </w:trPr>
        <w:tc>
          <w:tcPr>
            <w:tcW w:w="3246" w:type="dxa"/>
            <w:vMerge w:val="restart"/>
            <w:tcBorders>
              <w:top w:val="nil"/>
              <w:left w:val="single" w:sz="8" w:space="0" w:color="auto"/>
              <w:bottom w:val="single" w:sz="8" w:space="0" w:color="000000"/>
              <w:right w:val="single" w:sz="8" w:space="0" w:color="auto"/>
            </w:tcBorders>
            <w:shd w:val="clear" w:color="auto" w:fill="244062"/>
            <w:vAlign w:val="center"/>
            <w:hideMark/>
          </w:tcPr>
          <w:p w14:paraId="4A560F6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42"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298ADEA" w14:textId="77777777" w:rsidR="00614438" w:rsidRPr="00AA7A53" w:rsidRDefault="00614438" w:rsidP="00AA7A53">
            <w:pPr>
              <w:numPr>
                <w:ilvl w:val="0"/>
                <w:numId w:val="139"/>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2009/72/EC</w:t>
            </w:r>
          </w:p>
          <w:p w14:paraId="1654D442" w14:textId="77777777" w:rsidR="00614438" w:rsidRPr="00AA7A53" w:rsidRDefault="00614438" w:rsidP="00AA7A53">
            <w:pPr>
              <w:numPr>
                <w:ilvl w:val="0"/>
                <w:numId w:val="139"/>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347/2013</w:t>
            </w:r>
          </w:p>
        </w:tc>
      </w:tr>
      <w:tr w:rsidR="00614438" w:rsidRPr="00AA7A53" w14:paraId="6FA1DD68"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251D1D4F"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8FA333E"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618CBFAB"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4E5B9C0" w14:textId="77777777" w:rsidTr="00614438">
        <w:trPr>
          <w:trHeight w:val="113"/>
        </w:trPr>
        <w:tc>
          <w:tcPr>
            <w:tcW w:w="0" w:type="auto"/>
            <w:vMerge/>
            <w:tcBorders>
              <w:top w:val="nil"/>
              <w:left w:val="single" w:sz="8" w:space="0" w:color="auto"/>
              <w:bottom w:val="single" w:sz="8" w:space="0" w:color="000000"/>
              <w:right w:val="single" w:sz="8" w:space="0" w:color="auto"/>
            </w:tcBorders>
            <w:vAlign w:val="center"/>
            <w:hideMark/>
          </w:tcPr>
          <w:p w14:paraId="2FB7DA44"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B3D235E"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33829D9F"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62FC8DCB" w14:textId="77777777" w:rsidTr="00624889">
        <w:trPr>
          <w:trHeight w:val="780"/>
        </w:trPr>
        <w:tc>
          <w:tcPr>
            <w:tcW w:w="3246" w:type="dxa"/>
            <w:tcBorders>
              <w:top w:val="nil"/>
              <w:left w:val="single" w:sz="8" w:space="0" w:color="auto"/>
              <w:bottom w:val="single" w:sz="8" w:space="0" w:color="auto"/>
              <w:right w:val="single" w:sz="8" w:space="0" w:color="auto"/>
            </w:tcBorders>
            <w:shd w:val="clear" w:color="auto" w:fill="244062"/>
            <w:vAlign w:val="center"/>
            <w:hideMark/>
          </w:tcPr>
          <w:p w14:paraId="6C13BE2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42" w:type="dxa"/>
            <w:gridSpan w:val="3"/>
            <w:tcBorders>
              <w:top w:val="single" w:sz="8" w:space="0" w:color="auto"/>
              <w:left w:val="nil"/>
              <w:bottom w:val="single" w:sz="8" w:space="0" w:color="auto"/>
              <w:right w:val="single" w:sz="8" w:space="0" w:color="000000"/>
            </w:tcBorders>
            <w:vAlign w:val="center"/>
            <w:hideMark/>
          </w:tcPr>
          <w:p w14:paraId="4C73FD32" w14:textId="77777777" w:rsidR="00614438" w:rsidRPr="00AA7A53" w:rsidRDefault="00614438" w:rsidP="00AA7A53">
            <w:pPr>
              <w:numPr>
                <w:ilvl w:val="0"/>
                <w:numId w:val="139"/>
              </w:numPr>
              <w:spacing w:after="0"/>
              <w:jc w:val="both"/>
              <w:rPr>
                <w:rFonts w:ascii="Times New Roman" w:hAnsi="Times New Roman" w:cs="Times New Roman"/>
                <w:sz w:val="20"/>
                <w:szCs w:val="20"/>
              </w:rPr>
            </w:pPr>
            <w:r w:rsidRPr="00AA7A53">
              <w:rPr>
                <w:rFonts w:ascii="Times New Roman" w:hAnsi="Times New Roman" w:cs="Times New Roman"/>
                <w:sz w:val="20"/>
                <w:szCs w:val="20"/>
              </w:rPr>
              <w:t>TYNDP 2021-2030</w:t>
            </w:r>
          </w:p>
        </w:tc>
        <w:tc>
          <w:tcPr>
            <w:tcW w:w="1212" w:type="dxa"/>
            <w:vAlign w:val="center"/>
            <w:hideMark/>
          </w:tcPr>
          <w:p w14:paraId="18C5453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DC281B0" w14:textId="77777777" w:rsidTr="00624889">
        <w:trPr>
          <w:trHeight w:val="315"/>
        </w:trPr>
        <w:tc>
          <w:tcPr>
            <w:tcW w:w="3246" w:type="dxa"/>
            <w:tcBorders>
              <w:top w:val="nil"/>
              <w:left w:val="single" w:sz="8" w:space="0" w:color="auto"/>
              <w:bottom w:val="single" w:sz="8" w:space="0" w:color="auto"/>
              <w:right w:val="single" w:sz="8" w:space="0" w:color="auto"/>
            </w:tcBorders>
            <w:shd w:val="clear" w:color="auto" w:fill="244062"/>
            <w:vAlign w:val="center"/>
            <w:hideMark/>
          </w:tcPr>
          <w:p w14:paraId="0DD87D8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42" w:type="dxa"/>
            <w:gridSpan w:val="3"/>
            <w:tcBorders>
              <w:top w:val="single" w:sz="8" w:space="0" w:color="auto"/>
              <w:left w:val="nil"/>
              <w:bottom w:val="single" w:sz="8" w:space="0" w:color="auto"/>
              <w:right w:val="single" w:sz="8" w:space="0" w:color="000000"/>
            </w:tcBorders>
            <w:vAlign w:val="center"/>
            <w:hideMark/>
          </w:tcPr>
          <w:p w14:paraId="4554D3F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84 M€</w:t>
            </w:r>
          </w:p>
        </w:tc>
        <w:tc>
          <w:tcPr>
            <w:tcW w:w="1212" w:type="dxa"/>
            <w:vAlign w:val="center"/>
            <w:hideMark/>
          </w:tcPr>
          <w:p w14:paraId="6254E42D"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02DCEAD" w14:textId="77777777" w:rsidTr="00624889">
        <w:trPr>
          <w:trHeight w:val="315"/>
        </w:trPr>
        <w:tc>
          <w:tcPr>
            <w:tcW w:w="3246" w:type="dxa"/>
            <w:tcBorders>
              <w:top w:val="nil"/>
              <w:left w:val="single" w:sz="8" w:space="0" w:color="auto"/>
              <w:bottom w:val="single" w:sz="8" w:space="0" w:color="auto"/>
              <w:right w:val="single" w:sz="8" w:space="0" w:color="auto"/>
            </w:tcBorders>
            <w:shd w:val="clear" w:color="auto" w:fill="244062"/>
            <w:vAlign w:val="center"/>
            <w:hideMark/>
          </w:tcPr>
          <w:p w14:paraId="59F639F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42" w:type="dxa"/>
            <w:gridSpan w:val="3"/>
            <w:tcBorders>
              <w:top w:val="single" w:sz="8" w:space="0" w:color="auto"/>
              <w:left w:val="nil"/>
              <w:bottom w:val="single" w:sz="8" w:space="0" w:color="auto"/>
              <w:right w:val="single" w:sz="8" w:space="0" w:color="000000"/>
            </w:tcBorders>
            <w:vAlign w:val="center"/>
            <w:hideMark/>
          </w:tcPr>
          <w:p w14:paraId="561BA54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1212" w:type="dxa"/>
            <w:vAlign w:val="center"/>
            <w:hideMark/>
          </w:tcPr>
          <w:p w14:paraId="7D9FA299" w14:textId="77777777" w:rsidR="00614438" w:rsidRPr="00AA7A53" w:rsidRDefault="00614438" w:rsidP="00AA7A53">
            <w:pPr>
              <w:spacing w:after="0"/>
              <w:jc w:val="both"/>
              <w:rPr>
                <w:rFonts w:ascii="Times New Roman" w:hAnsi="Times New Roman" w:cs="Times New Roman"/>
                <w:sz w:val="20"/>
                <w:szCs w:val="20"/>
                <w:lang w:val="en-GB"/>
              </w:rPr>
            </w:pPr>
          </w:p>
        </w:tc>
      </w:tr>
    </w:tbl>
    <w:p w14:paraId="285EAFDF" w14:textId="77777777" w:rsidR="00614438" w:rsidRPr="00AA7A53" w:rsidRDefault="00614438" w:rsidP="00AA7A53">
      <w:pPr>
        <w:spacing w:after="0"/>
        <w:jc w:val="both"/>
        <w:rPr>
          <w:rFonts w:ascii="Times New Roman" w:hAnsi="Times New Roman" w:cs="Times New Roman"/>
          <w:sz w:val="20"/>
          <w:szCs w:val="20"/>
          <w:lang w:val="en-GB"/>
        </w:rPr>
      </w:pPr>
    </w:p>
    <w:p w14:paraId="538DBC93" w14:textId="005EF016" w:rsidR="00614438" w:rsidRPr="00614438" w:rsidRDefault="00DA68C0" w:rsidP="00DA68C0">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3.4.2 </w:t>
      </w:r>
      <w:r w:rsidR="00614438" w:rsidRPr="00614438">
        <w:rPr>
          <w:rFonts w:ascii="Times New Roman" w:hAnsi="Times New Roman" w:cs="Times New Roman"/>
          <w:sz w:val="24"/>
          <w:szCs w:val="24"/>
          <w:lang w:val="en-GB"/>
        </w:rPr>
        <w:t>Energy transmission infrastructure</w:t>
      </w:r>
    </w:p>
    <w:p w14:paraId="7F8846F0"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54"/>
        <w:gridCol w:w="1207"/>
        <w:gridCol w:w="927"/>
        <w:gridCol w:w="4100"/>
        <w:gridCol w:w="1212"/>
      </w:tblGrid>
      <w:tr w:rsidR="00614438" w:rsidRPr="00AA7A53" w14:paraId="721B5483" w14:textId="77777777" w:rsidTr="00614438">
        <w:trPr>
          <w:gridAfter w:val="1"/>
          <w:wAfter w:w="1212" w:type="dxa"/>
          <w:trHeight w:val="780"/>
        </w:trPr>
        <w:tc>
          <w:tcPr>
            <w:tcW w:w="3254"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A1668D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2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38C0B92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PM_IEM8</w:t>
            </w:r>
          </w:p>
        </w:tc>
        <w:tc>
          <w:tcPr>
            <w:tcW w:w="927" w:type="dxa"/>
            <w:tcBorders>
              <w:top w:val="single" w:sz="8" w:space="0" w:color="auto"/>
              <w:left w:val="nil"/>
              <w:bottom w:val="single" w:sz="8" w:space="0" w:color="auto"/>
              <w:right w:val="single" w:sz="8" w:space="0" w:color="auto"/>
            </w:tcBorders>
            <w:shd w:val="clear" w:color="auto" w:fill="244062"/>
            <w:vAlign w:val="center"/>
            <w:hideMark/>
          </w:tcPr>
          <w:p w14:paraId="548AE33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00" w:type="dxa"/>
            <w:tcBorders>
              <w:top w:val="single" w:sz="8" w:space="0" w:color="auto"/>
              <w:left w:val="nil"/>
              <w:bottom w:val="single" w:sz="8" w:space="0" w:color="auto"/>
              <w:right w:val="single" w:sz="8" w:space="0" w:color="auto"/>
            </w:tcBorders>
            <w:shd w:val="clear" w:color="auto" w:fill="E7E6E6" w:themeFill="background2"/>
            <w:vAlign w:val="center"/>
            <w:hideMark/>
          </w:tcPr>
          <w:p w14:paraId="6F3C29C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Regional gas connection through the implementation of interconnection projects</w:t>
            </w:r>
          </w:p>
        </w:tc>
      </w:tr>
      <w:tr w:rsidR="00614438" w:rsidRPr="00AA7A53" w14:paraId="4185E0E1" w14:textId="77777777" w:rsidTr="00614438">
        <w:trPr>
          <w:gridAfter w:val="1"/>
          <w:wAfter w:w="1212" w:type="dxa"/>
          <w:trHeight w:val="584"/>
        </w:trPr>
        <w:tc>
          <w:tcPr>
            <w:tcW w:w="3254" w:type="dxa"/>
            <w:tcBorders>
              <w:top w:val="nil"/>
              <w:left w:val="single" w:sz="8" w:space="0" w:color="auto"/>
              <w:bottom w:val="single" w:sz="8" w:space="0" w:color="auto"/>
              <w:right w:val="nil"/>
            </w:tcBorders>
            <w:shd w:val="clear" w:color="auto" w:fill="244062"/>
            <w:vAlign w:val="center"/>
            <w:hideMark/>
          </w:tcPr>
          <w:p w14:paraId="1D861FC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 xml:space="preserve">Main objective: </w:t>
            </w:r>
          </w:p>
        </w:tc>
        <w:tc>
          <w:tcPr>
            <w:tcW w:w="6234" w:type="dxa"/>
            <w:gridSpan w:val="3"/>
            <w:tcBorders>
              <w:top w:val="single" w:sz="8" w:space="0" w:color="auto"/>
              <w:left w:val="nil"/>
              <w:bottom w:val="single" w:sz="8" w:space="0" w:color="auto"/>
              <w:right w:val="single" w:sz="8" w:space="0" w:color="000000"/>
            </w:tcBorders>
            <w:vAlign w:val="center"/>
            <w:hideMark/>
          </w:tcPr>
          <w:p w14:paraId="3D7EB8D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Infrastructure, market integration aimed at increasing the tradeable capacity, consumer protection and improvement of competition, regional integration</w:t>
            </w:r>
          </w:p>
        </w:tc>
      </w:tr>
      <w:tr w:rsidR="00614438" w:rsidRPr="00AA7A53" w14:paraId="57F3F4CA" w14:textId="77777777" w:rsidTr="00614438">
        <w:trPr>
          <w:gridAfter w:val="1"/>
          <w:wAfter w:w="1212" w:type="dxa"/>
          <w:trHeight w:val="315"/>
        </w:trPr>
        <w:tc>
          <w:tcPr>
            <w:tcW w:w="3254" w:type="dxa"/>
            <w:tcBorders>
              <w:top w:val="nil"/>
              <w:left w:val="single" w:sz="8" w:space="0" w:color="auto"/>
              <w:bottom w:val="single" w:sz="8" w:space="0" w:color="auto"/>
              <w:right w:val="single" w:sz="8" w:space="0" w:color="auto"/>
            </w:tcBorders>
            <w:shd w:val="clear" w:color="auto" w:fill="244062"/>
            <w:vAlign w:val="center"/>
            <w:hideMark/>
          </w:tcPr>
          <w:p w14:paraId="4810EA3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34" w:type="dxa"/>
            <w:gridSpan w:val="3"/>
            <w:tcBorders>
              <w:top w:val="single" w:sz="8" w:space="0" w:color="auto"/>
              <w:left w:val="nil"/>
              <w:bottom w:val="single" w:sz="8" w:space="0" w:color="auto"/>
              <w:right w:val="single" w:sz="8" w:space="0" w:color="000000"/>
            </w:tcBorders>
            <w:vAlign w:val="center"/>
            <w:hideMark/>
          </w:tcPr>
          <w:p w14:paraId="4BF6D91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interconnection capacity</w:t>
            </w:r>
          </w:p>
        </w:tc>
      </w:tr>
      <w:tr w:rsidR="00614438" w:rsidRPr="00AA7A53" w14:paraId="15E6AE31" w14:textId="77777777" w:rsidTr="00614438">
        <w:trPr>
          <w:gridAfter w:val="1"/>
          <w:wAfter w:w="1212" w:type="dxa"/>
          <w:trHeight w:val="1525"/>
        </w:trPr>
        <w:tc>
          <w:tcPr>
            <w:tcW w:w="3254" w:type="dxa"/>
            <w:tcBorders>
              <w:top w:val="nil"/>
              <w:left w:val="single" w:sz="8" w:space="0" w:color="auto"/>
              <w:bottom w:val="single" w:sz="8" w:space="0" w:color="auto"/>
              <w:right w:val="single" w:sz="8" w:space="0" w:color="auto"/>
            </w:tcBorders>
            <w:shd w:val="clear" w:color="auto" w:fill="244062"/>
            <w:vAlign w:val="center"/>
            <w:hideMark/>
          </w:tcPr>
          <w:p w14:paraId="4502DF9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34" w:type="dxa"/>
            <w:gridSpan w:val="3"/>
            <w:tcBorders>
              <w:top w:val="single" w:sz="8" w:space="0" w:color="auto"/>
              <w:left w:val="nil"/>
              <w:bottom w:val="single" w:sz="8" w:space="0" w:color="auto"/>
              <w:right w:val="single" w:sz="8" w:space="0" w:color="000000"/>
            </w:tcBorders>
            <w:vAlign w:val="center"/>
            <w:hideMark/>
          </w:tcPr>
          <w:p w14:paraId="1A49A25E" w14:textId="7061A3AB" w:rsidR="00614438" w:rsidRPr="00AA7A53" w:rsidRDefault="00614438" w:rsidP="00AA7A53">
            <w:pPr>
              <w:spacing w:after="0"/>
              <w:jc w:val="both"/>
              <w:rPr>
                <w:rFonts w:ascii="Times New Roman" w:hAnsi="Times New Roman" w:cs="Times New Roman"/>
                <w:sz w:val="20"/>
                <w:szCs w:val="20"/>
                <w:lang w:val="en-GB"/>
              </w:rPr>
            </w:pPr>
            <w:bookmarkStart w:id="159" w:name="_Hlk113476536"/>
            <w:r w:rsidRPr="00AA7A53">
              <w:rPr>
                <w:rFonts w:ascii="Times New Roman" w:hAnsi="Times New Roman" w:cs="Times New Roman"/>
                <w:sz w:val="20"/>
                <w:szCs w:val="20"/>
                <w:lang w:val="en-GB"/>
              </w:rPr>
              <w:t>This includes the following interconnections for gas</w:t>
            </w:r>
            <w:r w:rsidR="00DA68C0"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w:t>
            </w:r>
            <w:r w:rsidR="00DA68C0" w:rsidRPr="00AA7A53">
              <w:rPr>
                <w:rFonts w:ascii="Times New Roman" w:hAnsi="Times New Roman" w:cs="Times New Roman"/>
                <w:sz w:val="20"/>
                <w:szCs w:val="20"/>
                <w:lang w:val="en-GB"/>
              </w:rPr>
              <w:t xml:space="preserve">it </w:t>
            </w:r>
            <w:r w:rsidRPr="00AA7A53">
              <w:rPr>
                <w:rFonts w:ascii="Times New Roman" w:hAnsi="Times New Roman" w:cs="Times New Roman"/>
                <w:sz w:val="20"/>
                <w:szCs w:val="20"/>
                <w:lang w:val="en-GB"/>
              </w:rPr>
              <w:t>may be considered as stemming from PLIMA</w:t>
            </w:r>
            <w:r w:rsidR="00DA68C0"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Gas_10 (TRA-N-70) Interconnector Serbia-Croatia, Gas_11 (TRA-N-965) Interconnector Serbia-North Macedonia, G08 Serbia-Romania (not included in ENTSOG TYNDP 2020, TRA-N-1268 in TYNDP 2018) and Gastrans</w:t>
            </w:r>
            <w:bookmarkEnd w:id="159"/>
            <w:r w:rsidRPr="00AA7A53">
              <w:rPr>
                <w:rFonts w:ascii="Times New Roman" w:hAnsi="Times New Roman" w:cs="Times New Roman"/>
                <w:sz w:val="20"/>
                <w:szCs w:val="20"/>
                <w:lang w:val="en-GB"/>
              </w:rPr>
              <w:t>.</w:t>
            </w:r>
          </w:p>
        </w:tc>
      </w:tr>
      <w:tr w:rsidR="00614438" w:rsidRPr="00AA7A53" w14:paraId="216B9A51" w14:textId="77777777" w:rsidTr="00614438">
        <w:trPr>
          <w:gridAfter w:val="1"/>
          <w:wAfter w:w="1212" w:type="dxa"/>
          <w:trHeight w:val="315"/>
        </w:trPr>
        <w:tc>
          <w:tcPr>
            <w:tcW w:w="3254" w:type="dxa"/>
            <w:tcBorders>
              <w:top w:val="nil"/>
              <w:left w:val="single" w:sz="8" w:space="0" w:color="auto"/>
              <w:bottom w:val="single" w:sz="8" w:space="0" w:color="auto"/>
              <w:right w:val="single" w:sz="8" w:space="0" w:color="auto"/>
            </w:tcBorders>
            <w:shd w:val="clear" w:color="auto" w:fill="244062"/>
            <w:vAlign w:val="center"/>
            <w:hideMark/>
          </w:tcPr>
          <w:p w14:paraId="4DB5509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34" w:type="dxa"/>
            <w:gridSpan w:val="3"/>
            <w:tcBorders>
              <w:top w:val="single" w:sz="8" w:space="0" w:color="auto"/>
              <w:left w:val="nil"/>
              <w:bottom w:val="single" w:sz="8" w:space="0" w:color="auto"/>
              <w:right w:val="single" w:sz="8" w:space="0" w:color="000000"/>
            </w:tcBorders>
            <w:vAlign w:val="center"/>
            <w:hideMark/>
          </w:tcPr>
          <w:p w14:paraId="3FE0781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2026-2030</w:t>
            </w:r>
          </w:p>
        </w:tc>
      </w:tr>
      <w:tr w:rsidR="00614438" w:rsidRPr="00AA7A53" w14:paraId="00D8D8A7" w14:textId="77777777" w:rsidTr="00614438">
        <w:trPr>
          <w:gridAfter w:val="1"/>
          <w:wAfter w:w="1212" w:type="dxa"/>
          <w:trHeight w:val="315"/>
        </w:trPr>
        <w:tc>
          <w:tcPr>
            <w:tcW w:w="3254" w:type="dxa"/>
            <w:tcBorders>
              <w:top w:val="nil"/>
              <w:left w:val="single" w:sz="8" w:space="0" w:color="auto"/>
              <w:bottom w:val="single" w:sz="8" w:space="0" w:color="auto"/>
              <w:right w:val="single" w:sz="8" w:space="0" w:color="auto"/>
            </w:tcBorders>
            <w:shd w:val="clear" w:color="auto" w:fill="244062"/>
            <w:vAlign w:val="center"/>
            <w:hideMark/>
          </w:tcPr>
          <w:p w14:paraId="380BE35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34" w:type="dxa"/>
            <w:gridSpan w:val="3"/>
            <w:tcBorders>
              <w:top w:val="single" w:sz="8" w:space="0" w:color="auto"/>
              <w:left w:val="nil"/>
              <w:bottom w:val="single" w:sz="8" w:space="0" w:color="auto"/>
              <w:right w:val="single" w:sz="8" w:space="0" w:color="000000"/>
            </w:tcBorders>
            <w:vAlign w:val="center"/>
            <w:hideMark/>
          </w:tcPr>
          <w:p w14:paraId="3B1DC9F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70D2E455" w14:textId="77777777" w:rsidTr="00614438">
        <w:trPr>
          <w:gridAfter w:val="1"/>
          <w:wAfter w:w="1212" w:type="dxa"/>
          <w:trHeight w:val="315"/>
        </w:trPr>
        <w:tc>
          <w:tcPr>
            <w:tcW w:w="3254" w:type="dxa"/>
            <w:tcBorders>
              <w:top w:val="nil"/>
              <w:left w:val="single" w:sz="8" w:space="0" w:color="auto"/>
              <w:bottom w:val="single" w:sz="8" w:space="0" w:color="auto"/>
              <w:right w:val="single" w:sz="8" w:space="0" w:color="auto"/>
            </w:tcBorders>
            <w:shd w:val="clear" w:color="auto" w:fill="244062"/>
            <w:vAlign w:val="center"/>
            <w:hideMark/>
          </w:tcPr>
          <w:p w14:paraId="19FC37B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34" w:type="dxa"/>
            <w:gridSpan w:val="3"/>
            <w:tcBorders>
              <w:top w:val="single" w:sz="8" w:space="0" w:color="auto"/>
              <w:left w:val="nil"/>
              <w:bottom w:val="single" w:sz="8" w:space="0" w:color="auto"/>
              <w:right w:val="single" w:sz="8" w:space="0" w:color="000000"/>
            </w:tcBorders>
            <w:vAlign w:val="center"/>
            <w:hideMark/>
          </w:tcPr>
          <w:p w14:paraId="7BF13D8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Gas</w:t>
            </w:r>
          </w:p>
        </w:tc>
      </w:tr>
      <w:tr w:rsidR="00614438" w:rsidRPr="00AA7A53" w14:paraId="680D7A2A" w14:textId="77777777" w:rsidTr="00614438">
        <w:trPr>
          <w:gridAfter w:val="1"/>
          <w:wAfter w:w="1212" w:type="dxa"/>
          <w:trHeight w:val="315"/>
        </w:trPr>
        <w:tc>
          <w:tcPr>
            <w:tcW w:w="3254" w:type="dxa"/>
            <w:tcBorders>
              <w:top w:val="nil"/>
              <w:left w:val="single" w:sz="8" w:space="0" w:color="auto"/>
              <w:bottom w:val="single" w:sz="8" w:space="0" w:color="auto"/>
              <w:right w:val="single" w:sz="8" w:space="0" w:color="auto"/>
            </w:tcBorders>
            <w:shd w:val="clear" w:color="auto" w:fill="244062"/>
            <w:vAlign w:val="center"/>
            <w:hideMark/>
          </w:tcPr>
          <w:p w14:paraId="658E899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34" w:type="dxa"/>
            <w:gridSpan w:val="3"/>
            <w:tcBorders>
              <w:top w:val="single" w:sz="8" w:space="0" w:color="auto"/>
              <w:left w:val="nil"/>
              <w:bottom w:val="single" w:sz="8" w:space="0" w:color="auto"/>
              <w:right w:val="single" w:sz="8" w:space="0" w:color="000000"/>
            </w:tcBorders>
            <w:vAlign w:val="center"/>
            <w:hideMark/>
          </w:tcPr>
          <w:p w14:paraId="2841314F" w14:textId="19068AF4" w:rsidR="00614438" w:rsidRPr="00AA7A53" w:rsidRDefault="00DA68C0"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PE “Srbijagas”, </w:t>
            </w:r>
            <w:r w:rsidR="00614438" w:rsidRPr="00AA7A53">
              <w:rPr>
                <w:rFonts w:ascii="Times New Roman" w:hAnsi="Times New Roman" w:cs="Times New Roman"/>
                <w:sz w:val="20"/>
                <w:szCs w:val="20"/>
              </w:rPr>
              <w:t>Transportgas</w:t>
            </w:r>
            <w:r w:rsidRPr="00AA7A53">
              <w:rPr>
                <w:rFonts w:ascii="Times New Roman" w:hAnsi="Times New Roman" w:cs="Times New Roman"/>
                <w:sz w:val="20"/>
                <w:szCs w:val="20"/>
              </w:rPr>
              <w:t xml:space="preserve"> Srbija ltd</w:t>
            </w:r>
          </w:p>
        </w:tc>
      </w:tr>
      <w:tr w:rsidR="00614438" w:rsidRPr="00AA7A53" w14:paraId="47770DA9" w14:textId="77777777" w:rsidTr="00614438">
        <w:trPr>
          <w:gridAfter w:val="1"/>
          <w:wAfter w:w="1212" w:type="dxa"/>
          <w:trHeight w:val="315"/>
        </w:trPr>
        <w:tc>
          <w:tcPr>
            <w:tcW w:w="3254" w:type="dxa"/>
            <w:tcBorders>
              <w:top w:val="nil"/>
              <w:left w:val="single" w:sz="8" w:space="0" w:color="auto"/>
              <w:bottom w:val="single" w:sz="8" w:space="0" w:color="auto"/>
              <w:right w:val="nil"/>
            </w:tcBorders>
            <w:shd w:val="clear" w:color="auto" w:fill="244062"/>
            <w:vAlign w:val="center"/>
            <w:hideMark/>
          </w:tcPr>
          <w:p w14:paraId="68148E9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34" w:type="dxa"/>
            <w:gridSpan w:val="3"/>
            <w:tcBorders>
              <w:top w:val="single" w:sz="8" w:space="0" w:color="auto"/>
              <w:left w:val="nil"/>
              <w:bottom w:val="single" w:sz="8" w:space="0" w:color="auto"/>
              <w:right w:val="single" w:sz="8" w:space="0" w:color="000000"/>
            </w:tcBorders>
            <w:vAlign w:val="center"/>
            <w:hideMark/>
          </w:tcPr>
          <w:p w14:paraId="77B06324"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44D8662C"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Ministy of Construction, Transport and Infrastructure</w:t>
            </w:r>
          </w:p>
          <w:p w14:paraId="3CD476D5"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p w14:paraId="3DDFA2D8"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Serbia</w:t>
            </w:r>
          </w:p>
        </w:tc>
      </w:tr>
      <w:tr w:rsidR="00614438" w:rsidRPr="00AA7A53" w14:paraId="406FE292" w14:textId="77777777" w:rsidTr="00614438">
        <w:trPr>
          <w:gridAfter w:val="1"/>
          <w:wAfter w:w="1212" w:type="dxa"/>
          <w:trHeight w:val="315"/>
        </w:trPr>
        <w:tc>
          <w:tcPr>
            <w:tcW w:w="3254" w:type="dxa"/>
            <w:tcBorders>
              <w:top w:val="nil"/>
              <w:left w:val="single" w:sz="8" w:space="0" w:color="auto"/>
              <w:bottom w:val="single" w:sz="8" w:space="0" w:color="auto"/>
              <w:right w:val="nil"/>
            </w:tcBorders>
            <w:shd w:val="clear" w:color="auto" w:fill="244062"/>
            <w:vAlign w:val="center"/>
            <w:hideMark/>
          </w:tcPr>
          <w:p w14:paraId="3D53FA6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34" w:type="dxa"/>
            <w:gridSpan w:val="3"/>
            <w:tcBorders>
              <w:top w:val="single" w:sz="8" w:space="0" w:color="auto"/>
              <w:left w:val="nil"/>
              <w:bottom w:val="single" w:sz="8" w:space="0" w:color="auto"/>
              <w:right w:val="single" w:sz="8" w:space="0" w:color="000000"/>
            </w:tcBorders>
            <w:vAlign w:val="center"/>
            <w:hideMark/>
          </w:tcPr>
          <w:p w14:paraId="59B99AA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Final Investment Decision, building permit, commissioning date, commercial operation date</w:t>
            </w:r>
          </w:p>
        </w:tc>
      </w:tr>
      <w:tr w:rsidR="00614438" w:rsidRPr="00AA7A53" w14:paraId="160F2DBB" w14:textId="77777777" w:rsidTr="00614438">
        <w:trPr>
          <w:gridAfter w:val="1"/>
          <w:wAfter w:w="1212" w:type="dxa"/>
          <w:trHeight w:val="668"/>
        </w:trPr>
        <w:tc>
          <w:tcPr>
            <w:tcW w:w="3254" w:type="dxa"/>
            <w:tcBorders>
              <w:top w:val="nil"/>
              <w:left w:val="single" w:sz="8" w:space="0" w:color="auto"/>
              <w:bottom w:val="single" w:sz="8" w:space="0" w:color="auto"/>
              <w:right w:val="single" w:sz="8" w:space="0" w:color="auto"/>
            </w:tcBorders>
            <w:shd w:val="clear" w:color="auto" w:fill="244062"/>
            <w:vAlign w:val="center"/>
            <w:hideMark/>
          </w:tcPr>
          <w:p w14:paraId="1F53E15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34" w:type="dxa"/>
            <w:gridSpan w:val="3"/>
            <w:tcBorders>
              <w:top w:val="single" w:sz="8" w:space="0" w:color="auto"/>
              <w:left w:val="nil"/>
              <w:bottom w:val="single" w:sz="8" w:space="0" w:color="auto"/>
              <w:right w:val="single" w:sz="8" w:space="0" w:color="000000"/>
            </w:tcBorders>
            <w:vAlign w:val="center"/>
            <w:hideMark/>
          </w:tcPr>
          <w:p w14:paraId="6FF7B7F0"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p w14:paraId="0D587863"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0F9F8C10" w14:textId="77777777" w:rsidTr="00614438">
        <w:trPr>
          <w:gridAfter w:val="1"/>
          <w:wAfter w:w="1212" w:type="dxa"/>
          <w:trHeight w:val="458"/>
        </w:trPr>
        <w:tc>
          <w:tcPr>
            <w:tcW w:w="3254" w:type="dxa"/>
            <w:vMerge w:val="restart"/>
            <w:tcBorders>
              <w:top w:val="nil"/>
              <w:left w:val="single" w:sz="8" w:space="0" w:color="auto"/>
              <w:bottom w:val="single" w:sz="8" w:space="0" w:color="000000"/>
              <w:right w:val="single" w:sz="8" w:space="0" w:color="auto"/>
            </w:tcBorders>
            <w:shd w:val="clear" w:color="auto" w:fill="244062"/>
            <w:vAlign w:val="center"/>
            <w:hideMark/>
          </w:tcPr>
          <w:p w14:paraId="5F5A288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3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20D111AB"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2013/347</w:t>
            </w:r>
          </w:p>
        </w:tc>
      </w:tr>
      <w:tr w:rsidR="00614438" w:rsidRPr="00AA7A53" w14:paraId="3C1051CE"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76CD0B77"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33DC346"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637935C2"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25E9987"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591F2F1D"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C5F5F3A"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11D4F8EF"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4355C3E9" w14:textId="77777777" w:rsidTr="00614438">
        <w:trPr>
          <w:trHeight w:val="780"/>
        </w:trPr>
        <w:tc>
          <w:tcPr>
            <w:tcW w:w="3254" w:type="dxa"/>
            <w:tcBorders>
              <w:top w:val="nil"/>
              <w:left w:val="single" w:sz="8" w:space="0" w:color="auto"/>
              <w:bottom w:val="single" w:sz="8" w:space="0" w:color="auto"/>
              <w:right w:val="single" w:sz="8" w:space="0" w:color="auto"/>
            </w:tcBorders>
            <w:shd w:val="clear" w:color="auto" w:fill="244062"/>
            <w:vAlign w:val="center"/>
            <w:hideMark/>
          </w:tcPr>
          <w:p w14:paraId="7234AC6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34" w:type="dxa"/>
            <w:gridSpan w:val="3"/>
            <w:tcBorders>
              <w:top w:val="single" w:sz="8" w:space="0" w:color="auto"/>
              <w:left w:val="nil"/>
              <w:bottom w:val="single" w:sz="8" w:space="0" w:color="auto"/>
              <w:right w:val="single" w:sz="8" w:space="0" w:color="000000"/>
            </w:tcBorders>
            <w:vAlign w:val="center"/>
            <w:hideMark/>
          </w:tcPr>
          <w:p w14:paraId="69C7D060"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Law</w:t>
            </w:r>
          </w:p>
        </w:tc>
        <w:tc>
          <w:tcPr>
            <w:tcW w:w="1212" w:type="dxa"/>
            <w:vAlign w:val="center"/>
            <w:hideMark/>
          </w:tcPr>
          <w:p w14:paraId="3191D99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3C3D255" w14:textId="77777777" w:rsidTr="00614438">
        <w:trPr>
          <w:trHeight w:val="315"/>
        </w:trPr>
        <w:tc>
          <w:tcPr>
            <w:tcW w:w="3254" w:type="dxa"/>
            <w:tcBorders>
              <w:top w:val="nil"/>
              <w:left w:val="single" w:sz="8" w:space="0" w:color="auto"/>
              <w:bottom w:val="single" w:sz="8" w:space="0" w:color="auto"/>
              <w:right w:val="single" w:sz="8" w:space="0" w:color="auto"/>
            </w:tcBorders>
            <w:shd w:val="clear" w:color="auto" w:fill="244062"/>
            <w:vAlign w:val="center"/>
            <w:hideMark/>
          </w:tcPr>
          <w:p w14:paraId="4C4988C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34" w:type="dxa"/>
            <w:gridSpan w:val="3"/>
            <w:tcBorders>
              <w:top w:val="single" w:sz="8" w:space="0" w:color="auto"/>
              <w:left w:val="nil"/>
              <w:bottom w:val="single" w:sz="8" w:space="0" w:color="auto"/>
              <w:right w:val="single" w:sz="8" w:space="0" w:color="000000"/>
            </w:tcBorders>
            <w:vAlign w:val="center"/>
            <w:hideMark/>
          </w:tcPr>
          <w:p w14:paraId="3C10160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224 M€</w:t>
            </w:r>
          </w:p>
        </w:tc>
        <w:tc>
          <w:tcPr>
            <w:tcW w:w="1212" w:type="dxa"/>
            <w:vAlign w:val="center"/>
            <w:hideMark/>
          </w:tcPr>
          <w:p w14:paraId="502AC49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FA653CE" w14:textId="77777777" w:rsidTr="00614438">
        <w:trPr>
          <w:trHeight w:val="315"/>
        </w:trPr>
        <w:tc>
          <w:tcPr>
            <w:tcW w:w="3254" w:type="dxa"/>
            <w:tcBorders>
              <w:top w:val="nil"/>
              <w:left w:val="single" w:sz="8" w:space="0" w:color="auto"/>
              <w:bottom w:val="single" w:sz="8" w:space="0" w:color="auto"/>
              <w:right w:val="single" w:sz="8" w:space="0" w:color="auto"/>
            </w:tcBorders>
            <w:shd w:val="clear" w:color="auto" w:fill="244062"/>
            <w:vAlign w:val="center"/>
            <w:hideMark/>
          </w:tcPr>
          <w:p w14:paraId="5A68D0A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34" w:type="dxa"/>
            <w:gridSpan w:val="3"/>
            <w:tcBorders>
              <w:top w:val="single" w:sz="8" w:space="0" w:color="auto"/>
              <w:left w:val="nil"/>
              <w:bottom w:val="single" w:sz="8" w:space="0" w:color="auto"/>
              <w:right w:val="single" w:sz="8" w:space="0" w:color="000000"/>
            </w:tcBorders>
            <w:vAlign w:val="center"/>
            <w:hideMark/>
          </w:tcPr>
          <w:p w14:paraId="021AA03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1212" w:type="dxa"/>
            <w:vAlign w:val="center"/>
            <w:hideMark/>
          </w:tcPr>
          <w:p w14:paraId="528050BD" w14:textId="77777777" w:rsidR="00614438" w:rsidRPr="00AA7A53" w:rsidRDefault="00614438" w:rsidP="00AA7A53">
            <w:pPr>
              <w:spacing w:after="0"/>
              <w:jc w:val="both"/>
              <w:rPr>
                <w:rFonts w:ascii="Times New Roman" w:hAnsi="Times New Roman" w:cs="Times New Roman"/>
                <w:sz w:val="20"/>
                <w:szCs w:val="20"/>
                <w:lang w:val="en-GB"/>
              </w:rPr>
            </w:pPr>
          </w:p>
        </w:tc>
      </w:tr>
    </w:tbl>
    <w:p w14:paraId="4AE9DAF4"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184"/>
        <w:gridCol w:w="1423"/>
        <w:gridCol w:w="916"/>
        <w:gridCol w:w="3965"/>
        <w:gridCol w:w="1212"/>
      </w:tblGrid>
      <w:tr w:rsidR="00614438" w:rsidRPr="00AA7A53" w14:paraId="1B917CEF" w14:textId="77777777" w:rsidTr="00DA68C0">
        <w:trPr>
          <w:gridAfter w:val="1"/>
          <w:wAfter w:w="1212" w:type="dxa"/>
          <w:trHeight w:val="780"/>
        </w:trPr>
        <w:tc>
          <w:tcPr>
            <w:tcW w:w="3184"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0881A9A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423" w:type="dxa"/>
            <w:tcBorders>
              <w:top w:val="single" w:sz="8" w:space="0" w:color="auto"/>
              <w:left w:val="nil"/>
              <w:bottom w:val="single" w:sz="8" w:space="0" w:color="auto"/>
              <w:right w:val="single" w:sz="8" w:space="0" w:color="auto"/>
            </w:tcBorders>
            <w:shd w:val="clear" w:color="auto" w:fill="E7E6E6" w:themeFill="background2"/>
            <w:vAlign w:val="center"/>
            <w:hideMark/>
          </w:tcPr>
          <w:p w14:paraId="7156D59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PM_IEM8.2</w:t>
            </w:r>
          </w:p>
        </w:tc>
        <w:tc>
          <w:tcPr>
            <w:tcW w:w="916" w:type="dxa"/>
            <w:tcBorders>
              <w:top w:val="single" w:sz="8" w:space="0" w:color="auto"/>
              <w:left w:val="nil"/>
              <w:bottom w:val="single" w:sz="8" w:space="0" w:color="auto"/>
              <w:right w:val="single" w:sz="8" w:space="0" w:color="auto"/>
            </w:tcBorders>
            <w:shd w:val="clear" w:color="auto" w:fill="244062"/>
            <w:vAlign w:val="center"/>
            <w:hideMark/>
          </w:tcPr>
          <w:p w14:paraId="2B4D053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3965" w:type="dxa"/>
            <w:tcBorders>
              <w:top w:val="single" w:sz="8" w:space="0" w:color="auto"/>
              <w:left w:val="nil"/>
              <w:bottom w:val="single" w:sz="8" w:space="0" w:color="auto"/>
              <w:right w:val="single" w:sz="8" w:space="0" w:color="auto"/>
            </w:tcBorders>
            <w:shd w:val="clear" w:color="auto" w:fill="E7E6E6" w:themeFill="background2"/>
            <w:vAlign w:val="center"/>
            <w:hideMark/>
          </w:tcPr>
          <w:p w14:paraId="44CD85C4" w14:textId="01BD8CD1" w:rsidR="00614438" w:rsidRPr="00AA7A53" w:rsidRDefault="00614438" w:rsidP="00AA7A53">
            <w:pPr>
              <w:spacing w:after="0"/>
              <w:jc w:val="both"/>
              <w:rPr>
                <w:rFonts w:ascii="Times New Roman" w:hAnsi="Times New Roman" w:cs="Times New Roman"/>
                <w:sz w:val="20"/>
                <w:szCs w:val="20"/>
                <w:lang w:val="en-GB"/>
              </w:rPr>
            </w:pPr>
            <w:bookmarkStart w:id="160" w:name="_Hlk113476554"/>
            <w:r w:rsidRPr="00AA7A53">
              <w:rPr>
                <w:rFonts w:ascii="Times New Roman" w:hAnsi="Times New Roman" w:cs="Times New Roman"/>
                <w:sz w:val="20"/>
                <w:szCs w:val="20"/>
                <w:lang w:val="en-GB"/>
              </w:rPr>
              <w:t xml:space="preserve">Project for </w:t>
            </w:r>
            <w:r w:rsidR="00DA68C0" w:rsidRPr="00AA7A53">
              <w:rPr>
                <w:rFonts w:ascii="Times New Roman" w:hAnsi="Times New Roman" w:cs="Times New Roman"/>
                <w:sz w:val="20"/>
                <w:szCs w:val="20"/>
                <w:lang w:val="en-GB"/>
              </w:rPr>
              <w:t xml:space="preserve">a </w:t>
            </w:r>
            <w:r w:rsidRPr="00AA7A53">
              <w:rPr>
                <w:rFonts w:ascii="Times New Roman" w:hAnsi="Times New Roman" w:cs="Times New Roman"/>
                <w:sz w:val="20"/>
                <w:szCs w:val="20"/>
                <w:lang w:val="en-GB"/>
              </w:rPr>
              <w:t>Serbia-Romania gas interconnection 85.5 km</w:t>
            </w:r>
            <w:r w:rsidR="00DA68C0" w:rsidRPr="00AA7A53">
              <w:rPr>
                <w:rFonts w:ascii="Times New Roman" w:hAnsi="Times New Roman" w:cs="Times New Roman"/>
                <w:sz w:val="20"/>
                <w:szCs w:val="20"/>
                <w:lang w:val="en-GB"/>
              </w:rPr>
              <w:t xml:space="preserve"> long</w:t>
            </w:r>
            <w:r w:rsidRPr="00AA7A53">
              <w:rPr>
                <w:rFonts w:ascii="Times New Roman" w:hAnsi="Times New Roman" w:cs="Times New Roman"/>
                <w:sz w:val="20"/>
                <w:szCs w:val="20"/>
                <w:lang w:val="en-GB"/>
              </w:rPr>
              <w:t xml:space="preserve"> (out of which 12.8 km is on the territory of the Republic of Serbia), with a capacity of 1.2 billion </w:t>
            </w:r>
            <w:r w:rsidR="00DA68C0" w:rsidRPr="00AA7A53">
              <w:rPr>
                <w:rFonts w:ascii="Times New Roman" w:hAnsi="Times New Roman" w:cs="Times New Roman"/>
                <w:sz w:val="20"/>
                <w:szCs w:val="20"/>
              </w:rPr>
              <w:t>m</w:t>
            </w:r>
            <w:r w:rsidR="00DA68C0" w:rsidRPr="00AA7A53">
              <w:rPr>
                <w:rFonts w:ascii="Times New Roman" w:hAnsi="Times New Roman" w:cs="Times New Roman"/>
                <w:sz w:val="20"/>
                <w:szCs w:val="20"/>
                <w:vertAlign w:val="superscript"/>
              </w:rPr>
              <w:t>3</w:t>
            </w:r>
            <w:r w:rsidRPr="00AA7A53">
              <w:rPr>
                <w:rFonts w:ascii="Times New Roman" w:hAnsi="Times New Roman" w:cs="Times New Roman"/>
                <w:sz w:val="20"/>
                <w:szCs w:val="20"/>
                <w:lang w:val="en-GB"/>
              </w:rPr>
              <w:t>/year</w:t>
            </w:r>
            <w:bookmarkEnd w:id="160"/>
          </w:p>
        </w:tc>
      </w:tr>
      <w:tr w:rsidR="00614438" w:rsidRPr="00AA7A53" w14:paraId="1DC3B255" w14:textId="77777777" w:rsidTr="00DA68C0">
        <w:trPr>
          <w:gridAfter w:val="1"/>
          <w:wAfter w:w="1212" w:type="dxa"/>
          <w:trHeight w:val="576"/>
        </w:trPr>
        <w:tc>
          <w:tcPr>
            <w:tcW w:w="3184" w:type="dxa"/>
            <w:tcBorders>
              <w:top w:val="nil"/>
              <w:left w:val="single" w:sz="8" w:space="0" w:color="auto"/>
              <w:bottom w:val="single" w:sz="8" w:space="0" w:color="auto"/>
              <w:right w:val="nil"/>
            </w:tcBorders>
            <w:shd w:val="clear" w:color="auto" w:fill="244062"/>
            <w:vAlign w:val="center"/>
            <w:hideMark/>
          </w:tcPr>
          <w:p w14:paraId="3772904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304" w:type="dxa"/>
            <w:gridSpan w:val="3"/>
            <w:tcBorders>
              <w:top w:val="single" w:sz="8" w:space="0" w:color="auto"/>
              <w:left w:val="nil"/>
              <w:bottom w:val="single" w:sz="8" w:space="0" w:color="auto"/>
              <w:right w:val="single" w:sz="8" w:space="0" w:color="000000"/>
            </w:tcBorders>
            <w:vAlign w:val="center"/>
            <w:hideMark/>
          </w:tcPr>
          <w:p w14:paraId="4116ABA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Infrastructure, market integration aimed at increasing the tradeable capacity, consumer protection and improvement of competition, regional integration</w:t>
            </w:r>
          </w:p>
        </w:tc>
      </w:tr>
      <w:tr w:rsidR="00614438" w:rsidRPr="00AA7A53" w14:paraId="75BA185D" w14:textId="77777777" w:rsidTr="00DA68C0">
        <w:trPr>
          <w:gridAfter w:val="1"/>
          <w:wAfter w:w="1212" w:type="dxa"/>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779D351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304" w:type="dxa"/>
            <w:gridSpan w:val="3"/>
            <w:tcBorders>
              <w:top w:val="single" w:sz="8" w:space="0" w:color="auto"/>
              <w:left w:val="nil"/>
              <w:bottom w:val="single" w:sz="8" w:space="0" w:color="auto"/>
              <w:right w:val="single" w:sz="8" w:space="0" w:color="000000"/>
            </w:tcBorders>
            <w:vAlign w:val="center"/>
            <w:hideMark/>
          </w:tcPr>
          <w:p w14:paraId="650B188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interconnection capacity</w:t>
            </w:r>
          </w:p>
        </w:tc>
      </w:tr>
      <w:tr w:rsidR="00614438" w:rsidRPr="00AA7A53" w14:paraId="77EF8CDE" w14:textId="77777777" w:rsidTr="00DA68C0">
        <w:trPr>
          <w:gridAfter w:val="1"/>
          <w:wAfter w:w="1212" w:type="dxa"/>
          <w:trHeight w:val="774"/>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7F458FA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304" w:type="dxa"/>
            <w:gridSpan w:val="3"/>
            <w:tcBorders>
              <w:top w:val="single" w:sz="8" w:space="0" w:color="auto"/>
              <w:left w:val="nil"/>
              <w:bottom w:val="single" w:sz="8" w:space="0" w:color="auto"/>
              <w:right w:val="single" w:sz="8" w:space="0" w:color="000000"/>
            </w:tcBorders>
            <w:vAlign w:val="center"/>
            <w:hideMark/>
          </w:tcPr>
          <w:p w14:paraId="2AA430C4" w14:textId="2656DE25"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As descri</w:t>
            </w:r>
            <w:r w:rsidR="00DA68C0" w:rsidRPr="00AA7A53">
              <w:rPr>
                <w:rFonts w:ascii="Times New Roman" w:hAnsi="Times New Roman" w:cs="Times New Roman"/>
                <w:sz w:val="20"/>
                <w:szCs w:val="20"/>
                <w:lang w:val="en-GB"/>
              </w:rPr>
              <w:t>b</w:t>
            </w:r>
            <w:r w:rsidRPr="00AA7A53">
              <w:rPr>
                <w:rFonts w:ascii="Times New Roman" w:hAnsi="Times New Roman" w:cs="Times New Roman"/>
                <w:sz w:val="20"/>
                <w:szCs w:val="20"/>
                <w:lang w:val="en-GB"/>
              </w:rPr>
              <w:t>ed in the policy measure</w:t>
            </w:r>
            <w:r w:rsidR="00DA68C0" w:rsidRPr="00AA7A53">
              <w:rPr>
                <w:rFonts w:ascii="Times New Roman" w:hAnsi="Times New Roman" w:cs="Times New Roman"/>
                <w:sz w:val="20"/>
                <w:szCs w:val="20"/>
                <w:lang w:val="en-GB"/>
              </w:rPr>
              <w:t>, it regards the</w:t>
            </w:r>
            <w:r w:rsidRPr="00AA7A53">
              <w:rPr>
                <w:rFonts w:ascii="Times New Roman" w:hAnsi="Times New Roman" w:cs="Times New Roman"/>
                <w:sz w:val="20"/>
                <w:szCs w:val="20"/>
                <w:lang w:val="en-GB"/>
              </w:rPr>
              <w:t xml:space="preserve"> G08 Serbia-Romania proposed project in the PLIMA Database (not included in ENTSOG TYNDP 2020, TRA-N-1268 in TYNDP 2018).</w:t>
            </w:r>
          </w:p>
        </w:tc>
      </w:tr>
      <w:tr w:rsidR="00614438" w:rsidRPr="00AA7A53" w14:paraId="69ED1450" w14:textId="77777777" w:rsidTr="00DA68C0">
        <w:trPr>
          <w:gridAfter w:val="1"/>
          <w:wAfter w:w="1212" w:type="dxa"/>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3BFC0D4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304" w:type="dxa"/>
            <w:gridSpan w:val="3"/>
            <w:tcBorders>
              <w:top w:val="single" w:sz="8" w:space="0" w:color="auto"/>
              <w:left w:val="nil"/>
              <w:bottom w:val="single" w:sz="8" w:space="0" w:color="auto"/>
              <w:right w:val="single" w:sz="8" w:space="0" w:color="000000"/>
            </w:tcBorders>
            <w:vAlign w:val="center"/>
            <w:hideMark/>
          </w:tcPr>
          <w:p w14:paraId="4F96DEC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2026-2030</w:t>
            </w:r>
          </w:p>
        </w:tc>
      </w:tr>
      <w:tr w:rsidR="00614438" w:rsidRPr="00AA7A53" w14:paraId="7911EEFB" w14:textId="77777777" w:rsidTr="00DA68C0">
        <w:trPr>
          <w:gridAfter w:val="1"/>
          <w:wAfter w:w="1212" w:type="dxa"/>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47313EB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304" w:type="dxa"/>
            <w:gridSpan w:val="3"/>
            <w:tcBorders>
              <w:top w:val="single" w:sz="8" w:space="0" w:color="auto"/>
              <w:left w:val="nil"/>
              <w:bottom w:val="single" w:sz="8" w:space="0" w:color="auto"/>
              <w:right w:val="single" w:sz="8" w:space="0" w:color="000000"/>
            </w:tcBorders>
            <w:vAlign w:val="center"/>
            <w:hideMark/>
          </w:tcPr>
          <w:p w14:paraId="473FE3C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748C2DE1" w14:textId="77777777" w:rsidTr="00DA68C0">
        <w:trPr>
          <w:gridAfter w:val="1"/>
          <w:wAfter w:w="1212" w:type="dxa"/>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4009FB0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304" w:type="dxa"/>
            <w:gridSpan w:val="3"/>
            <w:tcBorders>
              <w:top w:val="single" w:sz="8" w:space="0" w:color="auto"/>
              <w:left w:val="nil"/>
              <w:bottom w:val="single" w:sz="8" w:space="0" w:color="auto"/>
              <w:right w:val="single" w:sz="8" w:space="0" w:color="000000"/>
            </w:tcBorders>
            <w:vAlign w:val="center"/>
            <w:hideMark/>
          </w:tcPr>
          <w:p w14:paraId="59F058D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Gas</w:t>
            </w:r>
          </w:p>
        </w:tc>
      </w:tr>
      <w:tr w:rsidR="00DA68C0" w:rsidRPr="00AA7A53" w14:paraId="00A839AD" w14:textId="77777777" w:rsidTr="00DA68C0">
        <w:trPr>
          <w:gridAfter w:val="1"/>
          <w:wAfter w:w="1212" w:type="dxa"/>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40C8F66B" w14:textId="77777777" w:rsidR="00DA68C0" w:rsidRPr="00AA7A53" w:rsidRDefault="00DA68C0"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304" w:type="dxa"/>
            <w:gridSpan w:val="3"/>
            <w:tcBorders>
              <w:top w:val="single" w:sz="8" w:space="0" w:color="auto"/>
              <w:left w:val="nil"/>
              <w:bottom w:val="single" w:sz="8" w:space="0" w:color="auto"/>
              <w:right w:val="single" w:sz="8" w:space="0" w:color="000000"/>
            </w:tcBorders>
            <w:vAlign w:val="center"/>
            <w:hideMark/>
          </w:tcPr>
          <w:p w14:paraId="78A22D13" w14:textId="3E4CFB2D" w:rsidR="00DA68C0" w:rsidRPr="00AA7A53" w:rsidRDefault="00DA68C0"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PE “Srbijagas”, Transportgas Srbija ltd</w:t>
            </w:r>
          </w:p>
        </w:tc>
      </w:tr>
      <w:tr w:rsidR="00614438" w:rsidRPr="00AA7A53" w14:paraId="55556F49" w14:textId="77777777" w:rsidTr="00DA68C0">
        <w:trPr>
          <w:gridAfter w:val="1"/>
          <w:wAfter w:w="1212" w:type="dxa"/>
          <w:trHeight w:val="315"/>
        </w:trPr>
        <w:tc>
          <w:tcPr>
            <w:tcW w:w="3184" w:type="dxa"/>
            <w:tcBorders>
              <w:top w:val="nil"/>
              <w:left w:val="single" w:sz="8" w:space="0" w:color="auto"/>
              <w:bottom w:val="single" w:sz="8" w:space="0" w:color="auto"/>
              <w:right w:val="nil"/>
            </w:tcBorders>
            <w:shd w:val="clear" w:color="auto" w:fill="244062"/>
            <w:vAlign w:val="center"/>
            <w:hideMark/>
          </w:tcPr>
          <w:p w14:paraId="50B95A6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304" w:type="dxa"/>
            <w:gridSpan w:val="3"/>
            <w:tcBorders>
              <w:top w:val="single" w:sz="8" w:space="0" w:color="auto"/>
              <w:left w:val="nil"/>
              <w:bottom w:val="single" w:sz="8" w:space="0" w:color="auto"/>
              <w:right w:val="single" w:sz="8" w:space="0" w:color="000000"/>
            </w:tcBorders>
            <w:vAlign w:val="center"/>
            <w:hideMark/>
          </w:tcPr>
          <w:p w14:paraId="71CE9A07"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1DF7FE13"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Ministy of Construction, Transport and Infrastructure</w:t>
            </w:r>
          </w:p>
          <w:p w14:paraId="4DDAD85F"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p w14:paraId="5FAB9A90"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Serbia</w:t>
            </w:r>
          </w:p>
        </w:tc>
      </w:tr>
      <w:tr w:rsidR="00614438" w:rsidRPr="00AA7A53" w14:paraId="6252DD52" w14:textId="77777777" w:rsidTr="00DA68C0">
        <w:trPr>
          <w:gridAfter w:val="1"/>
          <w:wAfter w:w="1212" w:type="dxa"/>
          <w:trHeight w:val="315"/>
        </w:trPr>
        <w:tc>
          <w:tcPr>
            <w:tcW w:w="3184" w:type="dxa"/>
            <w:tcBorders>
              <w:top w:val="nil"/>
              <w:left w:val="single" w:sz="8" w:space="0" w:color="auto"/>
              <w:bottom w:val="single" w:sz="8" w:space="0" w:color="auto"/>
              <w:right w:val="nil"/>
            </w:tcBorders>
            <w:shd w:val="clear" w:color="auto" w:fill="244062"/>
            <w:vAlign w:val="center"/>
            <w:hideMark/>
          </w:tcPr>
          <w:p w14:paraId="499B2FB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304" w:type="dxa"/>
            <w:gridSpan w:val="3"/>
            <w:tcBorders>
              <w:top w:val="single" w:sz="8" w:space="0" w:color="auto"/>
              <w:left w:val="nil"/>
              <w:bottom w:val="single" w:sz="8" w:space="0" w:color="auto"/>
              <w:right w:val="single" w:sz="8" w:space="0" w:color="000000"/>
            </w:tcBorders>
            <w:vAlign w:val="center"/>
            <w:hideMark/>
          </w:tcPr>
          <w:p w14:paraId="6182646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Final Investment Decision, building permit, commissioning date, commercial operation date</w:t>
            </w:r>
          </w:p>
        </w:tc>
      </w:tr>
      <w:tr w:rsidR="00614438" w:rsidRPr="00AA7A53" w14:paraId="3F7B8C26" w14:textId="77777777" w:rsidTr="00DA68C0">
        <w:trPr>
          <w:gridAfter w:val="1"/>
          <w:wAfter w:w="1212" w:type="dxa"/>
          <w:trHeight w:val="659"/>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2001701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Other relevant Energy Union dimension(s) affected</w:t>
            </w:r>
          </w:p>
        </w:tc>
        <w:tc>
          <w:tcPr>
            <w:tcW w:w="6304" w:type="dxa"/>
            <w:gridSpan w:val="3"/>
            <w:tcBorders>
              <w:top w:val="single" w:sz="8" w:space="0" w:color="auto"/>
              <w:left w:val="nil"/>
              <w:bottom w:val="single" w:sz="8" w:space="0" w:color="auto"/>
              <w:right w:val="single" w:sz="8" w:space="0" w:color="000000"/>
            </w:tcBorders>
            <w:vAlign w:val="center"/>
            <w:hideMark/>
          </w:tcPr>
          <w:p w14:paraId="72356835"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p w14:paraId="05EBBB42"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0785C674" w14:textId="77777777" w:rsidTr="00DA68C0">
        <w:trPr>
          <w:gridAfter w:val="1"/>
          <w:wAfter w:w="1212" w:type="dxa"/>
          <w:trHeight w:val="458"/>
        </w:trPr>
        <w:tc>
          <w:tcPr>
            <w:tcW w:w="3184" w:type="dxa"/>
            <w:vMerge w:val="restart"/>
            <w:tcBorders>
              <w:top w:val="nil"/>
              <w:left w:val="single" w:sz="8" w:space="0" w:color="auto"/>
              <w:bottom w:val="single" w:sz="8" w:space="0" w:color="000000"/>
              <w:right w:val="single" w:sz="8" w:space="0" w:color="auto"/>
            </w:tcBorders>
            <w:shd w:val="clear" w:color="auto" w:fill="244062"/>
            <w:vAlign w:val="center"/>
            <w:hideMark/>
          </w:tcPr>
          <w:p w14:paraId="01BC57F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30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18831A5"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2009/73/EC</w:t>
            </w:r>
          </w:p>
          <w:p w14:paraId="50E54B47"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Regulation (EU) No 347/2013 </w:t>
            </w:r>
          </w:p>
        </w:tc>
      </w:tr>
      <w:tr w:rsidR="00614438" w:rsidRPr="00AA7A53" w14:paraId="0CF6B24C"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321AF395"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EFF71BF"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38BB855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A2AADD3"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6F22CBB9"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4EE684D"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6924219F"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6511B94A" w14:textId="77777777" w:rsidTr="00DA68C0">
        <w:trPr>
          <w:trHeight w:val="780"/>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425B420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304" w:type="dxa"/>
            <w:gridSpan w:val="3"/>
            <w:tcBorders>
              <w:top w:val="single" w:sz="8" w:space="0" w:color="auto"/>
              <w:left w:val="nil"/>
              <w:bottom w:val="single" w:sz="8" w:space="0" w:color="auto"/>
              <w:right w:val="single" w:sz="8" w:space="0" w:color="000000"/>
            </w:tcBorders>
            <w:vAlign w:val="center"/>
            <w:hideMark/>
          </w:tcPr>
          <w:p w14:paraId="4201FB16" w14:textId="77777777" w:rsidR="00614438" w:rsidRPr="00AA7A53" w:rsidRDefault="00614438" w:rsidP="00AA7A53">
            <w:pPr>
              <w:numPr>
                <w:ilvl w:val="0"/>
                <w:numId w:val="141"/>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Law</w:t>
            </w:r>
          </w:p>
        </w:tc>
        <w:tc>
          <w:tcPr>
            <w:tcW w:w="1212" w:type="dxa"/>
            <w:vAlign w:val="center"/>
            <w:hideMark/>
          </w:tcPr>
          <w:p w14:paraId="610A5953"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FF698A7" w14:textId="77777777" w:rsidTr="00DA68C0">
        <w:trPr>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73FE3A8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304" w:type="dxa"/>
            <w:gridSpan w:val="3"/>
            <w:tcBorders>
              <w:top w:val="single" w:sz="8" w:space="0" w:color="auto"/>
              <w:left w:val="nil"/>
              <w:bottom w:val="single" w:sz="8" w:space="0" w:color="auto"/>
              <w:right w:val="single" w:sz="8" w:space="0" w:color="000000"/>
            </w:tcBorders>
            <w:vAlign w:val="center"/>
            <w:hideMark/>
          </w:tcPr>
          <w:p w14:paraId="7B1917E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16 M€</w:t>
            </w:r>
          </w:p>
        </w:tc>
        <w:tc>
          <w:tcPr>
            <w:tcW w:w="1212" w:type="dxa"/>
            <w:vAlign w:val="center"/>
            <w:hideMark/>
          </w:tcPr>
          <w:p w14:paraId="0CB7BDB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B561310" w14:textId="77777777" w:rsidTr="00DA68C0">
        <w:trPr>
          <w:trHeight w:val="38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324B4A3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304" w:type="dxa"/>
            <w:gridSpan w:val="3"/>
            <w:tcBorders>
              <w:top w:val="single" w:sz="8" w:space="0" w:color="auto"/>
              <w:left w:val="nil"/>
              <w:bottom w:val="single" w:sz="8" w:space="0" w:color="auto"/>
              <w:right w:val="single" w:sz="8" w:space="0" w:color="000000"/>
            </w:tcBorders>
            <w:vAlign w:val="center"/>
            <w:hideMark/>
          </w:tcPr>
          <w:p w14:paraId="0D69CF4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1212" w:type="dxa"/>
            <w:vAlign w:val="center"/>
          </w:tcPr>
          <w:p w14:paraId="2F42C232" w14:textId="77777777" w:rsidR="00614438" w:rsidRPr="00AA7A53" w:rsidRDefault="00614438" w:rsidP="00AA7A53">
            <w:pPr>
              <w:spacing w:after="0"/>
              <w:jc w:val="both"/>
              <w:rPr>
                <w:rFonts w:ascii="Times New Roman" w:hAnsi="Times New Roman" w:cs="Times New Roman"/>
                <w:sz w:val="20"/>
                <w:szCs w:val="20"/>
                <w:lang w:val="en-GB"/>
              </w:rPr>
            </w:pPr>
          </w:p>
          <w:p w14:paraId="2F20D05B" w14:textId="77777777" w:rsidR="00614438" w:rsidRPr="00AA7A53" w:rsidRDefault="00614438" w:rsidP="00AA7A53">
            <w:pPr>
              <w:spacing w:after="0"/>
              <w:jc w:val="both"/>
              <w:rPr>
                <w:rFonts w:ascii="Times New Roman" w:hAnsi="Times New Roman" w:cs="Times New Roman"/>
                <w:sz w:val="20"/>
                <w:szCs w:val="20"/>
                <w:lang w:val="en-GB"/>
              </w:rPr>
            </w:pPr>
          </w:p>
          <w:p w14:paraId="18E604E2" w14:textId="77777777" w:rsidR="00614438" w:rsidRPr="00AA7A53" w:rsidRDefault="00614438" w:rsidP="00AA7A53">
            <w:pPr>
              <w:spacing w:after="0"/>
              <w:jc w:val="both"/>
              <w:rPr>
                <w:rFonts w:ascii="Times New Roman" w:hAnsi="Times New Roman" w:cs="Times New Roman"/>
                <w:sz w:val="20"/>
                <w:szCs w:val="20"/>
                <w:lang w:val="en-GB"/>
              </w:rPr>
            </w:pPr>
          </w:p>
        </w:tc>
      </w:tr>
    </w:tbl>
    <w:p w14:paraId="40263929"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Ind w:w="10" w:type="dxa"/>
        <w:tblLook w:val="04A0" w:firstRow="1" w:lastRow="0" w:firstColumn="1" w:lastColumn="0" w:noHBand="0" w:noVBand="1"/>
      </w:tblPr>
      <w:tblGrid>
        <w:gridCol w:w="222"/>
        <w:gridCol w:w="2962"/>
        <w:gridCol w:w="1423"/>
        <w:gridCol w:w="916"/>
        <w:gridCol w:w="3965"/>
        <w:gridCol w:w="1212"/>
      </w:tblGrid>
      <w:tr w:rsidR="00614438" w:rsidRPr="00AA7A53" w14:paraId="5DDB5BFD" w14:textId="77777777" w:rsidTr="00614438">
        <w:trPr>
          <w:gridAfter w:val="5"/>
          <w:wAfter w:w="10478" w:type="dxa"/>
          <w:trHeight w:val="315"/>
        </w:trPr>
        <w:tc>
          <w:tcPr>
            <w:tcW w:w="222" w:type="dxa"/>
            <w:vAlign w:val="center"/>
          </w:tcPr>
          <w:p w14:paraId="156BA666"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19EBA1C" w14:textId="77777777" w:rsidTr="00982157">
        <w:trPr>
          <w:gridAfter w:val="1"/>
          <w:wAfter w:w="1212" w:type="dxa"/>
          <w:trHeight w:val="780"/>
        </w:trPr>
        <w:tc>
          <w:tcPr>
            <w:tcW w:w="3184" w:type="dxa"/>
            <w:gridSpan w:val="2"/>
            <w:tcBorders>
              <w:top w:val="single" w:sz="8" w:space="0" w:color="auto"/>
              <w:left w:val="single" w:sz="8" w:space="0" w:color="auto"/>
              <w:bottom w:val="single" w:sz="8" w:space="0" w:color="auto"/>
              <w:right w:val="single" w:sz="8" w:space="0" w:color="auto"/>
            </w:tcBorders>
            <w:shd w:val="clear" w:color="auto" w:fill="244062"/>
            <w:vAlign w:val="center"/>
            <w:hideMark/>
          </w:tcPr>
          <w:p w14:paraId="4364D6F2" w14:textId="77777777" w:rsidR="00614438" w:rsidRPr="00AA7A53" w:rsidRDefault="00614438" w:rsidP="00AA7A53">
            <w:pPr>
              <w:spacing w:after="0"/>
              <w:jc w:val="both"/>
              <w:rPr>
                <w:rFonts w:ascii="Times New Roman" w:hAnsi="Times New Roman" w:cs="Times New Roman"/>
                <w:sz w:val="20"/>
                <w:szCs w:val="20"/>
                <w:lang w:val="en-GB"/>
              </w:rPr>
            </w:pPr>
            <w:bookmarkStart w:id="161" w:name="_Hlk113476563"/>
            <w:r w:rsidRPr="00AA7A53">
              <w:rPr>
                <w:rFonts w:ascii="Times New Roman" w:hAnsi="Times New Roman" w:cs="Times New Roman"/>
                <w:sz w:val="20"/>
                <w:szCs w:val="20"/>
                <w:lang w:val="en-GB"/>
              </w:rPr>
              <w:t xml:space="preserve">Policy measure code: </w:t>
            </w:r>
          </w:p>
        </w:tc>
        <w:tc>
          <w:tcPr>
            <w:tcW w:w="1423" w:type="dxa"/>
            <w:tcBorders>
              <w:top w:val="single" w:sz="8" w:space="0" w:color="auto"/>
              <w:left w:val="nil"/>
              <w:bottom w:val="single" w:sz="8" w:space="0" w:color="auto"/>
              <w:right w:val="single" w:sz="8" w:space="0" w:color="auto"/>
            </w:tcBorders>
            <w:shd w:val="clear" w:color="auto" w:fill="E7E6E6" w:themeFill="background2"/>
            <w:vAlign w:val="center"/>
            <w:hideMark/>
          </w:tcPr>
          <w:p w14:paraId="0E96DA2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PM_IEM8.3</w:t>
            </w:r>
          </w:p>
        </w:tc>
        <w:tc>
          <w:tcPr>
            <w:tcW w:w="916" w:type="dxa"/>
            <w:tcBorders>
              <w:top w:val="single" w:sz="8" w:space="0" w:color="auto"/>
              <w:left w:val="nil"/>
              <w:bottom w:val="single" w:sz="8" w:space="0" w:color="auto"/>
              <w:right w:val="single" w:sz="8" w:space="0" w:color="auto"/>
            </w:tcBorders>
            <w:shd w:val="clear" w:color="auto" w:fill="244062"/>
            <w:vAlign w:val="center"/>
            <w:hideMark/>
          </w:tcPr>
          <w:p w14:paraId="4C3CEF8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3965" w:type="dxa"/>
            <w:tcBorders>
              <w:top w:val="single" w:sz="8" w:space="0" w:color="auto"/>
              <w:left w:val="nil"/>
              <w:bottom w:val="single" w:sz="8" w:space="0" w:color="auto"/>
              <w:right w:val="single" w:sz="8" w:space="0" w:color="auto"/>
            </w:tcBorders>
            <w:shd w:val="clear" w:color="auto" w:fill="E7E6E6" w:themeFill="background2"/>
            <w:vAlign w:val="center"/>
            <w:hideMark/>
          </w:tcPr>
          <w:p w14:paraId="58BCE4B4" w14:textId="7D0B7522"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Project for Serbia-Croatia gas interconnection (95 km, with a capacity of 1.5 billion </w:t>
            </w:r>
            <w:r w:rsidR="00982157" w:rsidRPr="00AA7A53">
              <w:rPr>
                <w:rFonts w:ascii="Times New Roman" w:hAnsi="Times New Roman" w:cs="Times New Roman"/>
                <w:sz w:val="20"/>
                <w:szCs w:val="20"/>
              </w:rPr>
              <w:t>m</w:t>
            </w:r>
            <w:r w:rsidR="00982157" w:rsidRPr="00AA7A53">
              <w:rPr>
                <w:rFonts w:ascii="Times New Roman" w:hAnsi="Times New Roman" w:cs="Times New Roman"/>
                <w:sz w:val="20"/>
                <w:szCs w:val="20"/>
                <w:vertAlign w:val="superscript"/>
              </w:rPr>
              <w:t>3</w:t>
            </w:r>
            <w:r w:rsidRPr="00AA7A53">
              <w:rPr>
                <w:rFonts w:ascii="Times New Roman" w:hAnsi="Times New Roman" w:cs="Times New Roman"/>
                <w:sz w:val="20"/>
                <w:szCs w:val="20"/>
                <w:lang w:val="en-GB"/>
              </w:rPr>
              <w:t>/year)</w:t>
            </w:r>
          </w:p>
        </w:tc>
        <w:bookmarkEnd w:id="161"/>
      </w:tr>
      <w:tr w:rsidR="00614438" w:rsidRPr="00AA7A53" w14:paraId="09AC8ADA" w14:textId="77777777" w:rsidTr="00982157">
        <w:trPr>
          <w:gridAfter w:val="1"/>
          <w:wAfter w:w="1212" w:type="dxa"/>
          <w:trHeight w:val="562"/>
        </w:trPr>
        <w:tc>
          <w:tcPr>
            <w:tcW w:w="3184" w:type="dxa"/>
            <w:gridSpan w:val="2"/>
            <w:tcBorders>
              <w:top w:val="nil"/>
              <w:left w:val="single" w:sz="8" w:space="0" w:color="auto"/>
              <w:bottom w:val="single" w:sz="8" w:space="0" w:color="auto"/>
              <w:right w:val="nil"/>
            </w:tcBorders>
            <w:shd w:val="clear" w:color="auto" w:fill="244062"/>
            <w:vAlign w:val="center"/>
            <w:hideMark/>
          </w:tcPr>
          <w:p w14:paraId="2156B38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304" w:type="dxa"/>
            <w:gridSpan w:val="3"/>
            <w:tcBorders>
              <w:top w:val="single" w:sz="8" w:space="0" w:color="auto"/>
              <w:left w:val="nil"/>
              <w:bottom w:val="single" w:sz="8" w:space="0" w:color="auto"/>
              <w:right w:val="single" w:sz="8" w:space="0" w:color="000000"/>
            </w:tcBorders>
            <w:vAlign w:val="center"/>
            <w:hideMark/>
          </w:tcPr>
          <w:p w14:paraId="1631A5A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Infrastructure, market integration aimed at increasing the tradeable capacity, consumer protection and improvement of competition, regional integration</w:t>
            </w:r>
          </w:p>
        </w:tc>
      </w:tr>
      <w:tr w:rsidR="00614438" w:rsidRPr="00AA7A53" w14:paraId="2A4573EF" w14:textId="77777777" w:rsidTr="00982157">
        <w:trPr>
          <w:gridAfter w:val="1"/>
          <w:wAfter w:w="1212" w:type="dxa"/>
          <w:trHeight w:val="315"/>
        </w:trPr>
        <w:tc>
          <w:tcPr>
            <w:tcW w:w="3184" w:type="dxa"/>
            <w:gridSpan w:val="2"/>
            <w:tcBorders>
              <w:top w:val="nil"/>
              <w:left w:val="single" w:sz="8" w:space="0" w:color="auto"/>
              <w:bottom w:val="single" w:sz="8" w:space="0" w:color="auto"/>
              <w:right w:val="single" w:sz="8" w:space="0" w:color="auto"/>
            </w:tcBorders>
            <w:shd w:val="clear" w:color="auto" w:fill="244062"/>
            <w:vAlign w:val="center"/>
            <w:hideMark/>
          </w:tcPr>
          <w:p w14:paraId="3B5793D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304" w:type="dxa"/>
            <w:gridSpan w:val="3"/>
            <w:tcBorders>
              <w:top w:val="single" w:sz="8" w:space="0" w:color="auto"/>
              <w:left w:val="nil"/>
              <w:bottom w:val="single" w:sz="8" w:space="0" w:color="auto"/>
              <w:right w:val="single" w:sz="8" w:space="0" w:color="000000"/>
            </w:tcBorders>
            <w:vAlign w:val="center"/>
            <w:hideMark/>
          </w:tcPr>
          <w:p w14:paraId="29CFF70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interconnection capacity</w:t>
            </w:r>
          </w:p>
        </w:tc>
      </w:tr>
      <w:tr w:rsidR="00614438" w:rsidRPr="00AA7A53" w14:paraId="17074C4A" w14:textId="77777777" w:rsidTr="00982157">
        <w:trPr>
          <w:gridAfter w:val="1"/>
          <w:wAfter w:w="1212" w:type="dxa"/>
          <w:trHeight w:val="666"/>
        </w:trPr>
        <w:tc>
          <w:tcPr>
            <w:tcW w:w="3184" w:type="dxa"/>
            <w:gridSpan w:val="2"/>
            <w:tcBorders>
              <w:top w:val="nil"/>
              <w:left w:val="single" w:sz="8" w:space="0" w:color="auto"/>
              <w:bottom w:val="single" w:sz="8" w:space="0" w:color="auto"/>
              <w:right w:val="single" w:sz="8" w:space="0" w:color="auto"/>
            </w:tcBorders>
            <w:shd w:val="clear" w:color="auto" w:fill="244062"/>
            <w:vAlign w:val="center"/>
            <w:hideMark/>
          </w:tcPr>
          <w:p w14:paraId="457D52D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304" w:type="dxa"/>
            <w:gridSpan w:val="3"/>
            <w:tcBorders>
              <w:top w:val="single" w:sz="8" w:space="0" w:color="auto"/>
              <w:left w:val="nil"/>
              <w:bottom w:val="single" w:sz="8" w:space="0" w:color="auto"/>
              <w:right w:val="single" w:sz="8" w:space="0" w:color="000000"/>
            </w:tcBorders>
            <w:vAlign w:val="center"/>
            <w:hideMark/>
          </w:tcPr>
          <w:p w14:paraId="73E0ED94" w14:textId="59124E7A" w:rsidR="00614438" w:rsidRPr="00AA7A53" w:rsidRDefault="00982157"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Interconnector </w:t>
            </w:r>
            <w:r w:rsidR="00614438" w:rsidRPr="00AA7A53">
              <w:rPr>
                <w:rFonts w:ascii="Times New Roman" w:hAnsi="Times New Roman" w:cs="Times New Roman"/>
                <w:sz w:val="20"/>
                <w:szCs w:val="20"/>
                <w:lang w:val="en-GB"/>
              </w:rPr>
              <w:t>Gas_10 Serbia-Croatia in the PLIMA database, ENTSOG TRA-N-70</w:t>
            </w:r>
          </w:p>
        </w:tc>
      </w:tr>
      <w:tr w:rsidR="00614438" w:rsidRPr="00AA7A53" w14:paraId="5DE2709F" w14:textId="77777777" w:rsidTr="00982157">
        <w:trPr>
          <w:gridAfter w:val="1"/>
          <w:wAfter w:w="1212" w:type="dxa"/>
          <w:trHeight w:val="315"/>
        </w:trPr>
        <w:tc>
          <w:tcPr>
            <w:tcW w:w="3184" w:type="dxa"/>
            <w:gridSpan w:val="2"/>
            <w:tcBorders>
              <w:top w:val="nil"/>
              <w:left w:val="single" w:sz="8" w:space="0" w:color="auto"/>
              <w:bottom w:val="single" w:sz="8" w:space="0" w:color="auto"/>
              <w:right w:val="single" w:sz="8" w:space="0" w:color="auto"/>
            </w:tcBorders>
            <w:shd w:val="clear" w:color="auto" w:fill="244062"/>
            <w:vAlign w:val="center"/>
            <w:hideMark/>
          </w:tcPr>
          <w:p w14:paraId="0E0680B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304" w:type="dxa"/>
            <w:gridSpan w:val="3"/>
            <w:tcBorders>
              <w:top w:val="single" w:sz="8" w:space="0" w:color="auto"/>
              <w:left w:val="nil"/>
              <w:bottom w:val="single" w:sz="8" w:space="0" w:color="auto"/>
              <w:right w:val="single" w:sz="8" w:space="0" w:color="000000"/>
            </w:tcBorders>
            <w:vAlign w:val="center"/>
            <w:hideMark/>
          </w:tcPr>
          <w:p w14:paraId="2A857B93" w14:textId="223CD130" w:rsidR="00614438" w:rsidRPr="00AA7A53" w:rsidRDefault="00982157"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Until </w:t>
            </w:r>
            <w:r w:rsidR="00614438" w:rsidRPr="00AA7A53">
              <w:rPr>
                <w:rFonts w:ascii="Times New Roman" w:hAnsi="Times New Roman" w:cs="Times New Roman"/>
                <w:sz w:val="20"/>
                <w:szCs w:val="20"/>
                <w:lang w:val="en-GB"/>
              </w:rPr>
              <w:t>2029</w:t>
            </w:r>
          </w:p>
        </w:tc>
      </w:tr>
      <w:tr w:rsidR="00614438" w:rsidRPr="00AA7A53" w14:paraId="0798473F" w14:textId="77777777" w:rsidTr="00982157">
        <w:trPr>
          <w:gridAfter w:val="1"/>
          <w:wAfter w:w="1212" w:type="dxa"/>
          <w:trHeight w:val="315"/>
        </w:trPr>
        <w:tc>
          <w:tcPr>
            <w:tcW w:w="3184" w:type="dxa"/>
            <w:gridSpan w:val="2"/>
            <w:tcBorders>
              <w:top w:val="nil"/>
              <w:left w:val="single" w:sz="8" w:space="0" w:color="auto"/>
              <w:bottom w:val="single" w:sz="8" w:space="0" w:color="auto"/>
              <w:right w:val="single" w:sz="8" w:space="0" w:color="auto"/>
            </w:tcBorders>
            <w:shd w:val="clear" w:color="auto" w:fill="244062"/>
            <w:vAlign w:val="center"/>
            <w:hideMark/>
          </w:tcPr>
          <w:p w14:paraId="530762C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304" w:type="dxa"/>
            <w:gridSpan w:val="3"/>
            <w:tcBorders>
              <w:top w:val="single" w:sz="8" w:space="0" w:color="auto"/>
              <w:left w:val="nil"/>
              <w:bottom w:val="single" w:sz="8" w:space="0" w:color="auto"/>
              <w:right w:val="single" w:sz="8" w:space="0" w:color="000000"/>
            </w:tcBorders>
            <w:vAlign w:val="center"/>
            <w:hideMark/>
          </w:tcPr>
          <w:p w14:paraId="5D6505B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6026BD1E" w14:textId="77777777" w:rsidTr="00982157">
        <w:trPr>
          <w:gridAfter w:val="1"/>
          <w:wAfter w:w="1212" w:type="dxa"/>
          <w:trHeight w:val="315"/>
        </w:trPr>
        <w:tc>
          <w:tcPr>
            <w:tcW w:w="3184" w:type="dxa"/>
            <w:gridSpan w:val="2"/>
            <w:tcBorders>
              <w:top w:val="nil"/>
              <w:left w:val="single" w:sz="8" w:space="0" w:color="auto"/>
              <w:bottom w:val="single" w:sz="8" w:space="0" w:color="auto"/>
              <w:right w:val="single" w:sz="8" w:space="0" w:color="auto"/>
            </w:tcBorders>
            <w:shd w:val="clear" w:color="auto" w:fill="244062"/>
            <w:vAlign w:val="center"/>
            <w:hideMark/>
          </w:tcPr>
          <w:p w14:paraId="77F1FD9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304" w:type="dxa"/>
            <w:gridSpan w:val="3"/>
            <w:tcBorders>
              <w:top w:val="single" w:sz="8" w:space="0" w:color="auto"/>
              <w:left w:val="nil"/>
              <w:bottom w:val="single" w:sz="8" w:space="0" w:color="auto"/>
              <w:right w:val="single" w:sz="8" w:space="0" w:color="000000"/>
            </w:tcBorders>
            <w:vAlign w:val="center"/>
            <w:hideMark/>
          </w:tcPr>
          <w:p w14:paraId="199ABBE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Gas</w:t>
            </w:r>
          </w:p>
        </w:tc>
      </w:tr>
      <w:tr w:rsidR="00982157" w:rsidRPr="00AA7A53" w14:paraId="1E3A8254" w14:textId="77777777" w:rsidTr="00982157">
        <w:trPr>
          <w:gridAfter w:val="1"/>
          <w:wAfter w:w="1212" w:type="dxa"/>
          <w:trHeight w:val="315"/>
        </w:trPr>
        <w:tc>
          <w:tcPr>
            <w:tcW w:w="3184" w:type="dxa"/>
            <w:gridSpan w:val="2"/>
            <w:tcBorders>
              <w:top w:val="nil"/>
              <w:left w:val="single" w:sz="8" w:space="0" w:color="auto"/>
              <w:bottom w:val="single" w:sz="8" w:space="0" w:color="auto"/>
              <w:right w:val="single" w:sz="8" w:space="0" w:color="auto"/>
            </w:tcBorders>
            <w:shd w:val="clear" w:color="auto" w:fill="244062"/>
            <w:vAlign w:val="center"/>
            <w:hideMark/>
          </w:tcPr>
          <w:p w14:paraId="493216F1" w14:textId="77777777" w:rsidR="00982157" w:rsidRPr="00AA7A53" w:rsidRDefault="00982157"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304" w:type="dxa"/>
            <w:gridSpan w:val="3"/>
            <w:tcBorders>
              <w:top w:val="single" w:sz="8" w:space="0" w:color="auto"/>
              <w:left w:val="nil"/>
              <w:bottom w:val="single" w:sz="8" w:space="0" w:color="auto"/>
              <w:right w:val="single" w:sz="8" w:space="0" w:color="000000"/>
            </w:tcBorders>
            <w:vAlign w:val="center"/>
            <w:hideMark/>
          </w:tcPr>
          <w:p w14:paraId="21A6FCBC" w14:textId="4CEF9CB6" w:rsidR="00982157" w:rsidRPr="00AA7A53" w:rsidRDefault="00982157"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PE “Srbijagas”, Transportgas Srbija ltd</w:t>
            </w:r>
          </w:p>
        </w:tc>
      </w:tr>
      <w:tr w:rsidR="00614438" w:rsidRPr="00AA7A53" w14:paraId="145C5D13" w14:textId="77777777" w:rsidTr="00982157">
        <w:trPr>
          <w:gridAfter w:val="1"/>
          <w:wAfter w:w="1212" w:type="dxa"/>
          <w:trHeight w:val="315"/>
        </w:trPr>
        <w:tc>
          <w:tcPr>
            <w:tcW w:w="3184" w:type="dxa"/>
            <w:gridSpan w:val="2"/>
            <w:tcBorders>
              <w:top w:val="nil"/>
              <w:left w:val="single" w:sz="8" w:space="0" w:color="auto"/>
              <w:bottom w:val="single" w:sz="8" w:space="0" w:color="auto"/>
              <w:right w:val="nil"/>
            </w:tcBorders>
            <w:shd w:val="clear" w:color="auto" w:fill="244062"/>
            <w:vAlign w:val="center"/>
            <w:hideMark/>
          </w:tcPr>
          <w:p w14:paraId="45A695A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304" w:type="dxa"/>
            <w:gridSpan w:val="3"/>
            <w:tcBorders>
              <w:top w:val="single" w:sz="8" w:space="0" w:color="auto"/>
              <w:left w:val="nil"/>
              <w:bottom w:val="single" w:sz="8" w:space="0" w:color="auto"/>
              <w:right w:val="single" w:sz="8" w:space="0" w:color="000000"/>
            </w:tcBorders>
            <w:vAlign w:val="center"/>
            <w:hideMark/>
          </w:tcPr>
          <w:p w14:paraId="22C8DA6D"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0E705381"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p w14:paraId="06402F6B"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p w14:paraId="6767CE25"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Serbia</w:t>
            </w:r>
          </w:p>
        </w:tc>
      </w:tr>
      <w:tr w:rsidR="00614438" w:rsidRPr="00AA7A53" w14:paraId="5613EF74" w14:textId="77777777" w:rsidTr="00982157">
        <w:trPr>
          <w:gridAfter w:val="1"/>
          <w:wAfter w:w="1212" w:type="dxa"/>
          <w:trHeight w:val="315"/>
        </w:trPr>
        <w:tc>
          <w:tcPr>
            <w:tcW w:w="3184" w:type="dxa"/>
            <w:gridSpan w:val="2"/>
            <w:tcBorders>
              <w:top w:val="nil"/>
              <w:left w:val="single" w:sz="8" w:space="0" w:color="auto"/>
              <w:bottom w:val="single" w:sz="8" w:space="0" w:color="auto"/>
              <w:right w:val="nil"/>
            </w:tcBorders>
            <w:shd w:val="clear" w:color="auto" w:fill="244062"/>
            <w:vAlign w:val="center"/>
            <w:hideMark/>
          </w:tcPr>
          <w:p w14:paraId="366B708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304" w:type="dxa"/>
            <w:gridSpan w:val="3"/>
            <w:tcBorders>
              <w:top w:val="single" w:sz="8" w:space="0" w:color="auto"/>
              <w:left w:val="nil"/>
              <w:bottom w:val="single" w:sz="8" w:space="0" w:color="auto"/>
              <w:right w:val="single" w:sz="8" w:space="0" w:color="000000"/>
            </w:tcBorders>
            <w:vAlign w:val="center"/>
            <w:hideMark/>
          </w:tcPr>
          <w:p w14:paraId="52C7CD1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Final Investment Decision, building permit, commissioning date, commercial operation date</w:t>
            </w:r>
          </w:p>
        </w:tc>
      </w:tr>
      <w:tr w:rsidR="00614438" w:rsidRPr="00AA7A53" w14:paraId="6469E6A1" w14:textId="77777777" w:rsidTr="00982157">
        <w:trPr>
          <w:gridAfter w:val="1"/>
          <w:wAfter w:w="1212" w:type="dxa"/>
          <w:trHeight w:val="577"/>
        </w:trPr>
        <w:tc>
          <w:tcPr>
            <w:tcW w:w="3184" w:type="dxa"/>
            <w:gridSpan w:val="2"/>
            <w:tcBorders>
              <w:top w:val="nil"/>
              <w:left w:val="single" w:sz="8" w:space="0" w:color="auto"/>
              <w:bottom w:val="single" w:sz="8" w:space="0" w:color="auto"/>
              <w:right w:val="single" w:sz="8" w:space="0" w:color="auto"/>
            </w:tcBorders>
            <w:shd w:val="clear" w:color="auto" w:fill="244062"/>
            <w:vAlign w:val="center"/>
            <w:hideMark/>
          </w:tcPr>
          <w:p w14:paraId="55D617E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304" w:type="dxa"/>
            <w:gridSpan w:val="3"/>
            <w:tcBorders>
              <w:top w:val="single" w:sz="8" w:space="0" w:color="auto"/>
              <w:left w:val="nil"/>
              <w:bottom w:val="single" w:sz="8" w:space="0" w:color="auto"/>
              <w:right w:val="single" w:sz="8" w:space="0" w:color="000000"/>
            </w:tcBorders>
            <w:vAlign w:val="center"/>
            <w:hideMark/>
          </w:tcPr>
          <w:p w14:paraId="115F9578"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p w14:paraId="1AF5D7F1"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07E83ED9" w14:textId="77777777" w:rsidTr="00982157">
        <w:trPr>
          <w:gridAfter w:val="1"/>
          <w:wAfter w:w="1212" w:type="dxa"/>
          <w:trHeight w:val="458"/>
        </w:trPr>
        <w:tc>
          <w:tcPr>
            <w:tcW w:w="3184" w:type="dxa"/>
            <w:gridSpan w:val="2"/>
            <w:vMerge w:val="restart"/>
            <w:tcBorders>
              <w:top w:val="nil"/>
              <w:left w:val="single" w:sz="8" w:space="0" w:color="auto"/>
              <w:bottom w:val="single" w:sz="8" w:space="0" w:color="000000"/>
              <w:right w:val="single" w:sz="8" w:space="0" w:color="auto"/>
            </w:tcBorders>
            <w:shd w:val="clear" w:color="auto" w:fill="244062"/>
            <w:vAlign w:val="center"/>
            <w:hideMark/>
          </w:tcPr>
          <w:p w14:paraId="4DC1A38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30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8AB413F"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2009/73/EC</w:t>
            </w:r>
          </w:p>
          <w:p w14:paraId="7CF2C122"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Regulation (EU) No 347/2013 </w:t>
            </w:r>
          </w:p>
        </w:tc>
      </w:tr>
      <w:tr w:rsidR="00614438" w:rsidRPr="00AA7A53" w14:paraId="046E8B55" w14:textId="77777777" w:rsidTr="00614438">
        <w:trPr>
          <w:trHeight w:val="300"/>
        </w:trPr>
        <w:tc>
          <w:tcPr>
            <w:tcW w:w="0" w:type="auto"/>
            <w:gridSpan w:val="2"/>
            <w:vMerge/>
            <w:tcBorders>
              <w:top w:val="nil"/>
              <w:left w:val="single" w:sz="8" w:space="0" w:color="auto"/>
              <w:bottom w:val="single" w:sz="8" w:space="0" w:color="000000"/>
              <w:right w:val="single" w:sz="8" w:space="0" w:color="auto"/>
            </w:tcBorders>
            <w:vAlign w:val="center"/>
            <w:hideMark/>
          </w:tcPr>
          <w:p w14:paraId="73BFCA4B"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FC099AE"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3AD47A8F"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D7DC465" w14:textId="77777777" w:rsidTr="00614438">
        <w:trPr>
          <w:trHeight w:val="60"/>
        </w:trPr>
        <w:tc>
          <w:tcPr>
            <w:tcW w:w="0" w:type="auto"/>
            <w:gridSpan w:val="2"/>
            <w:vMerge/>
            <w:tcBorders>
              <w:top w:val="nil"/>
              <w:left w:val="single" w:sz="8" w:space="0" w:color="auto"/>
              <w:bottom w:val="single" w:sz="8" w:space="0" w:color="000000"/>
              <w:right w:val="single" w:sz="8" w:space="0" w:color="auto"/>
            </w:tcBorders>
            <w:vAlign w:val="center"/>
            <w:hideMark/>
          </w:tcPr>
          <w:p w14:paraId="1FE3E504"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4D59995"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1171956A"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188CAD7C" w14:textId="77777777" w:rsidTr="00982157">
        <w:trPr>
          <w:trHeight w:val="780"/>
        </w:trPr>
        <w:tc>
          <w:tcPr>
            <w:tcW w:w="3184" w:type="dxa"/>
            <w:gridSpan w:val="2"/>
            <w:tcBorders>
              <w:top w:val="nil"/>
              <w:left w:val="single" w:sz="8" w:space="0" w:color="auto"/>
              <w:bottom w:val="single" w:sz="8" w:space="0" w:color="auto"/>
              <w:right w:val="single" w:sz="8" w:space="0" w:color="auto"/>
            </w:tcBorders>
            <w:shd w:val="clear" w:color="auto" w:fill="244062"/>
            <w:vAlign w:val="center"/>
            <w:hideMark/>
          </w:tcPr>
          <w:p w14:paraId="6CE43C1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304" w:type="dxa"/>
            <w:gridSpan w:val="3"/>
            <w:tcBorders>
              <w:top w:val="single" w:sz="8" w:space="0" w:color="auto"/>
              <w:left w:val="nil"/>
              <w:bottom w:val="single" w:sz="8" w:space="0" w:color="auto"/>
              <w:right w:val="single" w:sz="8" w:space="0" w:color="000000"/>
            </w:tcBorders>
            <w:vAlign w:val="center"/>
            <w:hideMark/>
          </w:tcPr>
          <w:p w14:paraId="0AE14F2A" w14:textId="77777777" w:rsidR="00614438" w:rsidRPr="00AA7A53" w:rsidRDefault="00614438" w:rsidP="00AA7A53">
            <w:pPr>
              <w:numPr>
                <w:ilvl w:val="0"/>
                <w:numId w:val="142"/>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Law</w:t>
            </w:r>
          </w:p>
        </w:tc>
        <w:tc>
          <w:tcPr>
            <w:tcW w:w="1212" w:type="dxa"/>
            <w:vAlign w:val="center"/>
            <w:hideMark/>
          </w:tcPr>
          <w:p w14:paraId="00A6C2D2"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6473501" w14:textId="77777777" w:rsidTr="00982157">
        <w:trPr>
          <w:trHeight w:val="315"/>
        </w:trPr>
        <w:tc>
          <w:tcPr>
            <w:tcW w:w="3184" w:type="dxa"/>
            <w:gridSpan w:val="2"/>
            <w:tcBorders>
              <w:top w:val="nil"/>
              <w:left w:val="single" w:sz="8" w:space="0" w:color="auto"/>
              <w:bottom w:val="single" w:sz="8" w:space="0" w:color="auto"/>
              <w:right w:val="single" w:sz="8" w:space="0" w:color="auto"/>
            </w:tcBorders>
            <w:shd w:val="clear" w:color="auto" w:fill="244062"/>
            <w:vAlign w:val="center"/>
            <w:hideMark/>
          </w:tcPr>
          <w:p w14:paraId="67E8348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304" w:type="dxa"/>
            <w:gridSpan w:val="3"/>
            <w:tcBorders>
              <w:top w:val="single" w:sz="8" w:space="0" w:color="auto"/>
              <w:left w:val="nil"/>
              <w:bottom w:val="single" w:sz="8" w:space="0" w:color="auto"/>
              <w:right w:val="single" w:sz="8" w:space="0" w:color="000000"/>
            </w:tcBorders>
            <w:vAlign w:val="center"/>
            <w:hideMark/>
          </w:tcPr>
          <w:p w14:paraId="52350E0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144 M€</w:t>
            </w:r>
          </w:p>
        </w:tc>
        <w:tc>
          <w:tcPr>
            <w:tcW w:w="1212" w:type="dxa"/>
            <w:vAlign w:val="center"/>
            <w:hideMark/>
          </w:tcPr>
          <w:p w14:paraId="5867196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DA1CFFE" w14:textId="77777777" w:rsidTr="00982157">
        <w:trPr>
          <w:trHeight w:val="315"/>
        </w:trPr>
        <w:tc>
          <w:tcPr>
            <w:tcW w:w="3184" w:type="dxa"/>
            <w:gridSpan w:val="2"/>
            <w:tcBorders>
              <w:top w:val="nil"/>
              <w:left w:val="single" w:sz="8" w:space="0" w:color="auto"/>
              <w:bottom w:val="single" w:sz="8" w:space="0" w:color="auto"/>
              <w:right w:val="single" w:sz="8" w:space="0" w:color="auto"/>
            </w:tcBorders>
            <w:shd w:val="clear" w:color="auto" w:fill="244062"/>
            <w:vAlign w:val="center"/>
            <w:hideMark/>
          </w:tcPr>
          <w:p w14:paraId="74C928F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304" w:type="dxa"/>
            <w:gridSpan w:val="3"/>
            <w:tcBorders>
              <w:top w:val="single" w:sz="8" w:space="0" w:color="auto"/>
              <w:left w:val="nil"/>
              <w:bottom w:val="single" w:sz="8" w:space="0" w:color="auto"/>
              <w:right w:val="single" w:sz="8" w:space="0" w:color="000000"/>
            </w:tcBorders>
            <w:vAlign w:val="center"/>
            <w:hideMark/>
          </w:tcPr>
          <w:p w14:paraId="6436C35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1212" w:type="dxa"/>
            <w:vAlign w:val="center"/>
            <w:hideMark/>
          </w:tcPr>
          <w:p w14:paraId="23F08818" w14:textId="77777777" w:rsidR="00614438" w:rsidRPr="00AA7A53" w:rsidRDefault="00614438" w:rsidP="00AA7A53">
            <w:pPr>
              <w:spacing w:after="0"/>
              <w:jc w:val="both"/>
              <w:rPr>
                <w:rFonts w:ascii="Times New Roman" w:hAnsi="Times New Roman" w:cs="Times New Roman"/>
                <w:sz w:val="20"/>
                <w:szCs w:val="20"/>
                <w:lang w:val="en-GB"/>
              </w:rPr>
            </w:pPr>
          </w:p>
        </w:tc>
      </w:tr>
    </w:tbl>
    <w:p w14:paraId="23B523DC"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184"/>
        <w:gridCol w:w="1423"/>
        <w:gridCol w:w="916"/>
        <w:gridCol w:w="3965"/>
        <w:gridCol w:w="1212"/>
      </w:tblGrid>
      <w:tr w:rsidR="00614438" w:rsidRPr="00AA7A53" w14:paraId="76592452" w14:textId="77777777" w:rsidTr="00982157">
        <w:trPr>
          <w:gridAfter w:val="1"/>
          <w:wAfter w:w="1212" w:type="dxa"/>
          <w:trHeight w:val="780"/>
        </w:trPr>
        <w:tc>
          <w:tcPr>
            <w:tcW w:w="3184"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772D679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423" w:type="dxa"/>
            <w:tcBorders>
              <w:top w:val="single" w:sz="8" w:space="0" w:color="auto"/>
              <w:left w:val="nil"/>
              <w:bottom w:val="single" w:sz="8" w:space="0" w:color="auto"/>
              <w:right w:val="single" w:sz="8" w:space="0" w:color="auto"/>
            </w:tcBorders>
            <w:shd w:val="clear" w:color="auto" w:fill="E7E6E6" w:themeFill="background2"/>
            <w:vAlign w:val="center"/>
            <w:hideMark/>
          </w:tcPr>
          <w:p w14:paraId="23EB0BC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PM_IEM8.4</w:t>
            </w:r>
          </w:p>
        </w:tc>
        <w:tc>
          <w:tcPr>
            <w:tcW w:w="916" w:type="dxa"/>
            <w:tcBorders>
              <w:top w:val="single" w:sz="8" w:space="0" w:color="auto"/>
              <w:left w:val="nil"/>
              <w:bottom w:val="single" w:sz="8" w:space="0" w:color="auto"/>
              <w:right w:val="single" w:sz="8" w:space="0" w:color="auto"/>
            </w:tcBorders>
            <w:shd w:val="clear" w:color="auto" w:fill="244062"/>
            <w:vAlign w:val="center"/>
            <w:hideMark/>
          </w:tcPr>
          <w:p w14:paraId="0B30A77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3965" w:type="dxa"/>
            <w:tcBorders>
              <w:top w:val="single" w:sz="8" w:space="0" w:color="auto"/>
              <w:left w:val="nil"/>
              <w:bottom w:val="single" w:sz="8" w:space="0" w:color="auto"/>
              <w:right w:val="single" w:sz="8" w:space="0" w:color="auto"/>
            </w:tcBorders>
            <w:shd w:val="clear" w:color="auto" w:fill="E7E6E6" w:themeFill="background2"/>
            <w:vAlign w:val="center"/>
            <w:hideMark/>
          </w:tcPr>
          <w:p w14:paraId="64965574" w14:textId="351D1398" w:rsidR="00614438" w:rsidRPr="00AA7A53" w:rsidRDefault="00614438" w:rsidP="00AA7A53">
            <w:pPr>
              <w:spacing w:after="0"/>
              <w:jc w:val="both"/>
              <w:rPr>
                <w:rFonts w:ascii="Times New Roman" w:hAnsi="Times New Roman" w:cs="Times New Roman"/>
                <w:sz w:val="20"/>
                <w:szCs w:val="20"/>
                <w:lang w:val="en-GB"/>
              </w:rPr>
            </w:pPr>
            <w:bookmarkStart w:id="162" w:name="_Hlk113476570"/>
            <w:r w:rsidRPr="00AA7A53">
              <w:rPr>
                <w:rFonts w:ascii="Times New Roman" w:hAnsi="Times New Roman" w:cs="Times New Roman"/>
                <w:sz w:val="20"/>
                <w:szCs w:val="20"/>
                <w:lang w:val="en-GB"/>
              </w:rPr>
              <w:t xml:space="preserve">Serbia-BiH gas interconnection </w:t>
            </w:r>
            <w:r w:rsidR="00982157" w:rsidRPr="00AA7A53">
              <w:rPr>
                <w:rFonts w:ascii="Times New Roman" w:hAnsi="Times New Roman" w:cs="Times New Roman"/>
                <w:sz w:val="20"/>
                <w:szCs w:val="20"/>
                <w:lang w:val="en-GB"/>
              </w:rPr>
              <w:t xml:space="preserve">Project </w:t>
            </w:r>
            <w:r w:rsidRPr="00AA7A53">
              <w:rPr>
                <w:rFonts w:ascii="Times New Roman" w:hAnsi="Times New Roman" w:cs="Times New Roman"/>
                <w:sz w:val="20"/>
                <w:szCs w:val="20"/>
                <w:lang w:val="en-GB"/>
              </w:rPr>
              <w:t>90 km</w:t>
            </w:r>
            <w:r w:rsidR="00982157" w:rsidRPr="00AA7A53">
              <w:rPr>
                <w:rFonts w:ascii="Times New Roman" w:hAnsi="Times New Roman" w:cs="Times New Roman"/>
                <w:sz w:val="20"/>
                <w:szCs w:val="20"/>
                <w:lang w:val="en-GB"/>
              </w:rPr>
              <w:t xml:space="preserve"> long</w:t>
            </w:r>
            <w:r w:rsidRPr="00AA7A53">
              <w:rPr>
                <w:rFonts w:ascii="Times New Roman" w:hAnsi="Times New Roman" w:cs="Times New Roman"/>
                <w:sz w:val="20"/>
                <w:szCs w:val="20"/>
                <w:lang w:val="en-GB"/>
              </w:rPr>
              <w:t xml:space="preserve">, with a capacity of 1.2 billion </w:t>
            </w:r>
            <w:r w:rsidR="00982157" w:rsidRPr="00AA7A53">
              <w:rPr>
                <w:rFonts w:ascii="Times New Roman" w:hAnsi="Times New Roman" w:cs="Times New Roman"/>
                <w:sz w:val="20"/>
                <w:szCs w:val="20"/>
              </w:rPr>
              <w:t>m</w:t>
            </w:r>
            <w:r w:rsidR="00982157" w:rsidRPr="00AA7A53">
              <w:rPr>
                <w:rFonts w:ascii="Times New Roman" w:hAnsi="Times New Roman" w:cs="Times New Roman"/>
                <w:sz w:val="20"/>
                <w:szCs w:val="20"/>
                <w:vertAlign w:val="superscript"/>
              </w:rPr>
              <w:t>3</w:t>
            </w:r>
            <w:r w:rsidRPr="00AA7A53">
              <w:rPr>
                <w:rFonts w:ascii="Times New Roman" w:hAnsi="Times New Roman" w:cs="Times New Roman"/>
                <w:sz w:val="20"/>
                <w:szCs w:val="20"/>
                <w:lang w:val="en-GB"/>
              </w:rPr>
              <w:t>/year</w:t>
            </w:r>
            <w:bookmarkEnd w:id="162"/>
          </w:p>
        </w:tc>
      </w:tr>
      <w:tr w:rsidR="00614438" w:rsidRPr="00AA7A53" w14:paraId="2EA69860" w14:textId="77777777" w:rsidTr="00982157">
        <w:trPr>
          <w:gridAfter w:val="1"/>
          <w:wAfter w:w="1212" w:type="dxa"/>
          <w:trHeight w:val="960"/>
        </w:trPr>
        <w:tc>
          <w:tcPr>
            <w:tcW w:w="3184" w:type="dxa"/>
            <w:tcBorders>
              <w:top w:val="nil"/>
              <w:left w:val="single" w:sz="8" w:space="0" w:color="auto"/>
              <w:bottom w:val="single" w:sz="8" w:space="0" w:color="auto"/>
              <w:right w:val="nil"/>
            </w:tcBorders>
            <w:shd w:val="clear" w:color="auto" w:fill="244062"/>
            <w:vAlign w:val="center"/>
            <w:hideMark/>
          </w:tcPr>
          <w:p w14:paraId="54D34E2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304" w:type="dxa"/>
            <w:gridSpan w:val="3"/>
            <w:tcBorders>
              <w:top w:val="single" w:sz="8" w:space="0" w:color="auto"/>
              <w:left w:val="nil"/>
              <w:bottom w:val="single" w:sz="8" w:space="0" w:color="auto"/>
              <w:right w:val="single" w:sz="8" w:space="0" w:color="000000"/>
            </w:tcBorders>
            <w:vAlign w:val="center"/>
            <w:hideMark/>
          </w:tcPr>
          <w:p w14:paraId="496B263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Infrastructure, market integration aimed at increasing the tradeable capacity, consumer protection and improvement of competition, regional integration</w:t>
            </w:r>
          </w:p>
        </w:tc>
      </w:tr>
      <w:tr w:rsidR="00614438" w:rsidRPr="00AA7A53" w14:paraId="526B5BE5" w14:textId="77777777" w:rsidTr="00982157">
        <w:trPr>
          <w:gridAfter w:val="1"/>
          <w:wAfter w:w="1212" w:type="dxa"/>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483066C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 xml:space="preserve">Quantified objective: </w:t>
            </w:r>
          </w:p>
        </w:tc>
        <w:tc>
          <w:tcPr>
            <w:tcW w:w="6304" w:type="dxa"/>
            <w:gridSpan w:val="3"/>
            <w:tcBorders>
              <w:top w:val="single" w:sz="8" w:space="0" w:color="auto"/>
              <w:left w:val="nil"/>
              <w:bottom w:val="single" w:sz="8" w:space="0" w:color="auto"/>
              <w:right w:val="single" w:sz="8" w:space="0" w:color="000000"/>
            </w:tcBorders>
            <w:vAlign w:val="center"/>
            <w:hideMark/>
          </w:tcPr>
          <w:p w14:paraId="03E3BA3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interconnection capacity</w:t>
            </w:r>
          </w:p>
        </w:tc>
      </w:tr>
      <w:tr w:rsidR="00614438" w:rsidRPr="00AA7A53" w14:paraId="7903C9E5" w14:textId="77777777" w:rsidTr="00982157">
        <w:trPr>
          <w:gridAfter w:val="1"/>
          <w:wAfter w:w="1212" w:type="dxa"/>
          <w:trHeight w:val="726"/>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7BB1357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304" w:type="dxa"/>
            <w:gridSpan w:val="3"/>
            <w:tcBorders>
              <w:top w:val="single" w:sz="8" w:space="0" w:color="auto"/>
              <w:left w:val="nil"/>
              <w:bottom w:val="single" w:sz="8" w:space="0" w:color="auto"/>
              <w:right w:val="single" w:sz="8" w:space="0" w:color="000000"/>
            </w:tcBorders>
            <w:vAlign w:val="center"/>
            <w:hideMark/>
          </w:tcPr>
          <w:p w14:paraId="585CBE7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The construction of a new gas pipeline Indjija - Macvanski Prnjavor (Serbia-BiH interconnection) that will enable the continuation of gasification of the Macva district and strategic companies, considering that the old pipeline constructed in 1979 needs heavy rehabilitation.</w:t>
            </w:r>
          </w:p>
        </w:tc>
      </w:tr>
      <w:tr w:rsidR="00614438" w:rsidRPr="00AA7A53" w14:paraId="436AED52" w14:textId="77777777" w:rsidTr="00982157">
        <w:trPr>
          <w:gridAfter w:val="1"/>
          <w:wAfter w:w="1212" w:type="dxa"/>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2165614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304" w:type="dxa"/>
            <w:gridSpan w:val="3"/>
            <w:tcBorders>
              <w:top w:val="single" w:sz="8" w:space="0" w:color="auto"/>
              <w:left w:val="nil"/>
              <w:bottom w:val="single" w:sz="8" w:space="0" w:color="auto"/>
              <w:right w:val="single" w:sz="8" w:space="0" w:color="000000"/>
            </w:tcBorders>
            <w:vAlign w:val="center"/>
            <w:hideMark/>
          </w:tcPr>
          <w:p w14:paraId="4950FF9C" w14:textId="18515E2B"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982157"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133101F2" w14:textId="77777777" w:rsidTr="00982157">
        <w:trPr>
          <w:gridAfter w:val="1"/>
          <w:wAfter w:w="1212" w:type="dxa"/>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781F40F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304" w:type="dxa"/>
            <w:gridSpan w:val="3"/>
            <w:tcBorders>
              <w:top w:val="single" w:sz="8" w:space="0" w:color="auto"/>
              <w:left w:val="nil"/>
              <w:bottom w:val="single" w:sz="8" w:space="0" w:color="auto"/>
              <w:right w:val="single" w:sz="8" w:space="0" w:color="000000"/>
            </w:tcBorders>
            <w:vAlign w:val="center"/>
            <w:hideMark/>
          </w:tcPr>
          <w:p w14:paraId="620C76A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00667AA2" w14:textId="77777777" w:rsidTr="00982157">
        <w:trPr>
          <w:gridAfter w:val="1"/>
          <w:wAfter w:w="1212" w:type="dxa"/>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5A245E8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304" w:type="dxa"/>
            <w:gridSpan w:val="3"/>
            <w:tcBorders>
              <w:top w:val="single" w:sz="8" w:space="0" w:color="auto"/>
              <w:left w:val="nil"/>
              <w:bottom w:val="single" w:sz="8" w:space="0" w:color="auto"/>
              <w:right w:val="single" w:sz="8" w:space="0" w:color="000000"/>
            </w:tcBorders>
            <w:vAlign w:val="center"/>
            <w:hideMark/>
          </w:tcPr>
          <w:p w14:paraId="404A608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Gas</w:t>
            </w:r>
          </w:p>
        </w:tc>
      </w:tr>
      <w:tr w:rsidR="00982157" w:rsidRPr="00AA7A53" w14:paraId="6CDCDC56" w14:textId="77777777" w:rsidTr="00982157">
        <w:trPr>
          <w:gridAfter w:val="1"/>
          <w:wAfter w:w="1212" w:type="dxa"/>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767B4CEC" w14:textId="77777777" w:rsidR="00982157" w:rsidRPr="00AA7A53" w:rsidRDefault="00982157"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304" w:type="dxa"/>
            <w:gridSpan w:val="3"/>
            <w:tcBorders>
              <w:top w:val="single" w:sz="8" w:space="0" w:color="auto"/>
              <w:left w:val="nil"/>
              <w:bottom w:val="single" w:sz="8" w:space="0" w:color="auto"/>
              <w:right w:val="single" w:sz="8" w:space="0" w:color="000000"/>
            </w:tcBorders>
            <w:vAlign w:val="center"/>
            <w:hideMark/>
          </w:tcPr>
          <w:p w14:paraId="73430327" w14:textId="03F2FB2B" w:rsidR="00982157" w:rsidRPr="00AA7A53" w:rsidRDefault="00982157"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PE “Srbijagas”, Transportgas Srbija ltd</w:t>
            </w:r>
          </w:p>
        </w:tc>
      </w:tr>
      <w:tr w:rsidR="00614438" w:rsidRPr="00AA7A53" w14:paraId="0244A589" w14:textId="77777777" w:rsidTr="00982157">
        <w:trPr>
          <w:gridAfter w:val="1"/>
          <w:wAfter w:w="1212" w:type="dxa"/>
          <w:trHeight w:val="315"/>
        </w:trPr>
        <w:tc>
          <w:tcPr>
            <w:tcW w:w="3184" w:type="dxa"/>
            <w:tcBorders>
              <w:top w:val="nil"/>
              <w:left w:val="single" w:sz="8" w:space="0" w:color="auto"/>
              <w:bottom w:val="single" w:sz="8" w:space="0" w:color="auto"/>
              <w:right w:val="nil"/>
            </w:tcBorders>
            <w:shd w:val="clear" w:color="auto" w:fill="244062"/>
            <w:vAlign w:val="center"/>
            <w:hideMark/>
          </w:tcPr>
          <w:p w14:paraId="6FFDC21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304" w:type="dxa"/>
            <w:gridSpan w:val="3"/>
            <w:tcBorders>
              <w:top w:val="single" w:sz="8" w:space="0" w:color="auto"/>
              <w:left w:val="nil"/>
              <w:bottom w:val="single" w:sz="8" w:space="0" w:color="auto"/>
              <w:right w:val="single" w:sz="8" w:space="0" w:color="000000"/>
            </w:tcBorders>
            <w:vAlign w:val="center"/>
            <w:hideMark/>
          </w:tcPr>
          <w:p w14:paraId="750C712E"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795ED6C9"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Ministy of Construction, Transport and Infrastructure</w:t>
            </w:r>
          </w:p>
          <w:p w14:paraId="4662DE92"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p w14:paraId="5A016320"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Serbia</w:t>
            </w:r>
          </w:p>
        </w:tc>
      </w:tr>
      <w:tr w:rsidR="00614438" w:rsidRPr="00AA7A53" w14:paraId="14E84177" w14:textId="77777777" w:rsidTr="00982157">
        <w:trPr>
          <w:gridAfter w:val="1"/>
          <w:wAfter w:w="1212" w:type="dxa"/>
          <w:trHeight w:val="315"/>
        </w:trPr>
        <w:tc>
          <w:tcPr>
            <w:tcW w:w="3184" w:type="dxa"/>
            <w:tcBorders>
              <w:top w:val="nil"/>
              <w:left w:val="single" w:sz="8" w:space="0" w:color="auto"/>
              <w:bottom w:val="single" w:sz="8" w:space="0" w:color="auto"/>
              <w:right w:val="nil"/>
            </w:tcBorders>
            <w:shd w:val="clear" w:color="auto" w:fill="244062"/>
            <w:vAlign w:val="center"/>
            <w:hideMark/>
          </w:tcPr>
          <w:p w14:paraId="1E8F234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304" w:type="dxa"/>
            <w:gridSpan w:val="3"/>
            <w:tcBorders>
              <w:top w:val="single" w:sz="8" w:space="0" w:color="auto"/>
              <w:left w:val="nil"/>
              <w:bottom w:val="single" w:sz="8" w:space="0" w:color="auto"/>
              <w:right w:val="single" w:sz="8" w:space="0" w:color="000000"/>
            </w:tcBorders>
            <w:vAlign w:val="center"/>
            <w:hideMark/>
          </w:tcPr>
          <w:p w14:paraId="74484E1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Final Investment Decision, building permit, commissioning date, commercial operation date</w:t>
            </w:r>
          </w:p>
        </w:tc>
      </w:tr>
      <w:tr w:rsidR="00614438" w:rsidRPr="00AA7A53" w14:paraId="6DA4BE24" w14:textId="77777777" w:rsidTr="00982157">
        <w:trPr>
          <w:gridAfter w:val="1"/>
          <w:wAfter w:w="1212" w:type="dxa"/>
          <w:trHeight w:val="652"/>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2D2430C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304" w:type="dxa"/>
            <w:gridSpan w:val="3"/>
            <w:tcBorders>
              <w:top w:val="single" w:sz="8" w:space="0" w:color="auto"/>
              <w:left w:val="nil"/>
              <w:bottom w:val="single" w:sz="8" w:space="0" w:color="auto"/>
              <w:right w:val="single" w:sz="8" w:space="0" w:color="000000"/>
            </w:tcBorders>
            <w:vAlign w:val="center"/>
            <w:hideMark/>
          </w:tcPr>
          <w:p w14:paraId="6070CF49"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p w14:paraId="62CD00CE"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606082C3" w14:textId="77777777" w:rsidTr="00982157">
        <w:trPr>
          <w:gridAfter w:val="1"/>
          <w:wAfter w:w="1212" w:type="dxa"/>
          <w:trHeight w:val="458"/>
        </w:trPr>
        <w:tc>
          <w:tcPr>
            <w:tcW w:w="3184" w:type="dxa"/>
            <w:vMerge w:val="restart"/>
            <w:tcBorders>
              <w:top w:val="nil"/>
              <w:left w:val="single" w:sz="8" w:space="0" w:color="auto"/>
              <w:bottom w:val="single" w:sz="8" w:space="0" w:color="000000"/>
              <w:right w:val="single" w:sz="8" w:space="0" w:color="auto"/>
            </w:tcBorders>
            <w:shd w:val="clear" w:color="auto" w:fill="244062"/>
            <w:vAlign w:val="center"/>
            <w:hideMark/>
          </w:tcPr>
          <w:p w14:paraId="641F6D1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30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24A877CD"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2009/73/EC</w:t>
            </w:r>
          </w:p>
          <w:p w14:paraId="6E08BDA6"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Regulation (EU) No 347/2013 </w:t>
            </w:r>
          </w:p>
        </w:tc>
      </w:tr>
      <w:tr w:rsidR="00614438" w:rsidRPr="00AA7A53" w14:paraId="767878D2"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71855D9C"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46523A8"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5715B2C8"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3A63C31"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06C00C26"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09ECB06"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36DF6804"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134FFC5C" w14:textId="77777777" w:rsidTr="00982157">
        <w:trPr>
          <w:trHeight w:val="780"/>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0B5FFC5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304" w:type="dxa"/>
            <w:gridSpan w:val="3"/>
            <w:tcBorders>
              <w:top w:val="single" w:sz="8" w:space="0" w:color="auto"/>
              <w:left w:val="nil"/>
              <w:bottom w:val="single" w:sz="8" w:space="0" w:color="auto"/>
              <w:right w:val="single" w:sz="8" w:space="0" w:color="000000"/>
            </w:tcBorders>
            <w:vAlign w:val="center"/>
            <w:hideMark/>
          </w:tcPr>
          <w:p w14:paraId="7C617072" w14:textId="77777777" w:rsidR="00614438" w:rsidRPr="00AA7A53" w:rsidRDefault="00614438" w:rsidP="00AA7A53">
            <w:pPr>
              <w:numPr>
                <w:ilvl w:val="0"/>
                <w:numId w:val="143"/>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Law</w:t>
            </w:r>
          </w:p>
        </w:tc>
        <w:tc>
          <w:tcPr>
            <w:tcW w:w="1212" w:type="dxa"/>
            <w:vAlign w:val="center"/>
            <w:hideMark/>
          </w:tcPr>
          <w:p w14:paraId="4123BE8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20DFC0A" w14:textId="77777777" w:rsidTr="00982157">
        <w:trPr>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7E91105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304" w:type="dxa"/>
            <w:gridSpan w:val="3"/>
            <w:tcBorders>
              <w:top w:val="single" w:sz="8" w:space="0" w:color="auto"/>
              <w:left w:val="nil"/>
              <w:bottom w:val="single" w:sz="8" w:space="0" w:color="auto"/>
              <w:right w:val="single" w:sz="8" w:space="0" w:color="000000"/>
            </w:tcBorders>
            <w:vAlign w:val="center"/>
            <w:hideMark/>
          </w:tcPr>
          <w:p w14:paraId="1E2BC46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47 M€</w:t>
            </w:r>
          </w:p>
        </w:tc>
        <w:tc>
          <w:tcPr>
            <w:tcW w:w="1212" w:type="dxa"/>
            <w:vAlign w:val="center"/>
            <w:hideMark/>
          </w:tcPr>
          <w:p w14:paraId="101B4AB7"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9805CBD" w14:textId="77777777" w:rsidTr="00982157">
        <w:trPr>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6D8ACFE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304" w:type="dxa"/>
            <w:gridSpan w:val="3"/>
            <w:tcBorders>
              <w:top w:val="single" w:sz="8" w:space="0" w:color="auto"/>
              <w:left w:val="nil"/>
              <w:bottom w:val="single" w:sz="8" w:space="0" w:color="auto"/>
              <w:right w:val="single" w:sz="8" w:space="0" w:color="000000"/>
            </w:tcBorders>
            <w:vAlign w:val="center"/>
            <w:hideMark/>
          </w:tcPr>
          <w:p w14:paraId="015649E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1212" w:type="dxa"/>
            <w:vAlign w:val="center"/>
            <w:hideMark/>
          </w:tcPr>
          <w:p w14:paraId="665D0471" w14:textId="77777777" w:rsidR="00614438" w:rsidRPr="00AA7A53" w:rsidRDefault="00614438" w:rsidP="00AA7A53">
            <w:pPr>
              <w:spacing w:after="0"/>
              <w:jc w:val="both"/>
              <w:rPr>
                <w:rFonts w:ascii="Times New Roman" w:hAnsi="Times New Roman" w:cs="Times New Roman"/>
                <w:sz w:val="20"/>
                <w:szCs w:val="20"/>
                <w:lang w:val="en-GB"/>
              </w:rPr>
            </w:pPr>
          </w:p>
        </w:tc>
      </w:tr>
    </w:tbl>
    <w:p w14:paraId="6C727D00"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01"/>
        <w:gridCol w:w="1423"/>
        <w:gridCol w:w="919"/>
        <w:gridCol w:w="3945"/>
        <w:gridCol w:w="1212"/>
      </w:tblGrid>
      <w:tr w:rsidR="00614438" w:rsidRPr="00AA7A53" w14:paraId="3969F316" w14:textId="77777777" w:rsidTr="00982157">
        <w:trPr>
          <w:gridAfter w:val="1"/>
          <w:wAfter w:w="1212" w:type="dxa"/>
          <w:trHeight w:val="780"/>
        </w:trPr>
        <w:tc>
          <w:tcPr>
            <w:tcW w:w="3201"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7F3247A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423" w:type="dxa"/>
            <w:tcBorders>
              <w:top w:val="single" w:sz="8" w:space="0" w:color="auto"/>
              <w:left w:val="nil"/>
              <w:bottom w:val="single" w:sz="8" w:space="0" w:color="auto"/>
              <w:right w:val="single" w:sz="8" w:space="0" w:color="auto"/>
            </w:tcBorders>
            <w:shd w:val="clear" w:color="auto" w:fill="E7E6E6" w:themeFill="background2"/>
            <w:vAlign w:val="center"/>
            <w:hideMark/>
          </w:tcPr>
          <w:p w14:paraId="46F2FB9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PM_IEM8.5</w:t>
            </w:r>
          </w:p>
        </w:tc>
        <w:tc>
          <w:tcPr>
            <w:tcW w:w="919" w:type="dxa"/>
            <w:tcBorders>
              <w:top w:val="single" w:sz="8" w:space="0" w:color="auto"/>
              <w:left w:val="nil"/>
              <w:bottom w:val="single" w:sz="8" w:space="0" w:color="auto"/>
              <w:right w:val="single" w:sz="8" w:space="0" w:color="auto"/>
            </w:tcBorders>
            <w:shd w:val="clear" w:color="auto" w:fill="244062"/>
            <w:vAlign w:val="center"/>
            <w:hideMark/>
          </w:tcPr>
          <w:p w14:paraId="72AA1BA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3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02F2D88B" w14:textId="77777777" w:rsidR="00614438" w:rsidRPr="00AA7A53" w:rsidRDefault="00614438" w:rsidP="00AA7A53">
            <w:pPr>
              <w:spacing w:after="0"/>
              <w:jc w:val="both"/>
              <w:rPr>
                <w:rFonts w:ascii="Times New Roman" w:hAnsi="Times New Roman" w:cs="Times New Roman"/>
                <w:sz w:val="20"/>
                <w:szCs w:val="20"/>
                <w:lang w:val="en-GB"/>
              </w:rPr>
            </w:pPr>
            <w:bookmarkStart w:id="163" w:name="_Hlk113476583"/>
            <w:r w:rsidRPr="00AA7A53">
              <w:rPr>
                <w:rFonts w:ascii="Times New Roman" w:hAnsi="Times New Roman" w:cs="Times New Roman"/>
                <w:sz w:val="20"/>
                <w:szCs w:val="20"/>
                <w:lang w:val="en-GB"/>
              </w:rPr>
              <w:t>Distribution gas pipeline RG 11-02 Leskovac-Vladicin Han-Vranje 71 km</w:t>
            </w:r>
            <w:bookmarkEnd w:id="163"/>
          </w:p>
        </w:tc>
      </w:tr>
      <w:tr w:rsidR="00614438" w:rsidRPr="00AA7A53" w14:paraId="37A158E3" w14:textId="77777777" w:rsidTr="00982157">
        <w:trPr>
          <w:gridAfter w:val="1"/>
          <w:wAfter w:w="1212" w:type="dxa"/>
          <w:trHeight w:val="573"/>
        </w:trPr>
        <w:tc>
          <w:tcPr>
            <w:tcW w:w="3201" w:type="dxa"/>
            <w:tcBorders>
              <w:top w:val="nil"/>
              <w:left w:val="single" w:sz="8" w:space="0" w:color="auto"/>
              <w:bottom w:val="single" w:sz="8" w:space="0" w:color="auto"/>
              <w:right w:val="nil"/>
            </w:tcBorders>
            <w:shd w:val="clear" w:color="auto" w:fill="244062"/>
            <w:vAlign w:val="center"/>
            <w:hideMark/>
          </w:tcPr>
          <w:p w14:paraId="309F5B6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87" w:type="dxa"/>
            <w:gridSpan w:val="3"/>
            <w:tcBorders>
              <w:top w:val="single" w:sz="8" w:space="0" w:color="auto"/>
              <w:left w:val="nil"/>
              <w:bottom w:val="single" w:sz="8" w:space="0" w:color="auto"/>
              <w:right w:val="single" w:sz="8" w:space="0" w:color="000000"/>
            </w:tcBorders>
            <w:vAlign w:val="center"/>
            <w:hideMark/>
          </w:tcPr>
          <w:p w14:paraId="6C814E2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Infrastructure, market integration aimed at increasing the tradeable capacity, consumer protection and gasification of South Serbia</w:t>
            </w:r>
          </w:p>
        </w:tc>
      </w:tr>
      <w:tr w:rsidR="00614438" w:rsidRPr="00AA7A53" w14:paraId="7EBBED2A" w14:textId="77777777" w:rsidTr="00982157">
        <w:trPr>
          <w:gridAfter w:val="1"/>
          <w:wAfter w:w="1212" w:type="dxa"/>
          <w:trHeight w:val="315"/>
        </w:trPr>
        <w:tc>
          <w:tcPr>
            <w:tcW w:w="3201" w:type="dxa"/>
            <w:tcBorders>
              <w:top w:val="nil"/>
              <w:left w:val="single" w:sz="8" w:space="0" w:color="auto"/>
              <w:bottom w:val="single" w:sz="8" w:space="0" w:color="auto"/>
              <w:right w:val="single" w:sz="8" w:space="0" w:color="auto"/>
            </w:tcBorders>
            <w:shd w:val="clear" w:color="auto" w:fill="244062"/>
            <w:vAlign w:val="center"/>
            <w:hideMark/>
          </w:tcPr>
          <w:p w14:paraId="43DBC10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87" w:type="dxa"/>
            <w:gridSpan w:val="3"/>
            <w:tcBorders>
              <w:top w:val="single" w:sz="8" w:space="0" w:color="auto"/>
              <w:left w:val="nil"/>
              <w:bottom w:val="single" w:sz="8" w:space="0" w:color="auto"/>
              <w:right w:val="single" w:sz="8" w:space="0" w:color="000000"/>
            </w:tcBorders>
            <w:vAlign w:val="center"/>
            <w:hideMark/>
          </w:tcPr>
          <w:p w14:paraId="6088E4B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Increased interconnection capacity </w:t>
            </w:r>
          </w:p>
        </w:tc>
      </w:tr>
      <w:tr w:rsidR="00614438" w:rsidRPr="00AA7A53" w14:paraId="46D469C9" w14:textId="77777777" w:rsidTr="00982157">
        <w:trPr>
          <w:gridAfter w:val="1"/>
          <w:wAfter w:w="1212" w:type="dxa"/>
          <w:trHeight w:val="677"/>
        </w:trPr>
        <w:tc>
          <w:tcPr>
            <w:tcW w:w="3201" w:type="dxa"/>
            <w:tcBorders>
              <w:top w:val="nil"/>
              <w:left w:val="single" w:sz="8" w:space="0" w:color="auto"/>
              <w:bottom w:val="single" w:sz="8" w:space="0" w:color="auto"/>
              <w:right w:val="single" w:sz="8" w:space="0" w:color="auto"/>
            </w:tcBorders>
            <w:shd w:val="clear" w:color="auto" w:fill="244062"/>
            <w:vAlign w:val="center"/>
            <w:hideMark/>
          </w:tcPr>
          <w:p w14:paraId="0A86618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87" w:type="dxa"/>
            <w:gridSpan w:val="3"/>
            <w:tcBorders>
              <w:top w:val="single" w:sz="8" w:space="0" w:color="auto"/>
              <w:left w:val="nil"/>
              <w:bottom w:val="single" w:sz="8" w:space="0" w:color="auto"/>
              <w:right w:val="single" w:sz="8" w:space="0" w:color="000000"/>
            </w:tcBorders>
            <w:vAlign w:val="center"/>
            <w:hideMark/>
          </w:tcPr>
          <w:p w14:paraId="6058B99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Development of the transport gas pipeline network of 71km length, diameter DN 500 mm.</w:t>
            </w:r>
          </w:p>
        </w:tc>
      </w:tr>
      <w:tr w:rsidR="00614438" w:rsidRPr="00AA7A53" w14:paraId="042D6CE6" w14:textId="77777777" w:rsidTr="00982157">
        <w:trPr>
          <w:gridAfter w:val="1"/>
          <w:wAfter w:w="1212" w:type="dxa"/>
          <w:trHeight w:val="315"/>
        </w:trPr>
        <w:tc>
          <w:tcPr>
            <w:tcW w:w="3201" w:type="dxa"/>
            <w:tcBorders>
              <w:top w:val="nil"/>
              <w:left w:val="single" w:sz="8" w:space="0" w:color="auto"/>
              <w:bottom w:val="single" w:sz="8" w:space="0" w:color="auto"/>
              <w:right w:val="single" w:sz="8" w:space="0" w:color="auto"/>
            </w:tcBorders>
            <w:shd w:val="clear" w:color="auto" w:fill="244062"/>
            <w:vAlign w:val="center"/>
            <w:hideMark/>
          </w:tcPr>
          <w:p w14:paraId="5DEB29F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87" w:type="dxa"/>
            <w:gridSpan w:val="3"/>
            <w:tcBorders>
              <w:top w:val="single" w:sz="8" w:space="0" w:color="auto"/>
              <w:left w:val="nil"/>
              <w:bottom w:val="single" w:sz="8" w:space="0" w:color="auto"/>
              <w:right w:val="single" w:sz="8" w:space="0" w:color="000000"/>
            </w:tcBorders>
            <w:vAlign w:val="center"/>
            <w:hideMark/>
          </w:tcPr>
          <w:p w14:paraId="21B6FDA5" w14:textId="6066F9B2" w:rsidR="00614438" w:rsidRPr="00AA7A53" w:rsidRDefault="00982157"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Until </w:t>
            </w:r>
            <w:r w:rsidR="00614438" w:rsidRPr="00AA7A53">
              <w:rPr>
                <w:rFonts w:ascii="Times New Roman" w:hAnsi="Times New Roman" w:cs="Times New Roman"/>
                <w:sz w:val="20"/>
                <w:szCs w:val="20"/>
                <w:lang w:val="en-GB"/>
              </w:rPr>
              <w:t>2026</w:t>
            </w:r>
          </w:p>
        </w:tc>
      </w:tr>
      <w:tr w:rsidR="00614438" w:rsidRPr="00AA7A53" w14:paraId="72328084" w14:textId="77777777" w:rsidTr="00982157">
        <w:trPr>
          <w:gridAfter w:val="1"/>
          <w:wAfter w:w="1212" w:type="dxa"/>
          <w:trHeight w:val="315"/>
        </w:trPr>
        <w:tc>
          <w:tcPr>
            <w:tcW w:w="3201" w:type="dxa"/>
            <w:tcBorders>
              <w:top w:val="nil"/>
              <w:left w:val="single" w:sz="8" w:space="0" w:color="auto"/>
              <w:bottom w:val="single" w:sz="8" w:space="0" w:color="auto"/>
              <w:right w:val="single" w:sz="8" w:space="0" w:color="auto"/>
            </w:tcBorders>
            <w:shd w:val="clear" w:color="auto" w:fill="244062"/>
            <w:vAlign w:val="center"/>
            <w:hideMark/>
          </w:tcPr>
          <w:p w14:paraId="5DB771B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87" w:type="dxa"/>
            <w:gridSpan w:val="3"/>
            <w:tcBorders>
              <w:top w:val="single" w:sz="8" w:space="0" w:color="auto"/>
              <w:left w:val="nil"/>
              <w:bottom w:val="single" w:sz="8" w:space="0" w:color="auto"/>
              <w:right w:val="single" w:sz="8" w:space="0" w:color="000000"/>
            </w:tcBorders>
            <w:vAlign w:val="center"/>
            <w:hideMark/>
          </w:tcPr>
          <w:p w14:paraId="61937D1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506276E7" w14:textId="77777777" w:rsidTr="00982157">
        <w:trPr>
          <w:gridAfter w:val="1"/>
          <w:wAfter w:w="1212" w:type="dxa"/>
          <w:trHeight w:val="315"/>
        </w:trPr>
        <w:tc>
          <w:tcPr>
            <w:tcW w:w="3201" w:type="dxa"/>
            <w:tcBorders>
              <w:top w:val="nil"/>
              <w:left w:val="single" w:sz="8" w:space="0" w:color="auto"/>
              <w:bottom w:val="single" w:sz="8" w:space="0" w:color="auto"/>
              <w:right w:val="single" w:sz="8" w:space="0" w:color="auto"/>
            </w:tcBorders>
            <w:shd w:val="clear" w:color="auto" w:fill="244062"/>
            <w:vAlign w:val="center"/>
            <w:hideMark/>
          </w:tcPr>
          <w:p w14:paraId="16794BC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87" w:type="dxa"/>
            <w:gridSpan w:val="3"/>
            <w:tcBorders>
              <w:top w:val="single" w:sz="8" w:space="0" w:color="auto"/>
              <w:left w:val="nil"/>
              <w:bottom w:val="single" w:sz="8" w:space="0" w:color="auto"/>
              <w:right w:val="single" w:sz="8" w:space="0" w:color="000000"/>
            </w:tcBorders>
            <w:vAlign w:val="center"/>
            <w:hideMark/>
          </w:tcPr>
          <w:p w14:paraId="465BF21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Gas</w:t>
            </w:r>
          </w:p>
        </w:tc>
      </w:tr>
      <w:tr w:rsidR="00982157" w:rsidRPr="00AA7A53" w14:paraId="099E84EB" w14:textId="77777777" w:rsidTr="00982157">
        <w:trPr>
          <w:gridAfter w:val="1"/>
          <w:wAfter w:w="1212" w:type="dxa"/>
          <w:trHeight w:val="315"/>
        </w:trPr>
        <w:tc>
          <w:tcPr>
            <w:tcW w:w="3201" w:type="dxa"/>
            <w:tcBorders>
              <w:top w:val="nil"/>
              <w:left w:val="single" w:sz="8" w:space="0" w:color="auto"/>
              <w:bottom w:val="single" w:sz="8" w:space="0" w:color="auto"/>
              <w:right w:val="single" w:sz="8" w:space="0" w:color="auto"/>
            </w:tcBorders>
            <w:shd w:val="clear" w:color="auto" w:fill="244062"/>
            <w:vAlign w:val="center"/>
            <w:hideMark/>
          </w:tcPr>
          <w:p w14:paraId="6C785801" w14:textId="77777777" w:rsidR="00982157" w:rsidRPr="00AA7A53" w:rsidRDefault="00982157"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87" w:type="dxa"/>
            <w:gridSpan w:val="3"/>
            <w:tcBorders>
              <w:top w:val="single" w:sz="8" w:space="0" w:color="auto"/>
              <w:left w:val="nil"/>
              <w:bottom w:val="single" w:sz="8" w:space="0" w:color="auto"/>
              <w:right w:val="single" w:sz="8" w:space="0" w:color="000000"/>
            </w:tcBorders>
            <w:vAlign w:val="center"/>
            <w:hideMark/>
          </w:tcPr>
          <w:p w14:paraId="5FD50144" w14:textId="21C584B8" w:rsidR="00982157" w:rsidRPr="00AA7A53" w:rsidRDefault="00982157"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PE “Srbijagas”, Transportgas Srbija ltd, Yugorozgas</w:t>
            </w:r>
            <w:r w:rsidRPr="00AA7A53">
              <w:rPr>
                <w:rFonts w:ascii="Times New Roman" w:hAnsi="Times New Roman" w:cs="Times New Roman"/>
                <w:sz w:val="20"/>
                <w:szCs w:val="20"/>
                <w:lang w:val="sr-Cyrl-CS"/>
              </w:rPr>
              <w:t>-</w:t>
            </w:r>
            <w:r w:rsidRPr="00AA7A53">
              <w:rPr>
                <w:rFonts w:ascii="Times New Roman" w:hAnsi="Times New Roman" w:cs="Times New Roman"/>
                <w:sz w:val="20"/>
                <w:szCs w:val="20"/>
              </w:rPr>
              <w:t xml:space="preserve"> Transport</w:t>
            </w:r>
            <w:r w:rsidRPr="00AA7A53">
              <w:rPr>
                <w:rFonts w:ascii="Times New Roman" w:hAnsi="Times New Roman" w:cs="Times New Roman"/>
                <w:sz w:val="20"/>
                <w:szCs w:val="20"/>
                <w:lang w:val="sr-Cyrl-CS"/>
              </w:rPr>
              <w:t xml:space="preserve"> </w:t>
            </w:r>
            <w:r w:rsidRPr="00AA7A53">
              <w:rPr>
                <w:rFonts w:ascii="Times New Roman" w:hAnsi="Times New Roman" w:cs="Times New Roman"/>
                <w:sz w:val="20"/>
                <w:szCs w:val="20"/>
              </w:rPr>
              <w:t>ltd</w:t>
            </w:r>
            <w:r w:rsidRPr="00AA7A53">
              <w:rPr>
                <w:rFonts w:ascii="Times New Roman" w:hAnsi="Times New Roman" w:cs="Times New Roman"/>
                <w:sz w:val="20"/>
                <w:szCs w:val="20"/>
                <w:lang w:val="sr-Cyrl-CS"/>
              </w:rPr>
              <w:t xml:space="preserve"> </w:t>
            </w:r>
            <w:r w:rsidRPr="00AA7A53">
              <w:rPr>
                <w:rFonts w:ascii="Times New Roman" w:hAnsi="Times New Roman" w:cs="Times New Roman"/>
                <w:sz w:val="20"/>
                <w:szCs w:val="20"/>
              </w:rPr>
              <w:t>Nis</w:t>
            </w:r>
          </w:p>
        </w:tc>
      </w:tr>
      <w:tr w:rsidR="00982157" w:rsidRPr="00AA7A53" w14:paraId="5769515E" w14:textId="77777777" w:rsidTr="00982157">
        <w:trPr>
          <w:gridAfter w:val="1"/>
          <w:wAfter w:w="1212" w:type="dxa"/>
          <w:trHeight w:val="315"/>
        </w:trPr>
        <w:tc>
          <w:tcPr>
            <w:tcW w:w="3201" w:type="dxa"/>
            <w:tcBorders>
              <w:top w:val="nil"/>
              <w:left w:val="single" w:sz="8" w:space="0" w:color="auto"/>
              <w:bottom w:val="single" w:sz="8" w:space="0" w:color="auto"/>
              <w:right w:val="nil"/>
            </w:tcBorders>
            <w:shd w:val="clear" w:color="auto" w:fill="244062"/>
            <w:vAlign w:val="center"/>
            <w:hideMark/>
          </w:tcPr>
          <w:p w14:paraId="215DDE79" w14:textId="77777777" w:rsidR="00982157" w:rsidRPr="00AA7A53" w:rsidRDefault="00982157"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87" w:type="dxa"/>
            <w:gridSpan w:val="3"/>
            <w:tcBorders>
              <w:top w:val="single" w:sz="8" w:space="0" w:color="auto"/>
              <w:left w:val="nil"/>
              <w:bottom w:val="single" w:sz="8" w:space="0" w:color="auto"/>
              <w:right w:val="single" w:sz="8" w:space="0" w:color="000000"/>
            </w:tcBorders>
            <w:vAlign w:val="center"/>
            <w:hideMark/>
          </w:tcPr>
          <w:p w14:paraId="292C9D27" w14:textId="77777777" w:rsidR="00982157" w:rsidRPr="00AA7A53" w:rsidRDefault="00982157"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2F95A8CD" w14:textId="77777777" w:rsidR="00982157" w:rsidRPr="00AA7A53" w:rsidRDefault="00982157"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p w14:paraId="1B798CD4" w14:textId="77777777" w:rsidR="00982157" w:rsidRPr="00AA7A53" w:rsidRDefault="00982157"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p w14:paraId="211C5804" w14:textId="77777777" w:rsidR="00982157" w:rsidRPr="00AA7A53" w:rsidRDefault="00982157"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Serbia</w:t>
            </w:r>
          </w:p>
        </w:tc>
      </w:tr>
      <w:tr w:rsidR="00982157" w:rsidRPr="00AA7A53" w14:paraId="64BB85FB" w14:textId="77777777" w:rsidTr="00982157">
        <w:trPr>
          <w:gridAfter w:val="1"/>
          <w:wAfter w:w="1212" w:type="dxa"/>
          <w:trHeight w:val="315"/>
        </w:trPr>
        <w:tc>
          <w:tcPr>
            <w:tcW w:w="3201" w:type="dxa"/>
            <w:tcBorders>
              <w:top w:val="nil"/>
              <w:left w:val="single" w:sz="8" w:space="0" w:color="auto"/>
              <w:bottom w:val="single" w:sz="8" w:space="0" w:color="auto"/>
              <w:right w:val="nil"/>
            </w:tcBorders>
            <w:shd w:val="clear" w:color="auto" w:fill="244062"/>
            <w:vAlign w:val="center"/>
            <w:hideMark/>
          </w:tcPr>
          <w:p w14:paraId="7E635AA9" w14:textId="77777777" w:rsidR="00982157" w:rsidRPr="00AA7A53" w:rsidRDefault="00982157"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87" w:type="dxa"/>
            <w:gridSpan w:val="3"/>
            <w:tcBorders>
              <w:top w:val="single" w:sz="8" w:space="0" w:color="auto"/>
              <w:left w:val="nil"/>
              <w:bottom w:val="single" w:sz="8" w:space="0" w:color="auto"/>
              <w:right w:val="single" w:sz="8" w:space="0" w:color="000000"/>
            </w:tcBorders>
            <w:vAlign w:val="center"/>
            <w:hideMark/>
          </w:tcPr>
          <w:p w14:paraId="449A0B97" w14:textId="77777777" w:rsidR="00982157" w:rsidRPr="00AA7A53" w:rsidRDefault="00982157"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Final Investment Decision, building permit, commissioning date, commercial operation date</w:t>
            </w:r>
          </w:p>
        </w:tc>
      </w:tr>
      <w:tr w:rsidR="00982157" w:rsidRPr="00AA7A53" w14:paraId="49A33F88" w14:textId="77777777" w:rsidTr="00982157">
        <w:trPr>
          <w:gridAfter w:val="1"/>
          <w:wAfter w:w="1212" w:type="dxa"/>
          <w:trHeight w:val="469"/>
        </w:trPr>
        <w:tc>
          <w:tcPr>
            <w:tcW w:w="3201" w:type="dxa"/>
            <w:tcBorders>
              <w:top w:val="nil"/>
              <w:left w:val="single" w:sz="8" w:space="0" w:color="auto"/>
              <w:bottom w:val="single" w:sz="8" w:space="0" w:color="auto"/>
              <w:right w:val="single" w:sz="8" w:space="0" w:color="auto"/>
            </w:tcBorders>
            <w:shd w:val="clear" w:color="auto" w:fill="244062"/>
            <w:vAlign w:val="center"/>
            <w:hideMark/>
          </w:tcPr>
          <w:p w14:paraId="090FDE21" w14:textId="77777777" w:rsidR="00982157" w:rsidRPr="00AA7A53" w:rsidRDefault="00982157"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87" w:type="dxa"/>
            <w:gridSpan w:val="3"/>
            <w:tcBorders>
              <w:top w:val="single" w:sz="8" w:space="0" w:color="auto"/>
              <w:left w:val="nil"/>
              <w:bottom w:val="single" w:sz="8" w:space="0" w:color="auto"/>
              <w:right w:val="single" w:sz="8" w:space="0" w:color="000000"/>
            </w:tcBorders>
            <w:vAlign w:val="center"/>
            <w:hideMark/>
          </w:tcPr>
          <w:p w14:paraId="40C959B3" w14:textId="77777777" w:rsidR="00982157" w:rsidRPr="00AA7A53" w:rsidRDefault="00982157" w:rsidP="00AA7A53">
            <w:pPr>
              <w:numPr>
                <w:ilvl w:val="0"/>
                <w:numId w:val="143"/>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p w14:paraId="07830D56" w14:textId="77777777" w:rsidR="00982157" w:rsidRPr="00AA7A53" w:rsidRDefault="00982157" w:rsidP="00AA7A53">
            <w:pPr>
              <w:numPr>
                <w:ilvl w:val="0"/>
                <w:numId w:val="143"/>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982157" w:rsidRPr="00AA7A53" w14:paraId="6F05B436" w14:textId="77777777" w:rsidTr="00982157">
        <w:trPr>
          <w:gridAfter w:val="1"/>
          <w:wAfter w:w="1212" w:type="dxa"/>
          <w:trHeight w:val="458"/>
        </w:trPr>
        <w:tc>
          <w:tcPr>
            <w:tcW w:w="3201" w:type="dxa"/>
            <w:vMerge w:val="restart"/>
            <w:tcBorders>
              <w:top w:val="nil"/>
              <w:left w:val="single" w:sz="8" w:space="0" w:color="auto"/>
              <w:bottom w:val="single" w:sz="8" w:space="0" w:color="000000"/>
              <w:right w:val="single" w:sz="8" w:space="0" w:color="auto"/>
            </w:tcBorders>
            <w:shd w:val="clear" w:color="auto" w:fill="244062"/>
            <w:vAlign w:val="center"/>
            <w:hideMark/>
          </w:tcPr>
          <w:p w14:paraId="16C93374" w14:textId="77777777" w:rsidR="00982157" w:rsidRPr="00AA7A53" w:rsidRDefault="00982157"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87"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FC7A3F6" w14:textId="77777777" w:rsidR="00982157" w:rsidRPr="00AA7A53" w:rsidRDefault="00982157"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2009/73/EC</w:t>
            </w:r>
          </w:p>
          <w:p w14:paraId="68E9DE65" w14:textId="77777777" w:rsidR="00982157" w:rsidRPr="00AA7A53" w:rsidRDefault="00982157"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Regulation (EU) No 347/2013 </w:t>
            </w:r>
          </w:p>
        </w:tc>
      </w:tr>
      <w:tr w:rsidR="00982157" w:rsidRPr="00AA7A53" w14:paraId="56261698"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48DF6E8F" w14:textId="77777777" w:rsidR="00982157" w:rsidRPr="00AA7A53" w:rsidRDefault="00982157"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EA13000" w14:textId="77777777" w:rsidR="00982157" w:rsidRPr="00AA7A53" w:rsidRDefault="00982157" w:rsidP="00AA7A53">
            <w:pPr>
              <w:spacing w:after="0"/>
              <w:jc w:val="both"/>
              <w:rPr>
                <w:rFonts w:ascii="Times New Roman" w:hAnsi="Times New Roman" w:cs="Times New Roman"/>
                <w:sz w:val="20"/>
                <w:szCs w:val="20"/>
                <w:lang w:val="en-GB"/>
              </w:rPr>
            </w:pPr>
          </w:p>
        </w:tc>
        <w:tc>
          <w:tcPr>
            <w:tcW w:w="1212" w:type="dxa"/>
            <w:noWrap/>
            <w:vAlign w:val="bottom"/>
            <w:hideMark/>
          </w:tcPr>
          <w:p w14:paraId="48BB57DA" w14:textId="77777777" w:rsidR="00982157" w:rsidRPr="00AA7A53" w:rsidRDefault="00982157" w:rsidP="00AA7A53">
            <w:pPr>
              <w:spacing w:after="0"/>
              <w:jc w:val="both"/>
              <w:rPr>
                <w:rFonts w:ascii="Times New Roman" w:hAnsi="Times New Roman" w:cs="Times New Roman"/>
                <w:sz w:val="20"/>
                <w:szCs w:val="20"/>
                <w:lang w:val="en-GB"/>
              </w:rPr>
            </w:pPr>
          </w:p>
        </w:tc>
      </w:tr>
      <w:tr w:rsidR="00982157" w:rsidRPr="00AA7A53" w14:paraId="66CE14B3" w14:textId="77777777" w:rsidTr="00614438">
        <w:trPr>
          <w:trHeight w:val="315"/>
        </w:trPr>
        <w:tc>
          <w:tcPr>
            <w:tcW w:w="0" w:type="auto"/>
            <w:vMerge/>
            <w:tcBorders>
              <w:top w:val="nil"/>
              <w:left w:val="single" w:sz="8" w:space="0" w:color="auto"/>
              <w:bottom w:val="single" w:sz="8" w:space="0" w:color="000000"/>
              <w:right w:val="single" w:sz="8" w:space="0" w:color="auto"/>
            </w:tcBorders>
            <w:vAlign w:val="center"/>
            <w:hideMark/>
          </w:tcPr>
          <w:p w14:paraId="0E3D9B3D" w14:textId="77777777" w:rsidR="00982157" w:rsidRPr="00AA7A53" w:rsidRDefault="00982157"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C793AB7" w14:textId="77777777" w:rsidR="00982157" w:rsidRPr="00AA7A53" w:rsidRDefault="00982157" w:rsidP="00AA7A53">
            <w:pPr>
              <w:spacing w:after="0"/>
              <w:jc w:val="both"/>
              <w:rPr>
                <w:rFonts w:ascii="Times New Roman" w:hAnsi="Times New Roman" w:cs="Times New Roman"/>
                <w:sz w:val="20"/>
                <w:szCs w:val="20"/>
                <w:lang w:val="en-GB"/>
              </w:rPr>
            </w:pPr>
          </w:p>
        </w:tc>
        <w:tc>
          <w:tcPr>
            <w:tcW w:w="1212" w:type="dxa"/>
            <w:noWrap/>
            <w:vAlign w:val="bottom"/>
            <w:hideMark/>
          </w:tcPr>
          <w:p w14:paraId="01CE6A3B" w14:textId="77777777" w:rsidR="00982157" w:rsidRPr="00AA7A53" w:rsidRDefault="00982157" w:rsidP="00AA7A53">
            <w:pPr>
              <w:spacing w:after="0"/>
              <w:jc w:val="both"/>
              <w:rPr>
                <w:rFonts w:ascii="Times New Roman" w:hAnsi="Times New Roman" w:cs="Times New Roman"/>
                <w:sz w:val="20"/>
                <w:szCs w:val="20"/>
              </w:rPr>
            </w:pPr>
          </w:p>
        </w:tc>
      </w:tr>
      <w:tr w:rsidR="00982157" w:rsidRPr="00AA7A53" w14:paraId="4F2712BB" w14:textId="77777777" w:rsidTr="00982157">
        <w:trPr>
          <w:trHeight w:val="780"/>
        </w:trPr>
        <w:tc>
          <w:tcPr>
            <w:tcW w:w="3201" w:type="dxa"/>
            <w:tcBorders>
              <w:top w:val="nil"/>
              <w:left w:val="single" w:sz="8" w:space="0" w:color="auto"/>
              <w:bottom w:val="single" w:sz="8" w:space="0" w:color="auto"/>
              <w:right w:val="single" w:sz="8" w:space="0" w:color="auto"/>
            </w:tcBorders>
            <w:shd w:val="clear" w:color="auto" w:fill="244062"/>
            <w:vAlign w:val="center"/>
            <w:hideMark/>
          </w:tcPr>
          <w:p w14:paraId="0AFD0ADF" w14:textId="77777777" w:rsidR="00982157" w:rsidRPr="00AA7A53" w:rsidRDefault="00982157"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87" w:type="dxa"/>
            <w:gridSpan w:val="3"/>
            <w:tcBorders>
              <w:top w:val="single" w:sz="8" w:space="0" w:color="auto"/>
              <w:left w:val="nil"/>
              <w:bottom w:val="single" w:sz="8" w:space="0" w:color="auto"/>
              <w:right w:val="single" w:sz="8" w:space="0" w:color="000000"/>
            </w:tcBorders>
            <w:vAlign w:val="center"/>
            <w:hideMark/>
          </w:tcPr>
          <w:p w14:paraId="2896D073" w14:textId="77777777" w:rsidR="00982157" w:rsidRPr="00AA7A53" w:rsidRDefault="00982157" w:rsidP="00AA7A53">
            <w:pPr>
              <w:numPr>
                <w:ilvl w:val="0"/>
                <w:numId w:val="144"/>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Law</w:t>
            </w:r>
          </w:p>
        </w:tc>
        <w:tc>
          <w:tcPr>
            <w:tcW w:w="1212" w:type="dxa"/>
            <w:vAlign w:val="center"/>
            <w:hideMark/>
          </w:tcPr>
          <w:p w14:paraId="3CC79189" w14:textId="77777777" w:rsidR="00982157" w:rsidRPr="00AA7A53" w:rsidRDefault="00982157" w:rsidP="00AA7A53">
            <w:pPr>
              <w:spacing w:after="0"/>
              <w:jc w:val="both"/>
              <w:rPr>
                <w:rFonts w:ascii="Times New Roman" w:hAnsi="Times New Roman" w:cs="Times New Roman"/>
                <w:sz w:val="20"/>
                <w:szCs w:val="20"/>
                <w:lang w:val="en-GB"/>
              </w:rPr>
            </w:pPr>
          </w:p>
        </w:tc>
      </w:tr>
      <w:tr w:rsidR="00982157" w:rsidRPr="00AA7A53" w14:paraId="2426456E" w14:textId="77777777" w:rsidTr="00982157">
        <w:trPr>
          <w:trHeight w:val="315"/>
        </w:trPr>
        <w:tc>
          <w:tcPr>
            <w:tcW w:w="3201" w:type="dxa"/>
            <w:tcBorders>
              <w:top w:val="nil"/>
              <w:left w:val="single" w:sz="8" w:space="0" w:color="auto"/>
              <w:bottom w:val="single" w:sz="8" w:space="0" w:color="auto"/>
              <w:right w:val="single" w:sz="8" w:space="0" w:color="auto"/>
            </w:tcBorders>
            <w:shd w:val="clear" w:color="auto" w:fill="244062"/>
            <w:vAlign w:val="center"/>
            <w:hideMark/>
          </w:tcPr>
          <w:p w14:paraId="2906613C" w14:textId="77777777" w:rsidR="00982157" w:rsidRPr="00AA7A53" w:rsidRDefault="00982157"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87" w:type="dxa"/>
            <w:gridSpan w:val="3"/>
            <w:tcBorders>
              <w:top w:val="single" w:sz="8" w:space="0" w:color="auto"/>
              <w:left w:val="nil"/>
              <w:bottom w:val="single" w:sz="8" w:space="0" w:color="auto"/>
              <w:right w:val="single" w:sz="8" w:space="0" w:color="000000"/>
            </w:tcBorders>
            <w:vAlign w:val="center"/>
            <w:hideMark/>
          </w:tcPr>
          <w:p w14:paraId="74CCF157" w14:textId="77777777" w:rsidR="00982157" w:rsidRPr="00AA7A53" w:rsidRDefault="00982157"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50 M€</w:t>
            </w:r>
          </w:p>
        </w:tc>
        <w:tc>
          <w:tcPr>
            <w:tcW w:w="1212" w:type="dxa"/>
            <w:vAlign w:val="center"/>
            <w:hideMark/>
          </w:tcPr>
          <w:p w14:paraId="75539FCC" w14:textId="77777777" w:rsidR="00982157" w:rsidRPr="00AA7A53" w:rsidRDefault="00982157" w:rsidP="00AA7A53">
            <w:pPr>
              <w:spacing w:after="0"/>
              <w:jc w:val="both"/>
              <w:rPr>
                <w:rFonts w:ascii="Times New Roman" w:hAnsi="Times New Roman" w:cs="Times New Roman"/>
                <w:sz w:val="20"/>
                <w:szCs w:val="20"/>
                <w:lang w:val="en-GB"/>
              </w:rPr>
            </w:pPr>
          </w:p>
        </w:tc>
      </w:tr>
      <w:tr w:rsidR="00982157" w:rsidRPr="00AA7A53" w14:paraId="6812DABA" w14:textId="77777777" w:rsidTr="00982157">
        <w:trPr>
          <w:trHeight w:val="315"/>
        </w:trPr>
        <w:tc>
          <w:tcPr>
            <w:tcW w:w="3201" w:type="dxa"/>
            <w:tcBorders>
              <w:top w:val="nil"/>
              <w:left w:val="single" w:sz="8" w:space="0" w:color="auto"/>
              <w:bottom w:val="single" w:sz="8" w:space="0" w:color="auto"/>
              <w:right w:val="single" w:sz="8" w:space="0" w:color="auto"/>
            </w:tcBorders>
            <w:shd w:val="clear" w:color="auto" w:fill="244062"/>
            <w:vAlign w:val="center"/>
            <w:hideMark/>
          </w:tcPr>
          <w:p w14:paraId="6B424B39" w14:textId="77777777" w:rsidR="00982157" w:rsidRPr="00AA7A53" w:rsidRDefault="00982157"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87" w:type="dxa"/>
            <w:gridSpan w:val="3"/>
            <w:tcBorders>
              <w:top w:val="single" w:sz="8" w:space="0" w:color="auto"/>
              <w:left w:val="nil"/>
              <w:bottom w:val="single" w:sz="8" w:space="0" w:color="auto"/>
              <w:right w:val="single" w:sz="8" w:space="0" w:color="000000"/>
            </w:tcBorders>
            <w:vAlign w:val="center"/>
            <w:hideMark/>
          </w:tcPr>
          <w:p w14:paraId="694CC7BC" w14:textId="77777777" w:rsidR="00982157" w:rsidRPr="00AA7A53" w:rsidRDefault="00982157"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1212" w:type="dxa"/>
            <w:vAlign w:val="center"/>
            <w:hideMark/>
          </w:tcPr>
          <w:p w14:paraId="41976538" w14:textId="77777777" w:rsidR="00982157" w:rsidRPr="00AA7A53" w:rsidRDefault="00982157" w:rsidP="00AA7A53">
            <w:pPr>
              <w:spacing w:after="0"/>
              <w:jc w:val="both"/>
              <w:rPr>
                <w:rFonts w:ascii="Times New Roman" w:hAnsi="Times New Roman" w:cs="Times New Roman"/>
                <w:sz w:val="20"/>
                <w:szCs w:val="20"/>
                <w:lang w:val="en-GB"/>
              </w:rPr>
            </w:pPr>
          </w:p>
        </w:tc>
      </w:tr>
    </w:tbl>
    <w:p w14:paraId="365DF30E"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184"/>
        <w:gridCol w:w="1423"/>
        <w:gridCol w:w="916"/>
        <w:gridCol w:w="3965"/>
        <w:gridCol w:w="1212"/>
      </w:tblGrid>
      <w:tr w:rsidR="00614438" w:rsidRPr="00AA7A53" w14:paraId="2E526969" w14:textId="77777777" w:rsidTr="00982157">
        <w:trPr>
          <w:gridAfter w:val="1"/>
          <w:wAfter w:w="1212" w:type="dxa"/>
          <w:trHeight w:val="780"/>
        </w:trPr>
        <w:tc>
          <w:tcPr>
            <w:tcW w:w="3184"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4D421FA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423" w:type="dxa"/>
            <w:tcBorders>
              <w:top w:val="single" w:sz="8" w:space="0" w:color="auto"/>
              <w:left w:val="nil"/>
              <w:bottom w:val="single" w:sz="8" w:space="0" w:color="auto"/>
              <w:right w:val="single" w:sz="8" w:space="0" w:color="auto"/>
            </w:tcBorders>
            <w:shd w:val="clear" w:color="auto" w:fill="E7E6E6" w:themeFill="background2"/>
            <w:vAlign w:val="center"/>
            <w:hideMark/>
          </w:tcPr>
          <w:p w14:paraId="7CC4182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PM_IEM8.6</w:t>
            </w:r>
          </w:p>
        </w:tc>
        <w:tc>
          <w:tcPr>
            <w:tcW w:w="916" w:type="dxa"/>
            <w:tcBorders>
              <w:top w:val="single" w:sz="8" w:space="0" w:color="auto"/>
              <w:left w:val="nil"/>
              <w:bottom w:val="single" w:sz="8" w:space="0" w:color="auto"/>
              <w:right w:val="single" w:sz="8" w:space="0" w:color="auto"/>
            </w:tcBorders>
            <w:shd w:val="clear" w:color="auto" w:fill="244062"/>
            <w:vAlign w:val="center"/>
            <w:hideMark/>
          </w:tcPr>
          <w:p w14:paraId="09DFD15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3965" w:type="dxa"/>
            <w:tcBorders>
              <w:top w:val="single" w:sz="8" w:space="0" w:color="auto"/>
              <w:left w:val="nil"/>
              <w:bottom w:val="single" w:sz="8" w:space="0" w:color="auto"/>
              <w:right w:val="single" w:sz="8" w:space="0" w:color="auto"/>
            </w:tcBorders>
            <w:shd w:val="clear" w:color="auto" w:fill="E7E6E6" w:themeFill="background2"/>
            <w:vAlign w:val="center"/>
            <w:hideMark/>
          </w:tcPr>
          <w:p w14:paraId="6A6E8E35" w14:textId="77777777" w:rsidR="00614438" w:rsidRPr="00AA7A53" w:rsidRDefault="00614438" w:rsidP="00AA7A53">
            <w:pPr>
              <w:spacing w:after="0"/>
              <w:jc w:val="both"/>
              <w:rPr>
                <w:rFonts w:ascii="Times New Roman" w:hAnsi="Times New Roman" w:cs="Times New Roman"/>
                <w:sz w:val="20"/>
                <w:szCs w:val="20"/>
                <w:lang w:val="en-GB"/>
              </w:rPr>
            </w:pPr>
            <w:bookmarkStart w:id="164" w:name="_Hlk113476599"/>
            <w:r w:rsidRPr="00AA7A53">
              <w:rPr>
                <w:rFonts w:ascii="Times New Roman" w:hAnsi="Times New Roman" w:cs="Times New Roman"/>
                <w:sz w:val="20"/>
                <w:szCs w:val="20"/>
                <w:lang w:val="en-GB"/>
              </w:rPr>
              <w:t>Gas pipeline - interconnection with Montenegro</w:t>
            </w:r>
            <w:bookmarkEnd w:id="164"/>
          </w:p>
        </w:tc>
      </w:tr>
      <w:tr w:rsidR="00614438" w:rsidRPr="00AA7A53" w14:paraId="2E82A794" w14:textId="77777777" w:rsidTr="00982157">
        <w:trPr>
          <w:gridAfter w:val="1"/>
          <w:wAfter w:w="1212" w:type="dxa"/>
          <w:trHeight w:val="623"/>
        </w:trPr>
        <w:tc>
          <w:tcPr>
            <w:tcW w:w="3184" w:type="dxa"/>
            <w:tcBorders>
              <w:top w:val="nil"/>
              <w:left w:val="single" w:sz="8" w:space="0" w:color="auto"/>
              <w:bottom w:val="single" w:sz="8" w:space="0" w:color="auto"/>
              <w:right w:val="nil"/>
            </w:tcBorders>
            <w:shd w:val="clear" w:color="auto" w:fill="244062"/>
            <w:vAlign w:val="center"/>
            <w:hideMark/>
          </w:tcPr>
          <w:p w14:paraId="2AA2B90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304" w:type="dxa"/>
            <w:gridSpan w:val="3"/>
            <w:tcBorders>
              <w:top w:val="single" w:sz="8" w:space="0" w:color="auto"/>
              <w:left w:val="nil"/>
              <w:bottom w:val="single" w:sz="8" w:space="0" w:color="auto"/>
              <w:right w:val="single" w:sz="8" w:space="0" w:color="000000"/>
            </w:tcBorders>
            <w:vAlign w:val="center"/>
            <w:hideMark/>
          </w:tcPr>
          <w:p w14:paraId="3FA16A9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Infrastructure, market integration aimed at increasing the tradeable capacity, consumer protection and improvement of competition, regional integration</w:t>
            </w:r>
          </w:p>
        </w:tc>
      </w:tr>
      <w:tr w:rsidR="00614438" w:rsidRPr="00AA7A53" w14:paraId="103954BD" w14:textId="77777777" w:rsidTr="00982157">
        <w:trPr>
          <w:gridAfter w:val="1"/>
          <w:wAfter w:w="1212" w:type="dxa"/>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65639D4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304" w:type="dxa"/>
            <w:gridSpan w:val="3"/>
            <w:tcBorders>
              <w:top w:val="single" w:sz="8" w:space="0" w:color="auto"/>
              <w:left w:val="nil"/>
              <w:bottom w:val="single" w:sz="8" w:space="0" w:color="auto"/>
              <w:right w:val="single" w:sz="8" w:space="0" w:color="000000"/>
            </w:tcBorders>
            <w:vAlign w:val="center"/>
            <w:hideMark/>
          </w:tcPr>
          <w:p w14:paraId="39947AD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interconnection capacity</w:t>
            </w:r>
          </w:p>
        </w:tc>
      </w:tr>
      <w:tr w:rsidR="00614438" w:rsidRPr="00AA7A53" w14:paraId="02BA9E56" w14:textId="77777777" w:rsidTr="00982157">
        <w:trPr>
          <w:gridAfter w:val="1"/>
          <w:wAfter w:w="1212" w:type="dxa"/>
          <w:trHeight w:val="623"/>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027486D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304" w:type="dxa"/>
            <w:gridSpan w:val="3"/>
            <w:tcBorders>
              <w:top w:val="single" w:sz="8" w:space="0" w:color="auto"/>
              <w:left w:val="nil"/>
              <w:bottom w:val="single" w:sz="8" w:space="0" w:color="auto"/>
              <w:right w:val="single" w:sz="8" w:space="0" w:color="000000"/>
            </w:tcBorders>
            <w:vAlign w:val="center"/>
            <w:hideMark/>
          </w:tcPr>
          <w:p w14:paraId="4B65B814" w14:textId="0339CC63"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Capacity 1.5 billion </w:t>
            </w:r>
            <w:r w:rsidR="00982157" w:rsidRPr="00AA7A53">
              <w:rPr>
                <w:rFonts w:ascii="Times New Roman" w:hAnsi="Times New Roman" w:cs="Times New Roman"/>
                <w:sz w:val="20"/>
                <w:szCs w:val="20"/>
              </w:rPr>
              <w:t>m</w:t>
            </w:r>
            <w:r w:rsidR="00982157" w:rsidRPr="00AA7A53">
              <w:rPr>
                <w:rFonts w:ascii="Times New Roman" w:hAnsi="Times New Roman" w:cs="Times New Roman"/>
                <w:sz w:val="20"/>
                <w:szCs w:val="20"/>
                <w:vertAlign w:val="superscript"/>
              </w:rPr>
              <w:t>3</w:t>
            </w:r>
            <w:r w:rsidRPr="00AA7A53">
              <w:rPr>
                <w:rFonts w:ascii="Times New Roman" w:hAnsi="Times New Roman" w:cs="Times New Roman"/>
                <w:sz w:val="20"/>
                <w:szCs w:val="20"/>
                <w:lang w:val="en-GB"/>
              </w:rPr>
              <w:t>/ year. Construction of the gas pipeline - interconnection with Montenegro will contribute to the diversification of gas supply routes and will enable connection through another national gas system with the IAP gas pipeline.</w:t>
            </w:r>
          </w:p>
          <w:p w14:paraId="1853A62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The project contributes to increasing security of supply, market development and increasing competition in the natural gas market.</w:t>
            </w:r>
          </w:p>
          <w:p w14:paraId="5C1A945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Diversification of natural gas supply sources in accordance with European rules; section length-114 km, diameter DN 500 mm, maximum inlet pressure 50 bar, minimum inlet pressure 16 bar, year of investment start 2024, planned year of commissioning 2028, planned annual quantity 1000 million Sm³ / year, max. daily (technical) capacity 2.7 million Sm³ / day</w:t>
            </w:r>
          </w:p>
        </w:tc>
      </w:tr>
      <w:tr w:rsidR="00614438" w:rsidRPr="00AA7A53" w14:paraId="3CD0F3F2" w14:textId="77777777" w:rsidTr="00982157">
        <w:trPr>
          <w:gridAfter w:val="1"/>
          <w:wAfter w:w="1212" w:type="dxa"/>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4C5907F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304" w:type="dxa"/>
            <w:gridSpan w:val="3"/>
            <w:tcBorders>
              <w:top w:val="single" w:sz="8" w:space="0" w:color="auto"/>
              <w:left w:val="nil"/>
              <w:bottom w:val="single" w:sz="8" w:space="0" w:color="auto"/>
              <w:right w:val="single" w:sz="8" w:space="0" w:color="000000"/>
            </w:tcBorders>
            <w:vAlign w:val="center"/>
            <w:hideMark/>
          </w:tcPr>
          <w:p w14:paraId="0E931D1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2026-2030</w:t>
            </w:r>
          </w:p>
        </w:tc>
      </w:tr>
      <w:tr w:rsidR="00614438" w:rsidRPr="00AA7A53" w14:paraId="42D46D90" w14:textId="77777777" w:rsidTr="00982157">
        <w:trPr>
          <w:gridAfter w:val="1"/>
          <w:wAfter w:w="1212" w:type="dxa"/>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372B61E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304" w:type="dxa"/>
            <w:gridSpan w:val="3"/>
            <w:tcBorders>
              <w:top w:val="single" w:sz="8" w:space="0" w:color="auto"/>
              <w:left w:val="nil"/>
              <w:bottom w:val="single" w:sz="8" w:space="0" w:color="auto"/>
              <w:right w:val="single" w:sz="8" w:space="0" w:color="000000"/>
            </w:tcBorders>
            <w:vAlign w:val="center"/>
            <w:hideMark/>
          </w:tcPr>
          <w:p w14:paraId="1657D6B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0B86093D" w14:textId="77777777" w:rsidTr="00982157">
        <w:trPr>
          <w:gridAfter w:val="1"/>
          <w:wAfter w:w="1212" w:type="dxa"/>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6A7C13A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304" w:type="dxa"/>
            <w:gridSpan w:val="3"/>
            <w:tcBorders>
              <w:top w:val="single" w:sz="8" w:space="0" w:color="auto"/>
              <w:left w:val="nil"/>
              <w:bottom w:val="single" w:sz="8" w:space="0" w:color="auto"/>
              <w:right w:val="single" w:sz="8" w:space="0" w:color="000000"/>
            </w:tcBorders>
            <w:vAlign w:val="center"/>
            <w:hideMark/>
          </w:tcPr>
          <w:p w14:paraId="350B3F3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Gas</w:t>
            </w:r>
          </w:p>
        </w:tc>
      </w:tr>
      <w:tr w:rsidR="00982157" w:rsidRPr="00AA7A53" w14:paraId="05A6DD7D" w14:textId="77777777" w:rsidTr="00982157">
        <w:trPr>
          <w:gridAfter w:val="1"/>
          <w:wAfter w:w="1212" w:type="dxa"/>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301D293A" w14:textId="77777777" w:rsidR="00982157" w:rsidRPr="00AA7A53" w:rsidRDefault="00982157"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304" w:type="dxa"/>
            <w:gridSpan w:val="3"/>
            <w:tcBorders>
              <w:top w:val="single" w:sz="8" w:space="0" w:color="auto"/>
              <w:left w:val="nil"/>
              <w:bottom w:val="single" w:sz="8" w:space="0" w:color="auto"/>
              <w:right w:val="single" w:sz="8" w:space="0" w:color="000000"/>
            </w:tcBorders>
            <w:vAlign w:val="center"/>
            <w:hideMark/>
          </w:tcPr>
          <w:p w14:paraId="69C35528" w14:textId="129B2C08" w:rsidR="00982157" w:rsidRPr="00AA7A53" w:rsidRDefault="00982157"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PE “Srbijagas”, Transportgas Srbija ltd.</w:t>
            </w:r>
          </w:p>
        </w:tc>
      </w:tr>
      <w:tr w:rsidR="00614438" w:rsidRPr="00AA7A53" w14:paraId="72716D2C" w14:textId="77777777" w:rsidTr="00982157">
        <w:trPr>
          <w:gridAfter w:val="1"/>
          <w:wAfter w:w="1212" w:type="dxa"/>
          <w:trHeight w:val="315"/>
        </w:trPr>
        <w:tc>
          <w:tcPr>
            <w:tcW w:w="3184" w:type="dxa"/>
            <w:tcBorders>
              <w:top w:val="nil"/>
              <w:left w:val="single" w:sz="8" w:space="0" w:color="auto"/>
              <w:bottom w:val="single" w:sz="8" w:space="0" w:color="auto"/>
              <w:right w:val="nil"/>
            </w:tcBorders>
            <w:shd w:val="clear" w:color="auto" w:fill="244062"/>
            <w:vAlign w:val="center"/>
            <w:hideMark/>
          </w:tcPr>
          <w:p w14:paraId="6D8BC4D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304" w:type="dxa"/>
            <w:gridSpan w:val="3"/>
            <w:tcBorders>
              <w:top w:val="single" w:sz="8" w:space="0" w:color="auto"/>
              <w:left w:val="nil"/>
              <w:bottom w:val="single" w:sz="8" w:space="0" w:color="auto"/>
              <w:right w:val="single" w:sz="8" w:space="0" w:color="000000"/>
            </w:tcBorders>
            <w:vAlign w:val="center"/>
            <w:hideMark/>
          </w:tcPr>
          <w:p w14:paraId="260B9AC4"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263D1444"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p w14:paraId="103F3DFC"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p w14:paraId="6539B8BF"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Serbia</w:t>
            </w:r>
          </w:p>
        </w:tc>
      </w:tr>
      <w:tr w:rsidR="00614438" w:rsidRPr="00AA7A53" w14:paraId="12DADD3D" w14:textId="77777777" w:rsidTr="00982157">
        <w:trPr>
          <w:gridAfter w:val="1"/>
          <w:wAfter w:w="1212" w:type="dxa"/>
          <w:trHeight w:val="315"/>
        </w:trPr>
        <w:tc>
          <w:tcPr>
            <w:tcW w:w="3184" w:type="dxa"/>
            <w:tcBorders>
              <w:top w:val="nil"/>
              <w:left w:val="single" w:sz="8" w:space="0" w:color="auto"/>
              <w:bottom w:val="single" w:sz="8" w:space="0" w:color="auto"/>
              <w:right w:val="nil"/>
            </w:tcBorders>
            <w:shd w:val="clear" w:color="auto" w:fill="244062"/>
            <w:vAlign w:val="center"/>
            <w:hideMark/>
          </w:tcPr>
          <w:p w14:paraId="04761F8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304" w:type="dxa"/>
            <w:gridSpan w:val="3"/>
            <w:tcBorders>
              <w:top w:val="single" w:sz="8" w:space="0" w:color="auto"/>
              <w:left w:val="nil"/>
              <w:bottom w:val="single" w:sz="8" w:space="0" w:color="auto"/>
              <w:right w:val="single" w:sz="8" w:space="0" w:color="000000"/>
            </w:tcBorders>
            <w:vAlign w:val="center"/>
            <w:hideMark/>
          </w:tcPr>
          <w:p w14:paraId="42A36EB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Final Investment Decision, building permit, commissioning date, commercial operation date</w:t>
            </w:r>
          </w:p>
        </w:tc>
      </w:tr>
      <w:tr w:rsidR="00614438" w:rsidRPr="00AA7A53" w14:paraId="4289F476" w14:textId="77777777" w:rsidTr="00982157">
        <w:trPr>
          <w:gridAfter w:val="1"/>
          <w:wAfter w:w="1212" w:type="dxa"/>
          <w:trHeight w:val="58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71662B9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304" w:type="dxa"/>
            <w:gridSpan w:val="3"/>
            <w:tcBorders>
              <w:top w:val="single" w:sz="8" w:space="0" w:color="auto"/>
              <w:left w:val="nil"/>
              <w:bottom w:val="single" w:sz="8" w:space="0" w:color="auto"/>
              <w:right w:val="single" w:sz="8" w:space="0" w:color="000000"/>
            </w:tcBorders>
            <w:vAlign w:val="center"/>
            <w:hideMark/>
          </w:tcPr>
          <w:p w14:paraId="77A28C01"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p w14:paraId="31E1E7E4"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6D749DEB" w14:textId="77777777" w:rsidTr="00982157">
        <w:trPr>
          <w:gridAfter w:val="1"/>
          <w:wAfter w:w="1212" w:type="dxa"/>
          <w:trHeight w:val="458"/>
        </w:trPr>
        <w:tc>
          <w:tcPr>
            <w:tcW w:w="3184" w:type="dxa"/>
            <w:vMerge w:val="restart"/>
            <w:tcBorders>
              <w:top w:val="nil"/>
              <w:left w:val="single" w:sz="8" w:space="0" w:color="auto"/>
              <w:bottom w:val="single" w:sz="8" w:space="0" w:color="000000"/>
              <w:right w:val="single" w:sz="8" w:space="0" w:color="auto"/>
            </w:tcBorders>
            <w:shd w:val="clear" w:color="auto" w:fill="244062"/>
            <w:vAlign w:val="center"/>
            <w:hideMark/>
          </w:tcPr>
          <w:p w14:paraId="41743C8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30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23427224"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2009/73/EC</w:t>
            </w:r>
          </w:p>
          <w:p w14:paraId="47218EEB"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Regulation (EU) No 347/2013 </w:t>
            </w:r>
          </w:p>
        </w:tc>
      </w:tr>
      <w:tr w:rsidR="00614438" w:rsidRPr="00AA7A53" w14:paraId="243C0DD0"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2DDB2454"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B0D69FB"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5CA7964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66DAEEB"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2EEAA201"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A55D81A"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4A50522F"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438041BD" w14:textId="77777777" w:rsidTr="00982157">
        <w:trPr>
          <w:trHeight w:val="780"/>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38DC18A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304" w:type="dxa"/>
            <w:gridSpan w:val="3"/>
            <w:tcBorders>
              <w:top w:val="single" w:sz="8" w:space="0" w:color="auto"/>
              <w:left w:val="nil"/>
              <w:bottom w:val="single" w:sz="8" w:space="0" w:color="auto"/>
              <w:right w:val="single" w:sz="8" w:space="0" w:color="000000"/>
            </w:tcBorders>
            <w:vAlign w:val="center"/>
            <w:hideMark/>
          </w:tcPr>
          <w:p w14:paraId="6EABA499" w14:textId="77777777" w:rsidR="00614438" w:rsidRPr="00AA7A53" w:rsidRDefault="00614438" w:rsidP="00AA7A53">
            <w:pPr>
              <w:numPr>
                <w:ilvl w:val="0"/>
                <w:numId w:val="145"/>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Law</w:t>
            </w:r>
          </w:p>
        </w:tc>
        <w:tc>
          <w:tcPr>
            <w:tcW w:w="1212" w:type="dxa"/>
            <w:vAlign w:val="center"/>
            <w:hideMark/>
          </w:tcPr>
          <w:p w14:paraId="49D6762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9F53597" w14:textId="77777777" w:rsidTr="00982157">
        <w:trPr>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2A66BBA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304" w:type="dxa"/>
            <w:gridSpan w:val="3"/>
            <w:tcBorders>
              <w:top w:val="single" w:sz="8" w:space="0" w:color="auto"/>
              <w:left w:val="nil"/>
              <w:bottom w:val="single" w:sz="8" w:space="0" w:color="auto"/>
              <w:right w:val="single" w:sz="8" w:space="0" w:color="000000"/>
            </w:tcBorders>
            <w:vAlign w:val="center"/>
            <w:hideMark/>
          </w:tcPr>
          <w:p w14:paraId="42393D1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60 M€</w:t>
            </w:r>
          </w:p>
        </w:tc>
        <w:tc>
          <w:tcPr>
            <w:tcW w:w="1212" w:type="dxa"/>
            <w:vAlign w:val="center"/>
            <w:hideMark/>
          </w:tcPr>
          <w:p w14:paraId="28E9BC9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E393E23" w14:textId="77777777" w:rsidTr="00982157">
        <w:trPr>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3F15ACE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304" w:type="dxa"/>
            <w:gridSpan w:val="3"/>
            <w:tcBorders>
              <w:top w:val="single" w:sz="8" w:space="0" w:color="auto"/>
              <w:left w:val="nil"/>
              <w:bottom w:val="single" w:sz="8" w:space="0" w:color="auto"/>
              <w:right w:val="single" w:sz="8" w:space="0" w:color="000000"/>
            </w:tcBorders>
            <w:vAlign w:val="center"/>
            <w:hideMark/>
          </w:tcPr>
          <w:p w14:paraId="3D9826D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1212" w:type="dxa"/>
            <w:vAlign w:val="center"/>
            <w:hideMark/>
          </w:tcPr>
          <w:p w14:paraId="1115D92D" w14:textId="77777777" w:rsidR="00614438" w:rsidRPr="00AA7A53" w:rsidRDefault="00614438" w:rsidP="00AA7A53">
            <w:pPr>
              <w:spacing w:after="0"/>
              <w:jc w:val="both"/>
              <w:rPr>
                <w:rFonts w:ascii="Times New Roman" w:hAnsi="Times New Roman" w:cs="Times New Roman"/>
                <w:sz w:val="20"/>
                <w:szCs w:val="20"/>
                <w:lang w:val="en-GB"/>
              </w:rPr>
            </w:pPr>
          </w:p>
        </w:tc>
      </w:tr>
    </w:tbl>
    <w:p w14:paraId="45116D53"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184"/>
        <w:gridCol w:w="1423"/>
        <w:gridCol w:w="916"/>
        <w:gridCol w:w="3965"/>
        <w:gridCol w:w="1212"/>
      </w:tblGrid>
      <w:tr w:rsidR="00614438" w:rsidRPr="00AA7A53" w14:paraId="432E50EF" w14:textId="77777777" w:rsidTr="00982157">
        <w:trPr>
          <w:gridAfter w:val="1"/>
          <w:wAfter w:w="1212" w:type="dxa"/>
          <w:trHeight w:val="780"/>
        </w:trPr>
        <w:tc>
          <w:tcPr>
            <w:tcW w:w="3184"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489BF43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423" w:type="dxa"/>
            <w:tcBorders>
              <w:top w:val="single" w:sz="8" w:space="0" w:color="auto"/>
              <w:left w:val="nil"/>
              <w:bottom w:val="single" w:sz="8" w:space="0" w:color="auto"/>
              <w:right w:val="single" w:sz="8" w:space="0" w:color="auto"/>
            </w:tcBorders>
            <w:shd w:val="clear" w:color="auto" w:fill="E7E6E6" w:themeFill="background2"/>
            <w:vAlign w:val="center"/>
            <w:hideMark/>
          </w:tcPr>
          <w:p w14:paraId="21F51E3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PM_IEM8.7</w:t>
            </w:r>
          </w:p>
        </w:tc>
        <w:tc>
          <w:tcPr>
            <w:tcW w:w="916" w:type="dxa"/>
            <w:tcBorders>
              <w:top w:val="single" w:sz="8" w:space="0" w:color="auto"/>
              <w:left w:val="nil"/>
              <w:bottom w:val="single" w:sz="8" w:space="0" w:color="auto"/>
              <w:right w:val="single" w:sz="8" w:space="0" w:color="auto"/>
            </w:tcBorders>
            <w:shd w:val="clear" w:color="auto" w:fill="244062"/>
            <w:vAlign w:val="center"/>
            <w:hideMark/>
          </w:tcPr>
          <w:p w14:paraId="53946F2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3965" w:type="dxa"/>
            <w:tcBorders>
              <w:top w:val="single" w:sz="8" w:space="0" w:color="auto"/>
              <w:left w:val="nil"/>
              <w:bottom w:val="single" w:sz="8" w:space="0" w:color="auto"/>
              <w:right w:val="single" w:sz="8" w:space="0" w:color="auto"/>
            </w:tcBorders>
            <w:shd w:val="clear" w:color="auto" w:fill="E7E6E6" w:themeFill="background2"/>
            <w:vAlign w:val="center"/>
            <w:hideMark/>
          </w:tcPr>
          <w:p w14:paraId="00792934" w14:textId="6E5374C1" w:rsidR="00614438" w:rsidRPr="00AA7A53" w:rsidRDefault="00614438" w:rsidP="00AA7A53">
            <w:pPr>
              <w:spacing w:after="0"/>
              <w:jc w:val="both"/>
              <w:rPr>
                <w:rFonts w:ascii="Times New Roman" w:hAnsi="Times New Roman" w:cs="Times New Roman"/>
                <w:sz w:val="20"/>
                <w:szCs w:val="20"/>
                <w:lang w:val="en-GB"/>
              </w:rPr>
            </w:pPr>
            <w:bookmarkStart w:id="165" w:name="_Hlk113476607"/>
            <w:r w:rsidRPr="00AA7A53">
              <w:rPr>
                <w:rFonts w:ascii="Times New Roman" w:hAnsi="Times New Roman" w:cs="Times New Roman"/>
                <w:sz w:val="20"/>
                <w:szCs w:val="20"/>
                <w:lang w:val="en-GB"/>
              </w:rPr>
              <w:t>Serbia-Macedonia gas interconnection</w:t>
            </w:r>
            <w:r w:rsidR="00982157" w:rsidRPr="00AA7A53">
              <w:rPr>
                <w:rFonts w:ascii="Times New Roman" w:hAnsi="Times New Roman" w:cs="Times New Roman"/>
                <w:sz w:val="20"/>
                <w:szCs w:val="20"/>
                <w:lang w:val="en-GB"/>
              </w:rPr>
              <w:t xml:space="preserve"> project, </w:t>
            </w:r>
            <w:r w:rsidRPr="00AA7A53">
              <w:rPr>
                <w:rFonts w:ascii="Times New Roman" w:hAnsi="Times New Roman" w:cs="Times New Roman"/>
                <w:sz w:val="20"/>
                <w:szCs w:val="20"/>
                <w:lang w:val="en-GB"/>
              </w:rPr>
              <w:t>70.7 km</w:t>
            </w:r>
            <w:r w:rsidR="00982157" w:rsidRPr="00AA7A53">
              <w:rPr>
                <w:rFonts w:ascii="Times New Roman" w:hAnsi="Times New Roman" w:cs="Times New Roman"/>
                <w:sz w:val="20"/>
                <w:szCs w:val="20"/>
                <w:lang w:val="en-GB"/>
              </w:rPr>
              <w:t xml:space="preserve"> long</w:t>
            </w:r>
            <w:r w:rsidRPr="00AA7A53">
              <w:rPr>
                <w:rFonts w:ascii="Times New Roman" w:hAnsi="Times New Roman" w:cs="Times New Roman"/>
                <w:sz w:val="20"/>
                <w:szCs w:val="20"/>
                <w:lang w:val="en-GB"/>
              </w:rPr>
              <w:t xml:space="preserve">, with a capacity of 0.8 billion </w:t>
            </w:r>
            <w:r w:rsidR="00982157" w:rsidRPr="00AA7A53">
              <w:rPr>
                <w:rFonts w:ascii="Times New Roman" w:hAnsi="Times New Roman" w:cs="Times New Roman"/>
                <w:sz w:val="20"/>
                <w:szCs w:val="20"/>
              </w:rPr>
              <w:t>m</w:t>
            </w:r>
            <w:r w:rsidR="00982157" w:rsidRPr="00AA7A53">
              <w:rPr>
                <w:rFonts w:ascii="Times New Roman" w:hAnsi="Times New Roman" w:cs="Times New Roman"/>
                <w:sz w:val="20"/>
                <w:szCs w:val="20"/>
                <w:vertAlign w:val="superscript"/>
              </w:rPr>
              <w:t>3</w:t>
            </w:r>
            <w:r w:rsidRPr="00AA7A53">
              <w:rPr>
                <w:rFonts w:ascii="Times New Roman" w:hAnsi="Times New Roman" w:cs="Times New Roman"/>
                <w:sz w:val="20"/>
                <w:szCs w:val="20"/>
                <w:lang w:val="en-GB"/>
              </w:rPr>
              <w:t>/year</w:t>
            </w:r>
            <w:bookmarkEnd w:id="165"/>
          </w:p>
        </w:tc>
      </w:tr>
      <w:tr w:rsidR="00614438" w:rsidRPr="00AA7A53" w14:paraId="089356C6" w14:textId="77777777" w:rsidTr="00982157">
        <w:trPr>
          <w:gridAfter w:val="1"/>
          <w:wAfter w:w="1212" w:type="dxa"/>
          <w:trHeight w:val="730"/>
        </w:trPr>
        <w:tc>
          <w:tcPr>
            <w:tcW w:w="3184" w:type="dxa"/>
            <w:tcBorders>
              <w:top w:val="nil"/>
              <w:left w:val="single" w:sz="8" w:space="0" w:color="auto"/>
              <w:bottom w:val="single" w:sz="8" w:space="0" w:color="auto"/>
              <w:right w:val="nil"/>
            </w:tcBorders>
            <w:shd w:val="clear" w:color="auto" w:fill="244062"/>
            <w:vAlign w:val="center"/>
            <w:hideMark/>
          </w:tcPr>
          <w:p w14:paraId="62E3BEA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304" w:type="dxa"/>
            <w:gridSpan w:val="3"/>
            <w:tcBorders>
              <w:top w:val="single" w:sz="8" w:space="0" w:color="auto"/>
              <w:left w:val="nil"/>
              <w:bottom w:val="single" w:sz="8" w:space="0" w:color="auto"/>
              <w:right w:val="single" w:sz="8" w:space="0" w:color="000000"/>
            </w:tcBorders>
            <w:vAlign w:val="center"/>
            <w:hideMark/>
          </w:tcPr>
          <w:p w14:paraId="5615420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Infrastructure, market integration aimed at increasing the tradeable capacity, consumer protection and improvement of competition, regional integration</w:t>
            </w:r>
          </w:p>
        </w:tc>
      </w:tr>
      <w:tr w:rsidR="00614438" w:rsidRPr="00AA7A53" w14:paraId="241D2DE3" w14:textId="77777777" w:rsidTr="00982157">
        <w:trPr>
          <w:gridAfter w:val="1"/>
          <w:wAfter w:w="1212" w:type="dxa"/>
          <w:trHeight w:val="542"/>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177494F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 xml:space="preserve">Quantified objective: </w:t>
            </w:r>
          </w:p>
        </w:tc>
        <w:tc>
          <w:tcPr>
            <w:tcW w:w="6304" w:type="dxa"/>
            <w:gridSpan w:val="3"/>
            <w:tcBorders>
              <w:top w:val="single" w:sz="8" w:space="0" w:color="auto"/>
              <w:left w:val="nil"/>
              <w:bottom w:val="single" w:sz="8" w:space="0" w:color="auto"/>
              <w:right w:val="single" w:sz="8" w:space="0" w:color="000000"/>
            </w:tcBorders>
            <w:vAlign w:val="center"/>
            <w:hideMark/>
          </w:tcPr>
          <w:p w14:paraId="6E829F1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interconnection capacity</w:t>
            </w:r>
          </w:p>
        </w:tc>
      </w:tr>
      <w:tr w:rsidR="00614438" w:rsidRPr="00AA7A53" w14:paraId="277685DC" w14:textId="77777777" w:rsidTr="00982157">
        <w:trPr>
          <w:gridAfter w:val="1"/>
          <w:wAfter w:w="1212" w:type="dxa"/>
          <w:trHeight w:val="7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0E7627B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304" w:type="dxa"/>
            <w:gridSpan w:val="3"/>
            <w:tcBorders>
              <w:top w:val="single" w:sz="8" w:space="0" w:color="auto"/>
              <w:left w:val="nil"/>
              <w:bottom w:val="single" w:sz="8" w:space="0" w:color="auto"/>
              <w:right w:val="single" w:sz="8" w:space="0" w:color="000000"/>
            </w:tcBorders>
            <w:vAlign w:val="center"/>
            <w:hideMark/>
          </w:tcPr>
          <w:p w14:paraId="65DE97E8" w14:textId="5C3BA4C9"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Gas_11 </w:t>
            </w:r>
            <w:r w:rsidR="00982157" w:rsidRPr="00AA7A53">
              <w:rPr>
                <w:rFonts w:ascii="Times New Roman" w:hAnsi="Times New Roman" w:cs="Times New Roman"/>
                <w:sz w:val="20"/>
                <w:szCs w:val="20"/>
                <w:lang w:val="en-GB"/>
              </w:rPr>
              <w:t xml:space="preserve">Interconnector </w:t>
            </w:r>
            <w:r w:rsidRPr="00AA7A53">
              <w:rPr>
                <w:rFonts w:ascii="Times New Roman" w:hAnsi="Times New Roman" w:cs="Times New Roman"/>
                <w:sz w:val="20"/>
                <w:szCs w:val="20"/>
                <w:lang w:val="en-GB"/>
              </w:rPr>
              <w:t>Serbia-Macedonia</w:t>
            </w:r>
          </w:p>
        </w:tc>
      </w:tr>
      <w:tr w:rsidR="00614438" w:rsidRPr="00AA7A53" w14:paraId="235813AE" w14:textId="77777777" w:rsidTr="00982157">
        <w:trPr>
          <w:gridAfter w:val="1"/>
          <w:wAfter w:w="1212" w:type="dxa"/>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08FA15F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304" w:type="dxa"/>
            <w:gridSpan w:val="3"/>
            <w:tcBorders>
              <w:top w:val="single" w:sz="8" w:space="0" w:color="auto"/>
              <w:left w:val="nil"/>
              <w:bottom w:val="single" w:sz="8" w:space="0" w:color="auto"/>
              <w:right w:val="single" w:sz="8" w:space="0" w:color="000000"/>
            </w:tcBorders>
            <w:vAlign w:val="center"/>
            <w:hideMark/>
          </w:tcPr>
          <w:p w14:paraId="7D28DA9F" w14:textId="37F0C54F"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w:t>
            </w:r>
            <w:r w:rsidR="00982157" w:rsidRPr="00AA7A53">
              <w:rPr>
                <w:rFonts w:ascii="Times New Roman" w:hAnsi="Times New Roman" w:cs="Times New Roman"/>
                <w:sz w:val="20"/>
                <w:szCs w:val="20"/>
                <w:lang w:val="en-GB"/>
              </w:rPr>
              <w:t>24</w:t>
            </w:r>
            <w:r w:rsidRPr="00AA7A53">
              <w:rPr>
                <w:rFonts w:ascii="Times New Roman" w:hAnsi="Times New Roman" w:cs="Times New Roman"/>
                <w:sz w:val="20"/>
                <w:szCs w:val="20"/>
                <w:lang w:val="en-GB"/>
              </w:rPr>
              <w:t>-2030</w:t>
            </w:r>
          </w:p>
        </w:tc>
      </w:tr>
      <w:tr w:rsidR="00614438" w:rsidRPr="00AA7A53" w14:paraId="023D7A51" w14:textId="77777777" w:rsidTr="00982157">
        <w:trPr>
          <w:gridAfter w:val="1"/>
          <w:wAfter w:w="1212" w:type="dxa"/>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04F7AEE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304" w:type="dxa"/>
            <w:gridSpan w:val="3"/>
            <w:tcBorders>
              <w:top w:val="single" w:sz="8" w:space="0" w:color="auto"/>
              <w:left w:val="nil"/>
              <w:bottom w:val="single" w:sz="8" w:space="0" w:color="auto"/>
              <w:right w:val="single" w:sz="8" w:space="0" w:color="000000"/>
            </w:tcBorders>
            <w:vAlign w:val="center"/>
            <w:hideMark/>
          </w:tcPr>
          <w:p w14:paraId="2CFD088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1E394671" w14:textId="77777777" w:rsidTr="00982157">
        <w:trPr>
          <w:gridAfter w:val="1"/>
          <w:wAfter w:w="1212" w:type="dxa"/>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0B8A234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304" w:type="dxa"/>
            <w:gridSpan w:val="3"/>
            <w:tcBorders>
              <w:top w:val="single" w:sz="8" w:space="0" w:color="auto"/>
              <w:left w:val="nil"/>
              <w:bottom w:val="single" w:sz="8" w:space="0" w:color="auto"/>
              <w:right w:val="single" w:sz="8" w:space="0" w:color="000000"/>
            </w:tcBorders>
            <w:vAlign w:val="center"/>
            <w:hideMark/>
          </w:tcPr>
          <w:p w14:paraId="4D78614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Gas</w:t>
            </w:r>
          </w:p>
        </w:tc>
      </w:tr>
      <w:tr w:rsidR="00982157" w:rsidRPr="00AA7A53" w14:paraId="3B1A1965" w14:textId="77777777" w:rsidTr="00982157">
        <w:trPr>
          <w:gridAfter w:val="1"/>
          <w:wAfter w:w="1212" w:type="dxa"/>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16501D31" w14:textId="77777777" w:rsidR="00982157" w:rsidRPr="00AA7A53" w:rsidRDefault="00982157"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304" w:type="dxa"/>
            <w:gridSpan w:val="3"/>
            <w:tcBorders>
              <w:top w:val="single" w:sz="8" w:space="0" w:color="auto"/>
              <w:left w:val="nil"/>
              <w:bottom w:val="single" w:sz="8" w:space="0" w:color="auto"/>
              <w:right w:val="single" w:sz="8" w:space="0" w:color="000000"/>
            </w:tcBorders>
            <w:vAlign w:val="center"/>
            <w:hideMark/>
          </w:tcPr>
          <w:p w14:paraId="1A7CA6DD" w14:textId="2690F16A" w:rsidR="00982157" w:rsidRPr="00AA7A53" w:rsidRDefault="00982157"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PE “Srbijagas”, Transportgas Srbija ltd.</w:t>
            </w:r>
          </w:p>
        </w:tc>
      </w:tr>
      <w:tr w:rsidR="00614438" w:rsidRPr="00AA7A53" w14:paraId="5377395B" w14:textId="77777777" w:rsidTr="00982157">
        <w:trPr>
          <w:gridAfter w:val="1"/>
          <w:wAfter w:w="1212" w:type="dxa"/>
          <w:trHeight w:val="315"/>
        </w:trPr>
        <w:tc>
          <w:tcPr>
            <w:tcW w:w="3184" w:type="dxa"/>
            <w:tcBorders>
              <w:top w:val="nil"/>
              <w:left w:val="single" w:sz="8" w:space="0" w:color="auto"/>
              <w:bottom w:val="single" w:sz="8" w:space="0" w:color="auto"/>
              <w:right w:val="nil"/>
            </w:tcBorders>
            <w:shd w:val="clear" w:color="auto" w:fill="244062"/>
            <w:vAlign w:val="center"/>
            <w:hideMark/>
          </w:tcPr>
          <w:p w14:paraId="734CF88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304" w:type="dxa"/>
            <w:gridSpan w:val="3"/>
            <w:tcBorders>
              <w:top w:val="single" w:sz="8" w:space="0" w:color="auto"/>
              <w:left w:val="nil"/>
              <w:bottom w:val="single" w:sz="8" w:space="0" w:color="auto"/>
              <w:right w:val="single" w:sz="8" w:space="0" w:color="000000"/>
            </w:tcBorders>
            <w:vAlign w:val="center"/>
            <w:hideMark/>
          </w:tcPr>
          <w:p w14:paraId="6AE64B45"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1FE2912D"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p w14:paraId="51E82F9B"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tc>
      </w:tr>
      <w:tr w:rsidR="00614438" w:rsidRPr="00AA7A53" w14:paraId="3BD8D09D" w14:textId="77777777" w:rsidTr="00982157">
        <w:trPr>
          <w:gridAfter w:val="1"/>
          <w:wAfter w:w="1212" w:type="dxa"/>
          <w:trHeight w:val="315"/>
        </w:trPr>
        <w:tc>
          <w:tcPr>
            <w:tcW w:w="3184" w:type="dxa"/>
            <w:tcBorders>
              <w:top w:val="nil"/>
              <w:left w:val="single" w:sz="8" w:space="0" w:color="auto"/>
              <w:bottom w:val="single" w:sz="8" w:space="0" w:color="auto"/>
              <w:right w:val="nil"/>
            </w:tcBorders>
            <w:shd w:val="clear" w:color="auto" w:fill="244062"/>
            <w:vAlign w:val="center"/>
            <w:hideMark/>
          </w:tcPr>
          <w:p w14:paraId="1FE02F0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304" w:type="dxa"/>
            <w:gridSpan w:val="3"/>
            <w:tcBorders>
              <w:top w:val="single" w:sz="8" w:space="0" w:color="auto"/>
              <w:left w:val="nil"/>
              <w:bottom w:val="single" w:sz="8" w:space="0" w:color="auto"/>
              <w:right w:val="single" w:sz="8" w:space="0" w:color="000000"/>
            </w:tcBorders>
            <w:vAlign w:val="center"/>
            <w:hideMark/>
          </w:tcPr>
          <w:p w14:paraId="7679DB2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Final Investment Decision, building permit, commissioning date, commercial operation date</w:t>
            </w:r>
          </w:p>
        </w:tc>
      </w:tr>
      <w:tr w:rsidR="00614438" w:rsidRPr="00AA7A53" w14:paraId="63F8920A" w14:textId="77777777" w:rsidTr="00982157">
        <w:trPr>
          <w:gridAfter w:val="1"/>
          <w:wAfter w:w="1212" w:type="dxa"/>
          <w:trHeight w:val="750"/>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07C7FD7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304" w:type="dxa"/>
            <w:gridSpan w:val="3"/>
            <w:tcBorders>
              <w:top w:val="single" w:sz="8" w:space="0" w:color="auto"/>
              <w:left w:val="nil"/>
              <w:bottom w:val="single" w:sz="8" w:space="0" w:color="auto"/>
              <w:right w:val="single" w:sz="8" w:space="0" w:color="000000"/>
            </w:tcBorders>
            <w:vAlign w:val="center"/>
            <w:hideMark/>
          </w:tcPr>
          <w:p w14:paraId="1E537D53"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p w14:paraId="03FB8A62"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42F58ADD" w14:textId="77777777" w:rsidTr="00982157">
        <w:trPr>
          <w:gridAfter w:val="1"/>
          <w:wAfter w:w="1212" w:type="dxa"/>
          <w:trHeight w:val="458"/>
        </w:trPr>
        <w:tc>
          <w:tcPr>
            <w:tcW w:w="3184" w:type="dxa"/>
            <w:vMerge w:val="restart"/>
            <w:tcBorders>
              <w:top w:val="nil"/>
              <w:left w:val="single" w:sz="8" w:space="0" w:color="auto"/>
              <w:bottom w:val="single" w:sz="8" w:space="0" w:color="000000"/>
              <w:right w:val="single" w:sz="8" w:space="0" w:color="auto"/>
            </w:tcBorders>
            <w:shd w:val="clear" w:color="auto" w:fill="244062"/>
            <w:vAlign w:val="center"/>
            <w:hideMark/>
          </w:tcPr>
          <w:p w14:paraId="52076B9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30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01B65CAA"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2009/73/EC</w:t>
            </w:r>
          </w:p>
          <w:p w14:paraId="4C0DA812"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Regulation (EU) No 347/2013 </w:t>
            </w:r>
          </w:p>
        </w:tc>
      </w:tr>
      <w:tr w:rsidR="00614438" w:rsidRPr="00AA7A53" w14:paraId="18DECF47"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60DD2656"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F149A38"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746D1C2D"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56A9CB4"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36C2A40C"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41C1E40"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25C15871"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6D212D9C" w14:textId="77777777" w:rsidTr="00982157">
        <w:trPr>
          <w:trHeight w:val="780"/>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660A5AF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304" w:type="dxa"/>
            <w:gridSpan w:val="3"/>
            <w:tcBorders>
              <w:top w:val="single" w:sz="8" w:space="0" w:color="auto"/>
              <w:left w:val="nil"/>
              <w:bottom w:val="single" w:sz="8" w:space="0" w:color="auto"/>
              <w:right w:val="single" w:sz="8" w:space="0" w:color="000000"/>
            </w:tcBorders>
            <w:vAlign w:val="center"/>
            <w:hideMark/>
          </w:tcPr>
          <w:p w14:paraId="36508AB3"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Law</w:t>
            </w:r>
          </w:p>
        </w:tc>
        <w:tc>
          <w:tcPr>
            <w:tcW w:w="1212" w:type="dxa"/>
            <w:vAlign w:val="center"/>
            <w:hideMark/>
          </w:tcPr>
          <w:p w14:paraId="4AE5CE1E"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B334D5C" w14:textId="77777777" w:rsidTr="00982157">
        <w:trPr>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2CDFBC4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304" w:type="dxa"/>
            <w:gridSpan w:val="3"/>
            <w:tcBorders>
              <w:top w:val="single" w:sz="8" w:space="0" w:color="auto"/>
              <w:left w:val="nil"/>
              <w:bottom w:val="single" w:sz="8" w:space="0" w:color="auto"/>
              <w:right w:val="single" w:sz="8" w:space="0" w:color="000000"/>
            </w:tcBorders>
            <w:vAlign w:val="center"/>
            <w:hideMark/>
          </w:tcPr>
          <w:p w14:paraId="1E4693F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 M€</w:t>
            </w:r>
          </w:p>
        </w:tc>
        <w:tc>
          <w:tcPr>
            <w:tcW w:w="1212" w:type="dxa"/>
            <w:vAlign w:val="center"/>
            <w:hideMark/>
          </w:tcPr>
          <w:p w14:paraId="14A7FA2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FB0EAA0" w14:textId="77777777" w:rsidTr="00982157">
        <w:trPr>
          <w:trHeight w:val="315"/>
        </w:trPr>
        <w:tc>
          <w:tcPr>
            <w:tcW w:w="3184" w:type="dxa"/>
            <w:tcBorders>
              <w:top w:val="nil"/>
              <w:left w:val="single" w:sz="8" w:space="0" w:color="auto"/>
              <w:bottom w:val="single" w:sz="8" w:space="0" w:color="auto"/>
              <w:right w:val="single" w:sz="8" w:space="0" w:color="auto"/>
            </w:tcBorders>
            <w:shd w:val="clear" w:color="auto" w:fill="244062"/>
            <w:vAlign w:val="center"/>
            <w:hideMark/>
          </w:tcPr>
          <w:p w14:paraId="4A2B6A9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304" w:type="dxa"/>
            <w:gridSpan w:val="3"/>
            <w:tcBorders>
              <w:top w:val="single" w:sz="8" w:space="0" w:color="auto"/>
              <w:left w:val="nil"/>
              <w:bottom w:val="single" w:sz="8" w:space="0" w:color="auto"/>
              <w:right w:val="single" w:sz="8" w:space="0" w:color="000000"/>
            </w:tcBorders>
            <w:vAlign w:val="center"/>
            <w:hideMark/>
          </w:tcPr>
          <w:p w14:paraId="7EA4BDC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1212" w:type="dxa"/>
            <w:vAlign w:val="center"/>
            <w:hideMark/>
          </w:tcPr>
          <w:p w14:paraId="111076F9" w14:textId="77777777" w:rsidR="00614438" w:rsidRPr="00AA7A53" w:rsidRDefault="00614438" w:rsidP="00AA7A53">
            <w:pPr>
              <w:spacing w:after="0"/>
              <w:jc w:val="both"/>
              <w:rPr>
                <w:rFonts w:ascii="Times New Roman" w:hAnsi="Times New Roman" w:cs="Times New Roman"/>
                <w:sz w:val="20"/>
                <w:szCs w:val="20"/>
                <w:lang w:val="en-GB"/>
              </w:rPr>
            </w:pPr>
          </w:p>
        </w:tc>
      </w:tr>
    </w:tbl>
    <w:p w14:paraId="0125D080"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194"/>
        <w:gridCol w:w="1423"/>
        <w:gridCol w:w="917"/>
        <w:gridCol w:w="3954"/>
        <w:gridCol w:w="1212"/>
      </w:tblGrid>
      <w:tr w:rsidR="00614438" w:rsidRPr="00AA7A53" w14:paraId="5575D8AE" w14:textId="77777777" w:rsidTr="00982157">
        <w:trPr>
          <w:gridAfter w:val="1"/>
          <w:wAfter w:w="1212" w:type="dxa"/>
          <w:trHeight w:val="780"/>
        </w:trPr>
        <w:tc>
          <w:tcPr>
            <w:tcW w:w="3194"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2BC5FD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423" w:type="dxa"/>
            <w:tcBorders>
              <w:top w:val="single" w:sz="8" w:space="0" w:color="auto"/>
              <w:left w:val="nil"/>
              <w:bottom w:val="single" w:sz="8" w:space="0" w:color="auto"/>
              <w:right w:val="single" w:sz="8" w:space="0" w:color="auto"/>
            </w:tcBorders>
            <w:shd w:val="clear" w:color="auto" w:fill="E7E6E6" w:themeFill="background2"/>
            <w:vAlign w:val="center"/>
            <w:hideMark/>
          </w:tcPr>
          <w:p w14:paraId="2FB5B4C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PM_IEM8.8</w:t>
            </w:r>
          </w:p>
        </w:tc>
        <w:tc>
          <w:tcPr>
            <w:tcW w:w="917" w:type="dxa"/>
            <w:tcBorders>
              <w:top w:val="single" w:sz="8" w:space="0" w:color="auto"/>
              <w:left w:val="nil"/>
              <w:bottom w:val="single" w:sz="8" w:space="0" w:color="auto"/>
              <w:right w:val="single" w:sz="8" w:space="0" w:color="auto"/>
            </w:tcBorders>
            <w:shd w:val="clear" w:color="auto" w:fill="244062"/>
            <w:vAlign w:val="center"/>
            <w:hideMark/>
          </w:tcPr>
          <w:p w14:paraId="68E58E1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3954" w:type="dxa"/>
            <w:tcBorders>
              <w:top w:val="single" w:sz="8" w:space="0" w:color="auto"/>
              <w:left w:val="nil"/>
              <w:bottom w:val="single" w:sz="8" w:space="0" w:color="auto"/>
              <w:right w:val="single" w:sz="8" w:space="0" w:color="auto"/>
            </w:tcBorders>
            <w:shd w:val="clear" w:color="auto" w:fill="E7E6E6" w:themeFill="background2"/>
            <w:vAlign w:val="center"/>
            <w:hideMark/>
          </w:tcPr>
          <w:p w14:paraId="498A3090" w14:textId="4FBA7901" w:rsidR="00614438" w:rsidRPr="00AA7A53" w:rsidRDefault="00614438" w:rsidP="00AA7A53">
            <w:pPr>
              <w:spacing w:after="0"/>
              <w:jc w:val="both"/>
              <w:rPr>
                <w:rFonts w:ascii="Times New Roman" w:hAnsi="Times New Roman" w:cs="Times New Roman"/>
                <w:sz w:val="20"/>
                <w:szCs w:val="20"/>
                <w:lang w:val="en-GB"/>
              </w:rPr>
            </w:pPr>
            <w:bookmarkStart w:id="166" w:name="_Hlk113476616"/>
            <w:r w:rsidRPr="00AA7A53">
              <w:rPr>
                <w:rFonts w:ascii="Times New Roman" w:hAnsi="Times New Roman" w:cs="Times New Roman"/>
                <w:sz w:val="20"/>
                <w:szCs w:val="20"/>
                <w:lang w:val="en-GB"/>
              </w:rPr>
              <w:t>Nis-Pristina gas pipeline construction</w:t>
            </w:r>
            <w:r w:rsidR="00982157" w:rsidRPr="00AA7A53">
              <w:rPr>
                <w:rFonts w:ascii="Times New Roman" w:hAnsi="Times New Roman" w:cs="Times New Roman"/>
                <w:sz w:val="20"/>
                <w:szCs w:val="20"/>
                <w:lang w:val="en-GB"/>
              </w:rPr>
              <w:t xml:space="preserve"> project,</w:t>
            </w:r>
            <w:r w:rsidRPr="00AA7A53">
              <w:rPr>
                <w:rFonts w:ascii="Times New Roman" w:hAnsi="Times New Roman" w:cs="Times New Roman"/>
                <w:sz w:val="20"/>
                <w:szCs w:val="20"/>
                <w:lang w:val="en-GB"/>
              </w:rPr>
              <w:t xml:space="preserve"> 65 km</w:t>
            </w:r>
            <w:r w:rsidR="00982157" w:rsidRPr="00AA7A53">
              <w:rPr>
                <w:rFonts w:ascii="Times New Roman" w:hAnsi="Times New Roman" w:cs="Times New Roman"/>
                <w:sz w:val="20"/>
                <w:szCs w:val="20"/>
                <w:lang w:val="en-GB"/>
              </w:rPr>
              <w:t xml:space="preserve"> long</w:t>
            </w:r>
            <w:r w:rsidRPr="00AA7A53">
              <w:rPr>
                <w:rFonts w:ascii="Times New Roman" w:hAnsi="Times New Roman" w:cs="Times New Roman"/>
                <w:sz w:val="20"/>
                <w:szCs w:val="20"/>
                <w:lang w:val="en-GB"/>
              </w:rPr>
              <w:t xml:space="preserve">, with a capacity of 0.8 billion </w:t>
            </w:r>
            <w:r w:rsidR="00982157" w:rsidRPr="00AA7A53">
              <w:rPr>
                <w:rFonts w:ascii="Times New Roman" w:hAnsi="Times New Roman" w:cs="Times New Roman"/>
                <w:sz w:val="20"/>
                <w:szCs w:val="20"/>
              </w:rPr>
              <w:t>m</w:t>
            </w:r>
            <w:r w:rsidR="00982157" w:rsidRPr="00AA7A53">
              <w:rPr>
                <w:rFonts w:ascii="Times New Roman" w:hAnsi="Times New Roman" w:cs="Times New Roman"/>
                <w:sz w:val="20"/>
                <w:szCs w:val="20"/>
                <w:vertAlign w:val="superscript"/>
              </w:rPr>
              <w:t>3</w:t>
            </w:r>
            <w:r w:rsidRPr="00AA7A53">
              <w:rPr>
                <w:rFonts w:ascii="Times New Roman" w:hAnsi="Times New Roman" w:cs="Times New Roman"/>
                <w:sz w:val="20"/>
                <w:szCs w:val="20"/>
                <w:lang w:val="en-GB"/>
              </w:rPr>
              <w:t>/year</w:t>
            </w:r>
            <w:bookmarkEnd w:id="166"/>
          </w:p>
        </w:tc>
      </w:tr>
      <w:tr w:rsidR="00614438" w:rsidRPr="00AA7A53" w14:paraId="146B2B90" w14:textId="77777777" w:rsidTr="00982157">
        <w:trPr>
          <w:gridAfter w:val="1"/>
          <w:wAfter w:w="1212" w:type="dxa"/>
          <w:trHeight w:val="604"/>
        </w:trPr>
        <w:tc>
          <w:tcPr>
            <w:tcW w:w="3194" w:type="dxa"/>
            <w:tcBorders>
              <w:top w:val="nil"/>
              <w:left w:val="single" w:sz="8" w:space="0" w:color="auto"/>
              <w:bottom w:val="single" w:sz="8" w:space="0" w:color="auto"/>
              <w:right w:val="nil"/>
            </w:tcBorders>
            <w:shd w:val="clear" w:color="auto" w:fill="244062"/>
            <w:vAlign w:val="center"/>
            <w:hideMark/>
          </w:tcPr>
          <w:p w14:paraId="2506794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94" w:type="dxa"/>
            <w:gridSpan w:val="3"/>
            <w:tcBorders>
              <w:top w:val="single" w:sz="8" w:space="0" w:color="auto"/>
              <w:left w:val="nil"/>
              <w:bottom w:val="single" w:sz="8" w:space="0" w:color="auto"/>
              <w:right w:val="single" w:sz="8" w:space="0" w:color="000000"/>
            </w:tcBorders>
            <w:vAlign w:val="center"/>
            <w:hideMark/>
          </w:tcPr>
          <w:p w14:paraId="0467927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Infrastructure, market integration aimed at increasing the tradeable capacity, consumer protection and improvement of competition, regional integration</w:t>
            </w:r>
          </w:p>
        </w:tc>
      </w:tr>
      <w:tr w:rsidR="00614438" w:rsidRPr="00AA7A53" w14:paraId="2E2D9EDB" w14:textId="77777777" w:rsidTr="00982157">
        <w:trPr>
          <w:gridAfter w:val="1"/>
          <w:wAfter w:w="1212" w:type="dxa"/>
          <w:trHeight w:val="315"/>
        </w:trPr>
        <w:tc>
          <w:tcPr>
            <w:tcW w:w="3194" w:type="dxa"/>
            <w:tcBorders>
              <w:top w:val="nil"/>
              <w:left w:val="single" w:sz="8" w:space="0" w:color="auto"/>
              <w:bottom w:val="single" w:sz="8" w:space="0" w:color="auto"/>
              <w:right w:val="single" w:sz="8" w:space="0" w:color="auto"/>
            </w:tcBorders>
            <w:shd w:val="clear" w:color="auto" w:fill="244062"/>
            <w:vAlign w:val="center"/>
            <w:hideMark/>
          </w:tcPr>
          <w:p w14:paraId="6E72F39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94" w:type="dxa"/>
            <w:gridSpan w:val="3"/>
            <w:tcBorders>
              <w:top w:val="single" w:sz="8" w:space="0" w:color="auto"/>
              <w:left w:val="nil"/>
              <w:bottom w:val="single" w:sz="8" w:space="0" w:color="auto"/>
              <w:right w:val="single" w:sz="8" w:space="0" w:color="000000"/>
            </w:tcBorders>
            <w:vAlign w:val="center"/>
            <w:hideMark/>
          </w:tcPr>
          <w:p w14:paraId="4AF82EF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interconnection capacity, decrease in the use of other fuels in the southern part of the Republic of Serbia</w:t>
            </w:r>
          </w:p>
        </w:tc>
      </w:tr>
      <w:tr w:rsidR="00614438" w:rsidRPr="00AA7A53" w14:paraId="6CFEE3C0" w14:textId="77777777" w:rsidTr="00982157">
        <w:trPr>
          <w:gridAfter w:val="1"/>
          <w:wAfter w:w="1212" w:type="dxa"/>
          <w:trHeight w:val="553"/>
        </w:trPr>
        <w:tc>
          <w:tcPr>
            <w:tcW w:w="3194" w:type="dxa"/>
            <w:tcBorders>
              <w:top w:val="nil"/>
              <w:left w:val="single" w:sz="8" w:space="0" w:color="auto"/>
              <w:bottom w:val="single" w:sz="8" w:space="0" w:color="auto"/>
              <w:right w:val="single" w:sz="8" w:space="0" w:color="auto"/>
            </w:tcBorders>
            <w:shd w:val="clear" w:color="auto" w:fill="244062"/>
            <w:vAlign w:val="center"/>
            <w:hideMark/>
          </w:tcPr>
          <w:p w14:paraId="2734001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94" w:type="dxa"/>
            <w:gridSpan w:val="3"/>
            <w:tcBorders>
              <w:top w:val="single" w:sz="8" w:space="0" w:color="auto"/>
              <w:left w:val="nil"/>
              <w:bottom w:val="single" w:sz="8" w:space="0" w:color="auto"/>
              <w:right w:val="single" w:sz="8" w:space="0" w:color="000000"/>
            </w:tcBorders>
            <w:vAlign w:val="center"/>
            <w:hideMark/>
          </w:tcPr>
          <w:p w14:paraId="10F4459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The construction of this gas pipeline will create conditions for the construction of distribution gas pipelines in the southern part of the Republic of Serbia and the Autonomous Province of Kosovo* and Metohija and the connection of industrial, communal and individual consumers to the gas pipeline system. This will enable the use of natural gas as an environmentally friendly energy source, and will significantly relieve the electricity capacity.</w:t>
            </w:r>
          </w:p>
          <w:p w14:paraId="061EF73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Gas interconnection Serbia-Montenegro- Section Nis (Doljevac) - Pristina, development plan 2021-2030</w:t>
            </w:r>
          </w:p>
        </w:tc>
      </w:tr>
      <w:tr w:rsidR="00614438" w:rsidRPr="00AA7A53" w14:paraId="10503788" w14:textId="77777777" w:rsidTr="00982157">
        <w:trPr>
          <w:gridAfter w:val="1"/>
          <w:wAfter w:w="1212" w:type="dxa"/>
          <w:trHeight w:val="315"/>
        </w:trPr>
        <w:tc>
          <w:tcPr>
            <w:tcW w:w="3194" w:type="dxa"/>
            <w:tcBorders>
              <w:top w:val="nil"/>
              <w:left w:val="single" w:sz="8" w:space="0" w:color="auto"/>
              <w:bottom w:val="single" w:sz="8" w:space="0" w:color="auto"/>
              <w:right w:val="single" w:sz="8" w:space="0" w:color="auto"/>
            </w:tcBorders>
            <w:shd w:val="clear" w:color="auto" w:fill="244062"/>
            <w:vAlign w:val="center"/>
            <w:hideMark/>
          </w:tcPr>
          <w:p w14:paraId="097436B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94" w:type="dxa"/>
            <w:gridSpan w:val="3"/>
            <w:tcBorders>
              <w:top w:val="single" w:sz="8" w:space="0" w:color="auto"/>
              <w:left w:val="nil"/>
              <w:bottom w:val="single" w:sz="8" w:space="0" w:color="auto"/>
              <w:right w:val="single" w:sz="8" w:space="0" w:color="000000"/>
            </w:tcBorders>
            <w:vAlign w:val="center"/>
            <w:hideMark/>
          </w:tcPr>
          <w:p w14:paraId="4A64990C" w14:textId="693DD58B"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982157"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636BE1A9" w14:textId="77777777" w:rsidTr="00982157">
        <w:trPr>
          <w:gridAfter w:val="1"/>
          <w:wAfter w:w="1212" w:type="dxa"/>
          <w:trHeight w:val="315"/>
        </w:trPr>
        <w:tc>
          <w:tcPr>
            <w:tcW w:w="3194" w:type="dxa"/>
            <w:tcBorders>
              <w:top w:val="nil"/>
              <w:left w:val="single" w:sz="8" w:space="0" w:color="auto"/>
              <w:bottom w:val="single" w:sz="8" w:space="0" w:color="auto"/>
              <w:right w:val="single" w:sz="8" w:space="0" w:color="auto"/>
            </w:tcBorders>
            <w:shd w:val="clear" w:color="auto" w:fill="244062"/>
            <w:vAlign w:val="center"/>
            <w:hideMark/>
          </w:tcPr>
          <w:p w14:paraId="706F0B8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94" w:type="dxa"/>
            <w:gridSpan w:val="3"/>
            <w:tcBorders>
              <w:top w:val="single" w:sz="8" w:space="0" w:color="auto"/>
              <w:left w:val="nil"/>
              <w:bottom w:val="single" w:sz="8" w:space="0" w:color="auto"/>
              <w:right w:val="single" w:sz="8" w:space="0" w:color="000000"/>
            </w:tcBorders>
            <w:vAlign w:val="center"/>
            <w:hideMark/>
          </w:tcPr>
          <w:p w14:paraId="6F1A6A4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388EE28D" w14:textId="77777777" w:rsidTr="00982157">
        <w:trPr>
          <w:gridAfter w:val="1"/>
          <w:wAfter w:w="1212" w:type="dxa"/>
          <w:trHeight w:val="315"/>
        </w:trPr>
        <w:tc>
          <w:tcPr>
            <w:tcW w:w="3194" w:type="dxa"/>
            <w:tcBorders>
              <w:top w:val="nil"/>
              <w:left w:val="single" w:sz="8" w:space="0" w:color="auto"/>
              <w:bottom w:val="single" w:sz="8" w:space="0" w:color="auto"/>
              <w:right w:val="single" w:sz="8" w:space="0" w:color="auto"/>
            </w:tcBorders>
            <w:shd w:val="clear" w:color="auto" w:fill="244062"/>
            <w:vAlign w:val="center"/>
            <w:hideMark/>
          </w:tcPr>
          <w:p w14:paraId="3CBCEF5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94" w:type="dxa"/>
            <w:gridSpan w:val="3"/>
            <w:tcBorders>
              <w:top w:val="single" w:sz="8" w:space="0" w:color="auto"/>
              <w:left w:val="nil"/>
              <w:bottom w:val="single" w:sz="8" w:space="0" w:color="auto"/>
              <w:right w:val="single" w:sz="8" w:space="0" w:color="000000"/>
            </w:tcBorders>
            <w:vAlign w:val="center"/>
            <w:hideMark/>
          </w:tcPr>
          <w:p w14:paraId="373648A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Gas</w:t>
            </w:r>
          </w:p>
        </w:tc>
      </w:tr>
      <w:tr w:rsidR="00982157" w:rsidRPr="00AA7A53" w14:paraId="0036A432" w14:textId="77777777" w:rsidTr="00982157">
        <w:trPr>
          <w:gridAfter w:val="1"/>
          <w:wAfter w:w="1212" w:type="dxa"/>
          <w:trHeight w:val="315"/>
        </w:trPr>
        <w:tc>
          <w:tcPr>
            <w:tcW w:w="3194" w:type="dxa"/>
            <w:tcBorders>
              <w:top w:val="nil"/>
              <w:left w:val="single" w:sz="8" w:space="0" w:color="auto"/>
              <w:bottom w:val="single" w:sz="8" w:space="0" w:color="auto"/>
              <w:right w:val="single" w:sz="8" w:space="0" w:color="auto"/>
            </w:tcBorders>
            <w:shd w:val="clear" w:color="auto" w:fill="244062"/>
            <w:vAlign w:val="center"/>
            <w:hideMark/>
          </w:tcPr>
          <w:p w14:paraId="5C95FC8F" w14:textId="77777777" w:rsidR="00982157" w:rsidRPr="00AA7A53" w:rsidRDefault="00982157"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94" w:type="dxa"/>
            <w:gridSpan w:val="3"/>
            <w:tcBorders>
              <w:top w:val="single" w:sz="8" w:space="0" w:color="auto"/>
              <w:left w:val="nil"/>
              <w:bottom w:val="single" w:sz="8" w:space="0" w:color="auto"/>
              <w:right w:val="single" w:sz="8" w:space="0" w:color="000000"/>
            </w:tcBorders>
            <w:vAlign w:val="center"/>
            <w:hideMark/>
          </w:tcPr>
          <w:p w14:paraId="0106E2C7" w14:textId="7E86FA0C" w:rsidR="00982157" w:rsidRPr="00AA7A53" w:rsidRDefault="00982157"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PE “Srbijagas”, Transportgas Srbija ltd.</w:t>
            </w:r>
          </w:p>
        </w:tc>
      </w:tr>
      <w:tr w:rsidR="00614438" w:rsidRPr="00AA7A53" w14:paraId="3201004C" w14:textId="77777777" w:rsidTr="00982157">
        <w:trPr>
          <w:gridAfter w:val="1"/>
          <w:wAfter w:w="1212" w:type="dxa"/>
          <w:trHeight w:val="315"/>
        </w:trPr>
        <w:tc>
          <w:tcPr>
            <w:tcW w:w="3194" w:type="dxa"/>
            <w:tcBorders>
              <w:top w:val="nil"/>
              <w:left w:val="single" w:sz="8" w:space="0" w:color="auto"/>
              <w:bottom w:val="single" w:sz="8" w:space="0" w:color="auto"/>
              <w:right w:val="nil"/>
            </w:tcBorders>
            <w:shd w:val="clear" w:color="auto" w:fill="244062"/>
            <w:vAlign w:val="center"/>
            <w:hideMark/>
          </w:tcPr>
          <w:p w14:paraId="4B45B29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94" w:type="dxa"/>
            <w:gridSpan w:val="3"/>
            <w:tcBorders>
              <w:top w:val="single" w:sz="8" w:space="0" w:color="auto"/>
              <w:left w:val="nil"/>
              <w:bottom w:val="single" w:sz="8" w:space="0" w:color="auto"/>
              <w:right w:val="single" w:sz="8" w:space="0" w:color="000000"/>
            </w:tcBorders>
            <w:vAlign w:val="center"/>
            <w:hideMark/>
          </w:tcPr>
          <w:p w14:paraId="4BE1E299"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33BEE671"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p w14:paraId="3D9B553E"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p w14:paraId="0B21FD59"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 of Serbia</w:t>
            </w:r>
          </w:p>
        </w:tc>
      </w:tr>
      <w:tr w:rsidR="00614438" w:rsidRPr="00AA7A53" w14:paraId="34291638" w14:textId="77777777" w:rsidTr="00982157">
        <w:trPr>
          <w:gridAfter w:val="1"/>
          <w:wAfter w:w="1212" w:type="dxa"/>
          <w:trHeight w:val="315"/>
        </w:trPr>
        <w:tc>
          <w:tcPr>
            <w:tcW w:w="3194" w:type="dxa"/>
            <w:tcBorders>
              <w:top w:val="nil"/>
              <w:left w:val="single" w:sz="8" w:space="0" w:color="auto"/>
              <w:bottom w:val="single" w:sz="8" w:space="0" w:color="auto"/>
              <w:right w:val="nil"/>
            </w:tcBorders>
            <w:shd w:val="clear" w:color="auto" w:fill="244062"/>
            <w:vAlign w:val="center"/>
            <w:hideMark/>
          </w:tcPr>
          <w:p w14:paraId="6B75299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94" w:type="dxa"/>
            <w:gridSpan w:val="3"/>
            <w:tcBorders>
              <w:top w:val="single" w:sz="8" w:space="0" w:color="auto"/>
              <w:left w:val="nil"/>
              <w:bottom w:val="single" w:sz="8" w:space="0" w:color="auto"/>
              <w:right w:val="single" w:sz="8" w:space="0" w:color="000000"/>
            </w:tcBorders>
            <w:vAlign w:val="center"/>
            <w:hideMark/>
          </w:tcPr>
          <w:p w14:paraId="08C978B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Final Investment Decision, building permit, commissioning date, commercial operation date</w:t>
            </w:r>
          </w:p>
        </w:tc>
      </w:tr>
      <w:tr w:rsidR="00614438" w:rsidRPr="00AA7A53" w14:paraId="1B1866EB" w14:textId="77777777" w:rsidTr="00982157">
        <w:trPr>
          <w:gridAfter w:val="1"/>
          <w:wAfter w:w="1212" w:type="dxa"/>
          <w:trHeight w:val="740"/>
        </w:trPr>
        <w:tc>
          <w:tcPr>
            <w:tcW w:w="3194" w:type="dxa"/>
            <w:tcBorders>
              <w:top w:val="nil"/>
              <w:left w:val="single" w:sz="8" w:space="0" w:color="auto"/>
              <w:bottom w:val="single" w:sz="8" w:space="0" w:color="auto"/>
              <w:right w:val="single" w:sz="8" w:space="0" w:color="auto"/>
            </w:tcBorders>
            <w:shd w:val="clear" w:color="auto" w:fill="244062"/>
            <w:vAlign w:val="center"/>
            <w:hideMark/>
          </w:tcPr>
          <w:p w14:paraId="274620F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Other relevant Energy Union dimension(s) affected</w:t>
            </w:r>
          </w:p>
        </w:tc>
        <w:tc>
          <w:tcPr>
            <w:tcW w:w="6294" w:type="dxa"/>
            <w:gridSpan w:val="3"/>
            <w:tcBorders>
              <w:top w:val="single" w:sz="8" w:space="0" w:color="auto"/>
              <w:left w:val="nil"/>
              <w:bottom w:val="single" w:sz="8" w:space="0" w:color="auto"/>
              <w:right w:val="single" w:sz="8" w:space="0" w:color="000000"/>
            </w:tcBorders>
            <w:vAlign w:val="center"/>
            <w:hideMark/>
          </w:tcPr>
          <w:p w14:paraId="486C37B1"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p w14:paraId="7AA15A76" w14:textId="77777777" w:rsidR="00614438" w:rsidRPr="00AA7A53" w:rsidRDefault="00614438" w:rsidP="00AA7A53">
            <w:pPr>
              <w:numPr>
                <w:ilvl w:val="0"/>
                <w:numId w:val="140"/>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71D7BB73" w14:textId="77777777" w:rsidTr="00982157">
        <w:trPr>
          <w:gridAfter w:val="1"/>
          <w:wAfter w:w="1212" w:type="dxa"/>
          <w:trHeight w:val="458"/>
        </w:trPr>
        <w:tc>
          <w:tcPr>
            <w:tcW w:w="3194" w:type="dxa"/>
            <w:vMerge w:val="restart"/>
            <w:tcBorders>
              <w:top w:val="nil"/>
              <w:left w:val="single" w:sz="8" w:space="0" w:color="auto"/>
              <w:bottom w:val="single" w:sz="8" w:space="0" w:color="000000"/>
              <w:right w:val="single" w:sz="8" w:space="0" w:color="auto"/>
            </w:tcBorders>
            <w:shd w:val="clear" w:color="auto" w:fill="244062"/>
            <w:vAlign w:val="center"/>
            <w:hideMark/>
          </w:tcPr>
          <w:p w14:paraId="1230F73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9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B883159" w14:textId="77777777" w:rsidR="00614438" w:rsidRPr="00AA7A53" w:rsidRDefault="00614438" w:rsidP="00AA7A53">
            <w:pPr>
              <w:numPr>
                <w:ilvl w:val="0"/>
                <w:numId w:val="146"/>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2009/73/EC</w:t>
            </w:r>
          </w:p>
          <w:p w14:paraId="32DA0AA9" w14:textId="77777777" w:rsidR="00614438" w:rsidRPr="00AA7A53" w:rsidRDefault="00614438" w:rsidP="00AA7A53">
            <w:pPr>
              <w:numPr>
                <w:ilvl w:val="0"/>
                <w:numId w:val="146"/>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Regulation (EU) No 347/2013 </w:t>
            </w:r>
          </w:p>
        </w:tc>
      </w:tr>
      <w:tr w:rsidR="00614438" w:rsidRPr="00AA7A53" w14:paraId="12173CEC"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7C3F249B"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D6C5C00"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6112320E"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C3D81C0"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2088EA8D"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F9ADB45"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32DABAD0"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33543926" w14:textId="77777777" w:rsidTr="00982157">
        <w:trPr>
          <w:trHeight w:val="780"/>
        </w:trPr>
        <w:tc>
          <w:tcPr>
            <w:tcW w:w="3194" w:type="dxa"/>
            <w:tcBorders>
              <w:top w:val="nil"/>
              <w:left w:val="single" w:sz="8" w:space="0" w:color="auto"/>
              <w:bottom w:val="single" w:sz="8" w:space="0" w:color="auto"/>
              <w:right w:val="single" w:sz="8" w:space="0" w:color="auto"/>
            </w:tcBorders>
            <w:shd w:val="clear" w:color="auto" w:fill="244062"/>
            <w:vAlign w:val="center"/>
            <w:hideMark/>
          </w:tcPr>
          <w:p w14:paraId="2EA7617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94" w:type="dxa"/>
            <w:gridSpan w:val="3"/>
            <w:tcBorders>
              <w:top w:val="single" w:sz="8" w:space="0" w:color="auto"/>
              <w:left w:val="nil"/>
              <w:bottom w:val="single" w:sz="8" w:space="0" w:color="auto"/>
              <w:right w:val="single" w:sz="8" w:space="0" w:color="000000"/>
            </w:tcBorders>
            <w:vAlign w:val="center"/>
            <w:hideMark/>
          </w:tcPr>
          <w:p w14:paraId="6652ED57" w14:textId="77777777" w:rsidR="00614438" w:rsidRPr="00AA7A53" w:rsidRDefault="00614438" w:rsidP="00AA7A53">
            <w:pPr>
              <w:numPr>
                <w:ilvl w:val="0"/>
                <w:numId w:val="146"/>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Law</w:t>
            </w:r>
          </w:p>
        </w:tc>
        <w:tc>
          <w:tcPr>
            <w:tcW w:w="1212" w:type="dxa"/>
            <w:vAlign w:val="center"/>
            <w:hideMark/>
          </w:tcPr>
          <w:p w14:paraId="16681E0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37578A1" w14:textId="77777777" w:rsidTr="00982157">
        <w:trPr>
          <w:trHeight w:val="315"/>
        </w:trPr>
        <w:tc>
          <w:tcPr>
            <w:tcW w:w="3194" w:type="dxa"/>
            <w:tcBorders>
              <w:top w:val="nil"/>
              <w:left w:val="single" w:sz="8" w:space="0" w:color="auto"/>
              <w:bottom w:val="single" w:sz="8" w:space="0" w:color="auto"/>
              <w:right w:val="single" w:sz="8" w:space="0" w:color="auto"/>
            </w:tcBorders>
            <w:shd w:val="clear" w:color="auto" w:fill="244062"/>
            <w:vAlign w:val="center"/>
            <w:hideMark/>
          </w:tcPr>
          <w:p w14:paraId="41213B6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94" w:type="dxa"/>
            <w:gridSpan w:val="3"/>
            <w:tcBorders>
              <w:top w:val="single" w:sz="8" w:space="0" w:color="auto"/>
              <w:left w:val="nil"/>
              <w:bottom w:val="single" w:sz="8" w:space="0" w:color="auto"/>
              <w:right w:val="single" w:sz="8" w:space="0" w:color="000000"/>
            </w:tcBorders>
            <w:vAlign w:val="center"/>
            <w:hideMark/>
          </w:tcPr>
          <w:p w14:paraId="32F094A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30 M€</w:t>
            </w:r>
          </w:p>
        </w:tc>
        <w:tc>
          <w:tcPr>
            <w:tcW w:w="1212" w:type="dxa"/>
            <w:vAlign w:val="center"/>
            <w:hideMark/>
          </w:tcPr>
          <w:p w14:paraId="52842B1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DD41D53" w14:textId="77777777" w:rsidTr="00982157">
        <w:trPr>
          <w:trHeight w:val="315"/>
        </w:trPr>
        <w:tc>
          <w:tcPr>
            <w:tcW w:w="3194" w:type="dxa"/>
            <w:tcBorders>
              <w:top w:val="nil"/>
              <w:left w:val="single" w:sz="8" w:space="0" w:color="auto"/>
              <w:bottom w:val="single" w:sz="8" w:space="0" w:color="auto"/>
              <w:right w:val="single" w:sz="8" w:space="0" w:color="auto"/>
            </w:tcBorders>
            <w:shd w:val="clear" w:color="auto" w:fill="244062"/>
            <w:vAlign w:val="center"/>
            <w:hideMark/>
          </w:tcPr>
          <w:p w14:paraId="3CA1949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94" w:type="dxa"/>
            <w:gridSpan w:val="3"/>
            <w:tcBorders>
              <w:top w:val="single" w:sz="8" w:space="0" w:color="auto"/>
              <w:left w:val="nil"/>
              <w:bottom w:val="single" w:sz="8" w:space="0" w:color="auto"/>
              <w:right w:val="single" w:sz="8" w:space="0" w:color="000000"/>
            </w:tcBorders>
            <w:vAlign w:val="center"/>
            <w:hideMark/>
          </w:tcPr>
          <w:p w14:paraId="1DCDAE4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1212" w:type="dxa"/>
            <w:vAlign w:val="center"/>
            <w:hideMark/>
          </w:tcPr>
          <w:p w14:paraId="76A4DD8B" w14:textId="77777777" w:rsidR="00614438" w:rsidRPr="00AA7A53" w:rsidRDefault="00614438" w:rsidP="00AA7A53">
            <w:pPr>
              <w:spacing w:after="0"/>
              <w:jc w:val="both"/>
              <w:rPr>
                <w:rFonts w:ascii="Times New Roman" w:hAnsi="Times New Roman" w:cs="Times New Roman"/>
                <w:sz w:val="20"/>
                <w:szCs w:val="20"/>
                <w:lang w:val="en-GB"/>
              </w:rPr>
            </w:pPr>
          </w:p>
        </w:tc>
      </w:tr>
    </w:tbl>
    <w:p w14:paraId="3D75CE7F"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58"/>
        <w:gridCol w:w="1207"/>
        <w:gridCol w:w="927"/>
        <w:gridCol w:w="4096"/>
        <w:gridCol w:w="1212"/>
      </w:tblGrid>
      <w:tr w:rsidR="00614438" w:rsidRPr="00AA7A53" w14:paraId="27558DA9" w14:textId="77777777" w:rsidTr="00614438">
        <w:trPr>
          <w:gridAfter w:val="1"/>
          <w:wAfter w:w="1212" w:type="dxa"/>
          <w:trHeight w:val="780"/>
        </w:trPr>
        <w:tc>
          <w:tcPr>
            <w:tcW w:w="3258"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6B7FB3B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2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1D1DEAD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PM_IEM9</w:t>
            </w:r>
          </w:p>
        </w:tc>
        <w:tc>
          <w:tcPr>
            <w:tcW w:w="927" w:type="dxa"/>
            <w:tcBorders>
              <w:top w:val="single" w:sz="8" w:space="0" w:color="auto"/>
              <w:left w:val="nil"/>
              <w:bottom w:val="single" w:sz="8" w:space="0" w:color="auto"/>
              <w:right w:val="single" w:sz="8" w:space="0" w:color="auto"/>
            </w:tcBorders>
            <w:shd w:val="clear" w:color="auto" w:fill="244062"/>
            <w:vAlign w:val="center"/>
            <w:hideMark/>
          </w:tcPr>
          <w:p w14:paraId="1FC7FE7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096" w:type="dxa"/>
            <w:tcBorders>
              <w:top w:val="single" w:sz="8" w:space="0" w:color="auto"/>
              <w:left w:val="nil"/>
              <w:bottom w:val="single" w:sz="8" w:space="0" w:color="auto"/>
              <w:right w:val="single" w:sz="8" w:space="0" w:color="auto"/>
            </w:tcBorders>
            <w:shd w:val="clear" w:color="auto" w:fill="E7E6E6" w:themeFill="background2"/>
            <w:vAlign w:val="center"/>
            <w:hideMark/>
          </w:tcPr>
          <w:p w14:paraId="567A27C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Investments related to the digitalisation of the networks aiming at increasing RES integration and improvement of quality of supply</w:t>
            </w:r>
          </w:p>
        </w:tc>
      </w:tr>
      <w:tr w:rsidR="00614438" w:rsidRPr="00AA7A53" w14:paraId="2E192D34" w14:textId="77777777" w:rsidTr="00614438">
        <w:trPr>
          <w:gridAfter w:val="1"/>
          <w:wAfter w:w="1212" w:type="dxa"/>
          <w:trHeight w:val="960"/>
        </w:trPr>
        <w:tc>
          <w:tcPr>
            <w:tcW w:w="3258" w:type="dxa"/>
            <w:tcBorders>
              <w:top w:val="nil"/>
              <w:left w:val="single" w:sz="8" w:space="0" w:color="auto"/>
              <w:bottom w:val="single" w:sz="8" w:space="0" w:color="auto"/>
              <w:right w:val="nil"/>
            </w:tcBorders>
            <w:shd w:val="clear" w:color="auto" w:fill="244062"/>
            <w:vAlign w:val="center"/>
            <w:hideMark/>
          </w:tcPr>
          <w:p w14:paraId="182849F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30" w:type="dxa"/>
            <w:gridSpan w:val="3"/>
            <w:tcBorders>
              <w:top w:val="single" w:sz="8" w:space="0" w:color="auto"/>
              <w:left w:val="nil"/>
              <w:bottom w:val="single" w:sz="8" w:space="0" w:color="auto"/>
              <w:right w:val="single" w:sz="8" w:space="0" w:color="000000"/>
            </w:tcBorders>
            <w:vAlign w:val="center"/>
            <w:hideMark/>
          </w:tcPr>
          <w:p w14:paraId="5CAB2E3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system flexibility and quality of electricity supply, in particular through policies and measures related to market-based price formation in compliance with applicable law; market integration and coupling, aiming to increase the tradeable capacity of existing interconnectors, smart grids, aggregation, demand response, storage, distributed generation, mechanisms for dispatching, re-dispatching and curtailment and real-time price signals. This also includes the improvement of cybersecurity and resilience in the energy sector.</w:t>
            </w:r>
          </w:p>
        </w:tc>
      </w:tr>
      <w:tr w:rsidR="00614438" w:rsidRPr="00AA7A53" w14:paraId="000622D4" w14:textId="77777777" w:rsidTr="00614438">
        <w:trPr>
          <w:gridAfter w:val="1"/>
          <w:wAfter w:w="1212" w:type="dxa"/>
          <w:trHeight w:val="315"/>
        </w:trPr>
        <w:tc>
          <w:tcPr>
            <w:tcW w:w="3258" w:type="dxa"/>
            <w:tcBorders>
              <w:top w:val="nil"/>
              <w:left w:val="single" w:sz="8" w:space="0" w:color="auto"/>
              <w:bottom w:val="single" w:sz="8" w:space="0" w:color="auto"/>
              <w:right w:val="single" w:sz="8" w:space="0" w:color="auto"/>
            </w:tcBorders>
            <w:shd w:val="clear" w:color="auto" w:fill="244062"/>
            <w:vAlign w:val="center"/>
            <w:hideMark/>
          </w:tcPr>
          <w:p w14:paraId="16E7FE5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30" w:type="dxa"/>
            <w:gridSpan w:val="3"/>
            <w:tcBorders>
              <w:top w:val="single" w:sz="8" w:space="0" w:color="auto"/>
              <w:left w:val="nil"/>
              <w:bottom w:val="single" w:sz="8" w:space="0" w:color="auto"/>
              <w:right w:val="single" w:sz="8" w:space="0" w:color="000000"/>
            </w:tcBorders>
            <w:vAlign w:val="center"/>
            <w:hideMark/>
          </w:tcPr>
          <w:p w14:paraId="5D14BF9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quality of supply indicators, reduction of RES forecasting errors, improved cybersecurity indicators and KPIs</w:t>
            </w:r>
          </w:p>
        </w:tc>
      </w:tr>
      <w:tr w:rsidR="00614438" w:rsidRPr="00AA7A53" w14:paraId="177BA13B" w14:textId="77777777" w:rsidTr="00614438">
        <w:trPr>
          <w:gridAfter w:val="1"/>
          <w:wAfter w:w="1212" w:type="dxa"/>
          <w:trHeight w:val="301"/>
        </w:trPr>
        <w:tc>
          <w:tcPr>
            <w:tcW w:w="3258" w:type="dxa"/>
            <w:tcBorders>
              <w:top w:val="nil"/>
              <w:left w:val="single" w:sz="8" w:space="0" w:color="auto"/>
              <w:bottom w:val="single" w:sz="8" w:space="0" w:color="auto"/>
              <w:right w:val="single" w:sz="8" w:space="0" w:color="auto"/>
            </w:tcBorders>
            <w:shd w:val="clear" w:color="auto" w:fill="244062"/>
            <w:vAlign w:val="center"/>
            <w:hideMark/>
          </w:tcPr>
          <w:p w14:paraId="0672C9E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30" w:type="dxa"/>
            <w:gridSpan w:val="3"/>
            <w:tcBorders>
              <w:top w:val="single" w:sz="8" w:space="0" w:color="auto"/>
              <w:left w:val="nil"/>
              <w:bottom w:val="single" w:sz="8" w:space="0" w:color="auto"/>
              <w:right w:val="single" w:sz="8" w:space="0" w:color="000000"/>
            </w:tcBorders>
            <w:vAlign w:val="center"/>
            <w:hideMark/>
          </w:tcPr>
          <w:p w14:paraId="7CB76C51" w14:textId="5D78CB92"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PM_IEM9 refers to a </w:t>
            </w:r>
            <w:r w:rsidR="00A260CD" w:rsidRPr="00AA7A53">
              <w:rPr>
                <w:rFonts w:ascii="Times New Roman" w:hAnsi="Times New Roman" w:cs="Times New Roman"/>
                <w:sz w:val="20"/>
                <w:szCs w:val="20"/>
                <w:lang w:val="en-GB"/>
              </w:rPr>
              <w:t>policy- and</w:t>
            </w:r>
            <w:r w:rsidRPr="00AA7A53">
              <w:rPr>
                <w:rFonts w:ascii="Times New Roman" w:hAnsi="Times New Roman" w:cs="Times New Roman"/>
                <w:sz w:val="20"/>
                <w:szCs w:val="20"/>
                <w:lang w:val="en-GB"/>
              </w:rPr>
              <w:t xml:space="preserve"> financially-backed programme w</w:t>
            </w:r>
            <w:r w:rsidR="00A260CD" w:rsidRPr="00AA7A53">
              <w:rPr>
                <w:rFonts w:ascii="Times New Roman" w:hAnsi="Times New Roman" w:cs="Times New Roman"/>
                <w:sz w:val="20"/>
                <w:szCs w:val="20"/>
                <w:lang w:val="en-GB"/>
              </w:rPr>
              <w:t>ith the</w:t>
            </w:r>
            <w:r w:rsidRPr="00AA7A53">
              <w:rPr>
                <w:rFonts w:ascii="Times New Roman" w:hAnsi="Times New Roman" w:cs="Times New Roman"/>
                <w:sz w:val="20"/>
                <w:szCs w:val="20"/>
                <w:lang w:val="en-GB"/>
              </w:rPr>
              <w:t xml:space="preserve"> aim </w:t>
            </w:r>
            <w:r w:rsidR="00A260CD" w:rsidRPr="00AA7A53">
              <w:rPr>
                <w:rFonts w:ascii="Times New Roman" w:hAnsi="Times New Roman" w:cs="Times New Roman"/>
                <w:sz w:val="20"/>
                <w:szCs w:val="20"/>
                <w:lang w:val="en-GB"/>
              </w:rPr>
              <w:t xml:space="preserve">to </w:t>
            </w:r>
            <w:r w:rsidRPr="00AA7A53">
              <w:rPr>
                <w:rFonts w:ascii="Times New Roman" w:hAnsi="Times New Roman" w:cs="Times New Roman"/>
                <w:sz w:val="20"/>
                <w:szCs w:val="20"/>
                <w:lang w:val="en-GB"/>
              </w:rPr>
              <w:t>promot</w:t>
            </w:r>
            <w:r w:rsidR="00A260CD" w:rsidRPr="00AA7A53">
              <w:rPr>
                <w:rFonts w:ascii="Times New Roman" w:hAnsi="Times New Roman" w:cs="Times New Roman"/>
                <w:sz w:val="20"/>
                <w:szCs w:val="20"/>
                <w:lang w:val="en-GB"/>
              </w:rPr>
              <w:t xml:space="preserve">e </w:t>
            </w:r>
            <w:r w:rsidRPr="00AA7A53">
              <w:rPr>
                <w:rFonts w:ascii="Times New Roman" w:hAnsi="Times New Roman" w:cs="Times New Roman"/>
                <w:sz w:val="20"/>
                <w:szCs w:val="20"/>
                <w:lang w:val="en-GB"/>
              </w:rPr>
              <w:t xml:space="preserve">smart grids and in particular prioritise the application of IEC 61850, the designation of sensing points and forecasting tools for demand and RES forecasting at mid and short-term time scales, the monitoring of quality of supply parameters (sags, swells, etc), as well as, the dynamic line rating for lines and cabling at important nodes to the system. These measures are expected to improve </w:t>
            </w:r>
            <w:r w:rsidR="00A260CD" w:rsidRPr="00AA7A53">
              <w:rPr>
                <w:rFonts w:ascii="Times New Roman" w:hAnsi="Times New Roman" w:cs="Times New Roman"/>
                <w:sz w:val="20"/>
                <w:szCs w:val="20"/>
                <w:lang w:val="en-GB"/>
              </w:rPr>
              <w:t xml:space="preserve">the </w:t>
            </w:r>
            <w:r w:rsidRPr="00AA7A53">
              <w:rPr>
                <w:rFonts w:ascii="Times New Roman" w:hAnsi="Times New Roman" w:cs="Times New Roman"/>
                <w:sz w:val="20"/>
                <w:szCs w:val="20"/>
                <w:lang w:val="en-GB"/>
              </w:rPr>
              <w:t>observability of dynamic phenomena and improve the forecasting accuracy by the network operators. In addition, the measure envisages the installation of DLR and FACTS devices on the transmission network in parts that are considered to allow greater flexibility in the integration of renewable sources.</w:t>
            </w:r>
          </w:p>
          <w:p w14:paraId="23C3540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The above should also consider the improvement of cybersecurity and resilience in the energy sector, by establishing specific monitoring indicators and KPIs.</w:t>
            </w:r>
          </w:p>
        </w:tc>
      </w:tr>
      <w:tr w:rsidR="00614438" w:rsidRPr="00AA7A53" w14:paraId="6BAE3403" w14:textId="77777777" w:rsidTr="00614438">
        <w:trPr>
          <w:gridAfter w:val="1"/>
          <w:wAfter w:w="1212" w:type="dxa"/>
          <w:trHeight w:val="315"/>
        </w:trPr>
        <w:tc>
          <w:tcPr>
            <w:tcW w:w="3258" w:type="dxa"/>
            <w:tcBorders>
              <w:top w:val="nil"/>
              <w:left w:val="single" w:sz="8" w:space="0" w:color="auto"/>
              <w:bottom w:val="single" w:sz="8" w:space="0" w:color="auto"/>
              <w:right w:val="single" w:sz="8" w:space="0" w:color="auto"/>
            </w:tcBorders>
            <w:shd w:val="clear" w:color="auto" w:fill="244062"/>
            <w:vAlign w:val="center"/>
            <w:hideMark/>
          </w:tcPr>
          <w:p w14:paraId="7CE5249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30" w:type="dxa"/>
            <w:gridSpan w:val="3"/>
            <w:tcBorders>
              <w:top w:val="single" w:sz="8" w:space="0" w:color="auto"/>
              <w:left w:val="nil"/>
              <w:bottom w:val="single" w:sz="8" w:space="0" w:color="auto"/>
              <w:right w:val="single" w:sz="8" w:space="0" w:color="000000"/>
            </w:tcBorders>
            <w:vAlign w:val="center"/>
            <w:hideMark/>
          </w:tcPr>
          <w:p w14:paraId="7DBA35C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2026-2030</w:t>
            </w:r>
          </w:p>
        </w:tc>
      </w:tr>
      <w:tr w:rsidR="00614438" w:rsidRPr="00AA7A53" w14:paraId="7B2516D7" w14:textId="77777777" w:rsidTr="00614438">
        <w:trPr>
          <w:gridAfter w:val="1"/>
          <w:wAfter w:w="1212" w:type="dxa"/>
          <w:trHeight w:val="315"/>
        </w:trPr>
        <w:tc>
          <w:tcPr>
            <w:tcW w:w="3258" w:type="dxa"/>
            <w:tcBorders>
              <w:top w:val="nil"/>
              <w:left w:val="single" w:sz="8" w:space="0" w:color="auto"/>
              <w:bottom w:val="single" w:sz="8" w:space="0" w:color="auto"/>
              <w:right w:val="single" w:sz="8" w:space="0" w:color="auto"/>
            </w:tcBorders>
            <w:shd w:val="clear" w:color="auto" w:fill="244062"/>
            <w:vAlign w:val="center"/>
            <w:hideMark/>
          </w:tcPr>
          <w:p w14:paraId="150E48C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30" w:type="dxa"/>
            <w:gridSpan w:val="3"/>
            <w:tcBorders>
              <w:top w:val="single" w:sz="8" w:space="0" w:color="auto"/>
              <w:left w:val="nil"/>
              <w:bottom w:val="single" w:sz="8" w:space="0" w:color="auto"/>
              <w:right w:val="single" w:sz="8" w:space="0" w:color="000000"/>
            </w:tcBorders>
            <w:vAlign w:val="center"/>
            <w:hideMark/>
          </w:tcPr>
          <w:p w14:paraId="600A031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6CDCDCD3" w14:textId="77777777" w:rsidTr="00614438">
        <w:trPr>
          <w:gridAfter w:val="1"/>
          <w:wAfter w:w="1212" w:type="dxa"/>
          <w:trHeight w:val="315"/>
        </w:trPr>
        <w:tc>
          <w:tcPr>
            <w:tcW w:w="3258" w:type="dxa"/>
            <w:tcBorders>
              <w:top w:val="nil"/>
              <w:left w:val="single" w:sz="8" w:space="0" w:color="auto"/>
              <w:bottom w:val="single" w:sz="8" w:space="0" w:color="auto"/>
              <w:right w:val="single" w:sz="8" w:space="0" w:color="auto"/>
            </w:tcBorders>
            <w:shd w:val="clear" w:color="auto" w:fill="244062"/>
            <w:vAlign w:val="center"/>
            <w:hideMark/>
          </w:tcPr>
          <w:p w14:paraId="58EA2A9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30" w:type="dxa"/>
            <w:gridSpan w:val="3"/>
            <w:tcBorders>
              <w:top w:val="single" w:sz="8" w:space="0" w:color="auto"/>
              <w:left w:val="nil"/>
              <w:bottom w:val="single" w:sz="8" w:space="0" w:color="auto"/>
              <w:right w:val="single" w:sz="8" w:space="0" w:color="000000"/>
            </w:tcBorders>
            <w:vAlign w:val="center"/>
            <w:hideMark/>
          </w:tcPr>
          <w:p w14:paraId="2A71DA9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Electricity</w:t>
            </w:r>
          </w:p>
        </w:tc>
      </w:tr>
      <w:tr w:rsidR="00614438" w:rsidRPr="00AA7A53" w14:paraId="69831D21" w14:textId="77777777" w:rsidTr="00614438">
        <w:trPr>
          <w:gridAfter w:val="1"/>
          <w:wAfter w:w="1212" w:type="dxa"/>
          <w:trHeight w:val="315"/>
        </w:trPr>
        <w:tc>
          <w:tcPr>
            <w:tcW w:w="3258" w:type="dxa"/>
            <w:tcBorders>
              <w:top w:val="nil"/>
              <w:left w:val="single" w:sz="8" w:space="0" w:color="auto"/>
              <w:bottom w:val="single" w:sz="8" w:space="0" w:color="auto"/>
              <w:right w:val="single" w:sz="8" w:space="0" w:color="auto"/>
            </w:tcBorders>
            <w:shd w:val="clear" w:color="auto" w:fill="244062"/>
            <w:vAlign w:val="center"/>
            <w:hideMark/>
          </w:tcPr>
          <w:p w14:paraId="70108D6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30" w:type="dxa"/>
            <w:gridSpan w:val="3"/>
            <w:tcBorders>
              <w:top w:val="single" w:sz="8" w:space="0" w:color="auto"/>
              <w:left w:val="nil"/>
              <w:bottom w:val="single" w:sz="8" w:space="0" w:color="auto"/>
              <w:right w:val="single" w:sz="8" w:space="0" w:color="000000"/>
            </w:tcBorders>
            <w:vAlign w:val="center"/>
            <w:hideMark/>
          </w:tcPr>
          <w:p w14:paraId="460D80E9" w14:textId="77777777" w:rsidR="00614438" w:rsidRPr="00AA7A53" w:rsidRDefault="00614438" w:rsidP="00AA7A53">
            <w:pPr>
              <w:numPr>
                <w:ilvl w:val="0"/>
                <w:numId w:val="14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0F17320E" w14:textId="739225C6" w:rsidR="00614438" w:rsidRPr="00AA7A53" w:rsidRDefault="00A260CD" w:rsidP="00AA7A53">
            <w:pPr>
              <w:numPr>
                <w:ilvl w:val="0"/>
                <w:numId w:val="146"/>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JSC “Elektromreza </w:t>
            </w:r>
            <w:r w:rsidR="00614438" w:rsidRPr="00AA7A53">
              <w:rPr>
                <w:rFonts w:ascii="Times New Roman" w:hAnsi="Times New Roman" w:cs="Times New Roman"/>
                <w:sz w:val="20"/>
                <w:szCs w:val="20"/>
              </w:rPr>
              <w:t>S</w:t>
            </w:r>
            <w:r w:rsidRPr="00AA7A53">
              <w:rPr>
                <w:rFonts w:ascii="Times New Roman" w:hAnsi="Times New Roman" w:cs="Times New Roman"/>
                <w:sz w:val="20"/>
                <w:szCs w:val="20"/>
              </w:rPr>
              <w:t>rbije”</w:t>
            </w:r>
          </w:p>
          <w:p w14:paraId="07E7FA89" w14:textId="285DF472" w:rsidR="00614438" w:rsidRPr="00AA7A53" w:rsidRDefault="00614438" w:rsidP="00AA7A53">
            <w:pPr>
              <w:numPr>
                <w:ilvl w:val="0"/>
                <w:numId w:val="146"/>
              </w:numPr>
              <w:spacing w:after="0"/>
              <w:jc w:val="both"/>
              <w:rPr>
                <w:rFonts w:ascii="Times New Roman" w:hAnsi="Times New Roman" w:cs="Times New Roman"/>
                <w:sz w:val="20"/>
                <w:szCs w:val="20"/>
                <w:lang w:val="pt-PT"/>
              </w:rPr>
            </w:pPr>
            <w:r w:rsidRPr="00AA7A53">
              <w:rPr>
                <w:rFonts w:ascii="Times New Roman" w:hAnsi="Times New Roman" w:cs="Times New Roman"/>
                <w:sz w:val="20"/>
                <w:szCs w:val="20"/>
                <w:lang w:val="pt-PT"/>
              </w:rPr>
              <w:t xml:space="preserve">Elektrodistribucija Srbije </w:t>
            </w:r>
            <w:r w:rsidR="00A260CD" w:rsidRPr="00AA7A53">
              <w:rPr>
                <w:rFonts w:ascii="Times New Roman" w:hAnsi="Times New Roman" w:cs="Times New Roman"/>
                <w:sz w:val="20"/>
                <w:szCs w:val="20"/>
                <w:lang w:val="pt-PT"/>
              </w:rPr>
              <w:t>ltd. Belgrade</w:t>
            </w:r>
          </w:p>
        </w:tc>
      </w:tr>
      <w:tr w:rsidR="00614438" w:rsidRPr="00AA7A53" w14:paraId="2B38D25C" w14:textId="77777777" w:rsidTr="00614438">
        <w:trPr>
          <w:gridAfter w:val="1"/>
          <w:wAfter w:w="1212" w:type="dxa"/>
          <w:trHeight w:val="315"/>
        </w:trPr>
        <w:tc>
          <w:tcPr>
            <w:tcW w:w="3258" w:type="dxa"/>
            <w:tcBorders>
              <w:top w:val="nil"/>
              <w:left w:val="single" w:sz="8" w:space="0" w:color="auto"/>
              <w:bottom w:val="single" w:sz="8" w:space="0" w:color="auto"/>
              <w:right w:val="nil"/>
            </w:tcBorders>
            <w:shd w:val="clear" w:color="auto" w:fill="244062"/>
            <w:vAlign w:val="center"/>
            <w:hideMark/>
          </w:tcPr>
          <w:p w14:paraId="6601602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30" w:type="dxa"/>
            <w:gridSpan w:val="3"/>
            <w:tcBorders>
              <w:top w:val="single" w:sz="8" w:space="0" w:color="auto"/>
              <w:left w:val="nil"/>
              <w:bottom w:val="single" w:sz="8" w:space="0" w:color="auto"/>
              <w:right w:val="single" w:sz="8" w:space="0" w:color="000000"/>
            </w:tcBorders>
            <w:vAlign w:val="center"/>
            <w:hideMark/>
          </w:tcPr>
          <w:p w14:paraId="7D9BC159" w14:textId="77777777" w:rsidR="00A260CD" w:rsidRPr="00AA7A53" w:rsidRDefault="00A260CD" w:rsidP="00AA7A53">
            <w:pPr>
              <w:numPr>
                <w:ilvl w:val="0"/>
                <w:numId w:val="146"/>
              </w:numPr>
              <w:spacing w:after="0"/>
              <w:jc w:val="both"/>
              <w:rPr>
                <w:rFonts w:ascii="Times New Roman" w:hAnsi="Times New Roman" w:cs="Times New Roman"/>
                <w:sz w:val="20"/>
                <w:szCs w:val="20"/>
              </w:rPr>
            </w:pPr>
            <w:r w:rsidRPr="00AA7A53">
              <w:rPr>
                <w:rFonts w:ascii="Times New Roman" w:hAnsi="Times New Roman" w:cs="Times New Roman"/>
                <w:sz w:val="20"/>
                <w:szCs w:val="20"/>
              </w:rPr>
              <w:t>JSC “Elektromreza Srbije”</w:t>
            </w:r>
          </w:p>
          <w:p w14:paraId="623520D1" w14:textId="5DD102F6" w:rsidR="00614438" w:rsidRPr="00AA7A53" w:rsidRDefault="00614438" w:rsidP="00AA7A53">
            <w:pPr>
              <w:numPr>
                <w:ilvl w:val="0"/>
                <w:numId w:val="146"/>
              </w:numPr>
              <w:spacing w:after="0"/>
              <w:jc w:val="both"/>
              <w:rPr>
                <w:rFonts w:ascii="Times New Roman" w:hAnsi="Times New Roman" w:cs="Times New Roman"/>
                <w:sz w:val="20"/>
                <w:szCs w:val="20"/>
                <w:lang w:val="pt-PT"/>
              </w:rPr>
            </w:pPr>
            <w:r w:rsidRPr="00AA7A53">
              <w:rPr>
                <w:rFonts w:ascii="Times New Roman" w:hAnsi="Times New Roman" w:cs="Times New Roman"/>
                <w:sz w:val="20"/>
                <w:szCs w:val="20"/>
                <w:lang w:val="pt-PT"/>
              </w:rPr>
              <w:t xml:space="preserve">Elektrodistribucija Srbije </w:t>
            </w:r>
            <w:r w:rsidR="00A260CD" w:rsidRPr="00AA7A53">
              <w:rPr>
                <w:rFonts w:ascii="Times New Roman" w:hAnsi="Times New Roman" w:cs="Times New Roman"/>
                <w:sz w:val="20"/>
                <w:szCs w:val="20"/>
                <w:lang w:val="pt-PT"/>
              </w:rPr>
              <w:t>ltd.</w:t>
            </w:r>
            <w:r w:rsidRPr="00AA7A53">
              <w:rPr>
                <w:rFonts w:ascii="Times New Roman" w:hAnsi="Times New Roman" w:cs="Times New Roman"/>
                <w:sz w:val="20"/>
                <w:szCs w:val="20"/>
                <w:lang w:val="pt-PT"/>
              </w:rPr>
              <w:t xml:space="preserve"> Be</w:t>
            </w:r>
            <w:r w:rsidR="00A260CD" w:rsidRPr="00AA7A53">
              <w:rPr>
                <w:rFonts w:ascii="Times New Roman" w:hAnsi="Times New Roman" w:cs="Times New Roman"/>
                <w:sz w:val="20"/>
                <w:szCs w:val="20"/>
                <w:lang w:val="pt-PT"/>
              </w:rPr>
              <w:t>l</w:t>
            </w:r>
            <w:r w:rsidRPr="00AA7A53">
              <w:rPr>
                <w:rFonts w:ascii="Times New Roman" w:hAnsi="Times New Roman" w:cs="Times New Roman"/>
                <w:sz w:val="20"/>
                <w:szCs w:val="20"/>
                <w:lang w:val="pt-PT"/>
              </w:rPr>
              <w:t>grad</w:t>
            </w:r>
            <w:r w:rsidR="00A260CD" w:rsidRPr="00AA7A53">
              <w:rPr>
                <w:rFonts w:ascii="Times New Roman" w:hAnsi="Times New Roman" w:cs="Times New Roman"/>
                <w:sz w:val="20"/>
                <w:szCs w:val="20"/>
                <w:lang w:val="pt-PT"/>
              </w:rPr>
              <w:t>e</w:t>
            </w:r>
          </w:p>
        </w:tc>
      </w:tr>
      <w:tr w:rsidR="00614438" w:rsidRPr="00AA7A53" w14:paraId="5241E845" w14:textId="77777777" w:rsidTr="00614438">
        <w:trPr>
          <w:gridAfter w:val="1"/>
          <w:wAfter w:w="1212" w:type="dxa"/>
          <w:trHeight w:val="315"/>
        </w:trPr>
        <w:tc>
          <w:tcPr>
            <w:tcW w:w="3258" w:type="dxa"/>
            <w:tcBorders>
              <w:top w:val="nil"/>
              <w:left w:val="single" w:sz="8" w:space="0" w:color="auto"/>
              <w:bottom w:val="single" w:sz="8" w:space="0" w:color="auto"/>
              <w:right w:val="nil"/>
            </w:tcBorders>
            <w:shd w:val="clear" w:color="auto" w:fill="244062"/>
            <w:vAlign w:val="center"/>
            <w:hideMark/>
          </w:tcPr>
          <w:p w14:paraId="3DEAE47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30" w:type="dxa"/>
            <w:gridSpan w:val="3"/>
            <w:tcBorders>
              <w:top w:val="single" w:sz="8" w:space="0" w:color="auto"/>
              <w:left w:val="nil"/>
              <w:bottom w:val="single" w:sz="8" w:space="0" w:color="auto"/>
              <w:right w:val="single" w:sz="8" w:space="0" w:color="000000"/>
            </w:tcBorders>
            <w:vAlign w:val="center"/>
            <w:hideMark/>
          </w:tcPr>
          <w:p w14:paraId="774CA42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Quality of supply indicators (e.g. SAIDI, SAIFI, ENS) </w:t>
            </w:r>
          </w:p>
        </w:tc>
      </w:tr>
      <w:tr w:rsidR="00614438" w:rsidRPr="00AA7A53" w14:paraId="7BC348E5" w14:textId="77777777" w:rsidTr="00614438">
        <w:trPr>
          <w:gridAfter w:val="1"/>
          <w:wAfter w:w="1212" w:type="dxa"/>
          <w:trHeight w:val="813"/>
        </w:trPr>
        <w:tc>
          <w:tcPr>
            <w:tcW w:w="3258" w:type="dxa"/>
            <w:tcBorders>
              <w:top w:val="nil"/>
              <w:left w:val="single" w:sz="8" w:space="0" w:color="auto"/>
              <w:bottom w:val="single" w:sz="8" w:space="0" w:color="auto"/>
              <w:right w:val="single" w:sz="8" w:space="0" w:color="auto"/>
            </w:tcBorders>
            <w:shd w:val="clear" w:color="auto" w:fill="244062"/>
            <w:vAlign w:val="center"/>
            <w:hideMark/>
          </w:tcPr>
          <w:p w14:paraId="45788E2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30" w:type="dxa"/>
            <w:gridSpan w:val="3"/>
            <w:tcBorders>
              <w:top w:val="single" w:sz="8" w:space="0" w:color="auto"/>
              <w:left w:val="nil"/>
              <w:bottom w:val="single" w:sz="8" w:space="0" w:color="auto"/>
              <w:right w:val="single" w:sz="8" w:space="0" w:color="000000"/>
            </w:tcBorders>
            <w:vAlign w:val="center"/>
            <w:hideMark/>
          </w:tcPr>
          <w:p w14:paraId="3CF3893A" w14:textId="77777777" w:rsidR="00614438" w:rsidRPr="00AA7A53" w:rsidRDefault="00614438" w:rsidP="00AA7A53">
            <w:pPr>
              <w:numPr>
                <w:ilvl w:val="0"/>
                <w:numId w:val="146"/>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p w14:paraId="65E43BFA" w14:textId="77777777" w:rsidR="00614438" w:rsidRPr="00AA7A53" w:rsidRDefault="00614438" w:rsidP="00AA7A53">
            <w:pPr>
              <w:numPr>
                <w:ilvl w:val="0"/>
                <w:numId w:val="146"/>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p w14:paraId="7FDDD1B7" w14:textId="77777777" w:rsidR="00614438" w:rsidRPr="00AA7A53" w:rsidRDefault="00614438" w:rsidP="00AA7A53">
            <w:pPr>
              <w:numPr>
                <w:ilvl w:val="0"/>
                <w:numId w:val="146"/>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Efficiency</w:t>
            </w:r>
          </w:p>
        </w:tc>
      </w:tr>
      <w:tr w:rsidR="00614438" w:rsidRPr="00AA7A53" w14:paraId="5E1C3701" w14:textId="77777777" w:rsidTr="00614438">
        <w:trPr>
          <w:gridAfter w:val="1"/>
          <w:wAfter w:w="1212" w:type="dxa"/>
          <w:trHeight w:val="458"/>
        </w:trPr>
        <w:tc>
          <w:tcPr>
            <w:tcW w:w="3258" w:type="dxa"/>
            <w:vMerge w:val="restart"/>
            <w:tcBorders>
              <w:top w:val="nil"/>
              <w:left w:val="single" w:sz="8" w:space="0" w:color="auto"/>
              <w:bottom w:val="single" w:sz="8" w:space="0" w:color="000000"/>
              <w:right w:val="single" w:sz="8" w:space="0" w:color="auto"/>
            </w:tcBorders>
            <w:shd w:val="clear" w:color="auto" w:fill="244062"/>
            <w:vAlign w:val="center"/>
            <w:hideMark/>
          </w:tcPr>
          <w:p w14:paraId="0DD07D4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3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26362B7" w14:textId="77777777" w:rsidR="00614438" w:rsidRPr="00AA7A53" w:rsidRDefault="00614438" w:rsidP="00AA7A53">
            <w:pPr>
              <w:numPr>
                <w:ilvl w:val="0"/>
                <w:numId w:val="146"/>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2009/72/EC</w:t>
            </w:r>
          </w:p>
          <w:p w14:paraId="09CED05D" w14:textId="77777777" w:rsidR="00614438" w:rsidRPr="00AA7A53" w:rsidRDefault="00614438" w:rsidP="00AA7A53">
            <w:pPr>
              <w:numPr>
                <w:ilvl w:val="0"/>
                <w:numId w:val="146"/>
              </w:numPr>
              <w:spacing w:after="0"/>
              <w:jc w:val="both"/>
              <w:rPr>
                <w:rFonts w:ascii="Times New Roman" w:hAnsi="Times New Roman" w:cs="Times New Roman"/>
                <w:sz w:val="20"/>
                <w:szCs w:val="20"/>
              </w:rPr>
            </w:pPr>
            <w:r w:rsidRPr="00AA7A53">
              <w:rPr>
                <w:rFonts w:ascii="Times New Roman" w:hAnsi="Times New Roman" w:cs="Times New Roman"/>
                <w:sz w:val="20"/>
                <w:szCs w:val="20"/>
              </w:rPr>
              <w:lastRenderedPageBreak/>
              <w:t>Regulation (EU) 347/2013</w:t>
            </w:r>
          </w:p>
        </w:tc>
      </w:tr>
      <w:tr w:rsidR="00614438" w:rsidRPr="00AA7A53" w14:paraId="6B470DB7"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7B771C8B"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38EF204"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3DE73E1F"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1241840"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1FE6193F"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96351CA"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52458C4C"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658433DB" w14:textId="77777777" w:rsidTr="00614438">
        <w:trPr>
          <w:trHeight w:val="780"/>
        </w:trPr>
        <w:tc>
          <w:tcPr>
            <w:tcW w:w="3258" w:type="dxa"/>
            <w:tcBorders>
              <w:top w:val="nil"/>
              <w:left w:val="single" w:sz="8" w:space="0" w:color="auto"/>
              <w:bottom w:val="single" w:sz="8" w:space="0" w:color="auto"/>
              <w:right w:val="single" w:sz="8" w:space="0" w:color="auto"/>
            </w:tcBorders>
            <w:shd w:val="clear" w:color="auto" w:fill="244062"/>
            <w:vAlign w:val="center"/>
            <w:hideMark/>
          </w:tcPr>
          <w:p w14:paraId="70C3248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30" w:type="dxa"/>
            <w:gridSpan w:val="3"/>
            <w:tcBorders>
              <w:top w:val="single" w:sz="8" w:space="0" w:color="auto"/>
              <w:left w:val="nil"/>
              <w:bottom w:val="single" w:sz="8" w:space="0" w:color="auto"/>
              <w:right w:val="single" w:sz="8" w:space="0" w:color="000000"/>
            </w:tcBorders>
            <w:vAlign w:val="center"/>
            <w:hideMark/>
          </w:tcPr>
          <w:p w14:paraId="095CD0EB" w14:textId="77777777" w:rsidR="00614438" w:rsidRPr="00AA7A53" w:rsidRDefault="00614438" w:rsidP="00AA7A53">
            <w:pPr>
              <w:numPr>
                <w:ilvl w:val="0"/>
                <w:numId w:val="147"/>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w:t>
            </w:r>
          </w:p>
          <w:p w14:paraId="48C78FAD" w14:textId="77777777" w:rsidR="00614438" w:rsidRPr="00AA7A53" w:rsidRDefault="00614438" w:rsidP="00AA7A53">
            <w:pPr>
              <w:numPr>
                <w:ilvl w:val="0"/>
                <w:numId w:val="147"/>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RES</w:t>
            </w:r>
          </w:p>
        </w:tc>
        <w:tc>
          <w:tcPr>
            <w:tcW w:w="1212" w:type="dxa"/>
            <w:vAlign w:val="center"/>
            <w:hideMark/>
          </w:tcPr>
          <w:p w14:paraId="2ADFC48E"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2640260" w14:textId="77777777" w:rsidTr="00614438">
        <w:trPr>
          <w:trHeight w:val="315"/>
        </w:trPr>
        <w:tc>
          <w:tcPr>
            <w:tcW w:w="3258" w:type="dxa"/>
            <w:tcBorders>
              <w:top w:val="nil"/>
              <w:left w:val="single" w:sz="8" w:space="0" w:color="auto"/>
              <w:bottom w:val="single" w:sz="8" w:space="0" w:color="auto"/>
              <w:right w:val="single" w:sz="8" w:space="0" w:color="auto"/>
            </w:tcBorders>
            <w:shd w:val="clear" w:color="auto" w:fill="244062"/>
            <w:vAlign w:val="center"/>
            <w:hideMark/>
          </w:tcPr>
          <w:p w14:paraId="1BC6423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30" w:type="dxa"/>
            <w:gridSpan w:val="3"/>
            <w:tcBorders>
              <w:top w:val="single" w:sz="8" w:space="0" w:color="auto"/>
              <w:left w:val="nil"/>
              <w:bottom w:val="single" w:sz="8" w:space="0" w:color="auto"/>
              <w:right w:val="single" w:sz="8" w:space="0" w:color="000000"/>
            </w:tcBorders>
            <w:vAlign w:val="center"/>
            <w:hideMark/>
          </w:tcPr>
          <w:p w14:paraId="1FE6C97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10 M€</w:t>
            </w:r>
          </w:p>
        </w:tc>
        <w:tc>
          <w:tcPr>
            <w:tcW w:w="1212" w:type="dxa"/>
            <w:vAlign w:val="center"/>
            <w:hideMark/>
          </w:tcPr>
          <w:p w14:paraId="73CAB3E3"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4F7A0D4" w14:textId="77777777" w:rsidTr="00614438">
        <w:trPr>
          <w:trHeight w:val="315"/>
        </w:trPr>
        <w:tc>
          <w:tcPr>
            <w:tcW w:w="3258" w:type="dxa"/>
            <w:tcBorders>
              <w:top w:val="nil"/>
              <w:left w:val="single" w:sz="8" w:space="0" w:color="auto"/>
              <w:bottom w:val="single" w:sz="8" w:space="0" w:color="auto"/>
              <w:right w:val="single" w:sz="8" w:space="0" w:color="auto"/>
            </w:tcBorders>
            <w:shd w:val="clear" w:color="auto" w:fill="244062"/>
            <w:vAlign w:val="center"/>
            <w:hideMark/>
          </w:tcPr>
          <w:p w14:paraId="11BC00E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30" w:type="dxa"/>
            <w:gridSpan w:val="3"/>
            <w:tcBorders>
              <w:top w:val="single" w:sz="8" w:space="0" w:color="auto"/>
              <w:left w:val="nil"/>
              <w:bottom w:val="single" w:sz="8" w:space="0" w:color="auto"/>
              <w:right w:val="single" w:sz="8" w:space="0" w:color="000000"/>
            </w:tcBorders>
            <w:vAlign w:val="center"/>
            <w:hideMark/>
          </w:tcPr>
          <w:p w14:paraId="747B8A9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 and own funds</w:t>
            </w:r>
          </w:p>
        </w:tc>
        <w:tc>
          <w:tcPr>
            <w:tcW w:w="1212" w:type="dxa"/>
            <w:vAlign w:val="center"/>
            <w:hideMark/>
          </w:tcPr>
          <w:p w14:paraId="427F9EB0" w14:textId="77777777" w:rsidR="00614438" w:rsidRPr="00AA7A53" w:rsidRDefault="00614438" w:rsidP="00AA7A53">
            <w:pPr>
              <w:spacing w:after="0"/>
              <w:jc w:val="both"/>
              <w:rPr>
                <w:rFonts w:ascii="Times New Roman" w:hAnsi="Times New Roman" w:cs="Times New Roman"/>
                <w:sz w:val="20"/>
                <w:szCs w:val="20"/>
                <w:lang w:val="en-GB"/>
              </w:rPr>
            </w:pPr>
          </w:p>
        </w:tc>
      </w:tr>
    </w:tbl>
    <w:p w14:paraId="1AE1A528" w14:textId="77777777" w:rsidR="00614438" w:rsidRPr="00AA7A53" w:rsidRDefault="00614438" w:rsidP="00AA7A53">
      <w:pPr>
        <w:spacing w:after="0"/>
        <w:jc w:val="both"/>
        <w:rPr>
          <w:rFonts w:ascii="Times New Roman" w:hAnsi="Times New Roman" w:cs="Times New Roman"/>
          <w:sz w:val="20"/>
          <w:szCs w:val="20"/>
          <w:lang w:val="en-GB"/>
        </w:rPr>
      </w:pPr>
    </w:p>
    <w:p w14:paraId="5D89B596" w14:textId="60872BDF" w:rsidR="00614438" w:rsidRPr="00614438" w:rsidRDefault="00A260CD" w:rsidP="00A260CD">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3.4.3 </w:t>
      </w:r>
      <w:r w:rsidR="00614438" w:rsidRPr="00614438">
        <w:rPr>
          <w:rFonts w:ascii="Times New Roman" w:hAnsi="Times New Roman" w:cs="Times New Roman"/>
          <w:sz w:val="24"/>
          <w:szCs w:val="24"/>
          <w:lang w:val="en-GB"/>
        </w:rPr>
        <w:t>Market integration</w:t>
      </w:r>
    </w:p>
    <w:p w14:paraId="07083554"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137"/>
        <w:gridCol w:w="1666"/>
        <w:gridCol w:w="906"/>
        <w:gridCol w:w="3779"/>
        <w:gridCol w:w="1212"/>
      </w:tblGrid>
      <w:tr w:rsidR="00614438" w:rsidRPr="00AA7A53" w14:paraId="26D9B9C0" w14:textId="77777777" w:rsidTr="00614438">
        <w:trPr>
          <w:gridAfter w:val="1"/>
          <w:wAfter w:w="1212" w:type="dxa"/>
          <w:trHeight w:val="780"/>
        </w:trPr>
        <w:tc>
          <w:tcPr>
            <w:tcW w:w="313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60F2985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666" w:type="dxa"/>
            <w:tcBorders>
              <w:top w:val="single" w:sz="8" w:space="0" w:color="auto"/>
              <w:left w:val="nil"/>
              <w:bottom w:val="single" w:sz="8" w:space="0" w:color="auto"/>
              <w:right w:val="single" w:sz="8" w:space="0" w:color="auto"/>
            </w:tcBorders>
            <w:shd w:val="clear" w:color="auto" w:fill="E7E6E6" w:themeFill="background2"/>
            <w:vAlign w:val="center"/>
            <w:hideMark/>
          </w:tcPr>
          <w:p w14:paraId="55CAACE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PM_IEM11</w:t>
            </w:r>
          </w:p>
        </w:tc>
        <w:tc>
          <w:tcPr>
            <w:tcW w:w="906" w:type="dxa"/>
            <w:tcBorders>
              <w:top w:val="single" w:sz="8" w:space="0" w:color="auto"/>
              <w:left w:val="nil"/>
              <w:bottom w:val="single" w:sz="8" w:space="0" w:color="auto"/>
              <w:right w:val="single" w:sz="8" w:space="0" w:color="auto"/>
            </w:tcBorders>
            <w:shd w:val="clear" w:color="auto" w:fill="244062"/>
            <w:vAlign w:val="center"/>
            <w:hideMark/>
          </w:tcPr>
          <w:p w14:paraId="5B58D4D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3779" w:type="dxa"/>
            <w:tcBorders>
              <w:top w:val="single" w:sz="8" w:space="0" w:color="auto"/>
              <w:left w:val="nil"/>
              <w:bottom w:val="single" w:sz="8" w:space="0" w:color="auto"/>
              <w:right w:val="single" w:sz="8" w:space="0" w:color="auto"/>
            </w:tcBorders>
            <w:shd w:val="clear" w:color="auto" w:fill="E7E6E6" w:themeFill="background2"/>
            <w:vAlign w:val="center"/>
            <w:hideMark/>
          </w:tcPr>
          <w:p w14:paraId="79EA26A6" w14:textId="45813CEE"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Smart meters roll out in electricity Elektrodistribucija Srbije </w:t>
            </w:r>
            <w:r w:rsidR="0056188E" w:rsidRPr="00AA7A53">
              <w:rPr>
                <w:rFonts w:ascii="Times New Roman" w:hAnsi="Times New Roman" w:cs="Times New Roman"/>
                <w:sz w:val="20"/>
                <w:szCs w:val="20"/>
                <w:lang w:val="en-GB"/>
              </w:rPr>
              <w:t>ltd.</w:t>
            </w:r>
            <w:r w:rsidRPr="00AA7A53">
              <w:rPr>
                <w:rFonts w:ascii="Times New Roman" w:hAnsi="Times New Roman" w:cs="Times New Roman"/>
                <w:sz w:val="20"/>
                <w:szCs w:val="20"/>
                <w:lang w:val="en-GB"/>
              </w:rPr>
              <w:t xml:space="preserve"> Be</w:t>
            </w:r>
            <w:r w:rsidR="0056188E" w:rsidRPr="00AA7A53">
              <w:rPr>
                <w:rFonts w:ascii="Times New Roman" w:hAnsi="Times New Roman" w:cs="Times New Roman"/>
                <w:sz w:val="20"/>
                <w:szCs w:val="20"/>
                <w:lang w:val="en-GB"/>
              </w:rPr>
              <w:t>l</w:t>
            </w:r>
            <w:r w:rsidRPr="00AA7A53">
              <w:rPr>
                <w:rFonts w:ascii="Times New Roman" w:hAnsi="Times New Roman" w:cs="Times New Roman"/>
                <w:sz w:val="20"/>
                <w:szCs w:val="20"/>
                <w:lang w:val="en-GB"/>
              </w:rPr>
              <w:t>grad</w:t>
            </w:r>
            <w:r w:rsidR="0056188E" w:rsidRPr="00AA7A53">
              <w:rPr>
                <w:rFonts w:ascii="Times New Roman" w:hAnsi="Times New Roman" w:cs="Times New Roman"/>
                <w:sz w:val="20"/>
                <w:szCs w:val="20"/>
                <w:lang w:val="en-GB"/>
              </w:rPr>
              <w:t>e</w:t>
            </w:r>
            <w:r w:rsidRPr="00AA7A53">
              <w:rPr>
                <w:rFonts w:ascii="Times New Roman" w:hAnsi="Times New Roman" w:cs="Times New Roman"/>
                <w:sz w:val="20"/>
                <w:szCs w:val="20"/>
                <w:lang w:val="en-GB"/>
              </w:rPr>
              <w:t xml:space="preserve"> EPS</w:t>
            </w:r>
          </w:p>
        </w:tc>
      </w:tr>
      <w:tr w:rsidR="00614438" w:rsidRPr="00AA7A53" w14:paraId="72E69C71" w14:textId="77777777" w:rsidTr="00614438">
        <w:trPr>
          <w:gridAfter w:val="1"/>
          <w:wAfter w:w="1212" w:type="dxa"/>
          <w:trHeight w:val="381"/>
        </w:trPr>
        <w:tc>
          <w:tcPr>
            <w:tcW w:w="3137" w:type="dxa"/>
            <w:tcBorders>
              <w:top w:val="nil"/>
              <w:left w:val="single" w:sz="8" w:space="0" w:color="auto"/>
              <w:bottom w:val="single" w:sz="8" w:space="0" w:color="auto"/>
              <w:right w:val="nil"/>
            </w:tcBorders>
            <w:shd w:val="clear" w:color="auto" w:fill="244062"/>
            <w:vAlign w:val="center"/>
            <w:hideMark/>
          </w:tcPr>
          <w:p w14:paraId="09B7AF9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351" w:type="dxa"/>
            <w:gridSpan w:val="3"/>
            <w:tcBorders>
              <w:top w:val="single" w:sz="8" w:space="0" w:color="auto"/>
              <w:left w:val="nil"/>
              <w:bottom w:val="single" w:sz="8" w:space="0" w:color="auto"/>
              <w:right w:val="single" w:sz="8" w:space="0" w:color="000000"/>
            </w:tcBorders>
            <w:vAlign w:val="center"/>
            <w:hideMark/>
          </w:tcPr>
          <w:p w14:paraId="66D7766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system flexibility and quality of electricity supply, in particular through policies and measures related to market-based price formation in compliance with applicable law; market integration and coupling, aiming to increase the tradeable capacity of existing interconnectors, smart grids, aggregation, demand response, storage, distributed generation, mechanisms for dispatching, re-dispatching and curtailment and real-time price signals.</w:t>
            </w:r>
          </w:p>
        </w:tc>
      </w:tr>
      <w:tr w:rsidR="00614438" w:rsidRPr="00AA7A53" w14:paraId="7CFD4CC1" w14:textId="77777777" w:rsidTr="00614438">
        <w:trPr>
          <w:gridAfter w:val="1"/>
          <w:wAfter w:w="1212" w:type="dxa"/>
          <w:trHeight w:val="315"/>
        </w:trPr>
        <w:tc>
          <w:tcPr>
            <w:tcW w:w="3137" w:type="dxa"/>
            <w:tcBorders>
              <w:top w:val="nil"/>
              <w:left w:val="single" w:sz="8" w:space="0" w:color="auto"/>
              <w:bottom w:val="single" w:sz="8" w:space="0" w:color="auto"/>
              <w:right w:val="single" w:sz="8" w:space="0" w:color="auto"/>
            </w:tcBorders>
            <w:shd w:val="clear" w:color="auto" w:fill="244062"/>
            <w:vAlign w:val="center"/>
            <w:hideMark/>
          </w:tcPr>
          <w:p w14:paraId="140C966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351" w:type="dxa"/>
            <w:gridSpan w:val="3"/>
            <w:tcBorders>
              <w:top w:val="single" w:sz="8" w:space="0" w:color="auto"/>
              <w:left w:val="nil"/>
              <w:bottom w:val="single" w:sz="8" w:space="0" w:color="auto"/>
              <w:right w:val="single" w:sz="8" w:space="0" w:color="000000"/>
            </w:tcBorders>
            <w:vAlign w:val="center"/>
            <w:hideMark/>
          </w:tcPr>
          <w:p w14:paraId="41F206D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quality of supply indicators, deployment smart grids, aggregation, demand response services as well as storage and distributed generation</w:t>
            </w:r>
          </w:p>
        </w:tc>
      </w:tr>
      <w:tr w:rsidR="00614438" w:rsidRPr="00AA7A53" w14:paraId="6186FDDE" w14:textId="77777777" w:rsidTr="00614438">
        <w:trPr>
          <w:gridAfter w:val="1"/>
          <w:wAfter w:w="1212" w:type="dxa"/>
          <w:trHeight w:val="1293"/>
        </w:trPr>
        <w:tc>
          <w:tcPr>
            <w:tcW w:w="3137" w:type="dxa"/>
            <w:tcBorders>
              <w:top w:val="nil"/>
              <w:left w:val="single" w:sz="8" w:space="0" w:color="auto"/>
              <w:bottom w:val="single" w:sz="8" w:space="0" w:color="auto"/>
              <w:right w:val="single" w:sz="8" w:space="0" w:color="auto"/>
            </w:tcBorders>
            <w:shd w:val="clear" w:color="auto" w:fill="244062"/>
            <w:vAlign w:val="center"/>
            <w:hideMark/>
          </w:tcPr>
          <w:p w14:paraId="1C76827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351" w:type="dxa"/>
            <w:gridSpan w:val="3"/>
            <w:tcBorders>
              <w:top w:val="single" w:sz="8" w:space="0" w:color="auto"/>
              <w:left w:val="nil"/>
              <w:bottom w:val="single" w:sz="8" w:space="0" w:color="auto"/>
              <w:right w:val="single" w:sz="8" w:space="0" w:color="000000"/>
            </w:tcBorders>
            <w:vAlign w:val="center"/>
            <w:hideMark/>
          </w:tcPr>
          <w:p w14:paraId="0978274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PM_IEM11 concerns the roll-out of electricity smart meters in Serbia covering at least 80% of consumption (the target refers to electricity transmission and distribution networks where transmission roll-out has already been fully covered). The roll-out is expected to be implement following the preparation of a cost-benefit analysis (CBA) study. The roll-out is expected to bring benefits in both the energy market and energy efficiency dimensions.</w:t>
            </w:r>
          </w:p>
        </w:tc>
      </w:tr>
      <w:tr w:rsidR="00614438" w:rsidRPr="00AA7A53" w14:paraId="72BA18A8" w14:textId="77777777" w:rsidTr="00614438">
        <w:trPr>
          <w:gridAfter w:val="1"/>
          <w:wAfter w:w="1212" w:type="dxa"/>
          <w:trHeight w:val="315"/>
        </w:trPr>
        <w:tc>
          <w:tcPr>
            <w:tcW w:w="3137" w:type="dxa"/>
            <w:tcBorders>
              <w:top w:val="nil"/>
              <w:left w:val="single" w:sz="8" w:space="0" w:color="auto"/>
              <w:bottom w:val="single" w:sz="8" w:space="0" w:color="auto"/>
              <w:right w:val="single" w:sz="8" w:space="0" w:color="auto"/>
            </w:tcBorders>
            <w:shd w:val="clear" w:color="auto" w:fill="244062"/>
            <w:vAlign w:val="center"/>
            <w:hideMark/>
          </w:tcPr>
          <w:p w14:paraId="12C6274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351" w:type="dxa"/>
            <w:gridSpan w:val="3"/>
            <w:tcBorders>
              <w:top w:val="single" w:sz="8" w:space="0" w:color="auto"/>
              <w:left w:val="nil"/>
              <w:bottom w:val="single" w:sz="8" w:space="0" w:color="auto"/>
              <w:right w:val="single" w:sz="8" w:space="0" w:color="000000"/>
            </w:tcBorders>
            <w:vAlign w:val="center"/>
            <w:hideMark/>
          </w:tcPr>
          <w:p w14:paraId="56DCE13F" w14:textId="6EB58FE9"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56188E"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6985800E" w14:textId="77777777" w:rsidTr="00614438">
        <w:trPr>
          <w:gridAfter w:val="1"/>
          <w:wAfter w:w="1212" w:type="dxa"/>
          <w:trHeight w:val="315"/>
        </w:trPr>
        <w:tc>
          <w:tcPr>
            <w:tcW w:w="3137" w:type="dxa"/>
            <w:tcBorders>
              <w:top w:val="nil"/>
              <w:left w:val="single" w:sz="8" w:space="0" w:color="auto"/>
              <w:bottom w:val="single" w:sz="8" w:space="0" w:color="auto"/>
              <w:right w:val="single" w:sz="8" w:space="0" w:color="auto"/>
            </w:tcBorders>
            <w:shd w:val="clear" w:color="auto" w:fill="244062"/>
            <w:vAlign w:val="center"/>
            <w:hideMark/>
          </w:tcPr>
          <w:p w14:paraId="6850DF0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351" w:type="dxa"/>
            <w:gridSpan w:val="3"/>
            <w:tcBorders>
              <w:top w:val="single" w:sz="8" w:space="0" w:color="auto"/>
              <w:left w:val="nil"/>
              <w:bottom w:val="single" w:sz="8" w:space="0" w:color="auto"/>
              <w:right w:val="single" w:sz="8" w:space="0" w:color="000000"/>
            </w:tcBorders>
            <w:vAlign w:val="center"/>
            <w:hideMark/>
          </w:tcPr>
          <w:p w14:paraId="01886B3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6BF05887" w14:textId="77777777" w:rsidTr="00614438">
        <w:trPr>
          <w:gridAfter w:val="1"/>
          <w:wAfter w:w="1212" w:type="dxa"/>
          <w:trHeight w:val="315"/>
        </w:trPr>
        <w:tc>
          <w:tcPr>
            <w:tcW w:w="3137" w:type="dxa"/>
            <w:tcBorders>
              <w:top w:val="nil"/>
              <w:left w:val="single" w:sz="8" w:space="0" w:color="auto"/>
              <w:bottom w:val="single" w:sz="8" w:space="0" w:color="auto"/>
              <w:right w:val="single" w:sz="8" w:space="0" w:color="auto"/>
            </w:tcBorders>
            <w:shd w:val="clear" w:color="auto" w:fill="244062"/>
            <w:vAlign w:val="center"/>
            <w:hideMark/>
          </w:tcPr>
          <w:p w14:paraId="418E94F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351" w:type="dxa"/>
            <w:gridSpan w:val="3"/>
            <w:tcBorders>
              <w:top w:val="single" w:sz="8" w:space="0" w:color="auto"/>
              <w:left w:val="nil"/>
              <w:bottom w:val="single" w:sz="8" w:space="0" w:color="auto"/>
              <w:right w:val="single" w:sz="8" w:space="0" w:color="000000"/>
            </w:tcBorders>
            <w:vAlign w:val="center"/>
            <w:hideMark/>
          </w:tcPr>
          <w:p w14:paraId="15F4D08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Residential, public, commercial, industrial</w:t>
            </w:r>
          </w:p>
        </w:tc>
      </w:tr>
      <w:tr w:rsidR="00614438" w:rsidRPr="00AA7A53" w14:paraId="5B71DDF6" w14:textId="77777777" w:rsidTr="00614438">
        <w:trPr>
          <w:gridAfter w:val="1"/>
          <w:wAfter w:w="1212" w:type="dxa"/>
          <w:trHeight w:val="315"/>
        </w:trPr>
        <w:tc>
          <w:tcPr>
            <w:tcW w:w="3137" w:type="dxa"/>
            <w:tcBorders>
              <w:top w:val="nil"/>
              <w:left w:val="single" w:sz="8" w:space="0" w:color="auto"/>
              <w:bottom w:val="single" w:sz="8" w:space="0" w:color="auto"/>
              <w:right w:val="single" w:sz="8" w:space="0" w:color="auto"/>
            </w:tcBorders>
            <w:shd w:val="clear" w:color="auto" w:fill="244062"/>
            <w:vAlign w:val="center"/>
            <w:hideMark/>
          </w:tcPr>
          <w:p w14:paraId="7E81278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351" w:type="dxa"/>
            <w:gridSpan w:val="3"/>
            <w:tcBorders>
              <w:top w:val="single" w:sz="8" w:space="0" w:color="auto"/>
              <w:left w:val="nil"/>
              <w:bottom w:val="single" w:sz="8" w:space="0" w:color="auto"/>
              <w:right w:val="single" w:sz="8" w:space="0" w:color="000000"/>
            </w:tcBorders>
            <w:vAlign w:val="center"/>
            <w:hideMark/>
          </w:tcPr>
          <w:p w14:paraId="3BD75DCF" w14:textId="52FB0769" w:rsidR="00614438" w:rsidRPr="00AA7A53" w:rsidRDefault="00614438" w:rsidP="00AA7A53">
            <w:pPr>
              <w:numPr>
                <w:ilvl w:val="0"/>
                <w:numId w:val="146"/>
              </w:numPr>
              <w:spacing w:after="0"/>
              <w:jc w:val="both"/>
              <w:rPr>
                <w:rFonts w:ascii="Times New Roman" w:hAnsi="Times New Roman" w:cs="Times New Roman"/>
                <w:sz w:val="20"/>
                <w:szCs w:val="20"/>
                <w:lang w:val="pt-PT"/>
              </w:rPr>
            </w:pPr>
            <w:r w:rsidRPr="00AA7A53">
              <w:rPr>
                <w:rFonts w:ascii="Times New Roman" w:hAnsi="Times New Roman" w:cs="Times New Roman"/>
                <w:sz w:val="20"/>
                <w:szCs w:val="20"/>
                <w:lang w:val="pt-PT"/>
              </w:rPr>
              <w:t xml:space="preserve">Elektrodistribucija Srbije </w:t>
            </w:r>
            <w:r w:rsidR="0056188E" w:rsidRPr="00AA7A53">
              <w:rPr>
                <w:rFonts w:ascii="Times New Roman" w:hAnsi="Times New Roman" w:cs="Times New Roman"/>
                <w:sz w:val="20"/>
                <w:szCs w:val="20"/>
                <w:lang w:val="pt-PT"/>
              </w:rPr>
              <w:t>ltd</w:t>
            </w:r>
            <w:r w:rsidRPr="00AA7A53">
              <w:rPr>
                <w:rFonts w:ascii="Times New Roman" w:hAnsi="Times New Roman" w:cs="Times New Roman"/>
                <w:sz w:val="20"/>
                <w:szCs w:val="20"/>
                <w:lang w:val="pt-PT"/>
              </w:rPr>
              <w:t xml:space="preserve"> Be</w:t>
            </w:r>
            <w:r w:rsidR="0056188E" w:rsidRPr="00AA7A53">
              <w:rPr>
                <w:rFonts w:ascii="Times New Roman" w:hAnsi="Times New Roman" w:cs="Times New Roman"/>
                <w:sz w:val="20"/>
                <w:szCs w:val="20"/>
                <w:lang w:val="pt-PT"/>
              </w:rPr>
              <w:t>l</w:t>
            </w:r>
            <w:r w:rsidRPr="00AA7A53">
              <w:rPr>
                <w:rFonts w:ascii="Times New Roman" w:hAnsi="Times New Roman" w:cs="Times New Roman"/>
                <w:sz w:val="20"/>
                <w:szCs w:val="20"/>
                <w:lang w:val="pt-PT"/>
              </w:rPr>
              <w:t>grad</w:t>
            </w:r>
            <w:r w:rsidR="0056188E" w:rsidRPr="00AA7A53">
              <w:rPr>
                <w:rFonts w:ascii="Times New Roman" w:hAnsi="Times New Roman" w:cs="Times New Roman"/>
                <w:sz w:val="20"/>
                <w:szCs w:val="20"/>
                <w:lang w:val="pt-PT"/>
              </w:rPr>
              <w:t>e</w:t>
            </w:r>
            <w:r w:rsidRPr="00AA7A53">
              <w:rPr>
                <w:rFonts w:ascii="Times New Roman" w:hAnsi="Times New Roman" w:cs="Times New Roman"/>
                <w:sz w:val="20"/>
                <w:szCs w:val="20"/>
                <w:lang w:val="pt-PT"/>
              </w:rPr>
              <w:t xml:space="preserve"> (EDS)</w:t>
            </w:r>
          </w:p>
          <w:p w14:paraId="5036A557" w14:textId="77777777" w:rsidR="00614438" w:rsidRPr="00AA7A53" w:rsidRDefault="00614438" w:rsidP="00AA7A53">
            <w:pPr>
              <w:numPr>
                <w:ilvl w:val="0"/>
                <w:numId w:val="146"/>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rPr>
              <w:t>Government</w:t>
            </w:r>
          </w:p>
        </w:tc>
      </w:tr>
      <w:tr w:rsidR="00614438" w:rsidRPr="00AA7A53" w14:paraId="55C775A1" w14:textId="77777777" w:rsidTr="00614438">
        <w:trPr>
          <w:gridAfter w:val="1"/>
          <w:wAfter w:w="1212" w:type="dxa"/>
          <w:trHeight w:val="315"/>
        </w:trPr>
        <w:tc>
          <w:tcPr>
            <w:tcW w:w="3137" w:type="dxa"/>
            <w:tcBorders>
              <w:top w:val="nil"/>
              <w:left w:val="single" w:sz="8" w:space="0" w:color="auto"/>
              <w:bottom w:val="single" w:sz="8" w:space="0" w:color="auto"/>
              <w:right w:val="nil"/>
            </w:tcBorders>
            <w:shd w:val="clear" w:color="auto" w:fill="244062"/>
            <w:vAlign w:val="center"/>
            <w:hideMark/>
          </w:tcPr>
          <w:p w14:paraId="3A5CFAA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351" w:type="dxa"/>
            <w:gridSpan w:val="3"/>
            <w:tcBorders>
              <w:top w:val="single" w:sz="8" w:space="0" w:color="auto"/>
              <w:left w:val="nil"/>
              <w:bottom w:val="single" w:sz="8" w:space="0" w:color="auto"/>
              <w:right w:val="single" w:sz="8" w:space="0" w:color="000000"/>
            </w:tcBorders>
            <w:vAlign w:val="center"/>
            <w:hideMark/>
          </w:tcPr>
          <w:p w14:paraId="1C090C80" w14:textId="1887B151" w:rsidR="00614438" w:rsidRPr="00AA7A53" w:rsidRDefault="0056188E" w:rsidP="00AA7A53">
            <w:pPr>
              <w:numPr>
                <w:ilvl w:val="0"/>
                <w:numId w:val="146"/>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Agency of the Republic of Serbia - AERS</w:t>
            </w:r>
          </w:p>
          <w:p w14:paraId="22313B95" w14:textId="77777777" w:rsidR="00614438" w:rsidRPr="00AA7A53" w:rsidRDefault="00614438" w:rsidP="00AA7A53">
            <w:pPr>
              <w:numPr>
                <w:ilvl w:val="0"/>
                <w:numId w:val="146"/>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w:t>
            </w:r>
          </w:p>
        </w:tc>
      </w:tr>
      <w:tr w:rsidR="00614438" w:rsidRPr="00AA7A53" w14:paraId="329C91FE" w14:textId="77777777" w:rsidTr="00614438">
        <w:trPr>
          <w:gridAfter w:val="1"/>
          <w:wAfter w:w="1212" w:type="dxa"/>
          <w:trHeight w:val="315"/>
        </w:trPr>
        <w:tc>
          <w:tcPr>
            <w:tcW w:w="3137" w:type="dxa"/>
            <w:tcBorders>
              <w:top w:val="nil"/>
              <w:left w:val="single" w:sz="8" w:space="0" w:color="auto"/>
              <w:bottom w:val="single" w:sz="8" w:space="0" w:color="auto"/>
              <w:right w:val="nil"/>
            </w:tcBorders>
            <w:shd w:val="clear" w:color="auto" w:fill="244062"/>
            <w:vAlign w:val="center"/>
            <w:hideMark/>
          </w:tcPr>
          <w:p w14:paraId="5FF88BA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351" w:type="dxa"/>
            <w:gridSpan w:val="3"/>
            <w:tcBorders>
              <w:top w:val="single" w:sz="8" w:space="0" w:color="auto"/>
              <w:left w:val="nil"/>
              <w:bottom w:val="single" w:sz="8" w:space="0" w:color="auto"/>
              <w:right w:val="single" w:sz="8" w:space="0" w:color="000000"/>
            </w:tcBorders>
            <w:vAlign w:val="center"/>
            <w:hideMark/>
          </w:tcPr>
          <w:p w14:paraId="5D12BAF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Number of distribution network connections with a smart meter</w:t>
            </w:r>
          </w:p>
        </w:tc>
      </w:tr>
      <w:tr w:rsidR="00614438" w:rsidRPr="00AA7A53" w14:paraId="419AF51F" w14:textId="77777777" w:rsidTr="00614438">
        <w:trPr>
          <w:gridAfter w:val="1"/>
          <w:wAfter w:w="1212" w:type="dxa"/>
          <w:trHeight w:val="501"/>
        </w:trPr>
        <w:tc>
          <w:tcPr>
            <w:tcW w:w="3137" w:type="dxa"/>
            <w:tcBorders>
              <w:top w:val="nil"/>
              <w:left w:val="single" w:sz="8" w:space="0" w:color="auto"/>
              <w:bottom w:val="single" w:sz="8" w:space="0" w:color="auto"/>
              <w:right w:val="single" w:sz="8" w:space="0" w:color="auto"/>
            </w:tcBorders>
            <w:shd w:val="clear" w:color="auto" w:fill="244062"/>
            <w:vAlign w:val="center"/>
            <w:hideMark/>
          </w:tcPr>
          <w:p w14:paraId="3B99907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351" w:type="dxa"/>
            <w:gridSpan w:val="3"/>
            <w:tcBorders>
              <w:top w:val="single" w:sz="8" w:space="0" w:color="auto"/>
              <w:left w:val="nil"/>
              <w:bottom w:val="single" w:sz="8" w:space="0" w:color="auto"/>
              <w:right w:val="single" w:sz="8" w:space="0" w:color="000000"/>
            </w:tcBorders>
            <w:vAlign w:val="center"/>
            <w:hideMark/>
          </w:tcPr>
          <w:p w14:paraId="0D4730B8" w14:textId="77777777" w:rsidR="00614438" w:rsidRPr="00AA7A53" w:rsidRDefault="00614438" w:rsidP="00AA7A53">
            <w:pPr>
              <w:numPr>
                <w:ilvl w:val="0"/>
                <w:numId w:val="146"/>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Efficiency</w:t>
            </w:r>
          </w:p>
          <w:p w14:paraId="7F24CB5F" w14:textId="77777777" w:rsidR="00614438" w:rsidRPr="00AA7A53" w:rsidRDefault="00614438" w:rsidP="00AA7A53">
            <w:pPr>
              <w:numPr>
                <w:ilvl w:val="0"/>
                <w:numId w:val="146"/>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tc>
      </w:tr>
      <w:tr w:rsidR="00614438" w:rsidRPr="00AA7A53" w14:paraId="781A0CCE" w14:textId="77777777" w:rsidTr="00614438">
        <w:trPr>
          <w:gridAfter w:val="1"/>
          <w:wAfter w:w="1212" w:type="dxa"/>
          <w:trHeight w:val="458"/>
        </w:trPr>
        <w:tc>
          <w:tcPr>
            <w:tcW w:w="3137" w:type="dxa"/>
            <w:vMerge w:val="restart"/>
            <w:tcBorders>
              <w:top w:val="nil"/>
              <w:left w:val="single" w:sz="8" w:space="0" w:color="auto"/>
              <w:bottom w:val="single" w:sz="8" w:space="0" w:color="000000"/>
              <w:right w:val="single" w:sz="8" w:space="0" w:color="auto"/>
            </w:tcBorders>
            <w:shd w:val="clear" w:color="auto" w:fill="244062"/>
            <w:vAlign w:val="center"/>
            <w:hideMark/>
          </w:tcPr>
          <w:p w14:paraId="70BA789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35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CB1C40D" w14:textId="77777777" w:rsidR="00614438" w:rsidRPr="00AA7A53" w:rsidRDefault="00614438" w:rsidP="00AA7A53">
            <w:pPr>
              <w:numPr>
                <w:ilvl w:val="0"/>
                <w:numId w:val="148"/>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2009/72/EC</w:t>
            </w:r>
          </w:p>
          <w:p w14:paraId="0ABAF660" w14:textId="77777777" w:rsidR="00614438" w:rsidRPr="00AA7A53" w:rsidRDefault="00614438" w:rsidP="00AA7A53">
            <w:pPr>
              <w:numPr>
                <w:ilvl w:val="0"/>
                <w:numId w:val="148"/>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2019/944</w:t>
            </w:r>
          </w:p>
          <w:p w14:paraId="418A7793" w14:textId="77777777" w:rsidR="00614438" w:rsidRPr="00AA7A53" w:rsidRDefault="00614438" w:rsidP="00AA7A53">
            <w:pPr>
              <w:numPr>
                <w:ilvl w:val="0"/>
                <w:numId w:val="148"/>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2019/943</w:t>
            </w:r>
          </w:p>
        </w:tc>
      </w:tr>
      <w:tr w:rsidR="00614438" w:rsidRPr="00AA7A53" w14:paraId="50550173"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1A6A22D7"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4C74A13"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1C71AF0B"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4599BCD"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68258B6A"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3625E44"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6FC71ABC"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20F23C1E" w14:textId="77777777" w:rsidTr="00614438">
        <w:trPr>
          <w:trHeight w:val="411"/>
        </w:trPr>
        <w:tc>
          <w:tcPr>
            <w:tcW w:w="3137" w:type="dxa"/>
            <w:tcBorders>
              <w:top w:val="nil"/>
              <w:left w:val="single" w:sz="8" w:space="0" w:color="auto"/>
              <w:bottom w:val="single" w:sz="8" w:space="0" w:color="auto"/>
              <w:right w:val="single" w:sz="8" w:space="0" w:color="auto"/>
            </w:tcBorders>
            <w:shd w:val="clear" w:color="auto" w:fill="244062"/>
            <w:vAlign w:val="center"/>
            <w:hideMark/>
          </w:tcPr>
          <w:p w14:paraId="3CBAEAE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351" w:type="dxa"/>
            <w:gridSpan w:val="3"/>
            <w:tcBorders>
              <w:top w:val="single" w:sz="8" w:space="0" w:color="auto"/>
              <w:left w:val="nil"/>
              <w:bottom w:val="single" w:sz="8" w:space="0" w:color="auto"/>
              <w:right w:val="single" w:sz="8" w:space="0" w:color="000000"/>
            </w:tcBorders>
            <w:vAlign w:val="center"/>
            <w:hideMark/>
          </w:tcPr>
          <w:p w14:paraId="69D27B2E" w14:textId="77777777" w:rsidR="00614438" w:rsidRPr="00AA7A53" w:rsidRDefault="00614438" w:rsidP="00AA7A53">
            <w:pPr>
              <w:numPr>
                <w:ilvl w:val="0"/>
                <w:numId w:val="149"/>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w:t>
            </w:r>
          </w:p>
        </w:tc>
        <w:tc>
          <w:tcPr>
            <w:tcW w:w="1212" w:type="dxa"/>
            <w:vAlign w:val="center"/>
            <w:hideMark/>
          </w:tcPr>
          <w:p w14:paraId="4ACC76B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0A2CF34" w14:textId="77777777" w:rsidTr="00614438">
        <w:trPr>
          <w:trHeight w:val="315"/>
        </w:trPr>
        <w:tc>
          <w:tcPr>
            <w:tcW w:w="3137" w:type="dxa"/>
            <w:tcBorders>
              <w:top w:val="nil"/>
              <w:left w:val="single" w:sz="8" w:space="0" w:color="auto"/>
              <w:bottom w:val="single" w:sz="8" w:space="0" w:color="auto"/>
              <w:right w:val="single" w:sz="8" w:space="0" w:color="auto"/>
            </w:tcBorders>
            <w:shd w:val="clear" w:color="auto" w:fill="244062"/>
            <w:vAlign w:val="center"/>
            <w:hideMark/>
          </w:tcPr>
          <w:p w14:paraId="07F9203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351" w:type="dxa"/>
            <w:gridSpan w:val="3"/>
            <w:tcBorders>
              <w:top w:val="single" w:sz="8" w:space="0" w:color="auto"/>
              <w:left w:val="nil"/>
              <w:bottom w:val="single" w:sz="8" w:space="0" w:color="auto"/>
              <w:right w:val="single" w:sz="8" w:space="0" w:color="000000"/>
            </w:tcBorders>
            <w:vAlign w:val="center"/>
            <w:hideMark/>
          </w:tcPr>
          <w:p w14:paraId="7B56C01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32.2 M€</w:t>
            </w:r>
          </w:p>
        </w:tc>
        <w:tc>
          <w:tcPr>
            <w:tcW w:w="1212" w:type="dxa"/>
            <w:vAlign w:val="center"/>
            <w:hideMark/>
          </w:tcPr>
          <w:p w14:paraId="4A141CD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7E3F909" w14:textId="77777777" w:rsidTr="00614438">
        <w:trPr>
          <w:trHeight w:val="315"/>
        </w:trPr>
        <w:tc>
          <w:tcPr>
            <w:tcW w:w="3137" w:type="dxa"/>
            <w:tcBorders>
              <w:top w:val="nil"/>
              <w:left w:val="single" w:sz="8" w:space="0" w:color="auto"/>
              <w:bottom w:val="single" w:sz="8" w:space="0" w:color="auto"/>
              <w:right w:val="single" w:sz="8" w:space="0" w:color="auto"/>
            </w:tcBorders>
            <w:shd w:val="clear" w:color="auto" w:fill="244062"/>
            <w:vAlign w:val="center"/>
            <w:hideMark/>
          </w:tcPr>
          <w:p w14:paraId="00F3BDB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351" w:type="dxa"/>
            <w:gridSpan w:val="3"/>
            <w:tcBorders>
              <w:top w:val="single" w:sz="8" w:space="0" w:color="auto"/>
              <w:left w:val="nil"/>
              <w:bottom w:val="single" w:sz="8" w:space="0" w:color="auto"/>
              <w:right w:val="single" w:sz="8" w:space="0" w:color="000000"/>
            </w:tcBorders>
            <w:vAlign w:val="center"/>
            <w:hideMark/>
          </w:tcPr>
          <w:p w14:paraId="21C27F7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funds from own source</w:t>
            </w:r>
          </w:p>
        </w:tc>
        <w:tc>
          <w:tcPr>
            <w:tcW w:w="1212" w:type="dxa"/>
            <w:vAlign w:val="center"/>
            <w:hideMark/>
          </w:tcPr>
          <w:p w14:paraId="3DA18123" w14:textId="77777777" w:rsidR="00614438" w:rsidRPr="00AA7A53" w:rsidRDefault="00614438" w:rsidP="00AA7A53">
            <w:pPr>
              <w:spacing w:after="0"/>
              <w:jc w:val="both"/>
              <w:rPr>
                <w:rFonts w:ascii="Times New Roman" w:hAnsi="Times New Roman" w:cs="Times New Roman"/>
                <w:sz w:val="20"/>
                <w:szCs w:val="20"/>
                <w:lang w:val="en-GB"/>
              </w:rPr>
            </w:pPr>
          </w:p>
        </w:tc>
      </w:tr>
    </w:tbl>
    <w:p w14:paraId="7FD5C434"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71"/>
        <w:gridCol w:w="1172"/>
        <w:gridCol w:w="932"/>
        <w:gridCol w:w="4113"/>
        <w:gridCol w:w="1212"/>
      </w:tblGrid>
      <w:tr w:rsidR="00614438" w:rsidRPr="00AA7A53" w14:paraId="1B04E787" w14:textId="77777777" w:rsidTr="00614438">
        <w:trPr>
          <w:gridAfter w:val="1"/>
          <w:wAfter w:w="1212" w:type="dxa"/>
          <w:trHeight w:val="780"/>
        </w:trPr>
        <w:tc>
          <w:tcPr>
            <w:tcW w:w="3294"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46D4FB7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106" w:type="dxa"/>
            <w:tcBorders>
              <w:top w:val="single" w:sz="8" w:space="0" w:color="auto"/>
              <w:left w:val="nil"/>
              <w:bottom w:val="single" w:sz="8" w:space="0" w:color="auto"/>
              <w:right w:val="single" w:sz="8" w:space="0" w:color="auto"/>
            </w:tcBorders>
            <w:shd w:val="clear" w:color="auto" w:fill="E7E6E6" w:themeFill="background2"/>
            <w:vAlign w:val="center"/>
            <w:hideMark/>
          </w:tcPr>
          <w:p w14:paraId="73C113A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PM_IEM12</w:t>
            </w:r>
          </w:p>
        </w:tc>
        <w:tc>
          <w:tcPr>
            <w:tcW w:w="936" w:type="dxa"/>
            <w:tcBorders>
              <w:top w:val="single" w:sz="8" w:space="0" w:color="auto"/>
              <w:left w:val="nil"/>
              <w:bottom w:val="single" w:sz="8" w:space="0" w:color="auto"/>
              <w:right w:val="single" w:sz="8" w:space="0" w:color="auto"/>
            </w:tcBorders>
            <w:shd w:val="clear" w:color="auto" w:fill="244062"/>
            <w:vAlign w:val="center"/>
            <w:hideMark/>
          </w:tcPr>
          <w:p w14:paraId="511C93D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52" w:type="dxa"/>
            <w:tcBorders>
              <w:top w:val="single" w:sz="8" w:space="0" w:color="auto"/>
              <w:left w:val="nil"/>
              <w:bottom w:val="single" w:sz="8" w:space="0" w:color="auto"/>
              <w:right w:val="single" w:sz="8" w:space="0" w:color="auto"/>
            </w:tcBorders>
            <w:shd w:val="clear" w:color="auto" w:fill="E7E6E6" w:themeFill="background2"/>
            <w:vAlign w:val="center"/>
            <w:hideMark/>
          </w:tcPr>
          <w:p w14:paraId="50605760" w14:textId="2EF81185"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Feasibilit</w:t>
            </w:r>
            <w:r w:rsidR="0056188E" w:rsidRPr="00AA7A53">
              <w:rPr>
                <w:rFonts w:ascii="Times New Roman" w:hAnsi="Times New Roman" w:cs="Times New Roman"/>
                <w:sz w:val="20"/>
                <w:szCs w:val="20"/>
                <w:lang w:val="en-GB"/>
              </w:rPr>
              <w:t>y studies for smart meters roll-</w:t>
            </w:r>
            <w:r w:rsidRPr="00AA7A53">
              <w:rPr>
                <w:rFonts w:ascii="Times New Roman" w:hAnsi="Times New Roman" w:cs="Times New Roman"/>
                <w:sz w:val="20"/>
                <w:szCs w:val="20"/>
                <w:lang w:val="en-GB"/>
              </w:rPr>
              <w:t>out in natural gas distribution</w:t>
            </w:r>
          </w:p>
        </w:tc>
      </w:tr>
      <w:tr w:rsidR="00614438" w:rsidRPr="00AA7A53" w14:paraId="3D8784F5" w14:textId="77777777" w:rsidTr="00614438">
        <w:trPr>
          <w:gridAfter w:val="1"/>
          <w:wAfter w:w="1212" w:type="dxa"/>
          <w:trHeight w:val="592"/>
        </w:trPr>
        <w:tc>
          <w:tcPr>
            <w:tcW w:w="3294" w:type="dxa"/>
            <w:tcBorders>
              <w:top w:val="nil"/>
              <w:left w:val="single" w:sz="8" w:space="0" w:color="auto"/>
              <w:bottom w:val="single" w:sz="8" w:space="0" w:color="auto"/>
              <w:right w:val="nil"/>
            </w:tcBorders>
            <w:shd w:val="clear" w:color="auto" w:fill="244062"/>
            <w:vAlign w:val="center"/>
            <w:hideMark/>
          </w:tcPr>
          <w:p w14:paraId="2632DDD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 xml:space="preserve">Main objective: </w:t>
            </w:r>
          </w:p>
        </w:tc>
        <w:tc>
          <w:tcPr>
            <w:tcW w:w="6194" w:type="dxa"/>
            <w:gridSpan w:val="3"/>
            <w:tcBorders>
              <w:top w:val="single" w:sz="8" w:space="0" w:color="auto"/>
              <w:left w:val="nil"/>
              <w:bottom w:val="single" w:sz="8" w:space="0" w:color="auto"/>
              <w:right w:val="single" w:sz="8" w:space="0" w:color="000000"/>
            </w:tcBorders>
            <w:vAlign w:val="center"/>
            <w:hideMark/>
          </w:tcPr>
          <w:p w14:paraId="08764D7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Gas distribution infrastructure, consumer protection and improvement of competition, enable EE at the supply side (i.e. through the reduction of losses)</w:t>
            </w:r>
          </w:p>
        </w:tc>
      </w:tr>
      <w:tr w:rsidR="00614438" w:rsidRPr="00AA7A53" w14:paraId="16BE29B6" w14:textId="77777777" w:rsidTr="00614438">
        <w:trPr>
          <w:gridAfter w:val="1"/>
          <w:wAfter w:w="1212" w:type="dxa"/>
          <w:trHeight w:val="315"/>
        </w:trPr>
        <w:tc>
          <w:tcPr>
            <w:tcW w:w="3294" w:type="dxa"/>
            <w:tcBorders>
              <w:top w:val="nil"/>
              <w:left w:val="single" w:sz="8" w:space="0" w:color="auto"/>
              <w:bottom w:val="single" w:sz="8" w:space="0" w:color="auto"/>
              <w:right w:val="single" w:sz="8" w:space="0" w:color="auto"/>
            </w:tcBorders>
            <w:shd w:val="clear" w:color="auto" w:fill="244062"/>
            <w:vAlign w:val="center"/>
            <w:hideMark/>
          </w:tcPr>
          <w:p w14:paraId="13048EF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94" w:type="dxa"/>
            <w:gridSpan w:val="3"/>
            <w:tcBorders>
              <w:top w:val="single" w:sz="8" w:space="0" w:color="auto"/>
              <w:left w:val="nil"/>
              <w:bottom w:val="single" w:sz="8" w:space="0" w:color="auto"/>
              <w:right w:val="single" w:sz="8" w:space="0" w:color="000000"/>
            </w:tcBorders>
            <w:vAlign w:val="center"/>
            <w:hideMark/>
          </w:tcPr>
          <w:p w14:paraId="30ED32A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Decision to proceed with gas smart meters deployment at distribution level with an installation target for at least 85% of consumers</w:t>
            </w:r>
          </w:p>
        </w:tc>
      </w:tr>
      <w:tr w:rsidR="00614438" w:rsidRPr="00AA7A53" w14:paraId="1AD6D958" w14:textId="77777777" w:rsidTr="00614438">
        <w:trPr>
          <w:gridAfter w:val="1"/>
          <w:wAfter w:w="1212" w:type="dxa"/>
          <w:trHeight w:val="554"/>
        </w:trPr>
        <w:tc>
          <w:tcPr>
            <w:tcW w:w="3294" w:type="dxa"/>
            <w:tcBorders>
              <w:top w:val="nil"/>
              <w:left w:val="single" w:sz="8" w:space="0" w:color="auto"/>
              <w:bottom w:val="single" w:sz="8" w:space="0" w:color="auto"/>
              <w:right w:val="single" w:sz="8" w:space="0" w:color="auto"/>
            </w:tcBorders>
            <w:shd w:val="clear" w:color="auto" w:fill="244062"/>
            <w:vAlign w:val="center"/>
            <w:hideMark/>
          </w:tcPr>
          <w:p w14:paraId="1852DF3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94" w:type="dxa"/>
            <w:gridSpan w:val="3"/>
            <w:tcBorders>
              <w:top w:val="single" w:sz="8" w:space="0" w:color="auto"/>
              <w:left w:val="nil"/>
              <w:bottom w:val="single" w:sz="8" w:space="0" w:color="auto"/>
              <w:right w:val="single" w:sz="8" w:space="0" w:color="000000"/>
            </w:tcBorders>
            <w:vAlign w:val="center"/>
            <w:hideMark/>
          </w:tcPr>
          <w:p w14:paraId="3E493DD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PM_IEM12 concerns the assessment (via all applicable studies to be conducted from the DSOs and onwards approved by AERS) regarding the economic feasibility of the roll-out of gas smart meters in Serbia aiming at a target of at least 85% of consumption (the target refers to gas distribution networks because smart meters were already installed at the gas transport systems).</w:t>
            </w:r>
          </w:p>
        </w:tc>
      </w:tr>
      <w:tr w:rsidR="00614438" w:rsidRPr="00AA7A53" w14:paraId="640DBEF9" w14:textId="77777777" w:rsidTr="00614438">
        <w:trPr>
          <w:gridAfter w:val="1"/>
          <w:wAfter w:w="1212" w:type="dxa"/>
          <w:trHeight w:val="315"/>
        </w:trPr>
        <w:tc>
          <w:tcPr>
            <w:tcW w:w="3294" w:type="dxa"/>
            <w:tcBorders>
              <w:top w:val="nil"/>
              <w:left w:val="single" w:sz="8" w:space="0" w:color="auto"/>
              <w:bottom w:val="single" w:sz="8" w:space="0" w:color="auto"/>
              <w:right w:val="single" w:sz="8" w:space="0" w:color="auto"/>
            </w:tcBorders>
            <w:shd w:val="clear" w:color="auto" w:fill="244062"/>
            <w:vAlign w:val="center"/>
            <w:hideMark/>
          </w:tcPr>
          <w:p w14:paraId="3F5CD63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94" w:type="dxa"/>
            <w:gridSpan w:val="3"/>
            <w:tcBorders>
              <w:top w:val="single" w:sz="8" w:space="0" w:color="auto"/>
              <w:left w:val="nil"/>
              <w:bottom w:val="single" w:sz="8" w:space="0" w:color="auto"/>
              <w:right w:val="single" w:sz="8" w:space="0" w:color="000000"/>
            </w:tcBorders>
            <w:vAlign w:val="center"/>
            <w:hideMark/>
          </w:tcPr>
          <w:p w14:paraId="6791EBBE" w14:textId="57923EEF" w:rsidR="00614438" w:rsidRPr="00AA7A53" w:rsidRDefault="0056188E"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until </w:t>
            </w:r>
            <w:r w:rsidR="00614438" w:rsidRPr="00AA7A53">
              <w:rPr>
                <w:rFonts w:ascii="Times New Roman" w:hAnsi="Times New Roman" w:cs="Times New Roman"/>
                <w:sz w:val="20"/>
                <w:szCs w:val="20"/>
                <w:lang w:val="en-GB"/>
              </w:rPr>
              <w:t>2025</w:t>
            </w:r>
          </w:p>
        </w:tc>
      </w:tr>
      <w:tr w:rsidR="00614438" w:rsidRPr="00AA7A53" w14:paraId="33B83067" w14:textId="77777777" w:rsidTr="00614438">
        <w:trPr>
          <w:gridAfter w:val="1"/>
          <w:wAfter w:w="1212" w:type="dxa"/>
          <w:trHeight w:val="315"/>
        </w:trPr>
        <w:tc>
          <w:tcPr>
            <w:tcW w:w="3294" w:type="dxa"/>
            <w:tcBorders>
              <w:top w:val="nil"/>
              <w:left w:val="single" w:sz="8" w:space="0" w:color="auto"/>
              <w:bottom w:val="single" w:sz="8" w:space="0" w:color="auto"/>
              <w:right w:val="single" w:sz="8" w:space="0" w:color="auto"/>
            </w:tcBorders>
            <w:shd w:val="clear" w:color="auto" w:fill="244062"/>
            <w:vAlign w:val="center"/>
            <w:hideMark/>
          </w:tcPr>
          <w:p w14:paraId="7E64465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94" w:type="dxa"/>
            <w:gridSpan w:val="3"/>
            <w:tcBorders>
              <w:top w:val="single" w:sz="8" w:space="0" w:color="auto"/>
              <w:left w:val="nil"/>
              <w:bottom w:val="single" w:sz="8" w:space="0" w:color="auto"/>
              <w:right w:val="single" w:sz="8" w:space="0" w:color="000000"/>
            </w:tcBorders>
            <w:vAlign w:val="center"/>
            <w:hideMark/>
          </w:tcPr>
          <w:p w14:paraId="67EABF4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38AD51DC" w14:textId="77777777" w:rsidTr="00614438">
        <w:trPr>
          <w:gridAfter w:val="1"/>
          <w:wAfter w:w="1212" w:type="dxa"/>
          <w:trHeight w:val="315"/>
        </w:trPr>
        <w:tc>
          <w:tcPr>
            <w:tcW w:w="3294" w:type="dxa"/>
            <w:tcBorders>
              <w:top w:val="nil"/>
              <w:left w:val="single" w:sz="8" w:space="0" w:color="auto"/>
              <w:bottom w:val="single" w:sz="8" w:space="0" w:color="auto"/>
              <w:right w:val="single" w:sz="8" w:space="0" w:color="auto"/>
            </w:tcBorders>
            <w:shd w:val="clear" w:color="auto" w:fill="244062"/>
            <w:vAlign w:val="center"/>
            <w:hideMark/>
          </w:tcPr>
          <w:p w14:paraId="3C25A8B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94" w:type="dxa"/>
            <w:gridSpan w:val="3"/>
            <w:tcBorders>
              <w:top w:val="single" w:sz="8" w:space="0" w:color="auto"/>
              <w:left w:val="nil"/>
              <w:bottom w:val="single" w:sz="8" w:space="0" w:color="auto"/>
              <w:right w:val="single" w:sz="8" w:space="0" w:color="000000"/>
            </w:tcBorders>
            <w:vAlign w:val="center"/>
            <w:hideMark/>
          </w:tcPr>
          <w:p w14:paraId="0BC5A73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Gas</w:t>
            </w:r>
          </w:p>
        </w:tc>
      </w:tr>
      <w:tr w:rsidR="00614438" w:rsidRPr="00AA7A53" w14:paraId="6CE92CEE" w14:textId="77777777" w:rsidTr="00614438">
        <w:trPr>
          <w:gridAfter w:val="1"/>
          <w:wAfter w:w="1212" w:type="dxa"/>
          <w:trHeight w:val="315"/>
        </w:trPr>
        <w:tc>
          <w:tcPr>
            <w:tcW w:w="3294" w:type="dxa"/>
            <w:tcBorders>
              <w:top w:val="nil"/>
              <w:left w:val="single" w:sz="8" w:space="0" w:color="auto"/>
              <w:bottom w:val="single" w:sz="8" w:space="0" w:color="auto"/>
              <w:right w:val="single" w:sz="8" w:space="0" w:color="auto"/>
            </w:tcBorders>
            <w:shd w:val="clear" w:color="auto" w:fill="244062"/>
            <w:vAlign w:val="center"/>
            <w:hideMark/>
          </w:tcPr>
          <w:p w14:paraId="6C2A2D1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94" w:type="dxa"/>
            <w:gridSpan w:val="3"/>
            <w:tcBorders>
              <w:top w:val="single" w:sz="8" w:space="0" w:color="auto"/>
              <w:left w:val="nil"/>
              <w:bottom w:val="single" w:sz="8" w:space="0" w:color="auto"/>
              <w:right w:val="single" w:sz="8" w:space="0" w:color="000000"/>
            </w:tcBorders>
            <w:vAlign w:val="center"/>
            <w:hideMark/>
          </w:tcPr>
          <w:p w14:paraId="29102F09" w14:textId="77777777" w:rsidR="00614438" w:rsidRPr="00AA7A53" w:rsidRDefault="00614438" w:rsidP="00AA7A53">
            <w:pPr>
              <w:numPr>
                <w:ilvl w:val="0"/>
                <w:numId w:val="149"/>
              </w:numPr>
              <w:spacing w:after="0"/>
              <w:jc w:val="both"/>
              <w:rPr>
                <w:rFonts w:ascii="Times New Roman" w:hAnsi="Times New Roman" w:cs="Times New Roman"/>
                <w:sz w:val="20"/>
                <w:szCs w:val="20"/>
              </w:rPr>
            </w:pPr>
            <w:r w:rsidRPr="00AA7A53">
              <w:rPr>
                <w:rFonts w:ascii="Times New Roman" w:hAnsi="Times New Roman" w:cs="Times New Roman"/>
                <w:sz w:val="20"/>
                <w:szCs w:val="20"/>
              </w:rPr>
              <w:t>Distribution system operators</w:t>
            </w:r>
          </w:p>
        </w:tc>
      </w:tr>
      <w:tr w:rsidR="00614438" w:rsidRPr="00AA7A53" w14:paraId="7A71F5C1" w14:textId="77777777" w:rsidTr="00614438">
        <w:trPr>
          <w:gridAfter w:val="1"/>
          <w:wAfter w:w="1212" w:type="dxa"/>
          <w:trHeight w:val="315"/>
        </w:trPr>
        <w:tc>
          <w:tcPr>
            <w:tcW w:w="3294" w:type="dxa"/>
            <w:tcBorders>
              <w:top w:val="nil"/>
              <w:left w:val="single" w:sz="8" w:space="0" w:color="auto"/>
              <w:bottom w:val="single" w:sz="8" w:space="0" w:color="auto"/>
              <w:right w:val="nil"/>
            </w:tcBorders>
            <w:shd w:val="clear" w:color="auto" w:fill="244062"/>
            <w:vAlign w:val="center"/>
            <w:hideMark/>
          </w:tcPr>
          <w:p w14:paraId="486D9D4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94" w:type="dxa"/>
            <w:gridSpan w:val="3"/>
            <w:tcBorders>
              <w:top w:val="single" w:sz="8" w:space="0" w:color="auto"/>
              <w:left w:val="nil"/>
              <w:bottom w:val="single" w:sz="8" w:space="0" w:color="auto"/>
              <w:right w:val="single" w:sz="8" w:space="0" w:color="000000"/>
            </w:tcBorders>
            <w:vAlign w:val="center"/>
            <w:hideMark/>
          </w:tcPr>
          <w:p w14:paraId="303849BF" w14:textId="77777777" w:rsidR="00614438" w:rsidRPr="00AA7A53" w:rsidRDefault="00614438" w:rsidP="00AA7A53">
            <w:pPr>
              <w:numPr>
                <w:ilvl w:val="0"/>
                <w:numId w:val="149"/>
              </w:numPr>
              <w:spacing w:after="0"/>
              <w:jc w:val="both"/>
              <w:rPr>
                <w:rFonts w:ascii="Times New Roman" w:hAnsi="Times New Roman" w:cs="Times New Roman"/>
                <w:sz w:val="20"/>
                <w:szCs w:val="20"/>
              </w:rPr>
            </w:pPr>
            <w:r w:rsidRPr="00AA7A53">
              <w:rPr>
                <w:rFonts w:ascii="Times New Roman" w:hAnsi="Times New Roman" w:cs="Times New Roman"/>
                <w:sz w:val="20"/>
                <w:szCs w:val="20"/>
              </w:rPr>
              <w:t>AERS</w:t>
            </w:r>
          </w:p>
        </w:tc>
      </w:tr>
      <w:tr w:rsidR="00614438" w:rsidRPr="00AA7A53" w14:paraId="1625FBB2" w14:textId="77777777" w:rsidTr="00614438">
        <w:trPr>
          <w:gridAfter w:val="1"/>
          <w:wAfter w:w="1212" w:type="dxa"/>
          <w:trHeight w:val="315"/>
        </w:trPr>
        <w:tc>
          <w:tcPr>
            <w:tcW w:w="3294" w:type="dxa"/>
            <w:tcBorders>
              <w:top w:val="nil"/>
              <w:left w:val="single" w:sz="8" w:space="0" w:color="auto"/>
              <w:bottom w:val="single" w:sz="8" w:space="0" w:color="auto"/>
              <w:right w:val="nil"/>
            </w:tcBorders>
            <w:shd w:val="clear" w:color="auto" w:fill="244062"/>
            <w:vAlign w:val="center"/>
            <w:hideMark/>
          </w:tcPr>
          <w:p w14:paraId="00EDF75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94" w:type="dxa"/>
            <w:gridSpan w:val="3"/>
            <w:tcBorders>
              <w:top w:val="single" w:sz="8" w:space="0" w:color="auto"/>
              <w:left w:val="nil"/>
              <w:bottom w:val="single" w:sz="8" w:space="0" w:color="auto"/>
              <w:right w:val="single" w:sz="8" w:space="0" w:color="000000"/>
            </w:tcBorders>
            <w:vAlign w:val="center"/>
            <w:hideMark/>
          </w:tcPr>
          <w:p w14:paraId="44373CD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Number of Smart Meters on distribution</w:t>
            </w:r>
          </w:p>
        </w:tc>
      </w:tr>
      <w:tr w:rsidR="00614438" w:rsidRPr="00AA7A53" w14:paraId="18D4CBC9" w14:textId="77777777" w:rsidTr="00614438">
        <w:trPr>
          <w:gridAfter w:val="1"/>
          <w:wAfter w:w="1212" w:type="dxa"/>
          <w:trHeight w:val="325"/>
        </w:trPr>
        <w:tc>
          <w:tcPr>
            <w:tcW w:w="3294" w:type="dxa"/>
            <w:tcBorders>
              <w:top w:val="nil"/>
              <w:left w:val="single" w:sz="8" w:space="0" w:color="auto"/>
              <w:bottom w:val="single" w:sz="8" w:space="0" w:color="auto"/>
              <w:right w:val="single" w:sz="8" w:space="0" w:color="auto"/>
            </w:tcBorders>
            <w:shd w:val="clear" w:color="auto" w:fill="244062"/>
            <w:vAlign w:val="center"/>
            <w:hideMark/>
          </w:tcPr>
          <w:p w14:paraId="4A3596B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94" w:type="dxa"/>
            <w:gridSpan w:val="3"/>
            <w:tcBorders>
              <w:top w:val="single" w:sz="8" w:space="0" w:color="auto"/>
              <w:left w:val="nil"/>
              <w:bottom w:val="single" w:sz="8" w:space="0" w:color="auto"/>
              <w:right w:val="single" w:sz="8" w:space="0" w:color="000000"/>
            </w:tcBorders>
            <w:vAlign w:val="center"/>
            <w:hideMark/>
          </w:tcPr>
          <w:p w14:paraId="04E37CB1" w14:textId="77777777" w:rsidR="00614438" w:rsidRPr="00AA7A53" w:rsidRDefault="00614438" w:rsidP="00AA7A53">
            <w:pPr>
              <w:numPr>
                <w:ilvl w:val="0"/>
                <w:numId w:val="149"/>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Efficiency</w:t>
            </w:r>
          </w:p>
          <w:p w14:paraId="26334B19" w14:textId="77777777" w:rsidR="00614438" w:rsidRPr="00AA7A53" w:rsidRDefault="00614438" w:rsidP="00AA7A53">
            <w:pPr>
              <w:numPr>
                <w:ilvl w:val="0"/>
                <w:numId w:val="149"/>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tc>
      </w:tr>
      <w:tr w:rsidR="00614438" w:rsidRPr="00AA7A53" w14:paraId="0C3F125D" w14:textId="77777777" w:rsidTr="00614438">
        <w:trPr>
          <w:gridAfter w:val="1"/>
          <w:wAfter w:w="1212" w:type="dxa"/>
          <w:trHeight w:val="458"/>
        </w:trPr>
        <w:tc>
          <w:tcPr>
            <w:tcW w:w="3294" w:type="dxa"/>
            <w:vMerge w:val="restart"/>
            <w:tcBorders>
              <w:top w:val="nil"/>
              <w:left w:val="single" w:sz="8" w:space="0" w:color="auto"/>
              <w:bottom w:val="single" w:sz="8" w:space="0" w:color="000000"/>
              <w:right w:val="single" w:sz="8" w:space="0" w:color="auto"/>
            </w:tcBorders>
            <w:shd w:val="clear" w:color="auto" w:fill="244062"/>
            <w:vAlign w:val="center"/>
            <w:hideMark/>
          </w:tcPr>
          <w:p w14:paraId="369A9F5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9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4E04EE2" w14:textId="77777777" w:rsidR="00614438" w:rsidRPr="00AA7A53" w:rsidRDefault="00614438" w:rsidP="00AA7A53">
            <w:pPr>
              <w:numPr>
                <w:ilvl w:val="0"/>
                <w:numId w:val="149"/>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2009/72/EC</w:t>
            </w:r>
          </w:p>
        </w:tc>
      </w:tr>
      <w:tr w:rsidR="00614438" w:rsidRPr="00AA7A53" w14:paraId="541C4A39"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6AB04097"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6AAD3A6"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6286454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AA7D70F"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5C584499"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14C7DE5"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2E868BA4"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2BA204C8" w14:textId="77777777" w:rsidTr="00614438">
        <w:trPr>
          <w:trHeight w:val="381"/>
        </w:trPr>
        <w:tc>
          <w:tcPr>
            <w:tcW w:w="3294" w:type="dxa"/>
            <w:tcBorders>
              <w:top w:val="nil"/>
              <w:left w:val="single" w:sz="8" w:space="0" w:color="auto"/>
              <w:bottom w:val="single" w:sz="8" w:space="0" w:color="auto"/>
              <w:right w:val="single" w:sz="8" w:space="0" w:color="auto"/>
            </w:tcBorders>
            <w:shd w:val="clear" w:color="auto" w:fill="244062"/>
            <w:vAlign w:val="center"/>
            <w:hideMark/>
          </w:tcPr>
          <w:p w14:paraId="13F25B6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94" w:type="dxa"/>
            <w:gridSpan w:val="3"/>
            <w:tcBorders>
              <w:top w:val="single" w:sz="8" w:space="0" w:color="auto"/>
              <w:left w:val="nil"/>
              <w:bottom w:val="single" w:sz="8" w:space="0" w:color="auto"/>
              <w:right w:val="single" w:sz="8" w:space="0" w:color="000000"/>
            </w:tcBorders>
            <w:vAlign w:val="center"/>
            <w:hideMark/>
          </w:tcPr>
          <w:p w14:paraId="53A9491F" w14:textId="77777777" w:rsidR="00614438" w:rsidRPr="00AA7A53" w:rsidRDefault="00614438" w:rsidP="00AA7A53">
            <w:pPr>
              <w:numPr>
                <w:ilvl w:val="0"/>
                <w:numId w:val="149"/>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w:t>
            </w:r>
          </w:p>
        </w:tc>
        <w:tc>
          <w:tcPr>
            <w:tcW w:w="1212" w:type="dxa"/>
            <w:vAlign w:val="center"/>
            <w:hideMark/>
          </w:tcPr>
          <w:p w14:paraId="206707C6"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2FCB2FE" w14:textId="77777777" w:rsidTr="00614438">
        <w:trPr>
          <w:trHeight w:val="315"/>
        </w:trPr>
        <w:tc>
          <w:tcPr>
            <w:tcW w:w="3294" w:type="dxa"/>
            <w:tcBorders>
              <w:top w:val="nil"/>
              <w:left w:val="single" w:sz="8" w:space="0" w:color="auto"/>
              <w:bottom w:val="single" w:sz="8" w:space="0" w:color="auto"/>
              <w:right w:val="single" w:sz="8" w:space="0" w:color="auto"/>
            </w:tcBorders>
            <w:shd w:val="clear" w:color="auto" w:fill="244062"/>
            <w:vAlign w:val="center"/>
            <w:hideMark/>
          </w:tcPr>
          <w:p w14:paraId="019E3BE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94" w:type="dxa"/>
            <w:gridSpan w:val="3"/>
            <w:tcBorders>
              <w:top w:val="single" w:sz="8" w:space="0" w:color="auto"/>
              <w:left w:val="nil"/>
              <w:bottom w:val="single" w:sz="8" w:space="0" w:color="auto"/>
              <w:right w:val="single" w:sz="8" w:space="0" w:color="000000"/>
            </w:tcBorders>
            <w:vAlign w:val="center"/>
            <w:hideMark/>
          </w:tcPr>
          <w:p w14:paraId="2E6DFA0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1 M€</w:t>
            </w:r>
          </w:p>
        </w:tc>
        <w:tc>
          <w:tcPr>
            <w:tcW w:w="1212" w:type="dxa"/>
            <w:vAlign w:val="center"/>
            <w:hideMark/>
          </w:tcPr>
          <w:p w14:paraId="4C1E5702"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DA513C8" w14:textId="77777777" w:rsidTr="00614438">
        <w:trPr>
          <w:trHeight w:val="315"/>
        </w:trPr>
        <w:tc>
          <w:tcPr>
            <w:tcW w:w="3294" w:type="dxa"/>
            <w:tcBorders>
              <w:top w:val="nil"/>
              <w:left w:val="single" w:sz="8" w:space="0" w:color="auto"/>
              <w:bottom w:val="single" w:sz="8" w:space="0" w:color="auto"/>
              <w:right w:val="single" w:sz="8" w:space="0" w:color="auto"/>
            </w:tcBorders>
            <w:shd w:val="clear" w:color="auto" w:fill="244062"/>
            <w:vAlign w:val="center"/>
            <w:hideMark/>
          </w:tcPr>
          <w:p w14:paraId="736B928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94" w:type="dxa"/>
            <w:gridSpan w:val="3"/>
            <w:tcBorders>
              <w:top w:val="single" w:sz="8" w:space="0" w:color="auto"/>
              <w:left w:val="nil"/>
              <w:bottom w:val="single" w:sz="8" w:space="0" w:color="auto"/>
              <w:right w:val="single" w:sz="8" w:space="0" w:color="000000"/>
            </w:tcBorders>
            <w:vAlign w:val="center"/>
            <w:hideMark/>
          </w:tcPr>
          <w:p w14:paraId="00E190E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own funds</w:t>
            </w:r>
          </w:p>
        </w:tc>
        <w:tc>
          <w:tcPr>
            <w:tcW w:w="1212" w:type="dxa"/>
            <w:vAlign w:val="center"/>
            <w:hideMark/>
          </w:tcPr>
          <w:p w14:paraId="68819103" w14:textId="77777777" w:rsidR="00614438" w:rsidRPr="00AA7A53" w:rsidRDefault="00614438" w:rsidP="00AA7A53">
            <w:pPr>
              <w:spacing w:after="0"/>
              <w:jc w:val="both"/>
              <w:rPr>
                <w:rFonts w:ascii="Times New Roman" w:hAnsi="Times New Roman" w:cs="Times New Roman"/>
                <w:sz w:val="20"/>
                <w:szCs w:val="20"/>
                <w:lang w:val="en-GB"/>
              </w:rPr>
            </w:pPr>
          </w:p>
        </w:tc>
      </w:tr>
    </w:tbl>
    <w:p w14:paraId="50F4AFFB"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64"/>
        <w:gridCol w:w="1172"/>
        <w:gridCol w:w="930"/>
        <w:gridCol w:w="4122"/>
        <w:gridCol w:w="1212"/>
      </w:tblGrid>
      <w:tr w:rsidR="00614438" w:rsidRPr="00AA7A53" w14:paraId="70BBC275" w14:textId="77777777" w:rsidTr="00614438">
        <w:trPr>
          <w:gridAfter w:val="1"/>
          <w:wAfter w:w="1212" w:type="dxa"/>
          <w:trHeight w:val="780"/>
        </w:trPr>
        <w:tc>
          <w:tcPr>
            <w:tcW w:w="328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560FFF3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106" w:type="dxa"/>
            <w:tcBorders>
              <w:top w:val="single" w:sz="8" w:space="0" w:color="auto"/>
              <w:left w:val="nil"/>
              <w:bottom w:val="single" w:sz="8" w:space="0" w:color="auto"/>
              <w:right w:val="single" w:sz="8" w:space="0" w:color="auto"/>
            </w:tcBorders>
            <w:shd w:val="clear" w:color="auto" w:fill="E7E6E6" w:themeFill="background2"/>
            <w:vAlign w:val="center"/>
            <w:hideMark/>
          </w:tcPr>
          <w:p w14:paraId="3EBF6C7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PM_IEM13</w:t>
            </w:r>
          </w:p>
        </w:tc>
        <w:tc>
          <w:tcPr>
            <w:tcW w:w="934" w:type="dxa"/>
            <w:tcBorders>
              <w:top w:val="single" w:sz="8" w:space="0" w:color="auto"/>
              <w:left w:val="nil"/>
              <w:bottom w:val="single" w:sz="8" w:space="0" w:color="auto"/>
              <w:right w:val="single" w:sz="8" w:space="0" w:color="auto"/>
            </w:tcBorders>
            <w:shd w:val="clear" w:color="auto" w:fill="244062"/>
            <w:vAlign w:val="center"/>
            <w:hideMark/>
          </w:tcPr>
          <w:p w14:paraId="50B1495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61" w:type="dxa"/>
            <w:tcBorders>
              <w:top w:val="single" w:sz="8" w:space="0" w:color="auto"/>
              <w:left w:val="nil"/>
              <w:bottom w:val="single" w:sz="8" w:space="0" w:color="auto"/>
              <w:right w:val="single" w:sz="8" w:space="0" w:color="auto"/>
            </w:tcBorders>
            <w:shd w:val="clear" w:color="auto" w:fill="E7E6E6" w:themeFill="background2"/>
            <w:vAlign w:val="center"/>
            <w:hideMark/>
          </w:tcPr>
          <w:p w14:paraId="3C57008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Design and implement market and network data management model</w:t>
            </w:r>
          </w:p>
        </w:tc>
      </w:tr>
      <w:tr w:rsidR="00614438" w:rsidRPr="00AA7A53" w14:paraId="1C8D54CA" w14:textId="77777777" w:rsidTr="00614438">
        <w:trPr>
          <w:gridAfter w:val="1"/>
          <w:wAfter w:w="1212" w:type="dxa"/>
          <w:trHeight w:val="627"/>
        </w:trPr>
        <w:tc>
          <w:tcPr>
            <w:tcW w:w="3287" w:type="dxa"/>
            <w:tcBorders>
              <w:top w:val="nil"/>
              <w:left w:val="single" w:sz="8" w:space="0" w:color="auto"/>
              <w:bottom w:val="single" w:sz="8" w:space="0" w:color="auto"/>
              <w:right w:val="nil"/>
            </w:tcBorders>
            <w:shd w:val="clear" w:color="auto" w:fill="244062"/>
            <w:vAlign w:val="center"/>
            <w:hideMark/>
          </w:tcPr>
          <w:p w14:paraId="6E20020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01" w:type="dxa"/>
            <w:gridSpan w:val="3"/>
            <w:tcBorders>
              <w:top w:val="single" w:sz="8" w:space="0" w:color="auto"/>
              <w:left w:val="nil"/>
              <w:bottom w:val="single" w:sz="8" w:space="0" w:color="auto"/>
              <w:right w:val="single" w:sz="8" w:space="0" w:color="000000"/>
            </w:tcBorders>
            <w:vAlign w:val="center"/>
            <w:hideMark/>
          </w:tcPr>
          <w:p w14:paraId="5CFACCB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system flexibility and quality of electricity supply, in particular through policies and measures related to market-based price formation in compliance with applicable law; market integration and coupling, aiming to increase the tradeable capacity of existing interconnectors, smart grids, aggregation, demand response, storage, distributed generation, mechanisms for dispatching, re-dispatching and curtailment and real-time price signals.</w:t>
            </w:r>
          </w:p>
        </w:tc>
      </w:tr>
      <w:tr w:rsidR="00614438" w:rsidRPr="00AA7A53" w14:paraId="23F7076E" w14:textId="77777777" w:rsidTr="00614438">
        <w:trPr>
          <w:gridAfter w:val="1"/>
          <w:wAfter w:w="1212" w:type="dxa"/>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74FA92F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01" w:type="dxa"/>
            <w:gridSpan w:val="3"/>
            <w:tcBorders>
              <w:top w:val="single" w:sz="8" w:space="0" w:color="auto"/>
              <w:left w:val="nil"/>
              <w:bottom w:val="single" w:sz="8" w:space="0" w:color="auto"/>
              <w:right w:val="single" w:sz="8" w:space="0" w:color="000000"/>
            </w:tcBorders>
            <w:vAlign w:val="center"/>
            <w:hideMark/>
          </w:tcPr>
          <w:p w14:paraId="4BE4CF71" w14:textId="2F97A7B8"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Increased quality of supply indicators, deployment </w:t>
            </w:r>
            <w:r w:rsidR="0056188E" w:rsidRPr="00AA7A53">
              <w:rPr>
                <w:rFonts w:ascii="Times New Roman" w:hAnsi="Times New Roman" w:cs="Times New Roman"/>
                <w:sz w:val="20"/>
                <w:szCs w:val="20"/>
                <w:lang w:val="en-GB"/>
              </w:rPr>
              <w:t xml:space="preserve">of </w:t>
            </w:r>
            <w:r w:rsidRPr="00AA7A53">
              <w:rPr>
                <w:rFonts w:ascii="Times New Roman" w:hAnsi="Times New Roman" w:cs="Times New Roman"/>
                <w:sz w:val="20"/>
                <w:szCs w:val="20"/>
                <w:lang w:val="en-GB"/>
              </w:rPr>
              <w:t>smart grids, aggregation, demand response services</w:t>
            </w:r>
            <w:r w:rsidR="0056188E"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as well as storage and distributed generation</w:t>
            </w:r>
          </w:p>
        </w:tc>
      </w:tr>
      <w:tr w:rsidR="00614438" w:rsidRPr="00AA7A53" w14:paraId="479E8647" w14:textId="77777777" w:rsidTr="00614438">
        <w:trPr>
          <w:gridAfter w:val="1"/>
          <w:wAfter w:w="1212" w:type="dxa"/>
          <w:trHeight w:val="443"/>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56E4D79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01" w:type="dxa"/>
            <w:gridSpan w:val="3"/>
            <w:tcBorders>
              <w:top w:val="single" w:sz="8" w:space="0" w:color="auto"/>
              <w:left w:val="nil"/>
              <w:bottom w:val="single" w:sz="8" w:space="0" w:color="auto"/>
              <w:right w:val="single" w:sz="8" w:space="0" w:color="000000"/>
            </w:tcBorders>
            <w:vAlign w:val="center"/>
            <w:hideMark/>
          </w:tcPr>
          <w:p w14:paraId="242F5A0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PM_IEM13 concerns the design and implementation of a data management model which is necessary for the operationalisation and improvement of energy services (e.g. energy efficiency, demand response, supplier switching). A centralized data hub aggregating energy data (market data, network data, other data) from both transmission and distribution would be preferable. Data operations within the energy data hub would include reading, validation, storage and exchange of relevant data between stakeholders.</w:t>
            </w:r>
          </w:p>
        </w:tc>
      </w:tr>
      <w:tr w:rsidR="00614438" w:rsidRPr="00AA7A53" w14:paraId="738A794B" w14:textId="77777777" w:rsidTr="00614438">
        <w:trPr>
          <w:gridAfter w:val="1"/>
          <w:wAfter w:w="1212" w:type="dxa"/>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27923EA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01" w:type="dxa"/>
            <w:gridSpan w:val="3"/>
            <w:tcBorders>
              <w:top w:val="single" w:sz="8" w:space="0" w:color="auto"/>
              <w:left w:val="nil"/>
              <w:bottom w:val="single" w:sz="8" w:space="0" w:color="auto"/>
              <w:right w:val="single" w:sz="8" w:space="0" w:color="000000"/>
            </w:tcBorders>
            <w:vAlign w:val="center"/>
            <w:hideMark/>
          </w:tcPr>
          <w:p w14:paraId="307AD6AD" w14:textId="61983BA8"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56188E"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775173F5" w14:textId="77777777" w:rsidTr="00614438">
        <w:trPr>
          <w:gridAfter w:val="1"/>
          <w:wAfter w:w="1212" w:type="dxa"/>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225C394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01" w:type="dxa"/>
            <w:gridSpan w:val="3"/>
            <w:tcBorders>
              <w:top w:val="single" w:sz="8" w:space="0" w:color="auto"/>
              <w:left w:val="nil"/>
              <w:bottom w:val="single" w:sz="8" w:space="0" w:color="auto"/>
              <w:right w:val="single" w:sz="8" w:space="0" w:color="000000"/>
            </w:tcBorders>
            <w:vAlign w:val="center"/>
            <w:hideMark/>
          </w:tcPr>
          <w:p w14:paraId="470DCBD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288B7491" w14:textId="77777777" w:rsidTr="00614438">
        <w:trPr>
          <w:gridAfter w:val="1"/>
          <w:wAfter w:w="1212" w:type="dxa"/>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0ADA661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01" w:type="dxa"/>
            <w:gridSpan w:val="3"/>
            <w:tcBorders>
              <w:top w:val="single" w:sz="8" w:space="0" w:color="auto"/>
              <w:left w:val="nil"/>
              <w:bottom w:val="single" w:sz="8" w:space="0" w:color="auto"/>
              <w:right w:val="single" w:sz="8" w:space="0" w:color="000000"/>
            </w:tcBorders>
            <w:vAlign w:val="center"/>
            <w:hideMark/>
          </w:tcPr>
          <w:p w14:paraId="778AF2A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Electricity</w:t>
            </w:r>
          </w:p>
        </w:tc>
      </w:tr>
      <w:tr w:rsidR="00614438" w:rsidRPr="00AA7A53" w14:paraId="11586792" w14:textId="77777777" w:rsidTr="00614438">
        <w:trPr>
          <w:gridAfter w:val="1"/>
          <w:wAfter w:w="1212" w:type="dxa"/>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0903A33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01" w:type="dxa"/>
            <w:gridSpan w:val="3"/>
            <w:tcBorders>
              <w:top w:val="single" w:sz="8" w:space="0" w:color="auto"/>
              <w:left w:val="nil"/>
              <w:bottom w:val="single" w:sz="8" w:space="0" w:color="auto"/>
              <w:right w:val="single" w:sz="8" w:space="0" w:color="000000"/>
            </w:tcBorders>
            <w:vAlign w:val="center"/>
            <w:hideMark/>
          </w:tcPr>
          <w:p w14:paraId="6B9A165A" w14:textId="77777777" w:rsidR="00614438" w:rsidRPr="00AA7A53" w:rsidRDefault="00614438" w:rsidP="00AA7A53">
            <w:pPr>
              <w:numPr>
                <w:ilvl w:val="0"/>
                <w:numId w:val="15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7BDAE7AA" w14:textId="77777777" w:rsidTr="00614438">
        <w:trPr>
          <w:gridAfter w:val="1"/>
          <w:wAfter w:w="1212" w:type="dxa"/>
          <w:trHeight w:val="315"/>
        </w:trPr>
        <w:tc>
          <w:tcPr>
            <w:tcW w:w="3287" w:type="dxa"/>
            <w:tcBorders>
              <w:top w:val="nil"/>
              <w:left w:val="single" w:sz="8" w:space="0" w:color="auto"/>
              <w:bottom w:val="single" w:sz="8" w:space="0" w:color="auto"/>
              <w:right w:val="nil"/>
            </w:tcBorders>
            <w:shd w:val="clear" w:color="auto" w:fill="244062"/>
            <w:vAlign w:val="center"/>
            <w:hideMark/>
          </w:tcPr>
          <w:p w14:paraId="0789FCA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Monitoring Entity</w:t>
            </w:r>
          </w:p>
        </w:tc>
        <w:tc>
          <w:tcPr>
            <w:tcW w:w="6201" w:type="dxa"/>
            <w:gridSpan w:val="3"/>
            <w:tcBorders>
              <w:top w:val="single" w:sz="8" w:space="0" w:color="auto"/>
              <w:left w:val="nil"/>
              <w:bottom w:val="single" w:sz="8" w:space="0" w:color="auto"/>
              <w:right w:val="single" w:sz="8" w:space="0" w:color="000000"/>
            </w:tcBorders>
            <w:vAlign w:val="center"/>
            <w:hideMark/>
          </w:tcPr>
          <w:p w14:paraId="53AF018A" w14:textId="77777777" w:rsidR="00614438" w:rsidRPr="00AA7A53" w:rsidRDefault="00614438" w:rsidP="00AA7A53">
            <w:pPr>
              <w:numPr>
                <w:ilvl w:val="0"/>
                <w:numId w:val="15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20524382" w14:textId="77777777" w:rsidTr="00614438">
        <w:trPr>
          <w:gridAfter w:val="1"/>
          <w:wAfter w:w="1212" w:type="dxa"/>
          <w:trHeight w:val="315"/>
        </w:trPr>
        <w:tc>
          <w:tcPr>
            <w:tcW w:w="3287" w:type="dxa"/>
            <w:tcBorders>
              <w:top w:val="nil"/>
              <w:left w:val="single" w:sz="8" w:space="0" w:color="auto"/>
              <w:bottom w:val="single" w:sz="8" w:space="0" w:color="auto"/>
              <w:right w:val="nil"/>
            </w:tcBorders>
            <w:shd w:val="clear" w:color="auto" w:fill="244062"/>
            <w:vAlign w:val="center"/>
            <w:hideMark/>
          </w:tcPr>
          <w:p w14:paraId="17F6717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01" w:type="dxa"/>
            <w:gridSpan w:val="3"/>
            <w:tcBorders>
              <w:top w:val="single" w:sz="8" w:space="0" w:color="auto"/>
              <w:left w:val="nil"/>
              <w:bottom w:val="single" w:sz="8" w:space="0" w:color="auto"/>
              <w:right w:val="single" w:sz="8" w:space="0" w:color="000000"/>
            </w:tcBorders>
            <w:vAlign w:val="center"/>
            <w:hideMark/>
          </w:tcPr>
          <w:p w14:paraId="646C0D9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Level (%) of energy metering data integration from both the TSO and DSO, number of supplier switches executed within the given timeframe</w:t>
            </w:r>
          </w:p>
        </w:tc>
      </w:tr>
      <w:tr w:rsidR="00614438" w:rsidRPr="00AA7A53" w14:paraId="0C0EA3E1" w14:textId="77777777" w:rsidTr="00614438">
        <w:trPr>
          <w:gridAfter w:val="1"/>
          <w:wAfter w:w="1212" w:type="dxa"/>
          <w:trHeight w:val="1170"/>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0EF48A0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01" w:type="dxa"/>
            <w:gridSpan w:val="3"/>
            <w:tcBorders>
              <w:top w:val="single" w:sz="8" w:space="0" w:color="auto"/>
              <w:left w:val="nil"/>
              <w:bottom w:val="single" w:sz="8" w:space="0" w:color="auto"/>
              <w:right w:val="single" w:sz="8" w:space="0" w:color="000000"/>
            </w:tcBorders>
            <w:vAlign w:val="center"/>
            <w:hideMark/>
          </w:tcPr>
          <w:p w14:paraId="5660D48F" w14:textId="77777777" w:rsidR="00614438" w:rsidRPr="00AA7A53" w:rsidRDefault="00614438" w:rsidP="00AA7A53">
            <w:pPr>
              <w:numPr>
                <w:ilvl w:val="0"/>
                <w:numId w:val="150"/>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efficiency</w:t>
            </w:r>
          </w:p>
          <w:p w14:paraId="5BC768DC" w14:textId="77777777" w:rsidR="00614438" w:rsidRPr="00AA7A53" w:rsidRDefault="00614438" w:rsidP="00AA7A53">
            <w:pPr>
              <w:numPr>
                <w:ilvl w:val="0"/>
                <w:numId w:val="150"/>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tc>
      </w:tr>
      <w:tr w:rsidR="00614438" w:rsidRPr="00AA7A53" w14:paraId="7342CAE6" w14:textId="77777777" w:rsidTr="00614438">
        <w:trPr>
          <w:gridAfter w:val="1"/>
          <w:wAfter w:w="1212" w:type="dxa"/>
          <w:trHeight w:val="458"/>
        </w:trPr>
        <w:tc>
          <w:tcPr>
            <w:tcW w:w="3287" w:type="dxa"/>
            <w:vMerge w:val="restart"/>
            <w:tcBorders>
              <w:top w:val="nil"/>
              <w:left w:val="single" w:sz="8" w:space="0" w:color="auto"/>
              <w:bottom w:val="single" w:sz="8" w:space="0" w:color="000000"/>
              <w:right w:val="single" w:sz="8" w:space="0" w:color="auto"/>
            </w:tcBorders>
            <w:shd w:val="clear" w:color="auto" w:fill="244062"/>
            <w:vAlign w:val="center"/>
            <w:hideMark/>
          </w:tcPr>
          <w:p w14:paraId="28B1AE0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0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436F1538" w14:textId="77777777" w:rsidR="00614438" w:rsidRPr="00AA7A53" w:rsidRDefault="00614438" w:rsidP="00AA7A53">
            <w:pPr>
              <w:numPr>
                <w:ilvl w:val="0"/>
                <w:numId w:val="15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2009/72/EC</w:t>
            </w:r>
          </w:p>
          <w:p w14:paraId="178DDFC9" w14:textId="77777777" w:rsidR="00614438" w:rsidRPr="00AA7A53" w:rsidRDefault="00614438" w:rsidP="00AA7A53">
            <w:pPr>
              <w:numPr>
                <w:ilvl w:val="0"/>
                <w:numId w:val="15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2019/944</w:t>
            </w:r>
          </w:p>
          <w:p w14:paraId="38CEDEB6" w14:textId="77777777" w:rsidR="00614438" w:rsidRPr="00AA7A53" w:rsidRDefault="00614438" w:rsidP="00AA7A53">
            <w:pPr>
              <w:numPr>
                <w:ilvl w:val="0"/>
                <w:numId w:val="150"/>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2019/943</w:t>
            </w:r>
          </w:p>
        </w:tc>
      </w:tr>
      <w:tr w:rsidR="00614438" w:rsidRPr="00AA7A53" w14:paraId="7E150511"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646ED123"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A5A2806"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3FBE2EC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7303A51" w14:textId="77777777" w:rsidTr="00614438">
        <w:trPr>
          <w:trHeight w:val="315"/>
        </w:trPr>
        <w:tc>
          <w:tcPr>
            <w:tcW w:w="0" w:type="auto"/>
            <w:vMerge/>
            <w:tcBorders>
              <w:top w:val="nil"/>
              <w:left w:val="single" w:sz="8" w:space="0" w:color="auto"/>
              <w:bottom w:val="single" w:sz="8" w:space="0" w:color="000000"/>
              <w:right w:val="single" w:sz="8" w:space="0" w:color="auto"/>
            </w:tcBorders>
            <w:vAlign w:val="center"/>
            <w:hideMark/>
          </w:tcPr>
          <w:p w14:paraId="077064A6"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DD1F75D"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7B0B9A6D"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5DF749D8" w14:textId="77777777" w:rsidTr="00614438">
        <w:trPr>
          <w:trHeight w:val="780"/>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6039EC7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01" w:type="dxa"/>
            <w:gridSpan w:val="3"/>
            <w:tcBorders>
              <w:top w:val="single" w:sz="8" w:space="0" w:color="auto"/>
              <w:left w:val="nil"/>
              <w:bottom w:val="single" w:sz="8" w:space="0" w:color="auto"/>
              <w:right w:val="single" w:sz="8" w:space="0" w:color="000000"/>
            </w:tcBorders>
            <w:vAlign w:val="center"/>
            <w:hideMark/>
          </w:tcPr>
          <w:p w14:paraId="2932B162" w14:textId="77777777" w:rsidR="00614438" w:rsidRPr="00AA7A53" w:rsidRDefault="00614438" w:rsidP="00AA7A53">
            <w:pPr>
              <w:numPr>
                <w:ilvl w:val="0"/>
                <w:numId w:val="151"/>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w:t>
            </w:r>
          </w:p>
        </w:tc>
        <w:tc>
          <w:tcPr>
            <w:tcW w:w="1212" w:type="dxa"/>
            <w:vAlign w:val="center"/>
            <w:hideMark/>
          </w:tcPr>
          <w:p w14:paraId="18CBD00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305BD69" w14:textId="77777777" w:rsidTr="00614438">
        <w:trPr>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72D8C5F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01" w:type="dxa"/>
            <w:gridSpan w:val="3"/>
            <w:tcBorders>
              <w:top w:val="single" w:sz="8" w:space="0" w:color="auto"/>
              <w:left w:val="nil"/>
              <w:bottom w:val="single" w:sz="8" w:space="0" w:color="auto"/>
              <w:right w:val="single" w:sz="8" w:space="0" w:color="000000"/>
            </w:tcBorders>
            <w:vAlign w:val="center"/>
            <w:hideMark/>
          </w:tcPr>
          <w:p w14:paraId="0130C26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0.4 M€</w:t>
            </w:r>
          </w:p>
        </w:tc>
        <w:tc>
          <w:tcPr>
            <w:tcW w:w="1212" w:type="dxa"/>
            <w:vAlign w:val="center"/>
            <w:hideMark/>
          </w:tcPr>
          <w:p w14:paraId="469D7E5E"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325E5CE" w14:textId="77777777" w:rsidTr="00614438">
        <w:trPr>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2E401B3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01" w:type="dxa"/>
            <w:gridSpan w:val="3"/>
            <w:tcBorders>
              <w:top w:val="single" w:sz="8" w:space="0" w:color="auto"/>
              <w:left w:val="nil"/>
              <w:bottom w:val="single" w:sz="8" w:space="0" w:color="auto"/>
              <w:right w:val="single" w:sz="8" w:space="0" w:color="000000"/>
            </w:tcBorders>
            <w:vAlign w:val="center"/>
            <w:hideMark/>
          </w:tcPr>
          <w:p w14:paraId="6C61F8E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1212" w:type="dxa"/>
            <w:vAlign w:val="center"/>
            <w:hideMark/>
          </w:tcPr>
          <w:p w14:paraId="0596BEE4" w14:textId="77777777" w:rsidR="00614438" w:rsidRPr="00AA7A53" w:rsidRDefault="00614438" w:rsidP="00AA7A53">
            <w:pPr>
              <w:spacing w:after="0"/>
              <w:jc w:val="both"/>
              <w:rPr>
                <w:rFonts w:ascii="Times New Roman" w:hAnsi="Times New Roman" w:cs="Times New Roman"/>
                <w:sz w:val="20"/>
                <w:szCs w:val="20"/>
                <w:lang w:val="en-GB"/>
              </w:rPr>
            </w:pPr>
          </w:p>
        </w:tc>
      </w:tr>
    </w:tbl>
    <w:p w14:paraId="5FEDD36B"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68"/>
        <w:gridCol w:w="1172"/>
        <w:gridCol w:w="931"/>
        <w:gridCol w:w="4117"/>
        <w:gridCol w:w="1212"/>
      </w:tblGrid>
      <w:tr w:rsidR="00614438" w:rsidRPr="00AA7A53" w14:paraId="1AAEE547" w14:textId="77777777" w:rsidTr="00614438">
        <w:trPr>
          <w:gridAfter w:val="1"/>
          <w:wAfter w:w="1212" w:type="dxa"/>
          <w:trHeight w:val="780"/>
        </w:trPr>
        <w:tc>
          <w:tcPr>
            <w:tcW w:w="3290"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41D4A9E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106" w:type="dxa"/>
            <w:tcBorders>
              <w:top w:val="single" w:sz="8" w:space="0" w:color="auto"/>
              <w:left w:val="nil"/>
              <w:bottom w:val="single" w:sz="8" w:space="0" w:color="auto"/>
              <w:right w:val="single" w:sz="8" w:space="0" w:color="auto"/>
            </w:tcBorders>
            <w:shd w:val="clear" w:color="auto" w:fill="E7E6E6" w:themeFill="background2"/>
            <w:vAlign w:val="center"/>
            <w:hideMark/>
          </w:tcPr>
          <w:p w14:paraId="1687FC2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PM_IEM14</w:t>
            </w:r>
          </w:p>
        </w:tc>
        <w:tc>
          <w:tcPr>
            <w:tcW w:w="935" w:type="dxa"/>
            <w:tcBorders>
              <w:top w:val="single" w:sz="8" w:space="0" w:color="auto"/>
              <w:left w:val="nil"/>
              <w:bottom w:val="single" w:sz="8" w:space="0" w:color="auto"/>
              <w:right w:val="single" w:sz="8" w:space="0" w:color="auto"/>
            </w:tcBorders>
            <w:shd w:val="clear" w:color="auto" w:fill="244062"/>
            <w:vAlign w:val="center"/>
            <w:hideMark/>
          </w:tcPr>
          <w:p w14:paraId="79E2600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57" w:type="dxa"/>
            <w:tcBorders>
              <w:top w:val="single" w:sz="8" w:space="0" w:color="auto"/>
              <w:left w:val="nil"/>
              <w:bottom w:val="single" w:sz="8" w:space="0" w:color="auto"/>
              <w:right w:val="single" w:sz="8" w:space="0" w:color="auto"/>
            </w:tcBorders>
            <w:shd w:val="clear" w:color="auto" w:fill="E7E6E6" w:themeFill="background2"/>
            <w:vAlign w:val="center"/>
            <w:hideMark/>
          </w:tcPr>
          <w:p w14:paraId="7C8BCFC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demand response for the end-users by use of the dynamic tariff system</w:t>
            </w:r>
          </w:p>
        </w:tc>
      </w:tr>
      <w:tr w:rsidR="00614438" w:rsidRPr="00AA7A53" w14:paraId="77A841C7" w14:textId="77777777" w:rsidTr="00614438">
        <w:trPr>
          <w:gridAfter w:val="1"/>
          <w:wAfter w:w="1212" w:type="dxa"/>
          <w:trHeight w:val="960"/>
        </w:trPr>
        <w:tc>
          <w:tcPr>
            <w:tcW w:w="3290" w:type="dxa"/>
            <w:tcBorders>
              <w:top w:val="nil"/>
              <w:left w:val="single" w:sz="8" w:space="0" w:color="auto"/>
              <w:bottom w:val="single" w:sz="8" w:space="0" w:color="auto"/>
              <w:right w:val="nil"/>
            </w:tcBorders>
            <w:shd w:val="clear" w:color="auto" w:fill="244062"/>
            <w:vAlign w:val="center"/>
            <w:hideMark/>
          </w:tcPr>
          <w:p w14:paraId="429EA27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98" w:type="dxa"/>
            <w:gridSpan w:val="3"/>
            <w:tcBorders>
              <w:top w:val="single" w:sz="8" w:space="0" w:color="auto"/>
              <w:left w:val="nil"/>
              <w:bottom w:val="single" w:sz="8" w:space="0" w:color="auto"/>
              <w:right w:val="single" w:sz="8" w:space="0" w:color="000000"/>
            </w:tcBorders>
            <w:vAlign w:val="center"/>
            <w:hideMark/>
          </w:tcPr>
          <w:p w14:paraId="5ACCA37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system flexibility and quality of electricity supply, in particular through policies and measures related to market-based price formation in compliance with applicable law; market integration and coupling, aiming to increase the tradeable capacity of existing interconnectors, smart grids, aggregation, demand response, storage, distributed generation, mechanisms for dispatching, re-dispatching and curtailment and real-time price signals.</w:t>
            </w:r>
          </w:p>
        </w:tc>
      </w:tr>
      <w:tr w:rsidR="00614438" w:rsidRPr="00AA7A53" w14:paraId="15EE01E2" w14:textId="77777777" w:rsidTr="00614438">
        <w:trPr>
          <w:gridAfter w:val="1"/>
          <w:wAfter w:w="1212" w:type="dxa"/>
          <w:trHeight w:val="315"/>
        </w:trPr>
        <w:tc>
          <w:tcPr>
            <w:tcW w:w="3290" w:type="dxa"/>
            <w:tcBorders>
              <w:top w:val="nil"/>
              <w:left w:val="single" w:sz="8" w:space="0" w:color="auto"/>
              <w:bottom w:val="single" w:sz="8" w:space="0" w:color="auto"/>
              <w:right w:val="single" w:sz="8" w:space="0" w:color="auto"/>
            </w:tcBorders>
            <w:shd w:val="clear" w:color="auto" w:fill="244062"/>
            <w:vAlign w:val="center"/>
            <w:hideMark/>
          </w:tcPr>
          <w:p w14:paraId="0CF073E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98" w:type="dxa"/>
            <w:gridSpan w:val="3"/>
            <w:tcBorders>
              <w:top w:val="single" w:sz="8" w:space="0" w:color="auto"/>
              <w:left w:val="nil"/>
              <w:bottom w:val="single" w:sz="8" w:space="0" w:color="auto"/>
              <w:right w:val="single" w:sz="8" w:space="0" w:color="000000"/>
            </w:tcBorders>
            <w:vAlign w:val="center"/>
            <w:hideMark/>
          </w:tcPr>
          <w:p w14:paraId="7F9BC553" w14:textId="76EA6DA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Increased quality of supply indicators, deployment </w:t>
            </w:r>
            <w:r w:rsidR="00434269" w:rsidRPr="00AA7A53">
              <w:rPr>
                <w:rFonts w:ascii="Times New Roman" w:hAnsi="Times New Roman" w:cs="Times New Roman"/>
                <w:sz w:val="20"/>
                <w:szCs w:val="20"/>
                <w:lang w:val="en-GB"/>
              </w:rPr>
              <w:t xml:space="preserve">of </w:t>
            </w:r>
            <w:r w:rsidRPr="00AA7A53">
              <w:rPr>
                <w:rFonts w:ascii="Times New Roman" w:hAnsi="Times New Roman" w:cs="Times New Roman"/>
                <w:sz w:val="20"/>
                <w:szCs w:val="20"/>
                <w:lang w:val="en-GB"/>
              </w:rPr>
              <w:t>smart grids, aggregation, demand response services as well as storage and distributed generation</w:t>
            </w:r>
          </w:p>
        </w:tc>
      </w:tr>
      <w:tr w:rsidR="00614438" w:rsidRPr="00AA7A53" w14:paraId="0A865F95" w14:textId="77777777" w:rsidTr="00614438">
        <w:trPr>
          <w:gridAfter w:val="1"/>
          <w:wAfter w:w="1212" w:type="dxa"/>
          <w:trHeight w:val="443"/>
        </w:trPr>
        <w:tc>
          <w:tcPr>
            <w:tcW w:w="3290" w:type="dxa"/>
            <w:tcBorders>
              <w:top w:val="nil"/>
              <w:left w:val="single" w:sz="8" w:space="0" w:color="auto"/>
              <w:bottom w:val="single" w:sz="8" w:space="0" w:color="auto"/>
              <w:right w:val="single" w:sz="8" w:space="0" w:color="auto"/>
            </w:tcBorders>
            <w:shd w:val="clear" w:color="auto" w:fill="244062"/>
            <w:vAlign w:val="center"/>
            <w:hideMark/>
          </w:tcPr>
          <w:p w14:paraId="66CAF0F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98" w:type="dxa"/>
            <w:gridSpan w:val="3"/>
            <w:tcBorders>
              <w:top w:val="single" w:sz="8" w:space="0" w:color="auto"/>
              <w:left w:val="nil"/>
              <w:bottom w:val="single" w:sz="8" w:space="0" w:color="auto"/>
              <w:right w:val="single" w:sz="8" w:space="0" w:color="000000"/>
            </w:tcBorders>
            <w:vAlign w:val="center"/>
            <w:hideMark/>
          </w:tcPr>
          <w:p w14:paraId="128B714D" w14:textId="1A7D8DBE"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PM_IEM14 comprises a policy measure aiming to align consumption patterns of electricity end-users in order to enable wider flexibility and optimal use of the electricity system. This measure (policy) is tightly associated and with the use of smart-meters and IoT as these are necessary in order to send real-time (or close to real-time) price signals and incentives </w:t>
            </w:r>
            <w:r w:rsidR="00434269" w:rsidRPr="00AA7A53">
              <w:rPr>
                <w:rFonts w:ascii="Times New Roman" w:hAnsi="Times New Roman" w:cs="Times New Roman"/>
                <w:sz w:val="20"/>
                <w:szCs w:val="20"/>
                <w:lang w:val="en-GB"/>
              </w:rPr>
              <w:t xml:space="preserve">to </w:t>
            </w:r>
            <w:r w:rsidRPr="00AA7A53">
              <w:rPr>
                <w:rFonts w:ascii="Times New Roman" w:hAnsi="Times New Roman" w:cs="Times New Roman"/>
                <w:sz w:val="20"/>
                <w:szCs w:val="20"/>
                <w:lang w:val="en-GB"/>
              </w:rPr>
              <w:t>end-users for demand response.</w:t>
            </w:r>
          </w:p>
        </w:tc>
      </w:tr>
      <w:tr w:rsidR="00614438" w:rsidRPr="00AA7A53" w14:paraId="57CFE106" w14:textId="77777777" w:rsidTr="00614438">
        <w:trPr>
          <w:gridAfter w:val="1"/>
          <w:wAfter w:w="1212" w:type="dxa"/>
          <w:trHeight w:val="315"/>
        </w:trPr>
        <w:tc>
          <w:tcPr>
            <w:tcW w:w="3290" w:type="dxa"/>
            <w:tcBorders>
              <w:top w:val="nil"/>
              <w:left w:val="single" w:sz="8" w:space="0" w:color="auto"/>
              <w:bottom w:val="single" w:sz="8" w:space="0" w:color="auto"/>
              <w:right w:val="single" w:sz="8" w:space="0" w:color="auto"/>
            </w:tcBorders>
            <w:shd w:val="clear" w:color="auto" w:fill="244062"/>
            <w:vAlign w:val="center"/>
            <w:hideMark/>
          </w:tcPr>
          <w:p w14:paraId="600D8AF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98" w:type="dxa"/>
            <w:gridSpan w:val="3"/>
            <w:tcBorders>
              <w:top w:val="single" w:sz="8" w:space="0" w:color="auto"/>
              <w:left w:val="nil"/>
              <w:bottom w:val="single" w:sz="8" w:space="0" w:color="auto"/>
              <w:right w:val="single" w:sz="8" w:space="0" w:color="000000"/>
            </w:tcBorders>
            <w:vAlign w:val="center"/>
            <w:hideMark/>
          </w:tcPr>
          <w:p w14:paraId="02998D56" w14:textId="45527C4B"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434269"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397AE155" w14:textId="77777777" w:rsidTr="00614438">
        <w:trPr>
          <w:gridAfter w:val="1"/>
          <w:wAfter w:w="1212" w:type="dxa"/>
          <w:trHeight w:val="315"/>
        </w:trPr>
        <w:tc>
          <w:tcPr>
            <w:tcW w:w="3290" w:type="dxa"/>
            <w:tcBorders>
              <w:top w:val="nil"/>
              <w:left w:val="single" w:sz="8" w:space="0" w:color="auto"/>
              <w:bottom w:val="single" w:sz="8" w:space="0" w:color="auto"/>
              <w:right w:val="single" w:sz="8" w:space="0" w:color="auto"/>
            </w:tcBorders>
            <w:shd w:val="clear" w:color="auto" w:fill="244062"/>
            <w:vAlign w:val="center"/>
            <w:hideMark/>
          </w:tcPr>
          <w:p w14:paraId="5CF899A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98" w:type="dxa"/>
            <w:gridSpan w:val="3"/>
            <w:tcBorders>
              <w:top w:val="single" w:sz="8" w:space="0" w:color="auto"/>
              <w:left w:val="nil"/>
              <w:bottom w:val="single" w:sz="8" w:space="0" w:color="auto"/>
              <w:right w:val="single" w:sz="8" w:space="0" w:color="000000"/>
            </w:tcBorders>
            <w:vAlign w:val="center"/>
            <w:hideMark/>
          </w:tcPr>
          <w:p w14:paraId="482B201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25177B2D" w14:textId="77777777" w:rsidTr="00614438">
        <w:trPr>
          <w:gridAfter w:val="1"/>
          <w:wAfter w:w="1212" w:type="dxa"/>
          <w:trHeight w:val="315"/>
        </w:trPr>
        <w:tc>
          <w:tcPr>
            <w:tcW w:w="3290" w:type="dxa"/>
            <w:tcBorders>
              <w:top w:val="nil"/>
              <w:left w:val="single" w:sz="8" w:space="0" w:color="auto"/>
              <w:bottom w:val="single" w:sz="8" w:space="0" w:color="auto"/>
              <w:right w:val="single" w:sz="8" w:space="0" w:color="auto"/>
            </w:tcBorders>
            <w:shd w:val="clear" w:color="auto" w:fill="244062"/>
            <w:vAlign w:val="center"/>
            <w:hideMark/>
          </w:tcPr>
          <w:p w14:paraId="3A233E9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98" w:type="dxa"/>
            <w:gridSpan w:val="3"/>
            <w:tcBorders>
              <w:top w:val="single" w:sz="8" w:space="0" w:color="auto"/>
              <w:left w:val="nil"/>
              <w:bottom w:val="single" w:sz="8" w:space="0" w:color="auto"/>
              <w:right w:val="single" w:sz="8" w:space="0" w:color="000000"/>
            </w:tcBorders>
            <w:vAlign w:val="center"/>
            <w:hideMark/>
          </w:tcPr>
          <w:p w14:paraId="7524EFF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Electricity</w:t>
            </w:r>
          </w:p>
        </w:tc>
      </w:tr>
      <w:tr w:rsidR="00614438" w:rsidRPr="00AA7A53" w14:paraId="6E3C4C9F" w14:textId="77777777" w:rsidTr="00614438">
        <w:trPr>
          <w:gridAfter w:val="1"/>
          <w:wAfter w:w="1212" w:type="dxa"/>
          <w:trHeight w:val="315"/>
        </w:trPr>
        <w:tc>
          <w:tcPr>
            <w:tcW w:w="3290" w:type="dxa"/>
            <w:tcBorders>
              <w:top w:val="nil"/>
              <w:left w:val="single" w:sz="8" w:space="0" w:color="auto"/>
              <w:bottom w:val="single" w:sz="8" w:space="0" w:color="auto"/>
              <w:right w:val="single" w:sz="8" w:space="0" w:color="auto"/>
            </w:tcBorders>
            <w:shd w:val="clear" w:color="auto" w:fill="244062"/>
            <w:vAlign w:val="center"/>
            <w:hideMark/>
          </w:tcPr>
          <w:p w14:paraId="10DD451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98" w:type="dxa"/>
            <w:gridSpan w:val="3"/>
            <w:tcBorders>
              <w:top w:val="single" w:sz="8" w:space="0" w:color="auto"/>
              <w:left w:val="nil"/>
              <w:bottom w:val="single" w:sz="8" w:space="0" w:color="auto"/>
              <w:right w:val="single" w:sz="8" w:space="0" w:color="000000"/>
            </w:tcBorders>
            <w:vAlign w:val="center"/>
            <w:hideMark/>
          </w:tcPr>
          <w:p w14:paraId="13B051BC" w14:textId="77777777" w:rsidR="00614438" w:rsidRPr="00AA7A53" w:rsidRDefault="00614438" w:rsidP="00AA7A53">
            <w:pPr>
              <w:numPr>
                <w:ilvl w:val="0"/>
                <w:numId w:val="151"/>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21EECB10" w14:textId="77777777" w:rsidTr="00614438">
        <w:trPr>
          <w:gridAfter w:val="1"/>
          <w:wAfter w:w="1212" w:type="dxa"/>
          <w:trHeight w:val="315"/>
        </w:trPr>
        <w:tc>
          <w:tcPr>
            <w:tcW w:w="3290" w:type="dxa"/>
            <w:tcBorders>
              <w:top w:val="nil"/>
              <w:left w:val="single" w:sz="8" w:space="0" w:color="auto"/>
              <w:bottom w:val="single" w:sz="8" w:space="0" w:color="auto"/>
              <w:right w:val="nil"/>
            </w:tcBorders>
            <w:shd w:val="clear" w:color="auto" w:fill="244062"/>
            <w:vAlign w:val="center"/>
            <w:hideMark/>
          </w:tcPr>
          <w:p w14:paraId="1A5459D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98" w:type="dxa"/>
            <w:gridSpan w:val="3"/>
            <w:tcBorders>
              <w:top w:val="single" w:sz="8" w:space="0" w:color="auto"/>
              <w:left w:val="nil"/>
              <w:bottom w:val="single" w:sz="8" w:space="0" w:color="auto"/>
              <w:right w:val="single" w:sz="8" w:space="0" w:color="000000"/>
            </w:tcBorders>
            <w:vAlign w:val="center"/>
            <w:hideMark/>
          </w:tcPr>
          <w:p w14:paraId="31082E8E" w14:textId="77777777" w:rsidR="00614438" w:rsidRPr="00AA7A53" w:rsidRDefault="00614438" w:rsidP="00AA7A53">
            <w:pPr>
              <w:numPr>
                <w:ilvl w:val="0"/>
                <w:numId w:val="151"/>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22CBE746" w14:textId="77777777" w:rsidTr="00614438">
        <w:trPr>
          <w:gridAfter w:val="1"/>
          <w:wAfter w:w="1212" w:type="dxa"/>
          <w:trHeight w:val="315"/>
        </w:trPr>
        <w:tc>
          <w:tcPr>
            <w:tcW w:w="3290" w:type="dxa"/>
            <w:tcBorders>
              <w:top w:val="nil"/>
              <w:left w:val="single" w:sz="8" w:space="0" w:color="auto"/>
              <w:bottom w:val="single" w:sz="8" w:space="0" w:color="auto"/>
              <w:right w:val="nil"/>
            </w:tcBorders>
            <w:shd w:val="clear" w:color="auto" w:fill="244062"/>
            <w:vAlign w:val="center"/>
            <w:hideMark/>
          </w:tcPr>
          <w:p w14:paraId="60F0F79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98" w:type="dxa"/>
            <w:gridSpan w:val="3"/>
            <w:tcBorders>
              <w:top w:val="single" w:sz="8" w:space="0" w:color="auto"/>
              <w:left w:val="nil"/>
              <w:bottom w:val="single" w:sz="8" w:space="0" w:color="auto"/>
              <w:right w:val="single" w:sz="8" w:space="0" w:color="000000"/>
            </w:tcBorders>
            <w:vAlign w:val="center"/>
            <w:hideMark/>
          </w:tcPr>
          <w:p w14:paraId="1757EA8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Percentage (%) of annual peak demand shifted to off-peak hours</w:t>
            </w:r>
          </w:p>
        </w:tc>
      </w:tr>
      <w:tr w:rsidR="00614438" w:rsidRPr="00AA7A53" w14:paraId="2168080A" w14:textId="77777777" w:rsidTr="00614438">
        <w:trPr>
          <w:gridAfter w:val="1"/>
          <w:wAfter w:w="1212" w:type="dxa"/>
          <w:trHeight w:val="748"/>
        </w:trPr>
        <w:tc>
          <w:tcPr>
            <w:tcW w:w="3290" w:type="dxa"/>
            <w:tcBorders>
              <w:top w:val="nil"/>
              <w:left w:val="single" w:sz="8" w:space="0" w:color="auto"/>
              <w:bottom w:val="single" w:sz="8" w:space="0" w:color="auto"/>
              <w:right w:val="single" w:sz="8" w:space="0" w:color="auto"/>
            </w:tcBorders>
            <w:shd w:val="clear" w:color="auto" w:fill="244062"/>
            <w:vAlign w:val="center"/>
            <w:hideMark/>
          </w:tcPr>
          <w:p w14:paraId="037439C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98" w:type="dxa"/>
            <w:gridSpan w:val="3"/>
            <w:tcBorders>
              <w:top w:val="single" w:sz="8" w:space="0" w:color="auto"/>
              <w:left w:val="nil"/>
              <w:bottom w:val="single" w:sz="8" w:space="0" w:color="auto"/>
              <w:right w:val="single" w:sz="8" w:space="0" w:color="000000"/>
            </w:tcBorders>
            <w:vAlign w:val="center"/>
            <w:hideMark/>
          </w:tcPr>
          <w:p w14:paraId="1CDA515B" w14:textId="77777777" w:rsidR="00614438" w:rsidRPr="00AA7A53" w:rsidRDefault="00614438" w:rsidP="00AA7A53">
            <w:pPr>
              <w:numPr>
                <w:ilvl w:val="0"/>
                <w:numId w:val="151"/>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Efficiency</w:t>
            </w:r>
          </w:p>
          <w:p w14:paraId="7E6FC867" w14:textId="77777777" w:rsidR="00614438" w:rsidRPr="00AA7A53" w:rsidRDefault="00614438" w:rsidP="00AA7A53">
            <w:pPr>
              <w:numPr>
                <w:ilvl w:val="0"/>
                <w:numId w:val="151"/>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tc>
      </w:tr>
      <w:tr w:rsidR="00614438" w:rsidRPr="00AA7A53" w14:paraId="5CAF1208" w14:textId="77777777" w:rsidTr="00614438">
        <w:trPr>
          <w:gridAfter w:val="1"/>
          <w:wAfter w:w="1212" w:type="dxa"/>
          <w:trHeight w:val="458"/>
        </w:trPr>
        <w:tc>
          <w:tcPr>
            <w:tcW w:w="3290" w:type="dxa"/>
            <w:vMerge w:val="restart"/>
            <w:tcBorders>
              <w:top w:val="nil"/>
              <w:left w:val="single" w:sz="8" w:space="0" w:color="auto"/>
              <w:bottom w:val="single" w:sz="8" w:space="0" w:color="000000"/>
              <w:right w:val="single" w:sz="8" w:space="0" w:color="auto"/>
            </w:tcBorders>
            <w:shd w:val="clear" w:color="auto" w:fill="244062"/>
            <w:vAlign w:val="center"/>
            <w:hideMark/>
          </w:tcPr>
          <w:p w14:paraId="2F091B6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98"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0B6D5254" w14:textId="77777777" w:rsidR="00614438" w:rsidRPr="00AA7A53" w:rsidRDefault="00614438" w:rsidP="00AA7A53">
            <w:pPr>
              <w:numPr>
                <w:ilvl w:val="0"/>
                <w:numId w:val="152"/>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2009/72/EC</w:t>
            </w:r>
          </w:p>
          <w:p w14:paraId="7BFC296B" w14:textId="77777777" w:rsidR="00614438" w:rsidRPr="00AA7A53" w:rsidRDefault="00614438" w:rsidP="00AA7A53">
            <w:pPr>
              <w:numPr>
                <w:ilvl w:val="0"/>
                <w:numId w:val="152"/>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2019/944</w:t>
            </w:r>
          </w:p>
          <w:p w14:paraId="13CDE3F6" w14:textId="77777777" w:rsidR="00614438" w:rsidRPr="00AA7A53" w:rsidRDefault="00614438" w:rsidP="00AA7A53">
            <w:pPr>
              <w:numPr>
                <w:ilvl w:val="0"/>
                <w:numId w:val="152"/>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2019/943</w:t>
            </w:r>
          </w:p>
        </w:tc>
      </w:tr>
      <w:tr w:rsidR="00614438" w:rsidRPr="00AA7A53" w14:paraId="63D40839"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4353A98D"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B9C6E98"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3B4BBE6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A2F07C6" w14:textId="77777777" w:rsidTr="00614438">
        <w:trPr>
          <w:trHeight w:val="315"/>
        </w:trPr>
        <w:tc>
          <w:tcPr>
            <w:tcW w:w="0" w:type="auto"/>
            <w:vMerge/>
            <w:tcBorders>
              <w:top w:val="nil"/>
              <w:left w:val="single" w:sz="8" w:space="0" w:color="auto"/>
              <w:bottom w:val="single" w:sz="8" w:space="0" w:color="000000"/>
              <w:right w:val="single" w:sz="8" w:space="0" w:color="auto"/>
            </w:tcBorders>
            <w:vAlign w:val="center"/>
            <w:hideMark/>
          </w:tcPr>
          <w:p w14:paraId="584C6340"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5886159"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5C0B57AA"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2D5F5498" w14:textId="77777777" w:rsidTr="00614438">
        <w:trPr>
          <w:trHeight w:val="780"/>
        </w:trPr>
        <w:tc>
          <w:tcPr>
            <w:tcW w:w="3290" w:type="dxa"/>
            <w:tcBorders>
              <w:top w:val="nil"/>
              <w:left w:val="single" w:sz="8" w:space="0" w:color="auto"/>
              <w:bottom w:val="single" w:sz="8" w:space="0" w:color="auto"/>
              <w:right w:val="single" w:sz="8" w:space="0" w:color="auto"/>
            </w:tcBorders>
            <w:shd w:val="clear" w:color="auto" w:fill="244062"/>
            <w:vAlign w:val="center"/>
            <w:hideMark/>
          </w:tcPr>
          <w:p w14:paraId="394A09C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98" w:type="dxa"/>
            <w:gridSpan w:val="3"/>
            <w:tcBorders>
              <w:top w:val="single" w:sz="8" w:space="0" w:color="auto"/>
              <w:left w:val="nil"/>
              <w:bottom w:val="single" w:sz="8" w:space="0" w:color="auto"/>
              <w:right w:val="single" w:sz="8" w:space="0" w:color="000000"/>
            </w:tcBorders>
            <w:vAlign w:val="center"/>
            <w:hideMark/>
          </w:tcPr>
          <w:p w14:paraId="6866D343" w14:textId="77777777" w:rsidR="00614438" w:rsidRPr="00AA7A53" w:rsidRDefault="00614438" w:rsidP="00AA7A53">
            <w:pPr>
              <w:numPr>
                <w:ilvl w:val="0"/>
                <w:numId w:val="153"/>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w:t>
            </w:r>
          </w:p>
        </w:tc>
        <w:tc>
          <w:tcPr>
            <w:tcW w:w="1212" w:type="dxa"/>
            <w:vAlign w:val="center"/>
            <w:hideMark/>
          </w:tcPr>
          <w:p w14:paraId="4BC3B0B8"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2FE86B8" w14:textId="77777777" w:rsidTr="00614438">
        <w:trPr>
          <w:trHeight w:val="315"/>
        </w:trPr>
        <w:tc>
          <w:tcPr>
            <w:tcW w:w="3290" w:type="dxa"/>
            <w:tcBorders>
              <w:top w:val="nil"/>
              <w:left w:val="single" w:sz="8" w:space="0" w:color="auto"/>
              <w:bottom w:val="single" w:sz="8" w:space="0" w:color="auto"/>
              <w:right w:val="single" w:sz="8" w:space="0" w:color="auto"/>
            </w:tcBorders>
            <w:shd w:val="clear" w:color="auto" w:fill="244062"/>
            <w:vAlign w:val="center"/>
            <w:hideMark/>
          </w:tcPr>
          <w:p w14:paraId="3D3D053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Implementation cost</w:t>
            </w:r>
          </w:p>
        </w:tc>
        <w:tc>
          <w:tcPr>
            <w:tcW w:w="6198" w:type="dxa"/>
            <w:gridSpan w:val="3"/>
            <w:tcBorders>
              <w:top w:val="single" w:sz="8" w:space="0" w:color="auto"/>
              <w:left w:val="nil"/>
              <w:bottom w:val="single" w:sz="8" w:space="0" w:color="auto"/>
              <w:right w:val="single" w:sz="8" w:space="0" w:color="000000"/>
            </w:tcBorders>
            <w:vAlign w:val="center"/>
            <w:hideMark/>
          </w:tcPr>
          <w:p w14:paraId="68FDD91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0.2 M€</w:t>
            </w:r>
          </w:p>
        </w:tc>
        <w:tc>
          <w:tcPr>
            <w:tcW w:w="1212" w:type="dxa"/>
            <w:vAlign w:val="center"/>
            <w:hideMark/>
          </w:tcPr>
          <w:p w14:paraId="6D7DED1E"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32A1486" w14:textId="77777777" w:rsidTr="00614438">
        <w:trPr>
          <w:trHeight w:val="315"/>
        </w:trPr>
        <w:tc>
          <w:tcPr>
            <w:tcW w:w="3290" w:type="dxa"/>
            <w:tcBorders>
              <w:top w:val="nil"/>
              <w:left w:val="single" w:sz="8" w:space="0" w:color="auto"/>
              <w:bottom w:val="single" w:sz="8" w:space="0" w:color="auto"/>
              <w:right w:val="single" w:sz="8" w:space="0" w:color="auto"/>
            </w:tcBorders>
            <w:shd w:val="clear" w:color="auto" w:fill="244062"/>
            <w:vAlign w:val="center"/>
            <w:hideMark/>
          </w:tcPr>
          <w:p w14:paraId="49830D3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98" w:type="dxa"/>
            <w:gridSpan w:val="3"/>
            <w:tcBorders>
              <w:top w:val="single" w:sz="8" w:space="0" w:color="auto"/>
              <w:left w:val="nil"/>
              <w:bottom w:val="single" w:sz="8" w:space="0" w:color="auto"/>
              <w:right w:val="single" w:sz="8" w:space="0" w:color="000000"/>
            </w:tcBorders>
            <w:vAlign w:val="center"/>
            <w:hideMark/>
          </w:tcPr>
          <w:p w14:paraId="439E148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1212" w:type="dxa"/>
            <w:vAlign w:val="center"/>
            <w:hideMark/>
          </w:tcPr>
          <w:p w14:paraId="22863EF5" w14:textId="77777777" w:rsidR="00614438" w:rsidRPr="00AA7A53" w:rsidRDefault="00614438" w:rsidP="00AA7A53">
            <w:pPr>
              <w:spacing w:after="0"/>
              <w:jc w:val="both"/>
              <w:rPr>
                <w:rFonts w:ascii="Times New Roman" w:hAnsi="Times New Roman" w:cs="Times New Roman"/>
                <w:sz w:val="20"/>
                <w:szCs w:val="20"/>
                <w:lang w:val="en-GB"/>
              </w:rPr>
            </w:pPr>
          </w:p>
        </w:tc>
      </w:tr>
    </w:tbl>
    <w:p w14:paraId="50621226"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64"/>
        <w:gridCol w:w="1172"/>
        <w:gridCol w:w="930"/>
        <w:gridCol w:w="4122"/>
        <w:gridCol w:w="1212"/>
      </w:tblGrid>
      <w:tr w:rsidR="00614438" w:rsidRPr="00AA7A53" w14:paraId="54337EA0" w14:textId="77777777" w:rsidTr="00614438">
        <w:trPr>
          <w:gridAfter w:val="1"/>
          <w:wAfter w:w="1212" w:type="dxa"/>
          <w:trHeight w:val="780"/>
        </w:trPr>
        <w:tc>
          <w:tcPr>
            <w:tcW w:w="328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5D5F21D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106" w:type="dxa"/>
            <w:tcBorders>
              <w:top w:val="single" w:sz="8" w:space="0" w:color="auto"/>
              <w:left w:val="nil"/>
              <w:bottom w:val="single" w:sz="8" w:space="0" w:color="auto"/>
              <w:right w:val="single" w:sz="8" w:space="0" w:color="auto"/>
            </w:tcBorders>
            <w:shd w:val="clear" w:color="auto" w:fill="E7E6E6" w:themeFill="background2"/>
            <w:vAlign w:val="center"/>
            <w:hideMark/>
          </w:tcPr>
          <w:p w14:paraId="25A2B78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PM_IEM15</w:t>
            </w:r>
          </w:p>
        </w:tc>
        <w:tc>
          <w:tcPr>
            <w:tcW w:w="934" w:type="dxa"/>
            <w:tcBorders>
              <w:top w:val="single" w:sz="8" w:space="0" w:color="auto"/>
              <w:left w:val="nil"/>
              <w:bottom w:val="single" w:sz="8" w:space="0" w:color="auto"/>
              <w:right w:val="single" w:sz="8" w:space="0" w:color="auto"/>
            </w:tcBorders>
            <w:shd w:val="clear" w:color="auto" w:fill="244062"/>
            <w:vAlign w:val="center"/>
            <w:hideMark/>
          </w:tcPr>
          <w:p w14:paraId="6E67C89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61" w:type="dxa"/>
            <w:tcBorders>
              <w:top w:val="single" w:sz="8" w:space="0" w:color="auto"/>
              <w:left w:val="nil"/>
              <w:bottom w:val="single" w:sz="8" w:space="0" w:color="auto"/>
              <w:right w:val="single" w:sz="8" w:space="0" w:color="auto"/>
            </w:tcBorders>
            <w:shd w:val="clear" w:color="auto" w:fill="E7E6E6" w:themeFill="background2"/>
            <w:vAlign w:val="center"/>
            <w:hideMark/>
          </w:tcPr>
          <w:p w14:paraId="1E87A0E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Equipping gas distribution systems with metering and data collection devices (measuring equipment, measuring and operational platform, SCADA) necessary for the functioning and development of the gas market</w:t>
            </w:r>
          </w:p>
        </w:tc>
      </w:tr>
      <w:tr w:rsidR="00614438" w:rsidRPr="00AA7A53" w14:paraId="6832499C" w14:textId="77777777" w:rsidTr="00614438">
        <w:trPr>
          <w:gridAfter w:val="1"/>
          <w:wAfter w:w="1212" w:type="dxa"/>
          <w:trHeight w:val="493"/>
        </w:trPr>
        <w:tc>
          <w:tcPr>
            <w:tcW w:w="3287" w:type="dxa"/>
            <w:tcBorders>
              <w:top w:val="nil"/>
              <w:left w:val="single" w:sz="8" w:space="0" w:color="auto"/>
              <w:bottom w:val="single" w:sz="8" w:space="0" w:color="auto"/>
              <w:right w:val="nil"/>
            </w:tcBorders>
            <w:shd w:val="clear" w:color="auto" w:fill="244062"/>
            <w:vAlign w:val="center"/>
            <w:hideMark/>
          </w:tcPr>
          <w:p w14:paraId="568DA46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01" w:type="dxa"/>
            <w:gridSpan w:val="3"/>
            <w:tcBorders>
              <w:top w:val="single" w:sz="8" w:space="0" w:color="auto"/>
              <w:left w:val="nil"/>
              <w:bottom w:val="single" w:sz="8" w:space="0" w:color="auto"/>
              <w:right w:val="single" w:sz="8" w:space="0" w:color="000000"/>
            </w:tcBorders>
            <w:vAlign w:val="center"/>
            <w:hideMark/>
          </w:tcPr>
          <w:p w14:paraId="12E7F86E" w14:textId="05A0728E"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Consumer protection a</w:t>
            </w:r>
            <w:r w:rsidR="00434269" w:rsidRPr="00AA7A53">
              <w:rPr>
                <w:rFonts w:ascii="Times New Roman" w:hAnsi="Times New Roman" w:cs="Times New Roman"/>
                <w:sz w:val="20"/>
                <w:szCs w:val="20"/>
                <w:lang w:val="en-GB"/>
              </w:rPr>
              <w:t>nd improvement of competition, e</w:t>
            </w:r>
            <w:r w:rsidRPr="00AA7A53">
              <w:rPr>
                <w:rFonts w:ascii="Times New Roman" w:hAnsi="Times New Roman" w:cs="Times New Roman"/>
                <w:sz w:val="20"/>
                <w:szCs w:val="20"/>
                <w:lang w:val="en-GB"/>
              </w:rPr>
              <w:t>nabl</w:t>
            </w:r>
            <w:r w:rsidR="00434269" w:rsidRPr="00AA7A53">
              <w:rPr>
                <w:rFonts w:ascii="Times New Roman" w:hAnsi="Times New Roman" w:cs="Times New Roman"/>
                <w:sz w:val="20"/>
                <w:szCs w:val="20"/>
                <w:lang w:val="en-GB"/>
              </w:rPr>
              <w:t>ing</w:t>
            </w:r>
            <w:r w:rsidRPr="00AA7A53">
              <w:rPr>
                <w:rFonts w:ascii="Times New Roman" w:hAnsi="Times New Roman" w:cs="Times New Roman"/>
                <w:sz w:val="20"/>
                <w:szCs w:val="20"/>
                <w:lang w:val="en-GB"/>
              </w:rPr>
              <w:t xml:space="preserve"> EE at the supply side (i.e. through the reduction of losses)</w:t>
            </w:r>
          </w:p>
        </w:tc>
      </w:tr>
      <w:tr w:rsidR="00614438" w:rsidRPr="00AA7A53" w14:paraId="27ED36D2" w14:textId="77777777" w:rsidTr="00614438">
        <w:trPr>
          <w:gridAfter w:val="1"/>
          <w:wAfter w:w="1212" w:type="dxa"/>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6C3EC19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01" w:type="dxa"/>
            <w:gridSpan w:val="3"/>
            <w:tcBorders>
              <w:top w:val="single" w:sz="8" w:space="0" w:color="auto"/>
              <w:left w:val="nil"/>
              <w:bottom w:val="single" w:sz="8" w:space="0" w:color="auto"/>
              <w:right w:val="single" w:sz="8" w:space="0" w:color="000000"/>
            </w:tcBorders>
            <w:vAlign w:val="center"/>
            <w:hideMark/>
          </w:tcPr>
          <w:p w14:paraId="3E9652A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Number of smart meters at distribution level</w:t>
            </w:r>
          </w:p>
        </w:tc>
      </w:tr>
      <w:tr w:rsidR="00614438" w:rsidRPr="00AA7A53" w14:paraId="07E96712" w14:textId="77777777" w:rsidTr="00614438">
        <w:trPr>
          <w:gridAfter w:val="1"/>
          <w:wAfter w:w="1212" w:type="dxa"/>
          <w:trHeight w:val="726"/>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525CD69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01" w:type="dxa"/>
            <w:gridSpan w:val="3"/>
            <w:tcBorders>
              <w:top w:val="single" w:sz="8" w:space="0" w:color="auto"/>
              <w:left w:val="nil"/>
              <w:bottom w:val="single" w:sz="8" w:space="0" w:color="auto"/>
              <w:right w:val="single" w:sz="8" w:space="0" w:color="000000"/>
            </w:tcBorders>
            <w:vAlign w:val="center"/>
            <w:hideMark/>
          </w:tcPr>
          <w:p w14:paraId="4EA0BFC2" w14:textId="70AB34EB"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Prior to </w:t>
            </w:r>
            <w:r w:rsidR="00434269" w:rsidRPr="00AA7A53">
              <w:rPr>
                <w:rFonts w:ascii="Times New Roman" w:hAnsi="Times New Roman" w:cs="Times New Roman"/>
                <w:sz w:val="20"/>
                <w:szCs w:val="20"/>
                <w:lang w:val="en-GB"/>
              </w:rPr>
              <w:t>making the</w:t>
            </w:r>
            <w:r w:rsidRPr="00AA7A53">
              <w:rPr>
                <w:rFonts w:ascii="Times New Roman" w:hAnsi="Times New Roman" w:cs="Times New Roman"/>
                <w:sz w:val="20"/>
                <w:szCs w:val="20"/>
                <w:lang w:val="en-GB"/>
              </w:rPr>
              <w:t xml:space="preserve"> decision on introduction of smart meters at gas distribution, a cost-benefit analysis will be conducted to show whether the introduction of smart meters is economically sound</w:t>
            </w:r>
            <w:r w:rsidR="00434269"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especially for households. The analysis to be done should be economic, not financial, that is, to provide data on benefits and costs for the whole society, and not only for the system operator. If the analysis shows that the introduction of smart meters is worthwhile, only th</w:t>
            </w:r>
            <w:r w:rsidR="00434269" w:rsidRPr="00AA7A53">
              <w:rPr>
                <w:rFonts w:ascii="Times New Roman" w:hAnsi="Times New Roman" w:cs="Times New Roman"/>
                <w:sz w:val="20"/>
                <w:szCs w:val="20"/>
                <w:lang w:val="en-GB"/>
              </w:rPr>
              <w:t>e</w:t>
            </w:r>
            <w:r w:rsidRPr="00AA7A53">
              <w:rPr>
                <w:rFonts w:ascii="Times New Roman" w:hAnsi="Times New Roman" w:cs="Times New Roman"/>
                <w:sz w:val="20"/>
                <w:szCs w:val="20"/>
                <w:lang w:val="en-GB"/>
              </w:rPr>
              <w:t xml:space="preserve">n </w:t>
            </w:r>
            <w:r w:rsidR="00434269" w:rsidRPr="00AA7A53">
              <w:rPr>
                <w:rFonts w:ascii="Times New Roman" w:hAnsi="Times New Roman" w:cs="Times New Roman"/>
                <w:sz w:val="20"/>
                <w:szCs w:val="20"/>
                <w:lang w:val="en-GB"/>
              </w:rPr>
              <w:t xml:space="preserve">should </w:t>
            </w:r>
            <w:r w:rsidRPr="00AA7A53">
              <w:rPr>
                <w:rFonts w:ascii="Times New Roman" w:hAnsi="Times New Roman" w:cs="Times New Roman"/>
                <w:sz w:val="20"/>
                <w:szCs w:val="20"/>
                <w:lang w:val="en-GB"/>
              </w:rPr>
              <w:t>the plan for the introduction of smart meters be made. This is in accordance with Directive 2009/73/EC</w:t>
            </w:r>
            <w:r w:rsidR="00434269" w:rsidRPr="00AA7A53">
              <w:rPr>
                <w:rFonts w:ascii="Times New Roman" w:hAnsi="Times New Roman" w:cs="Times New Roman"/>
                <w:sz w:val="20"/>
                <w:szCs w:val="20"/>
                <w:lang w:val="en-GB"/>
              </w:rPr>
              <w:t>.</w:t>
            </w:r>
          </w:p>
        </w:tc>
      </w:tr>
      <w:tr w:rsidR="00614438" w:rsidRPr="00AA7A53" w14:paraId="04F56077" w14:textId="77777777" w:rsidTr="00614438">
        <w:trPr>
          <w:gridAfter w:val="1"/>
          <w:wAfter w:w="1212" w:type="dxa"/>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2023DF1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01" w:type="dxa"/>
            <w:gridSpan w:val="3"/>
            <w:tcBorders>
              <w:top w:val="single" w:sz="8" w:space="0" w:color="auto"/>
              <w:left w:val="nil"/>
              <w:bottom w:val="single" w:sz="8" w:space="0" w:color="auto"/>
              <w:right w:val="single" w:sz="8" w:space="0" w:color="000000"/>
            </w:tcBorders>
            <w:vAlign w:val="center"/>
            <w:hideMark/>
          </w:tcPr>
          <w:p w14:paraId="1B32BFD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2024-2030</w:t>
            </w:r>
          </w:p>
        </w:tc>
      </w:tr>
      <w:tr w:rsidR="00614438" w:rsidRPr="00AA7A53" w14:paraId="2BD4881F" w14:textId="77777777" w:rsidTr="00614438">
        <w:trPr>
          <w:gridAfter w:val="1"/>
          <w:wAfter w:w="1212" w:type="dxa"/>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548256C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01" w:type="dxa"/>
            <w:gridSpan w:val="3"/>
            <w:tcBorders>
              <w:top w:val="single" w:sz="8" w:space="0" w:color="auto"/>
              <w:left w:val="nil"/>
              <w:bottom w:val="single" w:sz="8" w:space="0" w:color="auto"/>
              <w:right w:val="single" w:sz="8" w:space="0" w:color="000000"/>
            </w:tcBorders>
            <w:vAlign w:val="center"/>
            <w:hideMark/>
          </w:tcPr>
          <w:p w14:paraId="2748B85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678959EE" w14:textId="77777777" w:rsidTr="00614438">
        <w:trPr>
          <w:gridAfter w:val="1"/>
          <w:wAfter w:w="1212" w:type="dxa"/>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1376CEA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01" w:type="dxa"/>
            <w:gridSpan w:val="3"/>
            <w:tcBorders>
              <w:top w:val="single" w:sz="8" w:space="0" w:color="auto"/>
              <w:left w:val="nil"/>
              <w:bottom w:val="single" w:sz="8" w:space="0" w:color="auto"/>
              <w:right w:val="single" w:sz="8" w:space="0" w:color="000000"/>
            </w:tcBorders>
            <w:vAlign w:val="center"/>
            <w:hideMark/>
          </w:tcPr>
          <w:p w14:paraId="4FE38C4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Gas</w:t>
            </w:r>
          </w:p>
        </w:tc>
      </w:tr>
      <w:tr w:rsidR="00614438" w:rsidRPr="00AA7A53" w14:paraId="2F99CC94" w14:textId="77777777" w:rsidTr="00614438">
        <w:trPr>
          <w:gridAfter w:val="1"/>
          <w:wAfter w:w="1212" w:type="dxa"/>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1B4BED0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01" w:type="dxa"/>
            <w:gridSpan w:val="3"/>
            <w:tcBorders>
              <w:top w:val="single" w:sz="8" w:space="0" w:color="auto"/>
              <w:left w:val="nil"/>
              <w:bottom w:val="single" w:sz="8" w:space="0" w:color="auto"/>
              <w:right w:val="single" w:sz="8" w:space="0" w:color="000000"/>
            </w:tcBorders>
            <w:vAlign w:val="center"/>
            <w:hideMark/>
          </w:tcPr>
          <w:p w14:paraId="4AD02EA2" w14:textId="77777777" w:rsidR="00614438" w:rsidRPr="00AA7A53" w:rsidRDefault="00614438" w:rsidP="00AA7A53">
            <w:pPr>
              <w:numPr>
                <w:ilvl w:val="0"/>
                <w:numId w:val="153"/>
              </w:numPr>
              <w:spacing w:after="0"/>
              <w:jc w:val="both"/>
              <w:rPr>
                <w:rFonts w:ascii="Times New Roman" w:hAnsi="Times New Roman" w:cs="Times New Roman"/>
                <w:sz w:val="20"/>
                <w:szCs w:val="20"/>
              </w:rPr>
            </w:pPr>
            <w:r w:rsidRPr="00AA7A53">
              <w:rPr>
                <w:rFonts w:ascii="Times New Roman" w:hAnsi="Times New Roman" w:cs="Times New Roman"/>
                <w:sz w:val="20"/>
                <w:szCs w:val="20"/>
              </w:rPr>
              <w:t>Gas distribution system operator</w:t>
            </w:r>
          </w:p>
        </w:tc>
      </w:tr>
      <w:tr w:rsidR="00614438" w:rsidRPr="00AA7A53" w14:paraId="768D69AE" w14:textId="77777777" w:rsidTr="00614438">
        <w:trPr>
          <w:gridAfter w:val="1"/>
          <w:wAfter w:w="1212" w:type="dxa"/>
          <w:trHeight w:val="315"/>
        </w:trPr>
        <w:tc>
          <w:tcPr>
            <w:tcW w:w="3287" w:type="dxa"/>
            <w:tcBorders>
              <w:top w:val="nil"/>
              <w:left w:val="single" w:sz="8" w:space="0" w:color="auto"/>
              <w:bottom w:val="single" w:sz="8" w:space="0" w:color="auto"/>
              <w:right w:val="nil"/>
            </w:tcBorders>
            <w:shd w:val="clear" w:color="auto" w:fill="244062"/>
            <w:vAlign w:val="center"/>
            <w:hideMark/>
          </w:tcPr>
          <w:p w14:paraId="3A4A076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01" w:type="dxa"/>
            <w:gridSpan w:val="3"/>
            <w:tcBorders>
              <w:top w:val="single" w:sz="8" w:space="0" w:color="auto"/>
              <w:left w:val="nil"/>
              <w:bottom w:val="single" w:sz="8" w:space="0" w:color="auto"/>
              <w:right w:val="single" w:sz="8" w:space="0" w:color="000000"/>
            </w:tcBorders>
            <w:vAlign w:val="center"/>
            <w:hideMark/>
          </w:tcPr>
          <w:p w14:paraId="450BF39B" w14:textId="77777777" w:rsidR="00614438" w:rsidRPr="00AA7A53" w:rsidRDefault="00614438" w:rsidP="00AA7A53">
            <w:pPr>
              <w:numPr>
                <w:ilvl w:val="0"/>
                <w:numId w:val="153"/>
              </w:numPr>
              <w:spacing w:after="0"/>
              <w:jc w:val="both"/>
              <w:rPr>
                <w:rFonts w:ascii="Times New Roman" w:hAnsi="Times New Roman" w:cs="Times New Roman"/>
                <w:sz w:val="20"/>
                <w:szCs w:val="20"/>
              </w:rPr>
            </w:pPr>
            <w:r w:rsidRPr="00AA7A53">
              <w:rPr>
                <w:rFonts w:ascii="Times New Roman" w:hAnsi="Times New Roman" w:cs="Times New Roman"/>
                <w:sz w:val="20"/>
                <w:szCs w:val="20"/>
              </w:rPr>
              <w:t> AERS</w:t>
            </w:r>
          </w:p>
        </w:tc>
      </w:tr>
      <w:tr w:rsidR="00614438" w:rsidRPr="00AA7A53" w14:paraId="7E4C7AAD" w14:textId="77777777" w:rsidTr="00614438">
        <w:trPr>
          <w:gridAfter w:val="1"/>
          <w:wAfter w:w="1212" w:type="dxa"/>
          <w:trHeight w:val="315"/>
        </w:trPr>
        <w:tc>
          <w:tcPr>
            <w:tcW w:w="3287" w:type="dxa"/>
            <w:tcBorders>
              <w:top w:val="nil"/>
              <w:left w:val="single" w:sz="8" w:space="0" w:color="auto"/>
              <w:bottom w:val="single" w:sz="8" w:space="0" w:color="auto"/>
              <w:right w:val="nil"/>
            </w:tcBorders>
            <w:shd w:val="clear" w:color="auto" w:fill="244062"/>
            <w:vAlign w:val="center"/>
            <w:hideMark/>
          </w:tcPr>
          <w:p w14:paraId="2A1C396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01" w:type="dxa"/>
            <w:gridSpan w:val="3"/>
            <w:tcBorders>
              <w:top w:val="single" w:sz="8" w:space="0" w:color="auto"/>
              <w:left w:val="nil"/>
              <w:bottom w:val="single" w:sz="8" w:space="0" w:color="auto"/>
              <w:right w:val="single" w:sz="8" w:space="0" w:color="000000"/>
            </w:tcBorders>
            <w:vAlign w:val="center"/>
            <w:hideMark/>
          </w:tcPr>
          <w:p w14:paraId="17D26A8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Number of smart meters installed subject to a positive CBA</w:t>
            </w:r>
          </w:p>
        </w:tc>
      </w:tr>
      <w:tr w:rsidR="00614438" w:rsidRPr="00AA7A53" w14:paraId="2BD0D67F" w14:textId="77777777" w:rsidTr="00614438">
        <w:trPr>
          <w:gridAfter w:val="1"/>
          <w:wAfter w:w="1212" w:type="dxa"/>
          <w:trHeight w:val="467"/>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570B384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01" w:type="dxa"/>
            <w:gridSpan w:val="3"/>
            <w:tcBorders>
              <w:top w:val="single" w:sz="8" w:space="0" w:color="auto"/>
              <w:left w:val="nil"/>
              <w:bottom w:val="single" w:sz="8" w:space="0" w:color="auto"/>
              <w:right w:val="single" w:sz="8" w:space="0" w:color="000000"/>
            </w:tcBorders>
            <w:vAlign w:val="center"/>
            <w:hideMark/>
          </w:tcPr>
          <w:p w14:paraId="647BF31B" w14:textId="77777777" w:rsidR="00614438" w:rsidRPr="00AA7A53" w:rsidRDefault="00614438" w:rsidP="00AA7A53">
            <w:pPr>
              <w:numPr>
                <w:ilvl w:val="0"/>
                <w:numId w:val="153"/>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Efficiency</w:t>
            </w:r>
          </w:p>
          <w:p w14:paraId="022A4CCC" w14:textId="77777777" w:rsidR="00614438" w:rsidRPr="00AA7A53" w:rsidRDefault="00614438" w:rsidP="00AA7A53">
            <w:pPr>
              <w:numPr>
                <w:ilvl w:val="0"/>
                <w:numId w:val="153"/>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tc>
      </w:tr>
      <w:tr w:rsidR="00614438" w:rsidRPr="00AA7A53" w14:paraId="7374EDD1" w14:textId="77777777" w:rsidTr="00614438">
        <w:trPr>
          <w:gridAfter w:val="1"/>
          <w:wAfter w:w="1212" w:type="dxa"/>
          <w:trHeight w:val="458"/>
        </w:trPr>
        <w:tc>
          <w:tcPr>
            <w:tcW w:w="3287" w:type="dxa"/>
            <w:vMerge w:val="restart"/>
            <w:tcBorders>
              <w:top w:val="nil"/>
              <w:left w:val="single" w:sz="8" w:space="0" w:color="auto"/>
              <w:bottom w:val="single" w:sz="8" w:space="0" w:color="000000"/>
              <w:right w:val="single" w:sz="8" w:space="0" w:color="auto"/>
            </w:tcBorders>
            <w:shd w:val="clear" w:color="auto" w:fill="244062"/>
            <w:vAlign w:val="center"/>
            <w:hideMark/>
          </w:tcPr>
          <w:p w14:paraId="05C19C4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0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F9648D4" w14:textId="77777777" w:rsidR="00614438" w:rsidRPr="00AA7A53" w:rsidRDefault="00614438" w:rsidP="00AA7A53">
            <w:pPr>
              <w:numPr>
                <w:ilvl w:val="0"/>
                <w:numId w:val="153"/>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2009/73/EC</w:t>
            </w:r>
          </w:p>
        </w:tc>
      </w:tr>
      <w:tr w:rsidR="00614438" w:rsidRPr="00AA7A53" w14:paraId="17D4F677"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67D44E0E"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6C354EA"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1E9D691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C3ED040"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5FFFF0AC"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8C0CE39"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17B45573"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72934E8B" w14:textId="77777777" w:rsidTr="00614438">
        <w:trPr>
          <w:trHeight w:val="359"/>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10C81F4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01" w:type="dxa"/>
            <w:gridSpan w:val="3"/>
            <w:tcBorders>
              <w:top w:val="single" w:sz="8" w:space="0" w:color="auto"/>
              <w:left w:val="nil"/>
              <w:bottom w:val="single" w:sz="8" w:space="0" w:color="auto"/>
              <w:right w:val="single" w:sz="8" w:space="0" w:color="000000"/>
            </w:tcBorders>
            <w:vAlign w:val="center"/>
            <w:hideMark/>
          </w:tcPr>
          <w:p w14:paraId="68650D0F" w14:textId="77777777" w:rsidR="00614438" w:rsidRPr="00AA7A53" w:rsidRDefault="00614438" w:rsidP="00AA7A53">
            <w:pPr>
              <w:numPr>
                <w:ilvl w:val="0"/>
                <w:numId w:val="153"/>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Law</w:t>
            </w:r>
          </w:p>
        </w:tc>
        <w:tc>
          <w:tcPr>
            <w:tcW w:w="1212" w:type="dxa"/>
            <w:vAlign w:val="center"/>
            <w:hideMark/>
          </w:tcPr>
          <w:p w14:paraId="07B2D49D"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D05159D" w14:textId="77777777" w:rsidTr="00614438">
        <w:trPr>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18391D9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01" w:type="dxa"/>
            <w:gridSpan w:val="3"/>
            <w:tcBorders>
              <w:top w:val="single" w:sz="8" w:space="0" w:color="auto"/>
              <w:left w:val="nil"/>
              <w:bottom w:val="single" w:sz="8" w:space="0" w:color="auto"/>
              <w:right w:val="single" w:sz="8" w:space="0" w:color="000000"/>
            </w:tcBorders>
            <w:vAlign w:val="center"/>
            <w:hideMark/>
          </w:tcPr>
          <w:p w14:paraId="6230DD5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3.5 M€</w:t>
            </w:r>
          </w:p>
        </w:tc>
        <w:tc>
          <w:tcPr>
            <w:tcW w:w="1212" w:type="dxa"/>
            <w:vAlign w:val="center"/>
            <w:hideMark/>
          </w:tcPr>
          <w:p w14:paraId="07A7D78E"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F96B58C" w14:textId="77777777" w:rsidTr="00614438">
        <w:trPr>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571AF64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01" w:type="dxa"/>
            <w:gridSpan w:val="3"/>
            <w:tcBorders>
              <w:top w:val="single" w:sz="8" w:space="0" w:color="auto"/>
              <w:left w:val="nil"/>
              <w:bottom w:val="single" w:sz="8" w:space="0" w:color="auto"/>
              <w:right w:val="single" w:sz="8" w:space="0" w:color="000000"/>
            </w:tcBorders>
            <w:vAlign w:val="center"/>
            <w:hideMark/>
          </w:tcPr>
          <w:p w14:paraId="4066341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own funds</w:t>
            </w:r>
          </w:p>
        </w:tc>
        <w:tc>
          <w:tcPr>
            <w:tcW w:w="1212" w:type="dxa"/>
            <w:vAlign w:val="center"/>
            <w:hideMark/>
          </w:tcPr>
          <w:p w14:paraId="2BE948B3" w14:textId="77777777" w:rsidR="00614438" w:rsidRPr="00AA7A53" w:rsidRDefault="00614438" w:rsidP="00AA7A53">
            <w:pPr>
              <w:spacing w:after="0"/>
              <w:jc w:val="both"/>
              <w:rPr>
                <w:rFonts w:ascii="Times New Roman" w:hAnsi="Times New Roman" w:cs="Times New Roman"/>
                <w:sz w:val="20"/>
                <w:szCs w:val="20"/>
                <w:lang w:val="en-GB"/>
              </w:rPr>
            </w:pPr>
          </w:p>
        </w:tc>
      </w:tr>
    </w:tbl>
    <w:p w14:paraId="43BF9061"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64"/>
        <w:gridCol w:w="1172"/>
        <w:gridCol w:w="930"/>
        <w:gridCol w:w="4122"/>
        <w:gridCol w:w="1212"/>
      </w:tblGrid>
      <w:tr w:rsidR="00614438" w:rsidRPr="00AA7A53" w14:paraId="65F6715C" w14:textId="77777777" w:rsidTr="00614438">
        <w:trPr>
          <w:gridAfter w:val="1"/>
          <w:wAfter w:w="1212" w:type="dxa"/>
          <w:trHeight w:val="780"/>
        </w:trPr>
        <w:tc>
          <w:tcPr>
            <w:tcW w:w="328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712AEE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106" w:type="dxa"/>
            <w:tcBorders>
              <w:top w:val="single" w:sz="8" w:space="0" w:color="auto"/>
              <w:left w:val="nil"/>
              <w:bottom w:val="single" w:sz="8" w:space="0" w:color="auto"/>
              <w:right w:val="single" w:sz="8" w:space="0" w:color="auto"/>
            </w:tcBorders>
            <w:shd w:val="clear" w:color="auto" w:fill="E7E6E6" w:themeFill="background2"/>
            <w:vAlign w:val="center"/>
            <w:hideMark/>
          </w:tcPr>
          <w:p w14:paraId="12CBDF2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PM_IEM17</w:t>
            </w:r>
          </w:p>
        </w:tc>
        <w:tc>
          <w:tcPr>
            <w:tcW w:w="934" w:type="dxa"/>
            <w:tcBorders>
              <w:top w:val="single" w:sz="8" w:space="0" w:color="auto"/>
              <w:left w:val="nil"/>
              <w:bottom w:val="single" w:sz="8" w:space="0" w:color="auto"/>
              <w:right w:val="single" w:sz="8" w:space="0" w:color="auto"/>
            </w:tcBorders>
            <w:shd w:val="clear" w:color="auto" w:fill="244062"/>
            <w:vAlign w:val="center"/>
            <w:hideMark/>
          </w:tcPr>
          <w:p w14:paraId="323DC1B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61" w:type="dxa"/>
            <w:tcBorders>
              <w:top w:val="single" w:sz="8" w:space="0" w:color="auto"/>
              <w:left w:val="nil"/>
              <w:bottom w:val="single" w:sz="8" w:space="0" w:color="auto"/>
              <w:right w:val="single" w:sz="8" w:space="0" w:color="auto"/>
            </w:tcBorders>
            <w:shd w:val="clear" w:color="auto" w:fill="E7E6E6" w:themeFill="background2"/>
            <w:vAlign w:val="center"/>
            <w:hideMark/>
          </w:tcPr>
          <w:p w14:paraId="063CCFA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Development of the regulatory framework for the operation of the “producer-consumer” (prosumer) (Article 169 in accordance to the amendments of the Energy Law and Article 58 to 61 of the Law on the use of RES)</w:t>
            </w:r>
          </w:p>
        </w:tc>
      </w:tr>
      <w:tr w:rsidR="00614438" w:rsidRPr="00AA7A53" w14:paraId="264E365B" w14:textId="77777777" w:rsidTr="00614438">
        <w:trPr>
          <w:gridAfter w:val="1"/>
          <w:wAfter w:w="1212" w:type="dxa"/>
          <w:trHeight w:val="501"/>
        </w:trPr>
        <w:tc>
          <w:tcPr>
            <w:tcW w:w="3287" w:type="dxa"/>
            <w:tcBorders>
              <w:top w:val="nil"/>
              <w:left w:val="single" w:sz="8" w:space="0" w:color="auto"/>
              <w:bottom w:val="single" w:sz="8" w:space="0" w:color="auto"/>
              <w:right w:val="nil"/>
            </w:tcBorders>
            <w:shd w:val="clear" w:color="auto" w:fill="244062"/>
            <w:vAlign w:val="center"/>
            <w:hideMark/>
          </w:tcPr>
          <w:p w14:paraId="3A67CBC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01" w:type="dxa"/>
            <w:gridSpan w:val="3"/>
            <w:tcBorders>
              <w:top w:val="single" w:sz="8" w:space="0" w:color="auto"/>
              <w:left w:val="nil"/>
              <w:bottom w:val="single" w:sz="8" w:space="0" w:color="auto"/>
              <w:right w:val="single" w:sz="8" w:space="0" w:color="000000"/>
            </w:tcBorders>
            <w:vAlign w:val="center"/>
            <w:hideMark/>
          </w:tcPr>
          <w:p w14:paraId="3B00BC8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system flexibility and quality of electricity supply, in particular through policies and measures related to market-based price formation in compliance with applicable law; market integration and coupling, aiming to increase the tradeable capacity of existing interconnectors, smart grids, aggregation, demand response, storage, distributed generation, mechanisms for dispatching, re-dispatching and curtailment and real-time price signals.</w:t>
            </w:r>
          </w:p>
        </w:tc>
      </w:tr>
      <w:tr w:rsidR="00614438" w:rsidRPr="00AA7A53" w14:paraId="2FEF41B2" w14:textId="77777777" w:rsidTr="00614438">
        <w:trPr>
          <w:gridAfter w:val="1"/>
          <w:wAfter w:w="1212" w:type="dxa"/>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2187FF5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01" w:type="dxa"/>
            <w:gridSpan w:val="3"/>
            <w:tcBorders>
              <w:top w:val="single" w:sz="8" w:space="0" w:color="auto"/>
              <w:left w:val="nil"/>
              <w:bottom w:val="single" w:sz="8" w:space="0" w:color="auto"/>
              <w:right w:val="single" w:sz="8" w:space="0" w:color="000000"/>
            </w:tcBorders>
            <w:vAlign w:val="center"/>
            <w:hideMark/>
          </w:tcPr>
          <w:p w14:paraId="795AEAD1" w14:textId="731A02D8"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quality of supply indicators, deployment smart grids, aggregation, demand response services as well as storage and distributed generation</w:t>
            </w:r>
            <w:r w:rsidR="00434269" w:rsidRPr="00AA7A53">
              <w:rPr>
                <w:rFonts w:ascii="Times New Roman" w:hAnsi="Times New Roman" w:cs="Times New Roman"/>
                <w:sz w:val="20"/>
                <w:szCs w:val="20"/>
                <w:lang w:val="en-GB"/>
              </w:rPr>
              <w:t>.</w:t>
            </w:r>
          </w:p>
        </w:tc>
      </w:tr>
      <w:tr w:rsidR="00614438" w:rsidRPr="00AA7A53" w14:paraId="65B80041" w14:textId="77777777" w:rsidTr="00614438">
        <w:trPr>
          <w:gridAfter w:val="1"/>
          <w:wAfter w:w="1212" w:type="dxa"/>
          <w:trHeight w:val="133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08B8278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Description:</w:t>
            </w:r>
          </w:p>
        </w:tc>
        <w:tc>
          <w:tcPr>
            <w:tcW w:w="6201" w:type="dxa"/>
            <w:gridSpan w:val="3"/>
            <w:tcBorders>
              <w:top w:val="single" w:sz="8" w:space="0" w:color="auto"/>
              <w:left w:val="nil"/>
              <w:bottom w:val="single" w:sz="8" w:space="0" w:color="auto"/>
              <w:right w:val="single" w:sz="8" w:space="0" w:color="000000"/>
            </w:tcBorders>
            <w:vAlign w:val="center"/>
            <w:hideMark/>
          </w:tcPr>
          <w:p w14:paraId="1BD2168E" w14:textId="57F0279D"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PM_IEM17 concerns acting on regulatory, financial, technical and policy barriers that currently prevent the market update of self-consumption in</w:t>
            </w:r>
            <w:r w:rsidR="00434269" w:rsidRPr="00AA7A53">
              <w:rPr>
                <w:rFonts w:ascii="Times New Roman" w:hAnsi="Times New Roman" w:cs="Times New Roman"/>
                <w:sz w:val="20"/>
                <w:szCs w:val="20"/>
                <w:lang w:val="en-GB"/>
              </w:rPr>
              <w:t xml:space="preserve"> the Republic of</w:t>
            </w:r>
            <w:r w:rsidRPr="00AA7A53">
              <w:rPr>
                <w:rFonts w:ascii="Times New Roman" w:hAnsi="Times New Roman" w:cs="Times New Roman"/>
                <w:sz w:val="20"/>
                <w:szCs w:val="20"/>
                <w:lang w:val="en-GB"/>
              </w:rPr>
              <w:t xml:space="preserve"> Serbia. In light of changes introduced by </w:t>
            </w:r>
            <w:r w:rsidR="00434269" w:rsidRPr="00AA7A53">
              <w:rPr>
                <w:rFonts w:ascii="Times New Roman" w:hAnsi="Times New Roman" w:cs="Times New Roman"/>
                <w:sz w:val="20"/>
                <w:szCs w:val="20"/>
                <w:lang w:val="en-GB"/>
              </w:rPr>
              <w:t xml:space="preserve">the </w:t>
            </w:r>
            <w:r w:rsidRPr="00AA7A53">
              <w:rPr>
                <w:rFonts w:ascii="Times New Roman" w:hAnsi="Times New Roman" w:cs="Times New Roman"/>
                <w:sz w:val="20"/>
                <w:szCs w:val="20"/>
                <w:lang w:val="en-GB"/>
              </w:rPr>
              <w:t>new legislation</w:t>
            </w:r>
            <w:r w:rsidR="00434269"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bylaws need to be produced in order to implement the recent legal authorisation on prosumers. These shall include technical/quality standards, network connection conditions, tax regime, permitting process and </w:t>
            </w:r>
            <w:r w:rsidR="00434269" w:rsidRPr="00AA7A53">
              <w:rPr>
                <w:rFonts w:ascii="Times New Roman" w:hAnsi="Times New Roman" w:cs="Times New Roman"/>
                <w:sz w:val="20"/>
                <w:szCs w:val="20"/>
                <w:lang w:val="en-GB"/>
              </w:rPr>
              <w:t xml:space="preserve">it shall </w:t>
            </w:r>
            <w:r w:rsidRPr="00AA7A53">
              <w:rPr>
                <w:rFonts w:ascii="Times New Roman" w:hAnsi="Times New Roman" w:cs="Times New Roman"/>
                <w:sz w:val="20"/>
                <w:szCs w:val="20"/>
                <w:lang w:val="en-GB"/>
              </w:rPr>
              <w:t xml:space="preserve">complement </w:t>
            </w:r>
            <w:r w:rsidR="00434269" w:rsidRPr="00AA7A53">
              <w:rPr>
                <w:rFonts w:ascii="Times New Roman" w:hAnsi="Times New Roman" w:cs="Times New Roman"/>
                <w:sz w:val="20"/>
                <w:szCs w:val="20"/>
                <w:lang w:val="en-GB"/>
              </w:rPr>
              <w:t>the</w:t>
            </w:r>
            <w:r w:rsidRPr="00AA7A53">
              <w:rPr>
                <w:rFonts w:ascii="Times New Roman" w:hAnsi="Times New Roman" w:cs="Times New Roman"/>
                <w:sz w:val="20"/>
                <w:szCs w:val="20"/>
                <w:lang w:val="en-GB"/>
              </w:rPr>
              <w:t xml:space="preserve"> implementation of the net-metering by</w:t>
            </w:r>
            <w:r w:rsidR="00434269" w:rsidRPr="00AA7A53">
              <w:rPr>
                <w:rFonts w:ascii="Times New Roman" w:hAnsi="Times New Roman" w:cs="Times New Roman"/>
                <w:sz w:val="20"/>
                <w:szCs w:val="20"/>
                <w:lang w:val="en-GB"/>
              </w:rPr>
              <w:t>-l</w:t>
            </w:r>
            <w:r w:rsidRPr="00AA7A53">
              <w:rPr>
                <w:rFonts w:ascii="Times New Roman" w:hAnsi="Times New Roman" w:cs="Times New Roman"/>
                <w:sz w:val="20"/>
                <w:szCs w:val="20"/>
                <w:lang w:val="en-GB"/>
              </w:rPr>
              <w:t>aws. The introduction of the bylaws for net-metering is already underway.</w:t>
            </w:r>
          </w:p>
        </w:tc>
      </w:tr>
      <w:tr w:rsidR="00614438" w:rsidRPr="00AA7A53" w14:paraId="5227AC61" w14:textId="77777777" w:rsidTr="00614438">
        <w:trPr>
          <w:gridAfter w:val="1"/>
          <w:wAfter w:w="1212" w:type="dxa"/>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5EEEA01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01" w:type="dxa"/>
            <w:gridSpan w:val="3"/>
            <w:tcBorders>
              <w:top w:val="single" w:sz="8" w:space="0" w:color="auto"/>
              <w:left w:val="nil"/>
              <w:bottom w:val="single" w:sz="8" w:space="0" w:color="auto"/>
              <w:right w:val="single" w:sz="8" w:space="0" w:color="000000"/>
            </w:tcBorders>
            <w:vAlign w:val="center"/>
            <w:hideMark/>
          </w:tcPr>
          <w:p w14:paraId="037F9FF2" w14:textId="61849F13" w:rsidR="00614438" w:rsidRPr="00AA7A53" w:rsidRDefault="00434269"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until </w:t>
            </w:r>
            <w:r w:rsidR="00614438" w:rsidRPr="00AA7A53">
              <w:rPr>
                <w:rFonts w:ascii="Times New Roman" w:hAnsi="Times New Roman" w:cs="Times New Roman"/>
                <w:sz w:val="20"/>
                <w:szCs w:val="20"/>
                <w:lang w:val="en-GB"/>
              </w:rPr>
              <w:t>2026</w:t>
            </w:r>
          </w:p>
        </w:tc>
      </w:tr>
      <w:tr w:rsidR="00614438" w:rsidRPr="00AA7A53" w14:paraId="623F69A2" w14:textId="77777777" w:rsidTr="00614438">
        <w:trPr>
          <w:gridAfter w:val="1"/>
          <w:wAfter w:w="1212" w:type="dxa"/>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570CD82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01" w:type="dxa"/>
            <w:gridSpan w:val="3"/>
            <w:tcBorders>
              <w:top w:val="single" w:sz="8" w:space="0" w:color="auto"/>
              <w:left w:val="nil"/>
              <w:bottom w:val="single" w:sz="8" w:space="0" w:color="auto"/>
              <w:right w:val="single" w:sz="8" w:space="0" w:color="000000"/>
            </w:tcBorders>
            <w:vAlign w:val="center"/>
            <w:hideMark/>
          </w:tcPr>
          <w:p w14:paraId="22CE5FD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16F11F21" w14:textId="77777777" w:rsidTr="00614438">
        <w:trPr>
          <w:gridAfter w:val="1"/>
          <w:wAfter w:w="1212" w:type="dxa"/>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35C4645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01" w:type="dxa"/>
            <w:gridSpan w:val="3"/>
            <w:tcBorders>
              <w:top w:val="single" w:sz="8" w:space="0" w:color="auto"/>
              <w:left w:val="nil"/>
              <w:bottom w:val="single" w:sz="8" w:space="0" w:color="auto"/>
              <w:right w:val="single" w:sz="8" w:space="0" w:color="000000"/>
            </w:tcBorders>
            <w:vAlign w:val="center"/>
            <w:hideMark/>
          </w:tcPr>
          <w:p w14:paraId="4A4A141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Residential, public, commercial, industrial</w:t>
            </w:r>
          </w:p>
        </w:tc>
      </w:tr>
      <w:tr w:rsidR="00614438" w:rsidRPr="00AA7A53" w14:paraId="6F3C140D" w14:textId="77777777" w:rsidTr="00614438">
        <w:trPr>
          <w:gridAfter w:val="1"/>
          <w:wAfter w:w="1212" w:type="dxa"/>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3B4402F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01" w:type="dxa"/>
            <w:gridSpan w:val="3"/>
            <w:tcBorders>
              <w:top w:val="single" w:sz="8" w:space="0" w:color="auto"/>
              <w:left w:val="nil"/>
              <w:bottom w:val="single" w:sz="8" w:space="0" w:color="auto"/>
              <w:right w:val="single" w:sz="8" w:space="0" w:color="000000"/>
            </w:tcBorders>
            <w:vAlign w:val="center"/>
            <w:hideMark/>
          </w:tcPr>
          <w:p w14:paraId="3B33811F" w14:textId="77777777" w:rsidR="00614438" w:rsidRPr="00AA7A53" w:rsidRDefault="00614438" w:rsidP="00AA7A53">
            <w:pPr>
              <w:numPr>
                <w:ilvl w:val="0"/>
                <w:numId w:val="152"/>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41ED5A9A" w14:textId="58BE6EAE" w:rsidR="00614438" w:rsidRPr="00AA7A53" w:rsidRDefault="00614438" w:rsidP="00AA7A53">
            <w:pPr>
              <w:numPr>
                <w:ilvl w:val="0"/>
                <w:numId w:val="152"/>
              </w:numPr>
              <w:spacing w:after="0"/>
              <w:jc w:val="both"/>
              <w:rPr>
                <w:rFonts w:ascii="Times New Roman" w:hAnsi="Times New Roman" w:cs="Times New Roman"/>
                <w:sz w:val="20"/>
                <w:szCs w:val="20"/>
                <w:lang w:val="pt-PT"/>
              </w:rPr>
            </w:pPr>
            <w:r w:rsidRPr="00AA7A53">
              <w:rPr>
                <w:rFonts w:ascii="Times New Roman" w:hAnsi="Times New Roman" w:cs="Times New Roman"/>
                <w:sz w:val="20"/>
                <w:szCs w:val="20"/>
                <w:lang w:val="pt-PT"/>
              </w:rPr>
              <w:t xml:space="preserve">Elektrodistribucija </w:t>
            </w:r>
            <w:r w:rsidR="00434269" w:rsidRPr="00AA7A53">
              <w:rPr>
                <w:rFonts w:ascii="Times New Roman" w:hAnsi="Times New Roman" w:cs="Times New Roman"/>
                <w:sz w:val="20"/>
                <w:szCs w:val="20"/>
                <w:lang w:val="pt-PT"/>
              </w:rPr>
              <w:t xml:space="preserve">Srbije ltd. Belgrade </w:t>
            </w:r>
          </w:p>
          <w:p w14:paraId="75FACE24" w14:textId="77777777" w:rsidR="00434269" w:rsidRPr="00AA7A53" w:rsidRDefault="00434269" w:rsidP="00AA7A53">
            <w:pPr>
              <w:numPr>
                <w:ilvl w:val="0"/>
                <w:numId w:val="152"/>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rPr>
              <w:t>JSC “Elektromreza Srbije”</w:t>
            </w:r>
          </w:p>
          <w:p w14:paraId="7216C979" w14:textId="6BB62B84" w:rsidR="00434269" w:rsidRPr="00AA7A53" w:rsidRDefault="00434269" w:rsidP="00AA7A53">
            <w:pPr>
              <w:numPr>
                <w:ilvl w:val="0"/>
                <w:numId w:val="152"/>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rPr>
              <w:t>JSC “Elektroprivreda Srbije”</w:t>
            </w:r>
          </w:p>
        </w:tc>
      </w:tr>
      <w:tr w:rsidR="00614438" w:rsidRPr="00AA7A53" w14:paraId="6ABC03A4" w14:textId="77777777" w:rsidTr="00614438">
        <w:trPr>
          <w:gridAfter w:val="1"/>
          <w:wAfter w:w="1212" w:type="dxa"/>
          <w:trHeight w:val="315"/>
        </w:trPr>
        <w:tc>
          <w:tcPr>
            <w:tcW w:w="3287" w:type="dxa"/>
            <w:tcBorders>
              <w:top w:val="nil"/>
              <w:left w:val="single" w:sz="8" w:space="0" w:color="auto"/>
              <w:bottom w:val="single" w:sz="8" w:space="0" w:color="auto"/>
              <w:right w:val="nil"/>
            </w:tcBorders>
            <w:shd w:val="clear" w:color="auto" w:fill="244062"/>
            <w:vAlign w:val="center"/>
            <w:hideMark/>
          </w:tcPr>
          <w:p w14:paraId="6EDA228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01" w:type="dxa"/>
            <w:gridSpan w:val="3"/>
            <w:tcBorders>
              <w:top w:val="single" w:sz="8" w:space="0" w:color="auto"/>
              <w:left w:val="nil"/>
              <w:bottom w:val="single" w:sz="8" w:space="0" w:color="auto"/>
              <w:right w:val="single" w:sz="8" w:space="0" w:color="000000"/>
            </w:tcBorders>
            <w:vAlign w:val="center"/>
            <w:hideMark/>
          </w:tcPr>
          <w:p w14:paraId="416C1705" w14:textId="77777777" w:rsidR="00614438" w:rsidRPr="00AA7A53" w:rsidRDefault="00614438" w:rsidP="00AA7A53">
            <w:pPr>
              <w:numPr>
                <w:ilvl w:val="0"/>
                <w:numId w:val="152"/>
              </w:numPr>
              <w:spacing w:after="0"/>
              <w:jc w:val="both"/>
              <w:rPr>
                <w:rFonts w:ascii="Times New Roman" w:hAnsi="Times New Roman" w:cs="Times New Roman"/>
                <w:sz w:val="20"/>
                <w:szCs w:val="20"/>
              </w:rPr>
            </w:pPr>
            <w:r w:rsidRPr="00AA7A53">
              <w:rPr>
                <w:rFonts w:ascii="Times New Roman" w:hAnsi="Times New Roman" w:cs="Times New Roman"/>
                <w:sz w:val="20"/>
                <w:szCs w:val="20"/>
              </w:rPr>
              <w:t> Ministry of Mining and Energy</w:t>
            </w:r>
          </w:p>
        </w:tc>
      </w:tr>
      <w:tr w:rsidR="00614438" w:rsidRPr="00AA7A53" w14:paraId="5D12EB6F" w14:textId="77777777" w:rsidTr="00614438">
        <w:trPr>
          <w:gridAfter w:val="1"/>
          <w:wAfter w:w="1212" w:type="dxa"/>
          <w:trHeight w:val="315"/>
        </w:trPr>
        <w:tc>
          <w:tcPr>
            <w:tcW w:w="3287" w:type="dxa"/>
            <w:tcBorders>
              <w:top w:val="nil"/>
              <w:left w:val="single" w:sz="8" w:space="0" w:color="auto"/>
              <w:bottom w:val="single" w:sz="8" w:space="0" w:color="auto"/>
              <w:right w:val="nil"/>
            </w:tcBorders>
            <w:shd w:val="clear" w:color="auto" w:fill="244062"/>
            <w:vAlign w:val="center"/>
            <w:hideMark/>
          </w:tcPr>
          <w:p w14:paraId="49E488D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01" w:type="dxa"/>
            <w:gridSpan w:val="3"/>
            <w:tcBorders>
              <w:top w:val="single" w:sz="8" w:space="0" w:color="auto"/>
              <w:left w:val="nil"/>
              <w:bottom w:val="single" w:sz="8" w:space="0" w:color="auto"/>
              <w:right w:val="single" w:sz="8" w:space="0" w:color="000000"/>
            </w:tcBorders>
            <w:vAlign w:val="center"/>
            <w:hideMark/>
          </w:tcPr>
          <w:p w14:paraId="5F6266E9" w14:textId="08F68101"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Number of connection applications by “producer-consumer” (prosumer) to </w:t>
            </w:r>
            <w:r w:rsidR="00434269" w:rsidRPr="00AA7A53">
              <w:rPr>
                <w:rFonts w:ascii="Times New Roman" w:hAnsi="Times New Roman" w:cs="Times New Roman"/>
                <w:sz w:val="20"/>
                <w:szCs w:val="20"/>
                <w:lang w:val="en-GB"/>
              </w:rPr>
              <w:t>DSO</w:t>
            </w:r>
          </w:p>
        </w:tc>
      </w:tr>
      <w:tr w:rsidR="00614438" w:rsidRPr="00AA7A53" w14:paraId="13A8E9A6" w14:textId="77777777" w:rsidTr="00614438">
        <w:trPr>
          <w:gridAfter w:val="1"/>
          <w:wAfter w:w="1212" w:type="dxa"/>
          <w:trHeight w:val="443"/>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39DEE5A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01" w:type="dxa"/>
            <w:gridSpan w:val="3"/>
            <w:tcBorders>
              <w:top w:val="single" w:sz="8" w:space="0" w:color="auto"/>
              <w:left w:val="nil"/>
              <w:bottom w:val="single" w:sz="8" w:space="0" w:color="auto"/>
              <w:right w:val="single" w:sz="8" w:space="0" w:color="000000"/>
            </w:tcBorders>
            <w:vAlign w:val="center"/>
            <w:hideMark/>
          </w:tcPr>
          <w:p w14:paraId="371D19D3" w14:textId="77777777" w:rsidR="00614438" w:rsidRPr="00AA7A53" w:rsidRDefault="00614438" w:rsidP="00AA7A53">
            <w:pPr>
              <w:numPr>
                <w:ilvl w:val="0"/>
                <w:numId w:val="152"/>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efficiency</w:t>
            </w:r>
          </w:p>
          <w:p w14:paraId="72748B8A" w14:textId="77777777" w:rsidR="00614438" w:rsidRPr="00AA7A53" w:rsidRDefault="00614438" w:rsidP="00AA7A53">
            <w:pPr>
              <w:numPr>
                <w:ilvl w:val="0"/>
                <w:numId w:val="152"/>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Decarbonization</w:t>
            </w:r>
          </w:p>
          <w:p w14:paraId="7C1A2FCE" w14:textId="77777777" w:rsidR="00614438" w:rsidRPr="00AA7A53" w:rsidRDefault="00614438" w:rsidP="00AA7A53">
            <w:pPr>
              <w:numPr>
                <w:ilvl w:val="0"/>
                <w:numId w:val="152"/>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tc>
      </w:tr>
      <w:tr w:rsidR="00614438" w:rsidRPr="00AA7A53" w14:paraId="0932F21D" w14:textId="77777777" w:rsidTr="00614438">
        <w:trPr>
          <w:gridAfter w:val="1"/>
          <w:wAfter w:w="1212" w:type="dxa"/>
          <w:trHeight w:val="458"/>
        </w:trPr>
        <w:tc>
          <w:tcPr>
            <w:tcW w:w="3287" w:type="dxa"/>
            <w:vMerge w:val="restart"/>
            <w:tcBorders>
              <w:top w:val="nil"/>
              <w:left w:val="single" w:sz="8" w:space="0" w:color="auto"/>
              <w:bottom w:val="single" w:sz="8" w:space="0" w:color="000000"/>
              <w:right w:val="single" w:sz="8" w:space="0" w:color="auto"/>
            </w:tcBorders>
            <w:shd w:val="clear" w:color="auto" w:fill="244062"/>
            <w:vAlign w:val="center"/>
            <w:hideMark/>
          </w:tcPr>
          <w:p w14:paraId="521849D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0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08D684D8" w14:textId="77777777" w:rsidR="00614438" w:rsidRPr="00AA7A53" w:rsidRDefault="00614438" w:rsidP="00AA7A53">
            <w:pPr>
              <w:numPr>
                <w:ilvl w:val="0"/>
                <w:numId w:val="152"/>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2009/72/EC</w:t>
            </w:r>
          </w:p>
          <w:p w14:paraId="28B318FA" w14:textId="77777777" w:rsidR="00614438" w:rsidRPr="00AA7A53" w:rsidRDefault="00614438" w:rsidP="00AA7A53">
            <w:pPr>
              <w:numPr>
                <w:ilvl w:val="0"/>
                <w:numId w:val="152"/>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2019/944</w:t>
            </w:r>
          </w:p>
          <w:p w14:paraId="79D205BC" w14:textId="77777777" w:rsidR="00614438" w:rsidRPr="00AA7A53" w:rsidRDefault="00614438" w:rsidP="00AA7A53">
            <w:pPr>
              <w:numPr>
                <w:ilvl w:val="0"/>
                <w:numId w:val="152"/>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2019/943</w:t>
            </w:r>
          </w:p>
        </w:tc>
      </w:tr>
      <w:tr w:rsidR="00614438" w:rsidRPr="00AA7A53" w14:paraId="2AC04B51"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027EFCE9"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CB916DD"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43AEFA2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549B3DC" w14:textId="77777777" w:rsidTr="00614438">
        <w:trPr>
          <w:trHeight w:val="315"/>
        </w:trPr>
        <w:tc>
          <w:tcPr>
            <w:tcW w:w="0" w:type="auto"/>
            <w:vMerge/>
            <w:tcBorders>
              <w:top w:val="nil"/>
              <w:left w:val="single" w:sz="8" w:space="0" w:color="auto"/>
              <w:bottom w:val="single" w:sz="8" w:space="0" w:color="000000"/>
              <w:right w:val="single" w:sz="8" w:space="0" w:color="auto"/>
            </w:tcBorders>
            <w:vAlign w:val="center"/>
            <w:hideMark/>
          </w:tcPr>
          <w:p w14:paraId="2E163A65"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5CAF19C"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75A3BAFF"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241AE82D" w14:textId="77777777" w:rsidTr="00614438">
        <w:trPr>
          <w:trHeight w:val="780"/>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1785D61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01" w:type="dxa"/>
            <w:gridSpan w:val="3"/>
            <w:tcBorders>
              <w:top w:val="single" w:sz="8" w:space="0" w:color="auto"/>
              <w:left w:val="nil"/>
              <w:bottom w:val="single" w:sz="8" w:space="0" w:color="auto"/>
              <w:right w:val="single" w:sz="8" w:space="0" w:color="000000"/>
            </w:tcBorders>
            <w:vAlign w:val="center"/>
            <w:hideMark/>
          </w:tcPr>
          <w:p w14:paraId="0472072C" w14:textId="77777777" w:rsidR="00614438" w:rsidRPr="00AA7A53" w:rsidRDefault="00614438" w:rsidP="00AA7A53">
            <w:pPr>
              <w:numPr>
                <w:ilvl w:val="0"/>
                <w:numId w:val="152"/>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w:t>
            </w:r>
          </w:p>
          <w:p w14:paraId="2589D0EB" w14:textId="77777777" w:rsidR="00614438" w:rsidRPr="00AA7A53" w:rsidRDefault="00614438" w:rsidP="00AA7A53">
            <w:pPr>
              <w:numPr>
                <w:ilvl w:val="0"/>
                <w:numId w:val="152"/>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RES</w:t>
            </w:r>
          </w:p>
          <w:p w14:paraId="3320881C" w14:textId="3CE586DA" w:rsidR="00614438" w:rsidRPr="00AA7A53" w:rsidRDefault="00614438" w:rsidP="00AA7A53">
            <w:pPr>
              <w:numPr>
                <w:ilvl w:val="0"/>
                <w:numId w:val="152"/>
              </w:numPr>
              <w:spacing w:after="0"/>
              <w:jc w:val="both"/>
              <w:rPr>
                <w:rFonts w:ascii="Times New Roman" w:hAnsi="Times New Roman" w:cs="Times New Roman"/>
                <w:sz w:val="20"/>
                <w:szCs w:val="20"/>
              </w:rPr>
            </w:pPr>
            <w:r w:rsidRPr="00AA7A53">
              <w:rPr>
                <w:rFonts w:ascii="Times New Roman" w:hAnsi="Times New Roman" w:cs="Times New Roman"/>
                <w:sz w:val="20"/>
                <w:szCs w:val="20"/>
              </w:rPr>
              <w:t>Decree on criteria, conditions and manner of calculation of receivables and liabilities between prosumers and suppliers</w:t>
            </w:r>
            <w:r w:rsidR="00FC6E13" w:rsidRPr="00AA7A53">
              <w:rPr>
                <w:rFonts w:ascii="Times New Roman" w:hAnsi="Times New Roman" w:cs="Times New Roman"/>
                <w:sz w:val="20"/>
                <w:szCs w:val="20"/>
              </w:rPr>
              <w:t xml:space="preserve"> (“</w:t>
            </w:r>
            <w:r w:rsidR="00FC6E13" w:rsidRPr="00AA7A53">
              <w:rPr>
                <w:rFonts w:ascii="Times New Roman" w:eastAsia="Times New Roman" w:hAnsi="Times New Roman" w:cs="Times New Roman"/>
                <w:color w:val="000000"/>
                <w:sz w:val="20"/>
                <w:szCs w:val="20"/>
                <w:lang w:val="en-GB" w:eastAsia="en-GB"/>
              </w:rPr>
              <w:t>Official Gazette of RS</w:t>
            </w:r>
            <w:r w:rsidR="00FC6E13" w:rsidRPr="00AA7A53">
              <w:rPr>
                <w:rFonts w:ascii="Times New Roman" w:eastAsia="Times New Roman" w:hAnsi="Times New Roman" w:cs="Times New Roman"/>
                <w:color w:val="000000"/>
                <w:sz w:val="20"/>
                <w:szCs w:val="20"/>
                <w:lang w:val="sr-Cyrl-CS" w:eastAsia="en-GB"/>
              </w:rPr>
              <w:t xml:space="preserve">ˮ, </w:t>
            </w:r>
            <w:r w:rsidR="00FC6E13" w:rsidRPr="00AA7A53">
              <w:rPr>
                <w:rFonts w:ascii="Times New Roman" w:eastAsia="Times New Roman" w:hAnsi="Times New Roman" w:cs="Times New Roman"/>
                <w:color w:val="000000"/>
                <w:sz w:val="20"/>
                <w:szCs w:val="20"/>
                <w:lang w:val="en-GB" w:eastAsia="en-GB"/>
              </w:rPr>
              <w:t>no</w:t>
            </w:r>
            <w:r w:rsidR="00FC6E13" w:rsidRPr="00AA7A53">
              <w:rPr>
                <w:rFonts w:ascii="Times New Roman" w:eastAsia="Times New Roman" w:hAnsi="Times New Roman" w:cs="Times New Roman"/>
                <w:color w:val="000000"/>
                <w:sz w:val="20"/>
                <w:szCs w:val="20"/>
                <w:lang w:val="sr-Cyrl-CS" w:eastAsia="en-GB"/>
              </w:rPr>
              <w:t xml:space="preserve">. 83/21 </w:t>
            </w:r>
            <w:r w:rsidR="00FC6E13" w:rsidRPr="00AA7A53">
              <w:rPr>
                <w:rFonts w:ascii="Times New Roman" w:eastAsia="Times New Roman" w:hAnsi="Times New Roman" w:cs="Times New Roman"/>
                <w:color w:val="000000"/>
                <w:sz w:val="20"/>
                <w:szCs w:val="20"/>
                <w:lang w:val="en-GB" w:eastAsia="en-GB"/>
              </w:rPr>
              <w:t>and</w:t>
            </w:r>
            <w:r w:rsidR="00FC6E13" w:rsidRPr="00AA7A53">
              <w:rPr>
                <w:rFonts w:ascii="Times New Roman" w:eastAsia="Times New Roman" w:hAnsi="Times New Roman" w:cs="Times New Roman"/>
                <w:color w:val="000000"/>
                <w:sz w:val="20"/>
                <w:szCs w:val="20"/>
                <w:lang w:val="sr-Cyrl-CS" w:eastAsia="en-GB"/>
              </w:rPr>
              <w:t xml:space="preserve"> 74/22)</w:t>
            </w:r>
          </w:p>
          <w:p w14:paraId="0212719E" w14:textId="494D8ED0" w:rsidR="00614438" w:rsidRPr="00AA7A53" w:rsidRDefault="00614438" w:rsidP="00AA7A53">
            <w:pPr>
              <w:numPr>
                <w:ilvl w:val="0"/>
                <w:numId w:val="152"/>
              </w:numPr>
              <w:spacing w:after="0"/>
              <w:jc w:val="both"/>
              <w:rPr>
                <w:rFonts w:ascii="Times New Roman" w:hAnsi="Times New Roman" w:cs="Times New Roman"/>
                <w:sz w:val="20"/>
                <w:szCs w:val="20"/>
              </w:rPr>
            </w:pPr>
            <w:r w:rsidRPr="00AA7A53">
              <w:rPr>
                <w:rFonts w:ascii="Times New Roman" w:hAnsi="Times New Roman" w:cs="Times New Roman"/>
                <w:sz w:val="20"/>
                <w:szCs w:val="20"/>
              </w:rPr>
              <w:t>Rulebook on calculation of the RES share</w:t>
            </w:r>
            <w:r w:rsidR="00FC6E13" w:rsidRPr="00AA7A53">
              <w:rPr>
                <w:rFonts w:ascii="Times New Roman" w:hAnsi="Times New Roman" w:cs="Times New Roman"/>
                <w:sz w:val="20"/>
                <w:szCs w:val="20"/>
              </w:rPr>
              <w:t xml:space="preserve"> </w:t>
            </w:r>
            <w:r w:rsidR="00FC6E13" w:rsidRPr="00AA7A53">
              <w:rPr>
                <w:rFonts w:ascii="Times New Roman" w:hAnsi="Times New Roman" w:cs="Times New Roman"/>
                <w:color w:val="000000"/>
                <w:sz w:val="20"/>
                <w:szCs w:val="20"/>
                <w:lang w:eastAsia="en-GB"/>
              </w:rPr>
              <w:t>(</w:t>
            </w:r>
            <w:r w:rsidR="00FC6E13" w:rsidRPr="00AA7A53">
              <w:rPr>
                <w:rFonts w:ascii="Times New Roman" w:hAnsi="Times New Roman" w:cs="Times New Roman"/>
                <w:sz w:val="20"/>
                <w:szCs w:val="20"/>
              </w:rPr>
              <w:t>“</w:t>
            </w:r>
            <w:r w:rsidR="00FC6E13" w:rsidRPr="00AA7A53">
              <w:rPr>
                <w:rFonts w:ascii="Times New Roman" w:eastAsia="Times New Roman" w:hAnsi="Times New Roman" w:cs="Times New Roman"/>
                <w:color w:val="000000"/>
                <w:sz w:val="20"/>
                <w:szCs w:val="20"/>
                <w:lang w:val="en-GB" w:eastAsia="en-GB"/>
              </w:rPr>
              <w:t>Official Gazette of RS</w:t>
            </w:r>
            <w:r w:rsidR="00FC6E13" w:rsidRPr="00AA7A53">
              <w:rPr>
                <w:rFonts w:ascii="Times New Roman" w:eastAsia="Times New Roman" w:hAnsi="Times New Roman" w:cs="Times New Roman"/>
                <w:color w:val="000000"/>
                <w:sz w:val="20"/>
                <w:szCs w:val="20"/>
                <w:lang w:val="sr-Cyrl-CS" w:eastAsia="en-GB"/>
              </w:rPr>
              <w:t>ˮ</w:t>
            </w:r>
            <w:r w:rsidR="00FC6E13" w:rsidRPr="00AA7A53">
              <w:rPr>
                <w:rFonts w:ascii="Times New Roman" w:eastAsia="Times New Roman" w:hAnsi="Times New Roman" w:cs="Times New Roman"/>
                <w:color w:val="000000"/>
                <w:sz w:val="20"/>
                <w:szCs w:val="20"/>
                <w:lang w:val="en-GB" w:eastAsia="en-GB"/>
              </w:rPr>
              <w:t>,</w:t>
            </w:r>
            <w:r w:rsidR="00FC6E13" w:rsidRPr="00AA7A53">
              <w:rPr>
                <w:rFonts w:ascii="Times New Roman" w:hAnsi="Times New Roman" w:cs="Times New Roman"/>
                <w:color w:val="000000"/>
                <w:sz w:val="20"/>
                <w:szCs w:val="20"/>
                <w:lang w:eastAsia="en-GB"/>
              </w:rPr>
              <w:t xml:space="preserve"> no. 2/23</w:t>
            </w:r>
            <w:r w:rsidR="00FC6E13" w:rsidRPr="00AA7A53">
              <w:rPr>
                <w:rFonts w:ascii="Times New Roman" w:hAnsi="Times New Roman" w:cs="Times New Roman"/>
                <w:color w:val="000000"/>
                <w:sz w:val="20"/>
                <w:szCs w:val="20"/>
                <w:lang w:val="sr-Cyrl-CS" w:eastAsia="en-GB"/>
              </w:rPr>
              <w:t>)</w:t>
            </w:r>
          </w:p>
          <w:p w14:paraId="189D6CE7" w14:textId="7A8B33C2" w:rsidR="00614438" w:rsidRPr="00AA7A53" w:rsidRDefault="00614438" w:rsidP="00AA7A53">
            <w:pPr>
              <w:numPr>
                <w:ilvl w:val="0"/>
                <w:numId w:val="152"/>
              </w:numPr>
              <w:spacing w:after="0"/>
              <w:jc w:val="both"/>
              <w:rPr>
                <w:rFonts w:ascii="Times New Roman" w:hAnsi="Times New Roman" w:cs="Times New Roman"/>
                <w:sz w:val="20"/>
                <w:szCs w:val="20"/>
              </w:rPr>
            </w:pPr>
            <w:r w:rsidRPr="00AA7A53">
              <w:rPr>
                <w:rFonts w:ascii="Times New Roman" w:hAnsi="Times New Roman" w:cs="Times New Roman"/>
                <w:sz w:val="20"/>
                <w:szCs w:val="20"/>
              </w:rPr>
              <w:t>Rulebook on the Method of Calculation and Showing all shares of energy sources in sold electricity</w:t>
            </w:r>
            <w:r w:rsidR="00FC6E13" w:rsidRPr="00AA7A53">
              <w:rPr>
                <w:rFonts w:ascii="Times New Roman" w:hAnsi="Times New Roman" w:cs="Times New Roman"/>
                <w:sz w:val="20"/>
                <w:szCs w:val="20"/>
              </w:rPr>
              <w:t xml:space="preserve"> </w:t>
            </w:r>
            <w:r w:rsidR="00FC6E13" w:rsidRPr="00AA7A53">
              <w:rPr>
                <w:rFonts w:ascii="Times New Roman" w:eastAsia="Times New Roman" w:hAnsi="Times New Roman" w:cs="Times New Roman"/>
                <w:color w:val="000000"/>
                <w:sz w:val="20"/>
                <w:szCs w:val="20"/>
                <w:lang w:eastAsia="en-GB"/>
              </w:rPr>
              <w:t>(</w:t>
            </w:r>
            <w:r w:rsidR="00FC6E13" w:rsidRPr="00AA7A53">
              <w:rPr>
                <w:rFonts w:ascii="Times New Roman" w:hAnsi="Times New Roman" w:cs="Times New Roman"/>
                <w:sz w:val="20"/>
                <w:szCs w:val="20"/>
              </w:rPr>
              <w:t>“</w:t>
            </w:r>
            <w:r w:rsidR="00FC6E13" w:rsidRPr="00AA7A53">
              <w:rPr>
                <w:rFonts w:ascii="Times New Roman" w:eastAsia="Times New Roman" w:hAnsi="Times New Roman" w:cs="Times New Roman"/>
                <w:color w:val="000000"/>
                <w:sz w:val="20"/>
                <w:szCs w:val="20"/>
                <w:lang w:val="en-GB" w:eastAsia="en-GB"/>
              </w:rPr>
              <w:t>Official Gazette of RS</w:t>
            </w:r>
            <w:r w:rsidR="00FC6E13" w:rsidRPr="00AA7A53">
              <w:rPr>
                <w:rFonts w:ascii="Times New Roman" w:eastAsia="Times New Roman" w:hAnsi="Times New Roman" w:cs="Times New Roman"/>
                <w:color w:val="000000"/>
                <w:sz w:val="20"/>
                <w:szCs w:val="20"/>
                <w:lang w:val="sr-Cyrl-CS" w:eastAsia="en-GB"/>
              </w:rPr>
              <w:t>ˮ</w:t>
            </w:r>
            <w:r w:rsidR="00FC6E13" w:rsidRPr="00AA7A53">
              <w:rPr>
                <w:rFonts w:ascii="Times New Roman" w:eastAsia="Times New Roman" w:hAnsi="Times New Roman" w:cs="Times New Roman"/>
                <w:color w:val="000000"/>
                <w:sz w:val="20"/>
                <w:szCs w:val="20"/>
                <w:lang w:eastAsia="en-GB"/>
              </w:rPr>
              <w:t>, no. 2/23</w:t>
            </w:r>
            <w:r w:rsidR="00FC6E13" w:rsidRPr="00AA7A53">
              <w:rPr>
                <w:rFonts w:ascii="Times New Roman" w:eastAsia="Times New Roman" w:hAnsi="Times New Roman" w:cs="Times New Roman"/>
                <w:color w:val="000000"/>
                <w:sz w:val="20"/>
                <w:szCs w:val="20"/>
                <w:lang w:val="sr-Cyrl-CS" w:eastAsia="en-GB"/>
              </w:rPr>
              <w:t>)</w:t>
            </w:r>
          </w:p>
        </w:tc>
        <w:tc>
          <w:tcPr>
            <w:tcW w:w="1212" w:type="dxa"/>
            <w:vAlign w:val="center"/>
            <w:hideMark/>
          </w:tcPr>
          <w:p w14:paraId="6A679DB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4AD4765" w14:textId="77777777" w:rsidTr="00614438">
        <w:trPr>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3749C6A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01" w:type="dxa"/>
            <w:gridSpan w:val="3"/>
            <w:tcBorders>
              <w:top w:val="single" w:sz="8" w:space="0" w:color="auto"/>
              <w:left w:val="nil"/>
              <w:bottom w:val="single" w:sz="8" w:space="0" w:color="auto"/>
              <w:right w:val="single" w:sz="8" w:space="0" w:color="000000"/>
            </w:tcBorders>
            <w:vAlign w:val="center"/>
            <w:hideMark/>
          </w:tcPr>
          <w:p w14:paraId="24562F3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0.2 M€</w:t>
            </w:r>
          </w:p>
        </w:tc>
        <w:tc>
          <w:tcPr>
            <w:tcW w:w="1212" w:type="dxa"/>
            <w:vAlign w:val="center"/>
            <w:hideMark/>
          </w:tcPr>
          <w:p w14:paraId="195DF5D9"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B4D0A90" w14:textId="77777777" w:rsidTr="00614438">
        <w:trPr>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4698C50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01" w:type="dxa"/>
            <w:gridSpan w:val="3"/>
            <w:tcBorders>
              <w:top w:val="single" w:sz="8" w:space="0" w:color="auto"/>
              <w:left w:val="nil"/>
              <w:bottom w:val="single" w:sz="8" w:space="0" w:color="auto"/>
              <w:right w:val="single" w:sz="8" w:space="0" w:color="000000"/>
            </w:tcBorders>
            <w:vAlign w:val="center"/>
            <w:hideMark/>
          </w:tcPr>
          <w:p w14:paraId="6DCCA25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1212" w:type="dxa"/>
            <w:vAlign w:val="center"/>
            <w:hideMark/>
          </w:tcPr>
          <w:p w14:paraId="5E7CF843" w14:textId="77777777" w:rsidR="00614438" w:rsidRPr="00AA7A53" w:rsidRDefault="00614438" w:rsidP="00AA7A53">
            <w:pPr>
              <w:spacing w:after="0"/>
              <w:jc w:val="both"/>
              <w:rPr>
                <w:rFonts w:ascii="Times New Roman" w:hAnsi="Times New Roman" w:cs="Times New Roman"/>
                <w:sz w:val="20"/>
                <w:szCs w:val="20"/>
                <w:lang w:val="en-GB"/>
              </w:rPr>
            </w:pPr>
          </w:p>
        </w:tc>
      </w:tr>
    </w:tbl>
    <w:p w14:paraId="559B298D"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64"/>
        <w:gridCol w:w="1172"/>
        <w:gridCol w:w="930"/>
        <w:gridCol w:w="4122"/>
        <w:gridCol w:w="1212"/>
      </w:tblGrid>
      <w:tr w:rsidR="00614438" w:rsidRPr="00AA7A53" w14:paraId="4BF4D522" w14:textId="77777777" w:rsidTr="00614438">
        <w:trPr>
          <w:gridAfter w:val="1"/>
          <w:wAfter w:w="1212" w:type="dxa"/>
          <w:trHeight w:val="780"/>
        </w:trPr>
        <w:tc>
          <w:tcPr>
            <w:tcW w:w="328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C95EE2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106" w:type="dxa"/>
            <w:tcBorders>
              <w:top w:val="single" w:sz="8" w:space="0" w:color="auto"/>
              <w:left w:val="nil"/>
              <w:bottom w:val="single" w:sz="8" w:space="0" w:color="auto"/>
              <w:right w:val="single" w:sz="8" w:space="0" w:color="auto"/>
            </w:tcBorders>
            <w:shd w:val="clear" w:color="auto" w:fill="E7E6E6" w:themeFill="background2"/>
            <w:vAlign w:val="center"/>
            <w:hideMark/>
          </w:tcPr>
          <w:p w14:paraId="5EDDFF2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PM_IEM18</w:t>
            </w:r>
          </w:p>
        </w:tc>
        <w:tc>
          <w:tcPr>
            <w:tcW w:w="934" w:type="dxa"/>
            <w:tcBorders>
              <w:top w:val="single" w:sz="8" w:space="0" w:color="auto"/>
              <w:left w:val="nil"/>
              <w:bottom w:val="single" w:sz="8" w:space="0" w:color="auto"/>
              <w:right w:val="single" w:sz="8" w:space="0" w:color="auto"/>
            </w:tcBorders>
            <w:shd w:val="clear" w:color="auto" w:fill="244062"/>
            <w:vAlign w:val="center"/>
            <w:hideMark/>
          </w:tcPr>
          <w:p w14:paraId="05930CE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61" w:type="dxa"/>
            <w:tcBorders>
              <w:top w:val="single" w:sz="8" w:space="0" w:color="auto"/>
              <w:left w:val="nil"/>
              <w:bottom w:val="single" w:sz="8" w:space="0" w:color="auto"/>
              <w:right w:val="single" w:sz="8" w:space="0" w:color="auto"/>
            </w:tcBorders>
            <w:shd w:val="clear" w:color="auto" w:fill="E7E6E6" w:themeFill="background2"/>
            <w:vAlign w:val="center"/>
            <w:hideMark/>
          </w:tcPr>
          <w:p w14:paraId="7562020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Development of the regulatory framework for the operation of the “electricity storage” (Article 169 in accordance to the amendments of the Energy Law)</w:t>
            </w:r>
          </w:p>
        </w:tc>
      </w:tr>
      <w:tr w:rsidR="00614438" w:rsidRPr="00AA7A53" w14:paraId="3829E627" w14:textId="77777777" w:rsidTr="00614438">
        <w:trPr>
          <w:gridAfter w:val="1"/>
          <w:wAfter w:w="1212" w:type="dxa"/>
          <w:trHeight w:val="960"/>
        </w:trPr>
        <w:tc>
          <w:tcPr>
            <w:tcW w:w="3287" w:type="dxa"/>
            <w:tcBorders>
              <w:top w:val="nil"/>
              <w:left w:val="single" w:sz="8" w:space="0" w:color="auto"/>
              <w:bottom w:val="single" w:sz="8" w:space="0" w:color="auto"/>
              <w:right w:val="nil"/>
            </w:tcBorders>
            <w:shd w:val="clear" w:color="auto" w:fill="244062"/>
            <w:vAlign w:val="center"/>
            <w:hideMark/>
          </w:tcPr>
          <w:p w14:paraId="0AA1464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01" w:type="dxa"/>
            <w:gridSpan w:val="3"/>
            <w:tcBorders>
              <w:top w:val="single" w:sz="8" w:space="0" w:color="auto"/>
              <w:left w:val="nil"/>
              <w:bottom w:val="single" w:sz="8" w:space="0" w:color="auto"/>
              <w:right w:val="single" w:sz="8" w:space="0" w:color="000000"/>
            </w:tcBorders>
            <w:vAlign w:val="center"/>
            <w:hideMark/>
          </w:tcPr>
          <w:p w14:paraId="6812E6B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system flexibility and quality of electricity supply, in particular through policies and measures related to market-based price formation in compliance with applicable law; market integration and coupling, aiming to increase the tradeable capacity of existing interconnectors, smart grids, aggregation, demand response, storage, distributed generation, mechanisms for dispatching, re-dispatching and curtailment and real-time price signals.</w:t>
            </w:r>
          </w:p>
        </w:tc>
      </w:tr>
      <w:tr w:rsidR="00614438" w:rsidRPr="00AA7A53" w14:paraId="05670177" w14:textId="77777777" w:rsidTr="00614438">
        <w:trPr>
          <w:gridAfter w:val="1"/>
          <w:wAfter w:w="1212" w:type="dxa"/>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3A6F40A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01" w:type="dxa"/>
            <w:gridSpan w:val="3"/>
            <w:tcBorders>
              <w:top w:val="single" w:sz="8" w:space="0" w:color="auto"/>
              <w:left w:val="nil"/>
              <w:bottom w:val="single" w:sz="8" w:space="0" w:color="auto"/>
              <w:right w:val="single" w:sz="8" w:space="0" w:color="000000"/>
            </w:tcBorders>
            <w:vAlign w:val="center"/>
            <w:hideMark/>
          </w:tcPr>
          <w:p w14:paraId="59113D3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quality of supply indicators, deployment smart grids, aggregation, demand response services as well as storage and distributed generation</w:t>
            </w:r>
          </w:p>
        </w:tc>
      </w:tr>
      <w:tr w:rsidR="00614438" w:rsidRPr="00AA7A53" w14:paraId="38500904" w14:textId="77777777" w:rsidTr="00614438">
        <w:trPr>
          <w:gridAfter w:val="1"/>
          <w:wAfter w:w="1212" w:type="dxa"/>
          <w:trHeight w:val="443"/>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5BAFDD7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01" w:type="dxa"/>
            <w:gridSpan w:val="3"/>
            <w:tcBorders>
              <w:top w:val="single" w:sz="8" w:space="0" w:color="auto"/>
              <w:left w:val="nil"/>
              <w:bottom w:val="single" w:sz="8" w:space="0" w:color="auto"/>
              <w:right w:val="single" w:sz="8" w:space="0" w:color="000000"/>
            </w:tcBorders>
            <w:vAlign w:val="center"/>
            <w:hideMark/>
          </w:tcPr>
          <w:p w14:paraId="04CFF0A8" w14:textId="4B49AC43"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PM_IEM18 regards the regulatory framework of electricity storage as a whole. The European CEP, approved in May 2019, which ha</w:t>
            </w:r>
            <w:r w:rsidR="00FC6E13" w:rsidRPr="00AA7A53">
              <w:rPr>
                <w:rFonts w:ascii="Times New Roman" w:hAnsi="Times New Roman" w:cs="Times New Roman"/>
                <w:sz w:val="20"/>
                <w:szCs w:val="20"/>
                <w:lang w:val="en-GB"/>
              </w:rPr>
              <w:t>s</w:t>
            </w:r>
            <w:r w:rsidRPr="00AA7A53">
              <w:rPr>
                <w:rFonts w:ascii="Times New Roman" w:hAnsi="Times New Roman" w:cs="Times New Roman"/>
                <w:sz w:val="20"/>
                <w:szCs w:val="20"/>
                <w:lang w:val="en-GB"/>
              </w:rPr>
              <w:t xml:space="preserve"> yet to be codified in national legislation</w:t>
            </w:r>
            <w:r w:rsidR="00FC6E13" w:rsidRPr="00AA7A53">
              <w:rPr>
                <w:rFonts w:ascii="Times New Roman" w:hAnsi="Times New Roman" w:cs="Times New Roman"/>
                <w:sz w:val="20"/>
                <w:szCs w:val="20"/>
                <w:lang w:val="en-GB"/>
              </w:rPr>
              <w:t>, allows transmission and distribution operators to own and operate storage only under exceptional circumstances</w:t>
            </w:r>
            <w:r w:rsidRPr="00AA7A53">
              <w:rPr>
                <w:rFonts w:ascii="Times New Roman" w:hAnsi="Times New Roman" w:cs="Times New Roman"/>
                <w:sz w:val="20"/>
                <w:szCs w:val="20"/>
                <w:lang w:val="en-GB"/>
              </w:rPr>
              <w:t xml:space="preserve">. </w:t>
            </w:r>
            <w:r w:rsidRPr="00AA7A53">
              <w:rPr>
                <w:rFonts w:ascii="Times New Roman" w:hAnsi="Times New Roman" w:cs="Times New Roman"/>
                <w:sz w:val="20"/>
                <w:szCs w:val="20"/>
                <w:lang w:val="en-GB"/>
              </w:rPr>
              <w:lastRenderedPageBreak/>
              <w:t>Electricity storage can provide services to electricity grids, including transmission and distribution deferral, together with flexibility and energy and capacity services in balancing markets.</w:t>
            </w:r>
          </w:p>
        </w:tc>
      </w:tr>
      <w:tr w:rsidR="00614438" w:rsidRPr="00AA7A53" w14:paraId="65F9C9EF" w14:textId="77777777" w:rsidTr="00614438">
        <w:trPr>
          <w:gridAfter w:val="1"/>
          <w:wAfter w:w="1212" w:type="dxa"/>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7176A9D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Implementation Timeframe</w:t>
            </w:r>
          </w:p>
        </w:tc>
        <w:tc>
          <w:tcPr>
            <w:tcW w:w="6201" w:type="dxa"/>
            <w:gridSpan w:val="3"/>
            <w:tcBorders>
              <w:top w:val="single" w:sz="8" w:space="0" w:color="auto"/>
              <w:left w:val="nil"/>
              <w:bottom w:val="single" w:sz="8" w:space="0" w:color="auto"/>
              <w:right w:val="single" w:sz="8" w:space="0" w:color="000000"/>
            </w:tcBorders>
            <w:vAlign w:val="center"/>
            <w:hideMark/>
          </w:tcPr>
          <w:p w14:paraId="705E1FE0" w14:textId="30692FD8"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FC6E13"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420FEF97" w14:textId="77777777" w:rsidTr="00614438">
        <w:trPr>
          <w:gridAfter w:val="1"/>
          <w:wAfter w:w="1212" w:type="dxa"/>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3AC4D5E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01" w:type="dxa"/>
            <w:gridSpan w:val="3"/>
            <w:tcBorders>
              <w:top w:val="single" w:sz="8" w:space="0" w:color="auto"/>
              <w:left w:val="nil"/>
              <w:bottom w:val="single" w:sz="8" w:space="0" w:color="auto"/>
              <w:right w:val="single" w:sz="8" w:space="0" w:color="000000"/>
            </w:tcBorders>
            <w:vAlign w:val="center"/>
            <w:hideMark/>
          </w:tcPr>
          <w:p w14:paraId="2C4DDC7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01B8B7C0" w14:textId="77777777" w:rsidTr="00614438">
        <w:trPr>
          <w:gridAfter w:val="1"/>
          <w:wAfter w:w="1212" w:type="dxa"/>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7867415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01" w:type="dxa"/>
            <w:gridSpan w:val="3"/>
            <w:tcBorders>
              <w:top w:val="single" w:sz="8" w:space="0" w:color="auto"/>
              <w:left w:val="nil"/>
              <w:bottom w:val="single" w:sz="8" w:space="0" w:color="auto"/>
              <w:right w:val="single" w:sz="8" w:space="0" w:color="000000"/>
            </w:tcBorders>
            <w:vAlign w:val="center"/>
            <w:hideMark/>
          </w:tcPr>
          <w:p w14:paraId="2C422CA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Residential, public, commercial, industrial</w:t>
            </w:r>
          </w:p>
        </w:tc>
      </w:tr>
      <w:tr w:rsidR="00614438" w:rsidRPr="00AA7A53" w14:paraId="2E1E1D5A" w14:textId="77777777" w:rsidTr="00614438">
        <w:trPr>
          <w:gridAfter w:val="1"/>
          <w:wAfter w:w="1212" w:type="dxa"/>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266DFE7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01" w:type="dxa"/>
            <w:gridSpan w:val="3"/>
            <w:tcBorders>
              <w:top w:val="single" w:sz="8" w:space="0" w:color="auto"/>
              <w:left w:val="nil"/>
              <w:bottom w:val="single" w:sz="8" w:space="0" w:color="auto"/>
              <w:right w:val="single" w:sz="8" w:space="0" w:color="000000"/>
            </w:tcBorders>
            <w:vAlign w:val="center"/>
            <w:hideMark/>
          </w:tcPr>
          <w:p w14:paraId="64C8F506" w14:textId="77777777" w:rsidR="00614438" w:rsidRPr="00AA7A53" w:rsidRDefault="00614438" w:rsidP="00AA7A53">
            <w:pPr>
              <w:numPr>
                <w:ilvl w:val="0"/>
                <w:numId w:val="154"/>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w:t>
            </w:r>
          </w:p>
          <w:p w14:paraId="0C6CE271" w14:textId="77777777" w:rsidR="00614438" w:rsidRPr="00AA7A53" w:rsidRDefault="00614438" w:rsidP="00AA7A53">
            <w:pPr>
              <w:numPr>
                <w:ilvl w:val="0"/>
                <w:numId w:val="154"/>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1C20460A" w14:textId="23BBE36E" w:rsidR="00614438" w:rsidRPr="00AA7A53" w:rsidRDefault="00FC6E13" w:rsidP="00AA7A53">
            <w:pPr>
              <w:numPr>
                <w:ilvl w:val="0"/>
                <w:numId w:val="154"/>
              </w:numPr>
              <w:spacing w:after="0"/>
              <w:jc w:val="both"/>
              <w:rPr>
                <w:rFonts w:ascii="Times New Roman" w:hAnsi="Times New Roman" w:cs="Times New Roman"/>
                <w:sz w:val="20"/>
                <w:szCs w:val="20"/>
              </w:rPr>
            </w:pPr>
            <w:r w:rsidRPr="00AA7A53">
              <w:rPr>
                <w:rFonts w:ascii="Times New Roman" w:hAnsi="Times New Roman" w:cs="Times New Roman"/>
                <w:sz w:val="20"/>
                <w:szCs w:val="20"/>
              </w:rPr>
              <w:t>Elektrodistribuja ltd. Belgrade</w:t>
            </w:r>
          </w:p>
          <w:p w14:paraId="5F5EA9C9" w14:textId="7A10B6D8" w:rsidR="00FC6E13" w:rsidRPr="00AA7A53" w:rsidRDefault="00FC6E13" w:rsidP="00AA7A53">
            <w:pPr>
              <w:numPr>
                <w:ilvl w:val="0"/>
                <w:numId w:val="152"/>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rPr>
              <w:t>JSC “Elektromreza Srbije”</w:t>
            </w:r>
          </w:p>
          <w:p w14:paraId="1D2BA322" w14:textId="4DA45AA3" w:rsidR="00614438" w:rsidRPr="00AA7A53" w:rsidRDefault="00FC6E13" w:rsidP="00AA7A53">
            <w:pPr>
              <w:numPr>
                <w:ilvl w:val="0"/>
                <w:numId w:val="154"/>
              </w:numPr>
              <w:spacing w:after="0"/>
              <w:jc w:val="both"/>
              <w:rPr>
                <w:rFonts w:ascii="Times New Roman" w:hAnsi="Times New Roman" w:cs="Times New Roman"/>
                <w:sz w:val="20"/>
                <w:szCs w:val="20"/>
              </w:rPr>
            </w:pPr>
            <w:r w:rsidRPr="00AA7A53">
              <w:rPr>
                <w:rFonts w:ascii="Times New Roman" w:hAnsi="Times New Roman" w:cs="Times New Roman"/>
                <w:sz w:val="20"/>
                <w:szCs w:val="20"/>
              </w:rPr>
              <w:t>JSC “Elektroprivreda Srbije”</w:t>
            </w:r>
          </w:p>
        </w:tc>
      </w:tr>
      <w:tr w:rsidR="00614438" w:rsidRPr="00AA7A53" w14:paraId="033BD186" w14:textId="77777777" w:rsidTr="00614438">
        <w:trPr>
          <w:gridAfter w:val="1"/>
          <w:wAfter w:w="1212" w:type="dxa"/>
          <w:trHeight w:val="315"/>
        </w:trPr>
        <w:tc>
          <w:tcPr>
            <w:tcW w:w="3287" w:type="dxa"/>
            <w:tcBorders>
              <w:top w:val="nil"/>
              <w:left w:val="single" w:sz="8" w:space="0" w:color="auto"/>
              <w:bottom w:val="single" w:sz="8" w:space="0" w:color="auto"/>
              <w:right w:val="nil"/>
            </w:tcBorders>
            <w:shd w:val="clear" w:color="auto" w:fill="244062"/>
            <w:vAlign w:val="center"/>
            <w:hideMark/>
          </w:tcPr>
          <w:p w14:paraId="5458E2E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01" w:type="dxa"/>
            <w:gridSpan w:val="3"/>
            <w:tcBorders>
              <w:top w:val="single" w:sz="8" w:space="0" w:color="auto"/>
              <w:left w:val="nil"/>
              <w:bottom w:val="single" w:sz="8" w:space="0" w:color="auto"/>
              <w:right w:val="single" w:sz="8" w:space="0" w:color="000000"/>
            </w:tcBorders>
            <w:vAlign w:val="center"/>
            <w:hideMark/>
          </w:tcPr>
          <w:p w14:paraId="7105B69E" w14:textId="77777777" w:rsidR="00614438" w:rsidRPr="00AA7A53" w:rsidRDefault="00614438" w:rsidP="00AA7A53">
            <w:pPr>
              <w:numPr>
                <w:ilvl w:val="0"/>
                <w:numId w:val="154"/>
              </w:numPr>
              <w:spacing w:after="0"/>
              <w:jc w:val="both"/>
              <w:rPr>
                <w:rFonts w:ascii="Times New Roman" w:hAnsi="Times New Roman" w:cs="Times New Roman"/>
                <w:sz w:val="20"/>
                <w:szCs w:val="20"/>
              </w:rPr>
            </w:pPr>
            <w:r w:rsidRPr="00AA7A53">
              <w:rPr>
                <w:rFonts w:ascii="Times New Roman" w:hAnsi="Times New Roman" w:cs="Times New Roman"/>
                <w:sz w:val="20"/>
                <w:szCs w:val="20"/>
              </w:rPr>
              <w:t> Ministry of Mining and Energy</w:t>
            </w:r>
          </w:p>
        </w:tc>
      </w:tr>
      <w:tr w:rsidR="00614438" w:rsidRPr="00AA7A53" w14:paraId="0670306A" w14:textId="77777777" w:rsidTr="00614438">
        <w:trPr>
          <w:gridAfter w:val="1"/>
          <w:wAfter w:w="1212" w:type="dxa"/>
          <w:trHeight w:val="315"/>
        </w:trPr>
        <w:tc>
          <w:tcPr>
            <w:tcW w:w="3287" w:type="dxa"/>
            <w:tcBorders>
              <w:top w:val="nil"/>
              <w:left w:val="single" w:sz="8" w:space="0" w:color="auto"/>
              <w:bottom w:val="single" w:sz="8" w:space="0" w:color="auto"/>
              <w:right w:val="nil"/>
            </w:tcBorders>
            <w:shd w:val="clear" w:color="auto" w:fill="244062"/>
            <w:vAlign w:val="center"/>
            <w:hideMark/>
          </w:tcPr>
          <w:p w14:paraId="28E1BA8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01" w:type="dxa"/>
            <w:gridSpan w:val="3"/>
            <w:tcBorders>
              <w:top w:val="single" w:sz="8" w:space="0" w:color="auto"/>
              <w:left w:val="nil"/>
              <w:bottom w:val="single" w:sz="8" w:space="0" w:color="auto"/>
              <w:right w:val="single" w:sz="8" w:space="0" w:color="000000"/>
            </w:tcBorders>
            <w:vAlign w:val="center"/>
            <w:hideMark/>
          </w:tcPr>
          <w:p w14:paraId="76BE87E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Storage capacity (MWh) added at both the transmission and distribution grids as well as behind the meter.</w:t>
            </w:r>
          </w:p>
        </w:tc>
      </w:tr>
      <w:tr w:rsidR="00614438" w:rsidRPr="00AA7A53" w14:paraId="4666406E" w14:textId="77777777" w:rsidTr="00614438">
        <w:trPr>
          <w:gridAfter w:val="1"/>
          <w:wAfter w:w="1212" w:type="dxa"/>
          <w:trHeight w:val="482"/>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18FE0C4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01" w:type="dxa"/>
            <w:gridSpan w:val="3"/>
            <w:tcBorders>
              <w:top w:val="single" w:sz="8" w:space="0" w:color="auto"/>
              <w:left w:val="nil"/>
              <w:bottom w:val="single" w:sz="8" w:space="0" w:color="auto"/>
              <w:right w:val="single" w:sz="8" w:space="0" w:color="000000"/>
            </w:tcBorders>
            <w:vAlign w:val="center"/>
            <w:hideMark/>
          </w:tcPr>
          <w:p w14:paraId="6529DB5A" w14:textId="77777777" w:rsidR="00614438" w:rsidRPr="00AA7A53" w:rsidRDefault="00614438" w:rsidP="00AA7A53">
            <w:pPr>
              <w:numPr>
                <w:ilvl w:val="0"/>
                <w:numId w:val="154"/>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p w14:paraId="11D10A8D" w14:textId="77777777" w:rsidR="00614438" w:rsidRPr="00AA7A53" w:rsidRDefault="00614438" w:rsidP="00AA7A53">
            <w:pPr>
              <w:numPr>
                <w:ilvl w:val="0"/>
                <w:numId w:val="154"/>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p w14:paraId="1B8E8A8F" w14:textId="77777777" w:rsidR="00614438" w:rsidRPr="00AA7A53" w:rsidRDefault="00614438" w:rsidP="00AA7A53">
            <w:pPr>
              <w:numPr>
                <w:ilvl w:val="0"/>
                <w:numId w:val="154"/>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Efficiency</w:t>
            </w:r>
          </w:p>
        </w:tc>
      </w:tr>
      <w:tr w:rsidR="00614438" w:rsidRPr="00AA7A53" w14:paraId="54A7F8A8" w14:textId="77777777" w:rsidTr="00614438">
        <w:trPr>
          <w:gridAfter w:val="1"/>
          <w:wAfter w:w="1212" w:type="dxa"/>
          <w:trHeight w:val="458"/>
        </w:trPr>
        <w:tc>
          <w:tcPr>
            <w:tcW w:w="3287" w:type="dxa"/>
            <w:vMerge w:val="restart"/>
            <w:tcBorders>
              <w:top w:val="nil"/>
              <w:left w:val="single" w:sz="8" w:space="0" w:color="auto"/>
              <w:bottom w:val="single" w:sz="8" w:space="0" w:color="000000"/>
              <w:right w:val="single" w:sz="8" w:space="0" w:color="auto"/>
            </w:tcBorders>
            <w:shd w:val="clear" w:color="auto" w:fill="244062"/>
            <w:vAlign w:val="center"/>
            <w:hideMark/>
          </w:tcPr>
          <w:p w14:paraId="5BC2837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0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0396AD4" w14:textId="77777777" w:rsidR="00614438" w:rsidRPr="00AA7A53" w:rsidRDefault="00614438" w:rsidP="00AA7A53">
            <w:pPr>
              <w:numPr>
                <w:ilvl w:val="0"/>
                <w:numId w:val="155"/>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2009/72/EC</w:t>
            </w:r>
          </w:p>
          <w:p w14:paraId="45C42C9E" w14:textId="77777777" w:rsidR="00614438" w:rsidRPr="00AA7A53" w:rsidRDefault="00614438" w:rsidP="00AA7A53">
            <w:pPr>
              <w:numPr>
                <w:ilvl w:val="0"/>
                <w:numId w:val="155"/>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2019/944</w:t>
            </w:r>
          </w:p>
          <w:p w14:paraId="11F08EEE" w14:textId="77777777" w:rsidR="00614438" w:rsidRPr="00AA7A53" w:rsidRDefault="00614438" w:rsidP="00AA7A53">
            <w:pPr>
              <w:numPr>
                <w:ilvl w:val="0"/>
                <w:numId w:val="155"/>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2019/943</w:t>
            </w:r>
          </w:p>
        </w:tc>
      </w:tr>
      <w:tr w:rsidR="00614438" w:rsidRPr="00AA7A53" w14:paraId="682D05E1"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4AFB27B6"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02F536D"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52A03C1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ECA3BA0" w14:textId="77777777" w:rsidTr="00614438">
        <w:trPr>
          <w:trHeight w:val="315"/>
        </w:trPr>
        <w:tc>
          <w:tcPr>
            <w:tcW w:w="0" w:type="auto"/>
            <w:vMerge/>
            <w:tcBorders>
              <w:top w:val="nil"/>
              <w:left w:val="single" w:sz="8" w:space="0" w:color="auto"/>
              <w:bottom w:val="single" w:sz="8" w:space="0" w:color="000000"/>
              <w:right w:val="single" w:sz="8" w:space="0" w:color="auto"/>
            </w:tcBorders>
            <w:vAlign w:val="center"/>
            <w:hideMark/>
          </w:tcPr>
          <w:p w14:paraId="2247814D"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C38246A"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00D9CE41"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4E6A0B29" w14:textId="77777777" w:rsidTr="00614438">
        <w:trPr>
          <w:trHeight w:val="548"/>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6F5E42D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01" w:type="dxa"/>
            <w:gridSpan w:val="3"/>
            <w:tcBorders>
              <w:top w:val="single" w:sz="8" w:space="0" w:color="auto"/>
              <w:left w:val="nil"/>
              <w:bottom w:val="single" w:sz="8" w:space="0" w:color="auto"/>
              <w:right w:val="single" w:sz="8" w:space="0" w:color="000000"/>
            </w:tcBorders>
            <w:vAlign w:val="center"/>
            <w:hideMark/>
          </w:tcPr>
          <w:p w14:paraId="0E361B21" w14:textId="77777777" w:rsidR="00614438" w:rsidRPr="00AA7A53" w:rsidRDefault="00614438" w:rsidP="00AA7A53">
            <w:pPr>
              <w:numPr>
                <w:ilvl w:val="0"/>
                <w:numId w:val="156"/>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w:t>
            </w:r>
          </w:p>
        </w:tc>
        <w:tc>
          <w:tcPr>
            <w:tcW w:w="1212" w:type="dxa"/>
            <w:vAlign w:val="center"/>
            <w:hideMark/>
          </w:tcPr>
          <w:p w14:paraId="4CBB745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F83A55C" w14:textId="77777777" w:rsidTr="00614438">
        <w:trPr>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553B058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01" w:type="dxa"/>
            <w:gridSpan w:val="3"/>
            <w:tcBorders>
              <w:top w:val="single" w:sz="8" w:space="0" w:color="auto"/>
              <w:left w:val="nil"/>
              <w:bottom w:val="single" w:sz="8" w:space="0" w:color="auto"/>
              <w:right w:val="single" w:sz="8" w:space="0" w:color="000000"/>
            </w:tcBorders>
            <w:vAlign w:val="center"/>
            <w:hideMark/>
          </w:tcPr>
          <w:p w14:paraId="544FD98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0.2 M€</w:t>
            </w:r>
          </w:p>
        </w:tc>
        <w:tc>
          <w:tcPr>
            <w:tcW w:w="1212" w:type="dxa"/>
            <w:vAlign w:val="center"/>
            <w:hideMark/>
          </w:tcPr>
          <w:p w14:paraId="1658961D"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47241D6" w14:textId="77777777" w:rsidTr="00614438">
        <w:trPr>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586B978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01" w:type="dxa"/>
            <w:gridSpan w:val="3"/>
            <w:tcBorders>
              <w:top w:val="single" w:sz="8" w:space="0" w:color="auto"/>
              <w:left w:val="nil"/>
              <w:bottom w:val="single" w:sz="8" w:space="0" w:color="auto"/>
              <w:right w:val="single" w:sz="8" w:space="0" w:color="000000"/>
            </w:tcBorders>
            <w:vAlign w:val="center"/>
            <w:hideMark/>
          </w:tcPr>
          <w:p w14:paraId="32A21A5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1212" w:type="dxa"/>
            <w:vAlign w:val="center"/>
            <w:hideMark/>
          </w:tcPr>
          <w:p w14:paraId="0FD89FAC" w14:textId="77777777" w:rsidR="00614438" w:rsidRPr="00AA7A53" w:rsidRDefault="00614438" w:rsidP="00AA7A53">
            <w:pPr>
              <w:spacing w:after="0"/>
              <w:jc w:val="both"/>
              <w:rPr>
                <w:rFonts w:ascii="Times New Roman" w:hAnsi="Times New Roman" w:cs="Times New Roman"/>
                <w:sz w:val="20"/>
                <w:szCs w:val="20"/>
                <w:lang w:val="en-GB"/>
              </w:rPr>
            </w:pPr>
          </w:p>
        </w:tc>
      </w:tr>
    </w:tbl>
    <w:p w14:paraId="2E5452A2"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64"/>
        <w:gridCol w:w="1172"/>
        <w:gridCol w:w="930"/>
        <w:gridCol w:w="4122"/>
        <w:gridCol w:w="1212"/>
      </w:tblGrid>
      <w:tr w:rsidR="00614438" w:rsidRPr="00AA7A53" w14:paraId="4EDC1033" w14:textId="77777777" w:rsidTr="00614438">
        <w:trPr>
          <w:gridAfter w:val="1"/>
          <w:wAfter w:w="1212" w:type="dxa"/>
          <w:trHeight w:val="780"/>
        </w:trPr>
        <w:tc>
          <w:tcPr>
            <w:tcW w:w="328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73F2EAE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106" w:type="dxa"/>
            <w:tcBorders>
              <w:top w:val="single" w:sz="8" w:space="0" w:color="auto"/>
              <w:left w:val="nil"/>
              <w:bottom w:val="single" w:sz="8" w:space="0" w:color="auto"/>
              <w:right w:val="single" w:sz="8" w:space="0" w:color="auto"/>
            </w:tcBorders>
            <w:shd w:val="clear" w:color="auto" w:fill="E7E6E6" w:themeFill="background2"/>
            <w:vAlign w:val="center"/>
            <w:hideMark/>
          </w:tcPr>
          <w:p w14:paraId="492AF99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PM_IEM19</w:t>
            </w:r>
          </w:p>
        </w:tc>
        <w:tc>
          <w:tcPr>
            <w:tcW w:w="934" w:type="dxa"/>
            <w:tcBorders>
              <w:top w:val="single" w:sz="8" w:space="0" w:color="auto"/>
              <w:left w:val="nil"/>
              <w:bottom w:val="single" w:sz="8" w:space="0" w:color="auto"/>
              <w:right w:val="single" w:sz="8" w:space="0" w:color="auto"/>
            </w:tcBorders>
            <w:shd w:val="clear" w:color="auto" w:fill="244062"/>
            <w:vAlign w:val="center"/>
            <w:hideMark/>
          </w:tcPr>
          <w:p w14:paraId="10B5BC9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61" w:type="dxa"/>
            <w:tcBorders>
              <w:top w:val="single" w:sz="8" w:space="0" w:color="auto"/>
              <w:left w:val="nil"/>
              <w:bottom w:val="single" w:sz="8" w:space="0" w:color="auto"/>
              <w:right w:val="single" w:sz="8" w:space="0" w:color="auto"/>
            </w:tcBorders>
            <w:shd w:val="clear" w:color="auto" w:fill="E7E6E6" w:themeFill="background2"/>
            <w:vAlign w:val="center"/>
            <w:hideMark/>
          </w:tcPr>
          <w:p w14:paraId="2710E98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Development of the regulatory framework for the operation of the “aggregator” (Article 169 in accordance to the amendments of the Energy Law)</w:t>
            </w:r>
          </w:p>
        </w:tc>
      </w:tr>
      <w:tr w:rsidR="00614438" w:rsidRPr="00AA7A53" w14:paraId="2E5F56AD" w14:textId="77777777" w:rsidTr="00614438">
        <w:trPr>
          <w:gridAfter w:val="1"/>
          <w:wAfter w:w="1212" w:type="dxa"/>
          <w:trHeight w:val="960"/>
        </w:trPr>
        <w:tc>
          <w:tcPr>
            <w:tcW w:w="3287" w:type="dxa"/>
            <w:tcBorders>
              <w:top w:val="nil"/>
              <w:left w:val="single" w:sz="8" w:space="0" w:color="auto"/>
              <w:bottom w:val="single" w:sz="8" w:space="0" w:color="auto"/>
              <w:right w:val="nil"/>
            </w:tcBorders>
            <w:shd w:val="clear" w:color="auto" w:fill="244062"/>
            <w:vAlign w:val="center"/>
            <w:hideMark/>
          </w:tcPr>
          <w:p w14:paraId="6B664FC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01" w:type="dxa"/>
            <w:gridSpan w:val="3"/>
            <w:tcBorders>
              <w:top w:val="single" w:sz="8" w:space="0" w:color="auto"/>
              <w:left w:val="nil"/>
              <w:bottom w:val="single" w:sz="8" w:space="0" w:color="auto"/>
              <w:right w:val="single" w:sz="8" w:space="0" w:color="000000"/>
            </w:tcBorders>
            <w:vAlign w:val="center"/>
            <w:hideMark/>
          </w:tcPr>
          <w:p w14:paraId="4F0FDB5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system flexibility and quality of electricity supply, in particular through policies and measures related to market-based price formation in compliance with applicable law; market integration and coupling, aiming to increase the tradeable capacity of existing interconnectors, smart grids, aggregation, demand response, storage, distributed generation, mechanisms for dispatching, re-dispatching and curtailment and real-time price signals</w:t>
            </w:r>
          </w:p>
        </w:tc>
      </w:tr>
      <w:tr w:rsidR="00614438" w:rsidRPr="00AA7A53" w14:paraId="7166D173" w14:textId="77777777" w:rsidTr="00614438">
        <w:trPr>
          <w:gridAfter w:val="1"/>
          <w:wAfter w:w="1212" w:type="dxa"/>
          <w:trHeight w:val="443"/>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1A8D072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01" w:type="dxa"/>
            <w:gridSpan w:val="3"/>
            <w:tcBorders>
              <w:top w:val="single" w:sz="8" w:space="0" w:color="auto"/>
              <w:left w:val="nil"/>
              <w:bottom w:val="single" w:sz="8" w:space="0" w:color="auto"/>
              <w:right w:val="single" w:sz="8" w:space="0" w:color="000000"/>
            </w:tcBorders>
            <w:vAlign w:val="center"/>
            <w:hideMark/>
          </w:tcPr>
          <w:p w14:paraId="2F58815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quality of supply indicators, deployment smart grids, aggregation, demand response services as well as storage and distributed generation</w:t>
            </w:r>
          </w:p>
        </w:tc>
      </w:tr>
      <w:tr w:rsidR="00614438" w:rsidRPr="00AA7A53" w14:paraId="362C0BBA" w14:textId="77777777" w:rsidTr="00614438">
        <w:trPr>
          <w:gridAfter w:val="1"/>
          <w:wAfter w:w="1212" w:type="dxa"/>
          <w:trHeight w:val="584"/>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107E29B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01" w:type="dxa"/>
            <w:gridSpan w:val="3"/>
            <w:tcBorders>
              <w:top w:val="single" w:sz="8" w:space="0" w:color="auto"/>
              <w:left w:val="nil"/>
              <w:bottom w:val="single" w:sz="8" w:space="0" w:color="auto"/>
              <w:right w:val="single" w:sz="8" w:space="0" w:color="000000"/>
            </w:tcBorders>
            <w:vAlign w:val="center"/>
            <w:hideMark/>
          </w:tcPr>
          <w:p w14:paraId="5313B5A3" w14:textId="28237922"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PM_IEM19 the new Electricity Directive in the Clean Energy Package requires that all Member States (and Serbia once the Energy Community Treaty adopts the C</w:t>
            </w:r>
            <w:r w:rsidR="009869E2" w:rsidRPr="00AA7A53">
              <w:rPr>
                <w:rFonts w:ascii="Times New Roman" w:hAnsi="Times New Roman" w:cs="Times New Roman"/>
                <w:sz w:val="20"/>
                <w:szCs w:val="20"/>
                <w:lang w:val="en-GB"/>
              </w:rPr>
              <w:t>E</w:t>
            </w:r>
            <w:r w:rsidRPr="00AA7A53">
              <w:rPr>
                <w:rFonts w:ascii="Times New Roman" w:hAnsi="Times New Roman" w:cs="Times New Roman"/>
                <w:sz w:val="20"/>
                <w:szCs w:val="20"/>
                <w:lang w:val="en-GB"/>
              </w:rPr>
              <w:t>P) should make sure that Independent Aggregators, which in turn comprise Market Participants with balance responsibility, operate in fair and equitable terms in the electricity market. This necessarily leads to the implementation of a balancing and settlement mechanism that involves two BRPs in one connection point. To role and function of the aggregator needs to be appropriately reflected in the market rules and network codes pursuant to the evolving EU experience and practices in regard of this aspect.</w:t>
            </w:r>
          </w:p>
        </w:tc>
      </w:tr>
      <w:tr w:rsidR="00614438" w:rsidRPr="00AA7A53" w14:paraId="3879ADCF" w14:textId="77777777" w:rsidTr="00614438">
        <w:trPr>
          <w:gridAfter w:val="1"/>
          <w:wAfter w:w="1212" w:type="dxa"/>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52CAAC6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01" w:type="dxa"/>
            <w:gridSpan w:val="3"/>
            <w:tcBorders>
              <w:top w:val="single" w:sz="8" w:space="0" w:color="auto"/>
              <w:left w:val="nil"/>
              <w:bottom w:val="single" w:sz="8" w:space="0" w:color="auto"/>
              <w:right w:val="single" w:sz="8" w:space="0" w:color="000000"/>
            </w:tcBorders>
            <w:vAlign w:val="center"/>
            <w:hideMark/>
          </w:tcPr>
          <w:p w14:paraId="44457A82" w14:textId="107E507C"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9869E2"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22E9F92F" w14:textId="77777777" w:rsidTr="00614438">
        <w:trPr>
          <w:gridAfter w:val="1"/>
          <w:wAfter w:w="1212" w:type="dxa"/>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2F0DBD3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01" w:type="dxa"/>
            <w:gridSpan w:val="3"/>
            <w:tcBorders>
              <w:top w:val="single" w:sz="8" w:space="0" w:color="auto"/>
              <w:left w:val="nil"/>
              <w:bottom w:val="single" w:sz="8" w:space="0" w:color="auto"/>
              <w:right w:val="single" w:sz="8" w:space="0" w:color="000000"/>
            </w:tcBorders>
            <w:vAlign w:val="center"/>
            <w:hideMark/>
          </w:tcPr>
          <w:p w14:paraId="3D20806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2492B6CF" w14:textId="77777777" w:rsidTr="00614438">
        <w:trPr>
          <w:gridAfter w:val="1"/>
          <w:wAfter w:w="1212" w:type="dxa"/>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050941C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01" w:type="dxa"/>
            <w:gridSpan w:val="3"/>
            <w:tcBorders>
              <w:top w:val="single" w:sz="8" w:space="0" w:color="auto"/>
              <w:left w:val="nil"/>
              <w:bottom w:val="single" w:sz="8" w:space="0" w:color="auto"/>
              <w:right w:val="single" w:sz="8" w:space="0" w:color="000000"/>
            </w:tcBorders>
            <w:vAlign w:val="center"/>
            <w:hideMark/>
          </w:tcPr>
          <w:p w14:paraId="4F2DA15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Residential, commercial</w:t>
            </w:r>
          </w:p>
        </w:tc>
      </w:tr>
      <w:tr w:rsidR="00614438" w:rsidRPr="00AA7A53" w14:paraId="704AB5AF" w14:textId="77777777" w:rsidTr="00614438">
        <w:trPr>
          <w:gridAfter w:val="1"/>
          <w:wAfter w:w="1212" w:type="dxa"/>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2B7BEBE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01" w:type="dxa"/>
            <w:gridSpan w:val="3"/>
            <w:tcBorders>
              <w:top w:val="single" w:sz="8" w:space="0" w:color="auto"/>
              <w:left w:val="nil"/>
              <w:bottom w:val="single" w:sz="8" w:space="0" w:color="auto"/>
              <w:right w:val="single" w:sz="8" w:space="0" w:color="000000"/>
            </w:tcBorders>
            <w:vAlign w:val="center"/>
            <w:hideMark/>
          </w:tcPr>
          <w:p w14:paraId="4C14F7EB" w14:textId="77777777" w:rsidR="00614438" w:rsidRPr="00AA7A53" w:rsidRDefault="00614438" w:rsidP="00AA7A53">
            <w:pPr>
              <w:numPr>
                <w:ilvl w:val="0"/>
                <w:numId w:val="15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1C51C419" w14:textId="3F07482A" w:rsidR="009869E2" w:rsidRPr="00AA7A53" w:rsidRDefault="009869E2" w:rsidP="00AA7A53">
            <w:pPr>
              <w:numPr>
                <w:ilvl w:val="0"/>
                <w:numId w:val="155"/>
              </w:numPr>
              <w:spacing w:after="0"/>
              <w:jc w:val="both"/>
              <w:rPr>
                <w:rFonts w:ascii="Times New Roman" w:hAnsi="Times New Roman" w:cs="Times New Roman"/>
                <w:sz w:val="20"/>
                <w:szCs w:val="20"/>
              </w:rPr>
            </w:pPr>
            <w:r w:rsidRPr="00AA7A53">
              <w:rPr>
                <w:rFonts w:ascii="Times New Roman" w:hAnsi="Times New Roman" w:cs="Times New Roman"/>
                <w:sz w:val="20"/>
                <w:szCs w:val="20"/>
              </w:rPr>
              <w:lastRenderedPageBreak/>
              <w:t>- Energy Agency of the Republic of Serbia - AERS</w:t>
            </w:r>
          </w:p>
          <w:p w14:paraId="07DCC67B" w14:textId="5CE740F8" w:rsidR="009869E2" w:rsidRPr="00AA7A53" w:rsidRDefault="009869E2" w:rsidP="00AA7A53">
            <w:pPr>
              <w:numPr>
                <w:ilvl w:val="0"/>
                <w:numId w:val="155"/>
              </w:numPr>
              <w:spacing w:after="0"/>
              <w:jc w:val="both"/>
              <w:rPr>
                <w:rFonts w:ascii="Times New Roman" w:hAnsi="Times New Roman" w:cs="Times New Roman"/>
                <w:sz w:val="20"/>
                <w:szCs w:val="20"/>
              </w:rPr>
            </w:pPr>
            <w:r w:rsidRPr="00AA7A53">
              <w:rPr>
                <w:rFonts w:ascii="Times New Roman" w:hAnsi="Times New Roman" w:cs="Times New Roman"/>
                <w:sz w:val="20"/>
                <w:szCs w:val="20"/>
              </w:rPr>
              <w:t>- Elektrodistribucija ltd. Belgrade</w:t>
            </w:r>
          </w:p>
          <w:p w14:paraId="21433E5D" w14:textId="2093BE06" w:rsidR="00614438" w:rsidRPr="00AA7A53" w:rsidRDefault="009869E2" w:rsidP="00AA7A53">
            <w:pPr>
              <w:numPr>
                <w:ilvl w:val="0"/>
                <w:numId w:val="155"/>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Joint-stock company "Elektromreza Srbije"- </w:t>
            </w:r>
            <w:r w:rsidR="00614438" w:rsidRPr="00AA7A53">
              <w:rPr>
                <w:rFonts w:ascii="Times New Roman" w:hAnsi="Times New Roman" w:cs="Times New Roman"/>
                <w:sz w:val="20"/>
                <w:szCs w:val="20"/>
              </w:rPr>
              <w:t>EMS</w:t>
            </w:r>
          </w:p>
          <w:p w14:paraId="2BBC425D" w14:textId="5EEDAFD7" w:rsidR="00614438" w:rsidRPr="00AA7A53" w:rsidRDefault="00614438" w:rsidP="00AA7A53">
            <w:pPr>
              <w:spacing w:after="0"/>
              <w:ind w:left="360"/>
              <w:jc w:val="both"/>
              <w:rPr>
                <w:rFonts w:ascii="Times New Roman" w:hAnsi="Times New Roman" w:cs="Times New Roman"/>
                <w:sz w:val="20"/>
                <w:szCs w:val="20"/>
              </w:rPr>
            </w:pPr>
          </w:p>
        </w:tc>
      </w:tr>
      <w:tr w:rsidR="00614438" w:rsidRPr="00AA7A53" w14:paraId="47E5C816" w14:textId="77777777" w:rsidTr="00614438">
        <w:trPr>
          <w:gridAfter w:val="1"/>
          <w:wAfter w:w="1212" w:type="dxa"/>
          <w:trHeight w:val="315"/>
        </w:trPr>
        <w:tc>
          <w:tcPr>
            <w:tcW w:w="3287" w:type="dxa"/>
            <w:tcBorders>
              <w:top w:val="nil"/>
              <w:left w:val="single" w:sz="8" w:space="0" w:color="auto"/>
              <w:bottom w:val="single" w:sz="8" w:space="0" w:color="auto"/>
              <w:right w:val="nil"/>
            </w:tcBorders>
            <w:shd w:val="clear" w:color="auto" w:fill="244062"/>
            <w:vAlign w:val="center"/>
            <w:hideMark/>
          </w:tcPr>
          <w:p w14:paraId="7D28FAD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Monitoring Entity</w:t>
            </w:r>
          </w:p>
        </w:tc>
        <w:tc>
          <w:tcPr>
            <w:tcW w:w="6201" w:type="dxa"/>
            <w:gridSpan w:val="3"/>
            <w:tcBorders>
              <w:top w:val="single" w:sz="8" w:space="0" w:color="auto"/>
              <w:left w:val="nil"/>
              <w:bottom w:val="single" w:sz="8" w:space="0" w:color="auto"/>
              <w:right w:val="single" w:sz="8" w:space="0" w:color="000000"/>
            </w:tcBorders>
            <w:vAlign w:val="center"/>
            <w:hideMark/>
          </w:tcPr>
          <w:p w14:paraId="282C55D6" w14:textId="77777777" w:rsidR="00614438" w:rsidRPr="00AA7A53" w:rsidRDefault="00614438" w:rsidP="00AA7A53">
            <w:pPr>
              <w:numPr>
                <w:ilvl w:val="0"/>
                <w:numId w:val="155"/>
              </w:numPr>
              <w:spacing w:after="0"/>
              <w:jc w:val="both"/>
              <w:rPr>
                <w:rFonts w:ascii="Times New Roman" w:hAnsi="Times New Roman" w:cs="Times New Roman"/>
                <w:sz w:val="20"/>
                <w:szCs w:val="20"/>
              </w:rPr>
            </w:pPr>
            <w:r w:rsidRPr="00AA7A53">
              <w:rPr>
                <w:rFonts w:ascii="Times New Roman" w:hAnsi="Times New Roman" w:cs="Times New Roman"/>
                <w:sz w:val="20"/>
                <w:szCs w:val="20"/>
              </w:rPr>
              <w:t> AERS</w:t>
            </w:r>
          </w:p>
        </w:tc>
      </w:tr>
      <w:tr w:rsidR="00614438" w:rsidRPr="00AA7A53" w14:paraId="1A6AD659" w14:textId="77777777" w:rsidTr="00614438">
        <w:trPr>
          <w:gridAfter w:val="1"/>
          <w:wAfter w:w="1212" w:type="dxa"/>
          <w:trHeight w:val="315"/>
        </w:trPr>
        <w:tc>
          <w:tcPr>
            <w:tcW w:w="3287" w:type="dxa"/>
            <w:tcBorders>
              <w:top w:val="nil"/>
              <w:left w:val="single" w:sz="8" w:space="0" w:color="auto"/>
              <w:bottom w:val="single" w:sz="8" w:space="0" w:color="auto"/>
              <w:right w:val="nil"/>
            </w:tcBorders>
            <w:shd w:val="clear" w:color="auto" w:fill="244062"/>
            <w:vAlign w:val="center"/>
            <w:hideMark/>
          </w:tcPr>
          <w:p w14:paraId="5539C98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01" w:type="dxa"/>
            <w:gridSpan w:val="3"/>
            <w:tcBorders>
              <w:top w:val="single" w:sz="8" w:space="0" w:color="auto"/>
              <w:left w:val="nil"/>
              <w:bottom w:val="single" w:sz="8" w:space="0" w:color="auto"/>
              <w:right w:val="single" w:sz="8" w:space="0" w:color="000000"/>
            </w:tcBorders>
            <w:vAlign w:val="center"/>
            <w:hideMark/>
          </w:tcPr>
          <w:p w14:paraId="24F65D6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Number of licensed (or commercially active) aggregators and percentage of consumption and RES production (MWh) they represent in the electricity market</w:t>
            </w:r>
          </w:p>
        </w:tc>
      </w:tr>
      <w:tr w:rsidR="00614438" w:rsidRPr="00AA7A53" w14:paraId="14090988" w14:textId="77777777" w:rsidTr="00614438">
        <w:trPr>
          <w:gridAfter w:val="1"/>
          <w:wAfter w:w="1212" w:type="dxa"/>
          <w:trHeight w:val="193"/>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0FADCD3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01" w:type="dxa"/>
            <w:gridSpan w:val="3"/>
            <w:tcBorders>
              <w:top w:val="single" w:sz="8" w:space="0" w:color="auto"/>
              <w:left w:val="nil"/>
              <w:bottom w:val="single" w:sz="8" w:space="0" w:color="auto"/>
              <w:right w:val="single" w:sz="8" w:space="0" w:color="000000"/>
            </w:tcBorders>
            <w:vAlign w:val="center"/>
            <w:hideMark/>
          </w:tcPr>
          <w:p w14:paraId="19A61890" w14:textId="77777777" w:rsidR="00614438" w:rsidRPr="00AA7A53" w:rsidRDefault="00614438" w:rsidP="00AA7A53">
            <w:pPr>
              <w:numPr>
                <w:ilvl w:val="0"/>
                <w:numId w:val="155"/>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tc>
      </w:tr>
      <w:tr w:rsidR="00614438" w:rsidRPr="00AA7A53" w14:paraId="6EC8D497" w14:textId="77777777" w:rsidTr="00614438">
        <w:trPr>
          <w:gridAfter w:val="1"/>
          <w:wAfter w:w="1212" w:type="dxa"/>
          <w:trHeight w:val="458"/>
        </w:trPr>
        <w:tc>
          <w:tcPr>
            <w:tcW w:w="3287" w:type="dxa"/>
            <w:vMerge w:val="restart"/>
            <w:tcBorders>
              <w:top w:val="nil"/>
              <w:left w:val="single" w:sz="8" w:space="0" w:color="auto"/>
              <w:bottom w:val="single" w:sz="8" w:space="0" w:color="000000"/>
              <w:right w:val="single" w:sz="8" w:space="0" w:color="auto"/>
            </w:tcBorders>
            <w:shd w:val="clear" w:color="auto" w:fill="244062"/>
            <w:vAlign w:val="center"/>
            <w:hideMark/>
          </w:tcPr>
          <w:p w14:paraId="39BF693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0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F354A42" w14:textId="77777777" w:rsidR="00614438" w:rsidRPr="00AA7A53" w:rsidRDefault="00614438" w:rsidP="00AA7A53">
            <w:pPr>
              <w:numPr>
                <w:ilvl w:val="0"/>
                <w:numId w:val="155"/>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2009/72/EC</w:t>
            </w:r>
          </w:p>
          <w:p w14:paraId="3A6EC4E8" w14:textId="77777777" w:rsidR="00614438" w:rsidRPr="00AA7A53" w:rsidRDefault="00614438" w:rsidP="00AA7A53">
            <w:pPr>
              <w:numPr>
                <w:ilvl w:val="0"/>
                <w:numId w:val="155"/>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2019/944</w:t>
            </w:r>
          </w:p>
          <w:p w14:paraId="4684C6BB" w14:textId="77777777" w:rsidR="00614438" w:rsidRPr="00AA7A53" w:rsidRDefault="00614438" w:rsidP="00AA7A53">
            <w:pPr>
              <w:numPr>
                <w:ilvl w:val="0"/>
                <w:numId w:val="155"/>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2019/943</w:t>
            </w:r>
          </w:p>
        </w:tc>
      </w:tr>
      <w:tr w:rsidR="00614438" w:rsidRPr="00AA7A53" w14:paraId="5241EFD1"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29908AD6"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92AEF76"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6F3152C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32FFDE9" w14:textId="77777777" w:rsidTr="00614438">
        <w:trPr>
          <w:trHeight w:val="315"/>
        </w:trPr>
        <w:tc>
          <w:tcPr>
            <w:tcW w:w="0" w:type="auto"/>
            <w:vMerge/>
            <w:tcBorders>
              <w:top w:val="nil"/>
              <w:left w:val="single" w:sz="8" w:space="0" w:color="auto"/>
              <w:bottom w:val="single" w:sz="8" w:space="0" w:color="000000"/>
              <w:right w:val="single" w:sz="8" w:space="0" w:color="auto"/>
            </w:tcBorders>
            <w:vAlign w:val="center"/>
            <w:hideMark/>
          </w:tcPr>
          <w:p w14:paraId="4699F613"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B8205E1"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66284D72"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6D16347A" w14:textId="77777777" w:rsidTr="00614438">
        <w:trPr>
          <w:trHeight w:val="780"/>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532C91E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01" w:type="dxa"/>
            <w:gridSpan w:val="3"/>
            <w:tcBorders>
              <w:top w:val="single" w:sz="8" w:space="0" w:color="auto"/>
              <w:left w:val="nil"/>
              <w:bottom w:val="single" w:sz="8" w:space="0" w:color="auto"/>
              <w:right w:val="single" w:sz="8" w:space="0" w:color="000000"/>
            </w:tcBorders>
            <w:vAlign w:val="center"/>
            <w:hideMark/>
          </w:tcPr>
          <w:p w14:paraId="6FE66F4F" w14:textId="77777777" w:rsidR="00614438" w:rsidRPr="00AA7A53" w:rsidRDefault="00614438" w:rsidP="00AA7A53">
            <w:pPr>
              <w:numPr>
                <w:ilvl w:val="0"/>
                <w:numId w:val="157"/>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w:t>
            </w:r>
          </w:p>
        </w:tc>
        <w:tc>
          <w:tcPr>
            <w:tcW w:w="1212" w:type="dxa"/>
            <w:vAlign w:val="center"/>
            <w:hideMark/>
          </w:tcPr>
          <w:p w14:paraId="76491777"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1CEAA57" w14:textId="77777777" w:rsidTr="00614438">
        <w:trPr>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07E81D1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01" w:type="dxa"/>
            <w:gridSpan w:val="3"/>
            <w:tcBorders>
              <w:top w:val="single" w:sz="8" w:space="0" w:color="auto"/>
              <w:left w:val="nil"/>
              <w:bottom w:val="single" w:sz="8" w:space="0" w:color="auto"/>
              <w:right w:val="single" w:sz="8" w:space="0" w:color="000000"/>
            </w:tcBorders>
            <w:vAlign w:val="center"/>
            <w:hideMark/>
          </w:tcPr>
          <w:p w14:paraId="6EB0BD1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0.2 M€</w:t>
            </w:r>
          </w:p>
        </w:tc>
        <w:tc>
          <w:tcPr>
            <w:tcW w:w="1212" w:type="dxa"/>
            <w:vAlign w:val="center"/>
            <w:hideMark/>
          </w:tcPr>
          <w:p w14:paraId="0D521A7B"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330C864" w14:textId="77777777" w:rsidTr="00614438">
        <w:trPr>
          <w:trHeight w:val="315"/>
        </w:trPr>
        <w:tc>
          <w:tcPr>
            <w:tcW w:w="3287" w:type="dxa"/>
            <w:tcBorders>
              <w:top w:val="nil"/>
              <w:left w:val="single" w:sz="8" w:space="0" w:color="auto"/>
              <w:bottom w:val="single" w:sz="8" w:space="0" w:color="auto"/>
              <w:right w:val="single" w:sz="8" w:space="0" w:color="auto"/>
            </w:tcBorders>
            <w:shd w:val="clear" w:color="auto" w:fill="244062"/>
            <w:vAlign w:val="center"/>
            <w:hideMark/>
          </w:tcPr>
          <w:p w14:paraId="1069944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01" w:type="dxa"/>
            <w:gridSpan w:val="3"/>
            <w:tcBorders>
              <w:top w:val="single" w:sz="8" w:space="0" w:color="auto"/>
              <w:left w:val="nil"/>
              <w:bottom w:val="single" w:sz="8" w:space="0" w:color="auto"/>
              <w:right w:val="single" w:sz="8" w:space="0" w:color="000000"/>
            </w:tcBorders>
            <w:vAlign w:val="center"/>
            <w:hideMark/>
          </w:tcPr>
          <w:p w14:paraId="3D6A95B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1212" w:type="dxa"/>
            <w:vAlign w:val="center"/>
            <w:hideMark/>
          </w:tcPr>
          <w:p w14:paraId="3CFDE46C" w14:textId="77777777" w:rsidR="00614438" w:rsidRPr="00AA7A53" w:rsidRDefault="00614438" w:rsidP="00AA7A53">
            <w:pPr>
              <w:spacing w:after="0"/>
              <w:jc w:val="both"/>
              <w:rPr>
                <w:rFonts w:ascii="Times New Roman" w:hAnsi="Times New Roman" w:cs="Times New Roman"/>
                <w:sz w:val="20"/>
                <w:szCs w:val="20"/>
                <w:lang w:val="en-GB"/>
              </w:rPr>
            </w:pPr>
          </w:p>
        </w:tc>
      </w:tr>
    </w:tbl>
    <w:p w14:paraId="31849745"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58"/>
        <w:gridCol w:w="1207"/>
        <w:gridCol w:w="927"/>
        <w:gridCol w:w="4096"/>
        <w:gridCol w:w="1212"/>
      </w:tblGrid>
      <w:tr w:rsidR="00614438" w:rsidRPr="00AA7A53" w14:paraId="78F99335" w14:textId="77777777" w:rsidTr="00614438">
        <w:trPr>
          <w:gridAfter w:val="1"/>
          <w:wAfter w:w="1212" w:type="dxa"/>
          <w:trHeight w:val="780"/>
        </w:trPr>
        <w:tc>
          <w:tcPr>
            <w:tcW w:w="3258"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46ABFE1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2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4F40ACC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PM_IEM20</w:t>
            </w:r>
          </w:p>
        </w:tc>
        <w:tc>
          <w:tcPr>
            <w:tcW w:w="927" w:type="dxa"/>
            <w:tcBorders>
              <w:top w:val="single" w:sz="8" w:space="0" w:color="auto"/>
              <w:left w:val="nil"/>
              <w:bottom w:val="single" w:sz="8" w:space="0" w:color="auto"/>
              <w:right w:val="single" w:sz="8" w:space="0" w:color="auto"/>
            </w:tcBorders>
            <w:shd w:val="clear" w:color="auto" w:fill="244062"/>
            <w:vAlign w:val="center"/>
            <w:hideMark/>
          </w:tcPr>
          <w:p w14:paraId="7F30122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096" w:type="dxa"/>
            <w:tcBorders>
              <w:top w:val="single" w:sz="8" w:space="0" w:color="auto"/>
              <w:left w:val="nil"/>
              <w:bottom w:val="single" w:sz="8" w:space="0" w:color="auto"/>
              <w:right w:val="single" w:sz="8" w:space="0" w:color="auto"/>
            </w:tcBorders>
            <w:shd w:val="clear" w:color="auto" w:fill="E7E6E6" w:themeFill="background2"/>
            <w:vAlign w:val="center"/>
            <w:hideMark/>
          </w:tcPr>
          <w:p w14:paraId="723511D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Development of the regulatory framework for the operation of the Renewable Energy Communities (RECs) and Citizen Energy Communities (CECs) (Article 62 to 66 and Article 77 of the Law on the use of RES)</w:t>
            </w:r>
          </w:p>
        </w:tc>
      </w:tr>
      <w:tr w:rsidR="00614438" w:rsidRPr="00AA7A53" w14:paraId="54BEBF59" w14:textId="77777777" w:rsidTr="00614438">
        <w:trPr>
          <w:gridAfter w:val="1"/>
          <w:wAfter w:w="1212" w:type="dxa"/>
          <w:trHeight w:val="519"/>
        </w:trPr>
        <w:tc>
          <w:tcPr>
            <w:tcW w:w="3258" w:type="dxa"/>
            <w:tcBorders>
              <w:top w:val="nil"/>
              <w:left w:val="single" w:sz="8" w:space="0" w:color="auto"/>
              <w:bottom w:val="single" w:sz="8" w:space="0" w:color="auto"/>
              <w:right w:val="nil"/>
            </w:tcBorders>
            <w:shd w:val="clear" w:color="auto" w:fill="244062"/>
            <w:vAlign w:val="center"/>
            <w:hideMark/>
          </w:tcPr>
          <w:p w14:paraId="1991441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30" w:type="dxa"/>
            <w:gridSpan w:val="3"/>
            <w:tcBorders>
              <w:top w:val="single" w:sz="8" w:space="0" w:color="auto"/>
              <w:left w:val="nil"/>
              <w:bottom w:val="single" w:sz="8" w:space="0" w:color="auto"/>
              <w:right w:val="single" w:sz="8" w:space="0" w:color="000000"/>
            </w:tcBorders>
            <w:vAlign w:val="center"/>
            <w:hideMark/>
          </w:tcPr>
          <w:p w14:paraId="74ED756D" w14:textId="5C45F68E"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system flexibility and quality of electricity supply, in particular through policies and measures related to market-based price formation in compliance with applicable law; market integration and coupling, aiming to increase the tradeable capacity of existing interconnectors, smart grids, aggregation, demand response, storage, distributed generation, mechanisms for dispatching, re-dispatching and curtailment and real-time price si</w:t>
            </w:r>
            <w:r w:rsidR="009869E2" w:rsidRPr="00AA7A53">
              <w:rPr>
                <w:rFonts w:ascii="Times New Roman" w:hAnsi="Times New Roman" w:cs="Times New Roman"/>
                <w:sz w:val="20"/>
                <w:szCs w:val="20"/>
                <w:lang w:val="en-GB"/>
              </w:rPr>
              <w:t>gnals.</w:t>
            </w:r>
          </w:p>
        </w:tc>
      </w:tr>
      <w:tr w:rsidR="00614438" w:rsidRPr="00AA7A53" w14:paraId="10ED59EC" w14:textId="77777777" w:rsidTr="00614438">
        <w:trPr>
          <w:gridAfter w:val="1"/>
          <w:wAfter w:w="1212" w:type="dxa"/>
          <w:trHeight w:val="315"/>
        </w:trPr>
        <w:tc>
          <w:tcPr>
            <w:tcW w:w="3258" w:type="dxa"/>
            <w:tcBorders>
              <w:top w:val="nil"/>
              <w:left w:val="single" w:sz="8" w:space="0" w:color="auto"/>
              <w:bottom w:val="single" w:sz="8" w:space="0" w:color="auto"/>
              <w:right w:val="single" w:sz="8" w:space="0" w:color="auto"/>
            </w:tcBorders>
            <w:shd w:val="clear" w:color="auto" w:fill="244062"/>
            <w:vAlign w:val="center"/>
            <w:hideMark/>
          </w:tcPr>
          <w:p w14:paraId="34BF90C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30" w:type="dxa"/>
            <w:gridSpan w:val="3"/>
            <w:tcBorders>
              <w:top w:val="single" w:sz="8" w:space="0" w:color="auto"/>
              <w:left w:val="nil"/>
              <w:bottom w:val="single" w:sz="8" w:space="0" w:color="auto"/>
              <w:right w:val="single" w:sz="8" w:space="0" w:color="000000"/>
            </w:tcBorders>
            <w:vAlign w:val="center"/>
            <w:hideMark/>
          </w:tcPr>
          <w:p w14:paraId="3421D4C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quality of supply indicators, deployment smart grids, aggregation, demand response services as well as storage and distributed generation</w:t>
            </w:r>
          </w:p>
        </w:tc>
      </w:tr>
      <w:tr w:rsidR="00614438" w:rsidRPr="00AA7A53" w14:paraId="09EB27D0" w14:textId="77777777" w:rsidTr="00614438">
        <w:trPr>
          <w:gridAfter w:val="1"/>
          <w:wAfter w:w="1212" w:type="dxa"/>
          <w:trHeight w:val="443"/>
        </w:trPr>
        <w:tc>
          <w:tcPr>
            <w:tcW w:w="3258" w:type="dxa"/>
            <w:tcBorders>
              <w:top w:val="nil"/>
              <w:left w:val="single" w:sz="8" w:space="0" w:color="auto"/>
              <w:bottom w:val="single" w:sz="8" w:space="0" w:color="auto"/>
              <w:right w:val="single" w:sz="8" w:space="0" w:color="auto"/>
            </w:tcBorders>
            <w:shd w:val="clear" w:color="auto" w:fill="244062"/>
            <w:vAlign w:val="center"/>
            <w:hideMark/>
          </w:tcPr>
          <w:p w14:paraId="7C9F74F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30" w:type="dxa"/>
            <w:gridSpan w:val="3"/>
            <w:tcBorders>
              <w:top w:val="single" w:sz="8" w:space="0" w:color="auto"/>
              <w:left w:val="nil"/>
              <w:bottom w:val="single" w:sz="8" w:space="0" w:color="auto"/>
              <w:right w:val="single" w:sz="8" w:space="0" w:color="000000"/>
            </w:tcBorders>
            <w:vAlign w:val="center"/>
            <w:hideMark/>
          </w:tcPr>
          <w:p w14:paraId="0C573DD1" w14:textId="2E8A4104"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PM_IEM20 concerns the preparation of the relevant framework </w:t>
            </w:r>
            <w:r w:rsidR="009869E2" w:rsidRPr="00AA7A53">
              <w:rPr>
                <w:rFonts w:ascii="Times New Roman" w:hAnsi="Times New Roman" w:cs="Times New Roman"/>
                <w:sz w:val="20"/>
                <w:szCs w:val="20"/>
                <w:lang w:val="en-GB"/>
              </w:rPr>
              <w:t xml:space="preserve">which </w:t>
            </w:r>
            <w:r w:rsidRPr="00AA7A53">
              <w:rPr>
                <w:rFonts w:ascii="Times New Roman" w:hAnsi="Times New Roman" w:cs="Times New Roman"/>
                <w:sz w:val="20"/>
                <w:szCs w:val="20"/>
                <w:lang w:val="en-GB"/>
              </w:rPr>
              <w:t xml:space="preserve">should unlock the collective participation and share of energy and financial benefits of consumer categories at a community level where energy carriers and services may be locally optimized and the excess or surplus is exchanged on a market-based framework with the wholesale and/or retail electricity markets. Under the current framework, the community may acquire the status of a temporary privileged producer, i.e. the status of privileged producer and the status of a producer of electricity from renewable energy sources and incentive measures in the field of heat energy. The community can be a participant in the electricity market as a producer of electricity from RES in the incentive system or within the role of prosumer. The challenges are related to the integration of RES into the system, in terms of expansion, network upgrades and modernisations. The above need to </w:t>
            </w:r>
            <w:r w:rsidR="009869E2" w:rsidRPr="00AA7A53">
              <w:rPr>
                <w:rFonts w:ascii="Times New Roman" w:hAnsi="Times New Roman" w:cs="Times New Roman"/>
                <w:sz w:val="20"/>
                <w:szCs w:val="20"/>
                <w:lang w:val="en-GB"/>
              </w:rPr>
              <w:t xml:space="preserve">be </w:t>
            </w:r>
            <w:r w:rsidRPr="00AA7A53">
              <w:rPr>
                <w:rFonts w:ascii="Times New Roman" w:hAnsi="Times New Roman" w:cs="Times New Roman"/>
                <w:sz w:val="20"/>
                <w:szCs w:val="20"/>
                <w:lang w:val="en-GB"/>
              </w:rPr>
              <w:t>appropriately reflected in the market and network operation rules.</w:t>
            </w:r>
          </w:p>
        </w:tc>
      </w:tr>
      <w:tr w:rsidR="00614438" w:rsidRPr="00AA7A53" w14:paraId="34AF09C5" w14:textId="77777777" w:rsidTr="00614438">
        <w:trPr>
          <w:gridAfter w:val="1"/>
          <w:wAfter w:w="1212" w:type="dxa"/>
          <w:trHeight w:val="315"/>
        </w:trPr>
        <w:tc>
          <w:tcPr>
            <w:tcW w:w="3258" w:type="dxa"/>
            <w:tcBorders>
              <w:top w:val="nil"/>
              <w:left w:val="single" w:sz="8" w:space="0" w:color="auto"/>
              <w:bottom w:val="single" w:sz="8" w:space="0" w:color="auto"/>
              <w:right w:val="single" w:sz="8" w:space="0" w:color="auto"/>
            </w:tcBorders>
            <w:shd w:val="clear" w:color="auto" w:fill="244062"/>
            <w:vAlign w:val="center"/>
            <w:hideMark/>
          </w:tcPr>
          <w:p w14:paraId="1D63027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30" w:type="dxa"/>
            <w:gridSpan w:val="3"/>
            <w:tcBorders>
              <w:top w:val="single" w:sz="8" w:space="0" w:color="auto"/>
              <w:left w:val="nil"/>
              <w:bottom w:val="single" w:sz="8" w:space="0" w:color="auto"/>
              <w:right w:val="single" w:sz="8" w:space="0" w:color="000000"/>
            </w:tcBorders>
            <w:vAlign w:val="center"/>
            <w:hideMark/>
          </w:tcPr>
          <w:p w14:paraId="7A62A05D" w14:textId="07FBE86B"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9869E2"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19DF32B7" w14:textId="77777777" w:rsidTr="00614438">
        <w:trPr>
          <w:gridAfter w:val="1"/>
          <w:wAfter w:w="1212" w:type="dxa"/>
          <w:trHeight w:val="315"/>
        </w:trPr>
        <w:tc>
          <w:tcPr>
            <w:tcW w:w="3258" w:type="dxa"/>
            <w:tcBorders>
              <w:top w:val="nil"/>
              <w:left w:val="single" w:sz="8" w:space="0" w:color="auto"/>
              <w:bottom w:val="single" w:sz="8" w:space="0" w:color="auto"/>
              <w:right w:val="single" w:sz="8" w:space="0" w:color="auto"/>
            </w:tcBorders>
            <w:shd w:val="clear" w:color="auto" w:fill="244062"/>
            <w:vAlign w:val="center"/>
            <w:hideMark/>
          </w:tcPr>
          <w:p w14:paraId="3A16995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30" w:type="dxa"/>
            <w:gridSpan w:val="3"/>
            <w:tcBorders>
              <w:top w:val="single" w:sz="8" w:space="0" w:color="auto"/>
              <w:left w:val="nil"/>
              <w:bottom w:val="single" w:sz="8" w:space="0" w:color="auto"/>
              <w:right w:val="single" w:sz="8" w:space="0" w:color="000000"/>
            </w:tcBorders>
            <w:vAlign w:val="center"/>
            <w:hideMark/>
          </w:tcPr>
          <w:p w14:paraId="10048E9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109FDB23" w14:textId="77777777" w:rsidTr="00614438">
        <w:trPr>
          <w:gridAfter w:val="1"/>
          <w:wAfter w:w="1212" w:type="dxa"/>
          <w:trHeight w:val="315"/>
        </w:trPr>
        <w:tc>
          <w:tcPr>
            <w:tcW w:w="3258" w:type="dxa"/>
            <w:tcBorders>
              <w:top w:val="nil"/>
              <w:left w:val="single" w:sz="8" w:space="0" w:color="auto"/>
              <w:bottom w:val="single" w:sz="8" w:space="0" w:color="auto"/>
              <w:right w:val="single" w:sz="8" w:space="0" w:color="auto"/>
            </w:tcBorders>
            <w:shd w:val="clear" w:color="auto" w:fill="244062"/>
            <w:vAlign w:val="center"/>
            <w:hideMark/>
          </w:tcPr>
          <w:p w14:paraId="22A953A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30" w:type="dxa"/>
            <w:gridSpan w:val="3"/>
            <w:tcBorders>
              <w:top w:val="single" w:sz="8" w:space="0" w:color="auto"/>
              <w:left w:val="nil"/>
              <w:bottom w:val="single" w:sz="8" w:space="0" w:color="auto"/>
              <w:right w:val="single" w:sz="8" w:space="0" w:color="000000"/>
            </w:tcBorders>
            <w:vAlign w:val="center"/>
            <w:hideMark/>
          </w:tcPr>
          <w:p w14:paraId="54F9DCF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Residential, public, commercial, industrial</w:t>
            </w:r>
          </w:p>
        </w:tc>
      </w:tr>
      <w:tr w:rsidR="00614438" w:rsidRPr="00AA7A53" w14:paraId="3B730FC1" w14:textId="77777777" w:rsidTr="00614438">
        <w:trPr>
          <w:gridAfter w:val="1"/>
          <w:wAfter w:w="1212" w:type="dxa"/>
          <w:trHeight w:val="315"/>
        </w:trPr>
        <w:tc>
          <w:tcPr>
            <w:tcW w:w="3258" w:type="dxa"/>
            <w:tcBorders>
              <w:top w:val="nil"/>
              <w:left w:val="single" w:sz="8" w:space="0" w:color="auto"/>
              <w:bottom w:val="single" w:sz="8" w:space="0" w:color="auto"/>
              <w:right w:val="single" w:sz="8" w:space="0" w:color="auto"/>
            </w:tcBorders>
            <w:shd w:val="clear" w:color="auto" w:fill="244062"/>
            <w:vAlign w:val="center"/>
            <w:hideMark/>
          </w:tcPr>
          <w:p w14:paraId="5FA67F8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30" w:type="dxa"/>
            <w:gridSpan w:val="3"/>
            <w:tcBorders>
              <w:top w:val="single" w:sz="8" w:space="0" w:color="auto"/>
              <w:left w:val="nil"/>
              <w:bottom w:val="single" w:sz="8" w:space="0" w:color="auto"/>
              <w:right w:val="single" w:sz="8" w:space="0" w:color="000000"/>
            </w:tcBorders>
            <w:vAlign w:val="center"/>
            <w:hideMark/>
          </w:tcPr>
          <w:p w14:paraId="1177C952" w14:textId="77777777" w:rsidR="00614438" w:rsidRPr="00AA7A53" w:rsidRDefault="00614438" w:rsidP="00AA7A53">
            <w:pPr>
              <w:numPr>
                <w:ilvl w:val="0"/>
                <w:numId w:val="15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38E5CB6D" w14:textId="77777777" w:rsidTr="00614438">
        <w:trPr>
          <w:gridAfter w:val="1"/>
          <w:wAfter w:w="1212" w:type="dxa"/>
          <w:trHeight w:val="315"/>
        </w:trPr>
        <w:tc>
          <w:tcPr>
            <w:tcW w:w="3258" w:type="dxa"/>
            <w:tcBorders>
              <w:top w:val="nil"/>
              <w:left w:val="single" w:sz="8" w:space="0" w:color="auto"/>
              <w:bottom w:val="single" w:sz="8" w:space="0" w:color="auto"/>
              <w:right w:val="nil"/>
            </w:tcBorders>
            <w:shd w:val="clear" w:color="auto" w:fill="244062"/>
            <w:vAlign w:val="center"/>
            <w:hideMark/>
          </w:tcPr>
          <w:p w14:paraId="4830251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30" w:type="dxa"/>
            <w:gridSpan w:val="3"/>
            <w:tcBorders>
              <w:top w:val="single" w:sz="8" w:space="0" w:color="auto"/>
              <w:left w:val="nil"/>
              <w:bottom w:val="single" w:sz="8" w:space="0" w:color="auto"/>
              <w:right w:val="single" w:sz="8" w:space="0" w:color="000000"/>
            </w:tcBorders>
            <w:vAlign w:val="center"/>
            <w:hideMark/>
          </w:tcPr>
          <w:p w14:paraId="7A0BFC95" w14:textId="77777777" w:rsidR="00614438" w:rsidRPr="00AA7A53" w:rsidRDefault="00614438" w:rsidP="00AA7A53">
            <w:pPr>
              <w:numPr>
                <w:ilvl w:val="0"/>
                <w:numId w:val="157"/>
              </w:numPr>
              <w:spacing w:after="0"/>
              <w:jc w:val="both"/>
              <w:rPr>
                <w:rFonts w:ascii="Times New Roman" w:hAnsi="Times New Roman" w:cs="Times New Roman"/>
                <w:sz w:val="20"/>
                <w:szCs w:val="20"/>
              </w:rPr>
            </w:pPr>
            <w:r w:rsidRPr="00AA7A53">
              <w:rPr>
                <w:rFonts w:ascii="Times New Roman" w:hAnsi="Times New Roman" w:cs="Times New Roman"/>
                <w:sz w:val="20"/>
                <w:szCs w:val="20"/>
              </w:rPr>
              <w:t> AERS</w:t>
            </w:r>
          </w:p>
        </w:tc>
      </w:tr>
      <w:tr w:rsidR="00614438" w:rsidRPr="00AA7A53" w14:paraId="53D09CB0" w14:textId="77777777" w:rsidTr="00614438">
        <w:trPr>
          <w:gridAfter w:val="1"/>
          <w:wAfter w:w="1212" w:type="dxa"/>
          <w:trHeight w:val="315"/>
        </w:trPr>
        <w:tc>
          <w:tcPr>
            <w:tcW w:w="3258" w:type="dxa"/>
            <w:tcBorders>
              <w:top w:val="nil"/>
              <w:left w:val="single" w:sz="8" w:space="0" w:color="auto"/>
              <w:bottom w:val="single" w:sz="8" w:space="0" w:color="auto"/>
              <w:right w:val="nil"/>
            </w:tcBorders>
            <w:shd w:val="clear" w:color="auto" w:fill="244062"/>
            <w:vAlign w:val="center"/>
            <w:hideMark/>
          </w:tcPr>
          <w:p w14:paraId="62B9F2A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Progress indicators</w:t>
            </w:r>
          </w:p>
        </w:tc>
        <w:tc>
          <w:tcPr>
            <w:tcW w:w="6230" w:type="dxa"/>
            <w:gridSpan w:val="3"/>
            <w:tcBorders>
              <w:top w:val="single" w:sz="8" w:space="0" w:color="auto"/>
              <w:left w:val="nil"/>
              <w:bottom w:val="single" w:sz="8" w:space="0" w:color="auto"/>
              <w:right w:val="single" w:sz="8" w:space="0" w:color="000000"/>
            </w:tcBorders>
            <w:vAlign w:val="center"/>
            <w:hideMark/>
          </w:tcPr>
          <w:p w14:paraId="129E091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Number of licensed (or commercially active) RECs and CECs and percentage of consumption and RES production (MWh) they represent in the electricity market</w:t>
            </w:r>
          </w:p>
        </w:tc>
      </w:tr>
      <w:tr w:rsidR="00614438" w:rsidRPr="00AA7A53" w14:paraId="6733374A" w14:textId="77777777" w:rsidTr="00614438">
        <w:trPr>
          <w:gridAfter w:val="1"/>
          <w:wAfter w:w="1212" w:type="dxa"/>
          <w:trHeight w:val="447"/>
        </w:trPr>
        <w:tc>
          <w:tcPr>
            <w:tcW w:w="3258" w:type="dxa"/>
            <w:tcBorders>
              <w:top w:val="nil"/>
              <w:left w:val="single" w:sz="8" w:space="0" w:color="auto"/>
              <w:bottom w:val="single" w:sz="8" w:space="0" w:color="auto"/>
              <w:right w:val="single" w:sz="8" w:space="0" w:color="auto"/>
            </w:tcBorders>
            <w:shd w:val="clear" w:color="auto" w:fill="244062"/>
            <w:vAlign w:val="center"/>
            <w:hideMark/>
          </w:tcPr>
          <w:p w14:paraId="0517EF2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30" w:type="dxa"/>
            <w:gridSpan w:val="3"/>
            <w:tcBorders>
              <w:top w:val="single" w:sz="8" w:space="0" w:color="auto"/>
              <w:left w:val="nil"/>
              <w:bottom w:val="single" w:sz="8" w:space="0" w:color="auto"/>
              <w:right w:val="single" w:sz="8" w:space="0" w:color="000000"/>
            </w:tcBorders>
            <w:vAlign w:val="center"/>
            <w:hideMark/>
          </w:tcPr>
          <w:p w14:paraId="023E24CE" w14:textId="77777777" w:rsidR="00614438" w:rsidRPr="00AA7A53" w:rsidRDefault="00614438" w:rsidP="00AA7A53">
            <w:pPr>
              <w:numPr>
                <w:ilvl w:val="0"/>
                <w:numId w:val="157"/>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Efficiency</w:t>
            </w:r>
          </w:p>
          <w:p w14:paraId="25169574" w14:textId="77777777" w:rsidR="00614438" w:rsidRPr="00AA7A53" w:rsidRDefault="00614438" w:rsidP="00AA7A53">
            <w:pPr>
              <w:numPr>
                <w:ilvl w:val="0"/>
                <w:numId w:val="157"/>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p w14:paraId="6E7059D5" w14:textId="77777777" w:rsidR="00614438" w:rsidRPr="00AA7A53" w:rsidRDefault="00614438" w:rsidP="00AA7A53">
            <w:pPr>
              <w:numPr>
                <w:ilvl w:val="0"/>
                <w:numId w:val="157"/>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tc>
      </w:tr>
      <w:tr w:rsidR="00614438" w:rsidRPr="00AA7A53" w14:paraId="3A9A99EB" w14:textId="77777777" w:rsidTr="00614438">
        <w:trPr>
          <w:gridAfter w:val="1"/>
          <w:wAfter w:w="1212" w:type="dxa"/>
          <w:trHeight w:val="458"/>
        </w:trPr>
        <w:tc>
          <w:tcPr>
            <w:tcW w:w="3258" w:type="dxa"/>
            <w:vMerge w:val="restart"/>
            <w:tcBorders>
              <w:top w:val="nil"/>
              <w:left w:val="single" w:sz="8" w:space="0" w:color="auto"/>
              <w:bottom w:val="single" w:sz="8" w:space="0" w:color="000000"/>
              <w:right w:val="single" w:sz="8" w:space="0" w:color="auto"/>
            </w:tcBorders>
            <w:shd w:val="clear" w:color="auto" w:fill="244062"/>
            <w:vAlign w:val="center"/>
            <w:hideMark/>
          </w:tcPr>
          <w:p w14:paraId="32DCF5E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3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1D2D84A" w14:textId="77777777" w:rsidR="00614438" w:rsidRPr="00AA7A53" w:rsidRDefault="00614438" w:rsidP="00AA7A53">
            <w:pPr>
              <w:numPr>
                <w:ilvl w:val="0"/>
                <w:numId w:val="155"/>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2009/72/EC</w:t>
            </w:r>
          </w:p>
          <w:p w14:paraId="70C07741" w14:textId="77777777" w:rsidR="00614438" w:rsidRPr="00AA7A53" w:rsidRDefault="00614438" w:rsidP="00AA7A53">
            <w:pPr>
              <w:numPr>
                <w:ilvl w:val="0"/>
                <w:numId w:val="155"/>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2012/27/ΕU</w:t>
            </w:r>
          </w:p>
          <w:p w14:paraId="22ABF9CB" w14:textId="77777777" w:rsidR="00614438" w:rsidRPr="00AA7A53" w:rsidRDefault="00614438" w:rsidP="00AA7A53">
            <w:pPr>
              <w:numPr>
                <w:ilvl w:val="0"/>
                <w:numId w:val="155"/>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2018/2002/ΕU</w:t>
            </w:r>
          </w:p>
        </w:tc>
      </w:tr>
      <w:tr w:rsidR="00614438" w:rsidRPr="00AA7A53" w14:paraId="1D8A3047"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580F968D"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90F7251"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10A1782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0B74CE8" w14:textId="77777777" w:rsidTr="00614438">
        <w:trPr>
          <w:trHeight w:val="99"/>
        </w:trPr>
        <w:tc>
          <w:tcPr>
            <w:tcW w:w="0" w:type="auto"/>
            <w:vMerge/>
            <w:tcBorders>
              <w:top w:val="nil"/>
              <w:left w:val="single" w:sz="8" w:space="0" w:color="auto"/>
              <w:bottom w:val="single" w:sz="8" w:space="0" w:color="000000"/>
              <w:right w:val="single" w:sz="8" w:space="0" w:color="auto"/>
            </w:tcBorders>
            <w:vAlign w:val="center"/>
            <w:hideMark/>
          </w:tcPr>
          <w:p w14:paraId="596AE6AA"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51FDD8C"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6283433C"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32A3D600" w14:textId="77777777" w:rsidTr="00614438">
        <w:trPr>
          <w:trHeight w:val="780"/>
        </w:trPr>
        <w:tc>
          <w:tcPr>
            <w:tcW w:w="3258" w:type="dxa"/>
            <w:tcBorders>
              <w:top w:val="nil"/>
              <w:left w:val="single" w:sz="8" w:space="0" w:color="auto"/>
              <w:bottom w:val="single" w:sz="8" w:space="0" w:color="auto"/>
              <w:right w:val="single" w:sz="8" w:space="0" w:color="auto"/>
            </w:tcBorders>
            <w:shd w:val="clear" w:color="auto" w:fill="244062"/>
            <w:vAlign w:val="center"/>
            <w:hideMark/>
          </w:tcPr>
          <w:p w14:paraId="730E40A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30" w:type="dxa"/>
            <w:gridSpan w:val="3"/>
            <w:tcBorders>
              <w:top w:val="single" w:sz="8" w:space="0" w:color="auto"/>
              <w:left w:val="nil"/>
              <w:bottom w:val="single" w:sz="8" w:space="0" w:color="auto"/>
              <w:right w:val="single" w:sz="8" w:space="0" w:color="000000"/>
            </w:tcBorders>
            <w:vAlign w:val="center"/>
            <w:hideMark/>
          </w:tcPr>
          <w:p w14:paraId="04D29DB0" w14:textId="77777777" w:rsidR="00614438" w:rsidRPr="00AA7A53" w:rsidRDefault="00614438" w:rsidP="00AA7A53">
            <w:pPr>
              <w:numPr>
                <w:ilvl w:val="0"/>
                <w:numId w:val="158"/>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w:t>
            </w:r>
          </w:p>
          <w:p w14:paraId="1EF80EC7" w14:textId="661008B1" w:rsidR="00614438" w:rsidRPr="00AA7A53" w:rsidRDefault="00614438" w:rsidP="00AA7A53">
            <w:pPr>
              <w:numPr>
                <w:ilvl w:val="0"/>
                <w:numId w:val="158"/>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RES</w:t>
            </w:r>
            <w:r w:rsidR="009869E2" w:rsidRPr="00AA7A53">
              <w:rPr>
                <w:rFonts w:ascii="Times New Roman" w:hAnsi="Times New Roman" w:cs="Times New Roman"/>
                <w:sz w:val="20"/>
                <w:szCs w:val="20"/>
              </w:rPr>
              <w:t xml:space="preserve"> usage</w:t>
            </w:r>
          </w:p>
        </w:tc>
        <w:tc>
          <w:tcPr>
            <w:tcW w:w="1212" w:type="dxa"/>
            <w:vAlign w:val="center"/>
            <w:hideMark/>
          </w:tcPr>
          <w:p w14:paraId="2D5BB7B8"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375527D" w14:textId="77777777" w:rsidTr="00614438">
        <w:trPr>
          <w:trHeight w:val="315"/>
        </w:trPr>
        <w:tc>
          <w:tcPr>
            <w:tcW w:w="3258" w:type="dxa"/>
            <w:tcBorders>
              <w:top w:val="nil"/>
              <w:left w:val="single" w:sz="8" w:space="0" w:color="auto"/>
              <w:bottom w:val="single" w:sz="8" w:space="0" w:color="auto"/>
              <w:right w:val="single" w:sz="8" w:space="0" w:color="auto"/>
            </w:tcBorders>
            <w:shd w:val="clear" w:color="auto" w:fill="244062"/>
            <w:vAlign w:val="center"/>
            <w:hideMark/>
          </w:tcPr>
          <w:p w14:paraId="525594C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30" w:type="dxa"/>
            <w:gridSpan w:val="3"/>
            <w:tcBorders>
              <w:top w:val="single" w:sz="8" w:space="0" w:color="auto"/>
              <w:left w:val="nil"/>
              <w:bottom w:val="single" w:sz="8" w:space="0" w:color="auto"/>
              <w:right w:val="single" w:sz="8" w:space="0" w:color="000000"/>
            </w:tcBorders>
            <w:vAlign w:val="center"/>
            <w:hideMark/>
          </w:tcPr>
          <w:p w14:paraId="38390A1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0.2 M€</w:t>
            </w:r>
          </w:p>
        </w:tc>
        <w:tc>
          <w:tcPr>
            <w:tcW w:w="1212" w:type="dxa"/>
            <w:vAlign w:val="center"/>
            <w:hideMark/>
          </w:tcPr>
          <w:p w14:paraId="7F448A29"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D1A9966" w14:textId="77777777" w:rsidTr="00614438">
        <w:trPr>
          <w:trHeight w:val="315"/>
        </w:trPr>
        <w:tc>
          <w:tcPr>
            <w:tcW w:w="3258" w:type="dxa"/>
            <w:tcBorders>
              <w:top w:val="nil"/>
              <w:left w:val="single" w:sz="8" w:space="0" w:color="auto"/>
              <w:bottom w:val="single" w:sz="8" w:space="0" w:color="auto"/>
              <w:right w:val="single" w:sz="8" w:space="0" w:color="auto"/>
            </w:tcBorders>
            <w:shd w:val="clear" w:color="auto" w:fill="244062"/>
            <w:vAlign w:val="center"/>
            <w:hideMark/>
          </w:tcPr>
          <w:p w14:paraId="46EA482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30" w:type="dxa"/>
            <w:gridSpan w:val="3"/>
            <w:tcBorders>
              <w:top w:val="single" w:sz="8" w:space="0" w:color="auto"/>
              <w:left w:val="nil"/>
              <w:bottom w:val="single" w:sz="8" w:space="0" w:color="auto"/>
              <w:right w:val="single" w:sz="8" w:space="0" w:color="000000"/>
            </w:tcBorders>
            <w:vAlign w:val="center"/>
            <w:hideMark/>
          </w:tcPr>
          <w:p w14:paraId="24DF93C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1212" w:type="dxa"/>
            <w:vAlign w:val="center"/>
            <w:hideMark/>
          </w:tcPr>
          <w:p w14:paraId="30342FCD" w14:textId="77777777" w:rsidR="00614438" w:rsidRPr="00AA7A53" w:rsidRDefault="00614438" w:rsidP="00AA7A53">
            <w:pPr>
              <w:spacing w:after="0"/>
              <w:jc w:val="both"/>
              <w:rPr>
                <w:rFonts w:ascii="Times New Roman" w:hAnsi="Times New Roman" w:cs="Times New Roman"/>
                <w:sz w:val="20"/>
                <w:szCs w:val="20"/>
                <w:lang w:val="en-GB"/>
              </w:rPr>
            </w:pPr>
          </w:p>
        </w:tc>
      </w:tr>
    </w:tbl>
    <w:p w14:paraId="607BB44C"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17"/>
        <w:gridCol w:w="1309"/>
        <w:gridCol w:w="920"/>
        <w:gridCol w:w="4042"/>
        <w:gridCol w:w="1212"/>
      </w:tblGrid>
      <w:tr w:rsidR="00614438" w:rsidRPr="00AA7A53" w14:paraId="1A6AD481" w14:textId="77777777" w:rsidTr="00614438">
        <w:trPr>
          <w:gridAfter w:val="1"/>
          <w:wAfter w:w="1212" w:type="dxa"/>
          <w:trHeight w:val="780"/>
        </w:trPr>
        <w:tc>
          <w:tcPr>
            <w:tcW w:w="321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04C0A41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Policy measure code:</w:t>
            </w:r>
          </w:p>
        </w:tc>
        <w:tc>
          <w:tcPr>
            <w:tcW w:w="1309" w:type="dxa"/>
            <w:tcBorders>
              <w:top w:val="single" w:sz="8" w:space="0" w:color="auto"/>
              <w:left w:val="nil"/>
              <w:bottom w:val="single" w:sz="8" w:space="0" w:color="auto"/>
              <w:right w:val="single" w:sz="8" w:space="0" w:color="auto"/>
            </w:tcBorders>
            <w:shd w:val="clear" w:color="auto" w:fill="E7E6E6" w:themeFill="background2"/>
            <w:vAlign w:val="center"/>
            <w:hideMark/>
          </w:tcPr>
          <w:p w14:paraId="6D6325E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PM_IEM21</w:t>
            </w:r>
          </w:p>
        </w:tc>
        <w:tc>
          <w:tcPr>
            <w:tcW w:w="920" w:type="dxa"/>
            <w:tcBorders>
              <w:top w:val="single" w:sz="8" w:space="0" w:color="auto"/>
              <w:left w:val="nil"/>
              <w:bottom w:val="single" w:sz="8" w:space="0" w:color="auto"/>
              <w:right w:val="single" w:sz="8" w:space="0" w:color="auto"/>
            </w:tcBorders>
            <w:shd w:val="clear" w:color="auto" w:fill="244062"/>
            <w:vAlign w:val="center"/>
            <w:hideMark/>
          </w:tcPr>
          <w:p w14:paraId="0FB2B15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042" w:type="dxa"/>
            <w:tcBorders>
              <w:top w:val="single" w:sz="8" w:space="0" w:color="auto"/>
              <w:left w:val="nil"/>
              <w:bottom w:val="single" w:sz="8" w:space="0" w:color="auto"/>
              <w:right w:val="single" w:sz="8" w:space="0" w:color="auto"/>
            </w:tcBorders>
            <w:shd w:val="clear" w:color="auto" w:fill="E7E6E6" w:themeFill="background2"/>
            <w:vAlign w:val="center"/>
            <w:hideMark/>
          </w:tcPr>
          <w:p w14:paraId="554A31F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EU Network Codes and Guidelines on electricity through appropriate amendments of the secondary legislation and adoption of additional rules, decisions and acts, where applicable.</w:t>
            </w:r>
          </w:p>
        </w:tc>
      </w:tr>
      <w:tr w:rsidR="00614438" w:rsidRPr="00AA7A53" w14:paraId="17348D27" w14:textId="77777777" w:rsidTr="00614438">
        <w:trPr>
          <w:gridAfter w:val="1"/>
          <w:wAfter w:w="1212" w:type="dxa"/>
          <w:trHeight w:val="529"/>
        </w:trPr>
        <w:tc>
          <w:tcPr>
            <w:tcW w:w="3217" w:type="dxa"/>
            <w:tcBorders>
              <w:top w:val="nil"/>
              <w:left w:val="single" w:sz="8" w:space="0" w:color="auto"/>
              <w:bottom w:val="single" w:sz="8" w:space="0" w:color="auto"/>
              <w:right w:val="nil"/>
            </w:tcBorders>
            <w:shd w:val="clear" w:color="auto" w:fill="244062"/>
            <w:vAlign w:val="center"/>
            <w:hideMark/>
          </w:tcPr>
          <w:p w14:paraId="0F67063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Main objective:</w:t>
            </w:r>
          </w:p>
        </w:tc>
        <w:tc>
          <w:tcPr>
            <w:tcW w:w="6271" w:type="dxa"/>
            <w:gridSpan w:val="3"/>
            <w:tcBorders>
              <w:top w:val="single" w:sz="8" w:space="0" w:color="auto"/>
              <w:left w:val="nil"/>
              <w:bottom w:val="single" w:sz="8" w:space="0" w:color="auto"/>
              <w:right w:val="single" w:sz="8" w:space="0" w:color="000000"/>
            </w:tcBorders>
            <w:vAlign w:val="center"/>
            <w:hideMark/>
          </w:tcPr>
          <w:p w14:paraId="7E6581E1" w14:textId="42F8A969"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system flexibility and quality of electricity supply, in particular through policies and measures related to market-based price formation in compliance with applicable law; market integration and coupling, aiming to increase the tradeable capacity of existing interconnectors, smart grids, aggregation, demand response, storage, distributed generation, mechanisms for dispatching, re-dispatching and curtailm</w:t>
            </w:r>
            <w:r w:rsidR="009869E2" w:rsidRPr="00AA7A53">
              <w:rPr>
                <w:rFonts w:ascii="Times New Roman" w:hAnsi="Times New Roman" w:cs="Times New Roman"/>
                <w:sz w:val="20"/>
                <w:szCs w:val="20"/>
                <w:lang w:val="en-GB"/>
              </w:rPr>
              <w:t>ent and real-time price signals.</w:t>
            </w:r>
          </w:p>
        </w:tc>
      </w:tr>
      <w:tr w:rsidR="00614438" w:rsidRPr="00AA7A53" w14:paraId="0479411D" w14:textId="77777777" w:rsidTr="00614438">
        <w:trPr>
          <w:gridAfter w:val="1"/>
          <w:wAfter w:w="1212" w:type="dxa"/>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5617C0B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Quantified objective:</w:t>
            </w:r>
          </w:p>
        </w:tc>
        <w:tc>
          <w:tcPr>
            <w:tcW w:w="6271" w:type="dxa"/>
            <w:gridSpan w:val="3"/>
            <w:tcBorders>
              <w:top w:val="single" w:sz="8" w:space="0" w:color="auto"/>
              <w:left w:val="nil"/>
              <w:bottom w:val="single" w:sz="8" w:space="0" w:color="auto"/>
              <w:right w:val="single" w:sz="8" w:space="0" w:color="000000"/>
            </w:tcBorders>
            <w:vAlign w:val="center"/>
            <w:hideMark/>
          </w:tcPr>
          <w:p w14:paraId="684A465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Energy Community Acquis Communautaire (including the Electricity Integration Package), increased market use of the interconnectors, price convergence with the neighbouring bidding zone, increased market-based integration of RES in the electricity mix, fulfilment of the minimum cross-zonal capacity target of 70%, ability to exchange balancing resources</w:t>
            </w:r>
          </w:p>
        </w:tc>
      </w:tr>
      <w:tr w:rsidR="00614438" w:rsidRPr="00AA7A53" w14:paraId="73D1A41F" w14:textId="77777777" w:rsidTr="00614438">
        <w:trPr>
          <w:gridAfter w:val="1"/>
          <w:wAfter w:w="1212" w:type="dxa"/>
          <w:trHeight w:val="443"/>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3AC3B04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71" w:type="dxa"/>
            <w:gridSpan w:val="3"/>
            <w:tcBorders>
              <w:top w:val="single" w:sz="8" w:space="0" w:color="auto"/>
              <w:left w:val="nil"/>
              <w:bottom w:val="single" w:sz="8" w:space="0" w:color="auto"/>
              <w:right w:val="single" w:sz="8" w:space="0" w:color="000000"/>
            </w:tcBorders>
            <w:vAlign w:val="center"/>
            <w:hideMark/>
          </w:tcPr>
          <w:p w14:paraId="004E7D39" w14:textId="58880519"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PM_IEM21 aims at</w:t>
            </w:r>
            <w:r w:rsidR="009869E2" w:rsidRPr="00AA7A53">
              <w:rPr>
                <w:rFonts w:ascii="Times New Roman" w:hAnsi="Times New Roman" w:cs="Times New Roman"/>
                <w:sz w:val="20"/>
                <w:szCs w:val="20"/>
                <w:lang w:val="en-GB"/>
              </w:rPr>
              <w:t xml:space="preserve"> the</w:t>
            </w:r>
            <w:r w:rsidRPr="00AA7A53">
              <w:rPr>
                <w:rFonts w:ascii="Times New Roman" w:hAnsi="Times New Roman" w:cs="Times New Roman"/>
                <w:sz w:val="20"/>
                <w:szCs w:val="20"/>
                <w:lang w:val="en-GB"/>
              </w:rPr>
              <w:t xml:space="preserve"> continuation of work towards the implementation of EU network codes and guidelines which in turn comprise the EU framework conditions of ensuring competition, affordability and security. They aim at the improvement electricity security and quality of supply while harmonizing system operators to market mechanisms. The EU Network Codes and Guidelines in conjunction with the Electricity Directive and Regulation under the CEP aim to deliver on Europe's clean energy transition through better and market-based integration of renewables. The Energy Community and the amendments to the Energy Law have currently set forth the requirement of the EU Regulation 2015/122 CACM, and it would also be advisable to voluntarily adopt the EU Regulation 2017/2195 EBGL (Article 93a) in accordance to the amendments of the Energy Law. This PM will also facilitate the implementation of the following EU regulations:</w:t>
            </w:r>
          </w:p>
          <w:p w14:paraId="5E26969F" w14:textId="77777777" w:rsidR="00614438" w:rsidRPr="00AA7A53" w:rsidRDefault="00614438" w:rsidP="00AA7A53">
            <w:pPr>
              <w:numPr>
                <w:ilvl w:val="0"/>
                <w:numId w:val="159"/>
              </w:numPr>
              <w:spacing w:after="0"/>
              <w:jc w:val="both"/>
              <w:rPr>
                <w:rFonts w:ascii="Times New Roman" w:hAnsi="Times New Roman" w:cs="Times New Roman"/>
                <w:sz w:val="20"/>
                <w:szCs w:val="20"/>
              </w:rPr>
            </w:pPr>
            <w:r w:rsidRPr="00AA7A53">
              <w:rPr>
                <w:rFonts w:ascii="Times New Roman" w:hAnsi="Times New Roman" w:cs="Times New Roman"/>
                <w:sz w:val="20"/>
                <w:szCs w:val="20"/>
              </w:rPr>
              <w:t>2017/1485 (SO GL)</w:t>
            </w:r>
          </w:p>
          <w:p w14:paraId="096D4455" w14:textId="77777777" w:rsidR="00614438" w:rsidRPr="00AA7A53" w:rsidRDefault="00614438" w:rsidP="00AA7A53">
            <w:pPr>
              <w:numPr>
                <w:ilvl w:val="0"/>
                <w:numId w:val="159"/>
              </w:numPr>
              <w:spacing w:after="0"/>
              <w:jc w:val="both"/>
              <w:rPr>
                <w:rFonts w:ascii="Times New Roman" w:hAnsi="Times New Roman" w:cs="Times New Roman"/>
                <w:sz w:val="20"/>
                <w:szCs w:val="20"/>
              </w:rPr>
            </w:pPr>
            <w:r w:rsidRPr="00AA7A53">
              <w:rPr>
                <w:rFonts w:ascii="Times New Roman" w:hAnsi="Times New Roman" w:cs="Times New Roman"/>
                <w:sz w:val="20"/>
                <w:szCs w:val="20"/>
              </w:rPr>
              <w:t>2017/2196 (EN RC)</w:t>
            </w:r>
          </w:p>
          <w:p w14:paraId="3FE32854" w14:textId="77777777" w:rsidR="00614438" w:rsidRPr="00AA7A53" w:rsidRDefault="00614438" w:rsidP="00AA7A53">
            <w:pPr>
              <w:numPr>
                <w:ilvl w:val="0"/>
                <w:numId w:val="159"/>
              </w:numPr>
              <w:spacing w:after="0"/>
              <w:jc w:val="both"/>
              <w:rPr>
                <w:rFonts w:ascii="Times New Roman" w:hAnsi="Times New Roman" w:cs="Times New Roman"/>
                <w:sz w:val="20"/>
                <w:szCs w:val="20"/>
              </w:rPr>
            </w:pPr>
            <w:r w:rsidRPr="00AA7A53">
              <w:rPr>
                <w:rFonts w:ascii="Times New Roman" w:hAnsi="Times New Roman" w:cs="Times New Roman"/>
                <w:sz w:val="20"/>
                <w:szCs w:val="20"/>
              </w:rPr>
              <w:t>2016/1719 (FCA GL)</w:t>
            </w:r>
          </w:p>
          <w:p w14:paraId="088EE1E1" w14:textId="77777777" w:rsidR="00614438" w:rsidRPr="00AA7A53" w:rsidRDefault="00614438" w:rsidP="00AA7A53">
            <w:pPr>
              <w:numPr>
                <w:ilvl w:val="0"/>
                <w:numId w:val="159"/>
              </w:numPr>
              <w:spacing w:after="0"/>
              <w:jc w:val="both"/>
              <w:rPr>
                <w:rFonts w:ascii="Times New Roman" w:hAnsi="Times New Roman" w:cs="Times New Roman"/>
                <w:sz w:val="20"/>
                <w:szCs w:val="20"/>
              </w:rPr>
            </w:pPr>
            <w:r w:rsidRPr="00AA7A53">
              <w:rPr>
                <w:rFonts w:ascii="Times New Roman" w:hAnsi="Times New Roman" w:cs="Times New Roman"/>
                <w:sz w:val="20"/>
                <w:szCs w:val="20"/>
              </w:rPr>
              <w:t>2019/942 (ACER)</w:t>
            </w:r>
          </w:p>
          <w:p w14:paraId="6C7C3387" w14:textId="77777777" w:rsidR="00614438" w:rsidRPr="00AA7A53" w:rsidRDefault="00614438" w:rsidP="00AA7A53">
            <w:pPr>
              <w:numPr>
                <w:ilvl w:val="0"/>
                <w:numId w:val="159"/>
              </w:numPr>
              <w:spacing w:after="0"/>
              <w:jc w:val="both"/>
              <w:rPr>
                <w:rFonts w:ascii="Times New Roman" w:hAnsi="Times New Roman" w:cs="Times New Roman"/>
                <w:sz w:val="20"/>
                <w:szCs w:val="20"/>
              </w:rPr>
            </w:pPr>
            <w:r w:rsidRPr="00AA7A53">
              <w:rPr>
                <w:rFonts w:ascii="Times New Roman" w:hAnsi="Times New Roman" w:cs="Times New Roman"/>
                <w:sz w:val="20"/>
                <w:szCs w:val="20"/>
              </w:rPr>
              <w:t>2019/943 on the internal energy market for electricity</w:t>
            </w:r>
          </w:p>
        </w:tc>
      </w:tr>
      <w:tr w:rsidR="00614438" w:rsidRPr="00AA7A53" w14:paraId="47679714" w14:textId="77777777" w:rsidTr="00614438">
        <w:trPr>
          <w:gridAfter w:val="1"/>
          <w:wAfter w:w="1212" w:type="dxa"/>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4C92309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71" w:type="dxa"/>
            <w:gridSpan w:val="3"/>
            <w:tcBorders>
              <w:top w:val="single" w:sz="8" w:space="0" w:color="auto"/>
              <w:left w:val="nil"/>
              <w:bottom w:val="single" w:sz="8" w:space="0" w:color="auto"/>
              <w:right w:val="single" w:sz="8" w:space="0" w:color="000000"/>
            </w:tcBorders>
            <w:vAlign w:val="center"/>
            <w:hideMark/>
          </w:tcPr>
          <w:p w14:paraId="1F602B3D" w14:textId="120A7FFA"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9869E2"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104E8CBC" w14:textId="77777777" w:rsidTr="00614438">
        <w:trPr>
          <w:gridAfter w:val="1"/>
          <w:wAfter w:w="1212" w:type="dxa"/>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6C1BC4E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71" w:type="dxa"/>
            <w:gridSpan w:val="3"/>
            <w:tcBorders>
              <w:top w:val="single" w:sz="8" w:space="0" w:color="auto"/>
              <w:left w:val="nil"/>
              <w:bottom w:val="single" w:sz="8" w:space="0" w:color="auto"/>
              <w:right w:val="single" w:sz="8" w:space="0" w:color="000000"/>
            </w:tcBorders>
            <w:vAlign w:val="center"/>
            <w:hideMark/>
          </w:tcPr>
          <w:p w14:paraId="005D248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72D9E0AB" w14:textId="77777777" w:rsidTr="00614438">
        <w:trPr>
          <w:gridAfter w:val="1"/>
          <w:wAfter w:w="1212" w:type="dxa"/>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3079C54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71" w:type="dxa"/>
            <w:gridSpan w:val="3"/>
            <w:tcBorders>
              <w:top w:val="single" w:sz="8" w:space="0" w:color="auto"/>
              <w:left w:val="nil"/>
              <w:bottom w:val="single" w:sz="8" w:space="0" w:color="auto"/>
              <w:right w:val="single" w:sz="8" w:space="0" w:color="000000"/>
            </w:tcBorders>
            <w:vAlign w:val="center"/>
            <w:hideMark/>
          </w:tcPr>
          <w:p w14:paraId="4A928A8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Electricity</w:t>
            </w:r>
          </w:p>
        </w:tc>
      </w:tr>
      <w:tr w:rsidR="00614438" w:rsidRPr="00AA7A53" w14:paraId="59720FB2" w14:textId="77777777" w:rsidTr="00614438">
        <w:trPr>
          <w:gridAfter w:val="1"/>
          <w:wAfter w:w="1212" w:type="dxa"/>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2B8CE8B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71" w:type="dxa"/>
            <w:gridSpan w:val="3"/>
            <w:tcBorders>
              <w:top w:val="single" w:sz="8" w:space="0" w:color="auto"/>
              <w:left w:val="nil"/>
              <w:bottom w:val="single" w:sz="8" w:space="0" w:color="auto"/>
              <w:right w:val="single" w:sz="8" w:space="0" w:color="000000"/>
            </w:tcBorders>
            <w:vAlign w:val="center"/>
            <w:hideMark/>
          </w:tcPr>
          <w:p w14:paraId="57C8CA90" w14:textId="77777777" w:rsidR="00614438" w:rsidRPr="00AA7A53" w:rsidRDefault="00614438" w:rsidP="00AA7A53">
            <w:pPr>
              <w:numPr>
                <w:ilvl w:val="0"/>
                <w:numId w:val="159"/>
              </w:numPr>
              <w:spacing w:after="0"/>
              <w:jc w:val="both"/>
              <w:rPr>
                <w:rFonts w:ascii="Times New Roman" w:hAnsi="Times New Roman" w:cs="Times New Roman"/>
                <w:sz w:val="20"/>
                <w:szCs w:val="20"/>
              </w:rPr>
            </w:pPr>
            <w:r w:rsidRPr="00AA7A53">
              <w:rPr>
                <w:rFonts w:ascii="Times New Roman" w:hAnsi="Times New Roman" w:cs="Times New Roman"/>
                <w:sz w:val="20"/>
                <w:szCs w:val="20"/>
              </w:rPr>
              <w:t>AERS</w:t>
            </w:r>
          </w:p>
          <w:p w14:paraId="4A9D194E" w14:textId="43ADC596" w:rsidR="009869E2" w:rsidRPr="00AA7A53" w:rsidRDefault="009869E2" w:rsidP="00AA7A53">
            <w:pPr>
              <w:numPr>
                <w:ilvl w:val="0"/>
                <w:numId w:val="159"/>
              </w:numPr>
              <w:spacing w:after="0"/>
              <w:jc w:val="both"/>
              <w:rPr>
                <w:rFonts w:ascii="Times New Roman" w:hAnsi="Times New Roman" w:cs="Times New Roman"/>
                <w:sz w:val="20"/>
                <w:szCs w:val="20"/>
                <w:lang w:val="pt-PT"/>
              </w:rPr>
            </w:pPr>
            <w:r w:rsidRPr="00AA7A53">
              <w:rPr>
                <w:rFonts w:ascii="Times New Roman" w:hAnsi="Times New Roman" w:cs="Times New Roman"/>
                <w:sz w:val="20"/>
                <w:szCs w:val="20"/>
                <w:lang w:val="pt-PT"/>
              </w:rPr>
              <w:lastRenderedPageBreak/>
              <w:t>Elektrodistribucija Srbije ltd. Belgrade</w:t>
            </w:r>
          </w:p>
          <w:p w14:paraId="7FDED056" w14:textId="77777777" w:rsidR="009869E2" w:rsidRPr="00AA7A53" w:rsidRDefault="009869E2" w:rsidP="00AA7A53">
            <w:pPr>
              <w:numPr>
                <w:ilvl w:val="0"/>
                <w:numId w:val="159"/>
              </w:numPr>
              <w:spacing w:after="0"/>
              <w:jc w:val="both"/>
              <w:rPr>
                <w:rFonts w:ascii="Times New Roman" w:hAnsi="Times New Roman" w:cs="Times New Roman"/>
                <w:sz w:val="20"/>
                <w:szCs w:val="20"/>
              </w:rPr>
            </w:pPr>
            <w:r w:rsidRPr="00AA7A53">
              <w:rPr>
                <w:rFonts w:ascii="Times New Roman" w:hAnsi="Times New Roman" w:cs="Times New Roman"/>
                <w:sz w:val="20"/>
                <w:szCs w:val="20"/>
              </w:rPr>
              <w:t>JSC Ëlektromreza Srbije”</w:t>
            </w:r>
          </w:p>
          <w:p w14:paraId="71B16559" w14:textId="21EB7DF0" w:rsidR="00614438" w:rsidRPr="00AA7A53" w:rsidRDefault="00614438" w:rsidP="00AA7A53">
            <w:pPr>
              <w:numPr>
                <w:ilvl w:val="0"/>
                <w:numId w:val="159"/>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70B7E250" w14:textId="77777777" w:rsidR="00614438" w:rsidRPr="00AA7A53" w:rsidRDefault="00614438" w:rsidP="00AA7A53">
            <w:pPr>
              <w:numPr>
                <w:ilvl w:val="0"/>
                <w:numId w:val="159"/>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rPr>
              <w:t>SEEPEX</w:t>
            </w:r>
          </w:p>
        </w:tc>
      </w:tr>
      <w:tr w:rsidR="00614438" w:rsidRPr="00AA7A53" w14:paraId="2411FF3B" w14:textId="77777777" w:rsidTr="00614438">
        <w:trPr>
          <w:gridAfter w:val="1"/>
          <w:wAfter w:w="1212" w:type="dxa"/>
          <w:trHeight w:val="315"/>
        </w:trPr>
        <w:tc>
          <w:tcPr>
            <w:tcW w:w="3217" w:type="dxa"/>
            <w:tcBorders>
              <w:top w:val="nil"/>
              <w:left w:val="single" w:sz="8" w:space="0" w:color="auto"/>
              <w:bottom w:val="single" w:sz="8" w:space="0" w:color="auto"/>
              <w:right w:val="nil"/>
            </w:tcBorders>
            <w:shd w:val="clear" w:color="auto" w:fill="244062"/>
            <w:vAlign w:val="center"/>
            <w:hideMark/>
          </w:tcPr>
          <w:p w14:paraId="07D10A9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Monitoring Entity</w:t>
            </w:r>
          </w:p>
        </w:tc>
        <w:tc>
          <w:tcPr>
            <w:tcW w:w="6271" w:type="dxa"/>
            <w:gridSpan w:val="3"/>
            <w:tcBorders>
              <w:top w:val="single" w:sz="8" w:space="0" w:color="auto"/>
              <w:left w:val="nil"/>
              <w:bottom w:val="single" w:sz="8" w:space="0" w:color="auto"/>
              <w:right w:val="single" w:sz="8" w:space="0" w:color="000000"/>
            </w:tcBorders>
            <w:vAlign w:val="center"/>
            <w:hideMark/>
          </w:tcPr>
          <w:p w14:paraId="798FFE0C" w14:textId="77777777" w:rsidR="00614438" w:rsidRPr="00AA7A53" w:rsidRDefault="00614438" w:rsidP="00AA7A53">
            <w:pPr>
              <w:numPr>
                <w:ilvl w:val="0"/>
                <w:numId w:val="159"/>
              </w:numPr>
              <w:spacing w:after="0"/>
              <w:jc w:val="both"/>
              <w:rPr>
                <w:rFonts w:ascii="Times New Roman" w:hAnsi="Times New Roman" w:cs="Times New Roman"/>
                <w:sz w:val="20"/>
                <w:szCs w:val="20"/>
              </w:rPr>
            </w:pPr>
            <w:r w:rsidRPr="00AA7A53">
              <w:rPr>
                <w:rFonts w:ascii="Times New Roman" w:hAnsi="Times New Roman" w:cs="Times New Roman"/>
                <w:sz w:val="20"/>
                <w:szCs w:val="20"/>
              </w:rPr>
              <w:t>AERS </w:t>
            </w:r>
          </w:p>
        </w:tc>
      </w:tr>
      <w:tr w:rsidR="00614438" w:rsidRPr="00AA7A53" w14:paraId="5115ADFD" w14:textId="77777777" w:rsidTr="00614438">
        <w:trPr>
          <w:gridAfter w:val="1"/>
          <w:wAfter w:w="1212" w:type="dxa"/>
          <w:trHeight w:val="315"/>
        </w:trPr>
        <w:tc>
          <w:tcPr>
            <w:tcW w:w="3217" w:type="dxa"/>
            <w:tcBorders>
              <w:top w:val="nil"/>
              <w:left w:val="single" w:sz="8" w:space="0" w:color="auto"/>
              <w:bottom w:val="single" w:sz="8" w:space="0" w:color="auto"/>
              <w:right w:val="nil"/>
            </w:tcBorders>
            <w:shd w:val="clear" w:color="auto" w:fill="244062"/>
            <w:vAlign w:val="center"/>
            <w:hideMark/>
          </w:tcPr>
          <w:p w14:paraId="6179516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71" w:type="dxa"/>
            <w:gridSpan w:val="3"/>
            <w:tcBorders>
              <w:top w:val="single" w:sz="8" w:space="0" w:color="auto"/>
              <w:left w:val="nil"/>
              <w:bottom w:val="single" w:sz="8" w:space="0" w:color="auto"/>
              <w:right w:val="single" w:sz="8" w:space="0" w:color="000000"/>
            </w:tcBorders>
            <w:vAlign w:val="center"/>
            <w:hideMark/>
          </w:tcPr>
          <w:p w14:paraId="0635980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New legal and regulatory framework adopted including through amendments to the existing network codes and market rules </w:t>
            </w:r>
          </w:p>
        </w:tc>
      </w:tr>
      <w:tr w:rsidR="00614438" w:rsidRPr="00AA7A53" w14:paraId="7E920612" w14:textId="77777777" w:rsidTr="00614438">
        <w:trPr>
          <w:gridAfter w:val="1"/>
          <w:wAfter w:w="1212" w:type="dxa"/>
          <w:trHeight w:val="401"/>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47C0A94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71" w:type="dxa"/>
            <w:gridSpan w:val="3"/>
            <w:tcBorders>
              <w:top w:val="single" w:sz="8" w:space="0" w:color="auto"/>
              <w:left w:val="nil"/>
              <w:bottom w:val="single" w:sz="8" w:space="0" w:color="auto"/>
              <w:right w:val="single" w:sz="8" w:space="0" w:color="000000"/>
            </w:tcBorders>
            <w:vAlign w:val="center"/>
            <w:hideMark/>
          </w:tcPr>
          <w:p w14:paraId="452A4DD3" w14:textId="77777777" w:rsidR="00614438" w:rsidRPr="00AA7A53" w:rsidRDefault="00614438" w:rsidP="00AA7A53">
            <w:pPr>
              <w:numPr>
                <w:ilvl w:val="0"/>
                <w:numId w:val="159"/>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p w14:paraId="02F8735E" w14:textId="77777777" w:rsidR="00614438" w:rsidRPr="00AA7A53" w:rsidRDefault="00614438" w:rsidP="00AA7A53">
            <w:pPr>
              <w:numPr>
                <w:ilvl w:val="0"/>
                <w:numId w:val="159"/>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Efficiency</w:t>
            </w:r>
          </w:p>
          <w:p w14:paraId="106E9D37" w14:textId="77777777" w:rsidR="00614438" w:rsidRPr="00AA7A53" w:rsidRDefault="00614438" w:rsidP="00AA7A53">
            <w:pPr>
              <w:numPr>
                <w:ilvl w:val="0"/>
                <w:numId w:val="159"/>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77C1881A" w14:textId="77777777" w:rsidTr="00614438">
        <w:trPr>
          <w:gridAfter w:val="1"/>
          <w:wAfter w:w="1212" w:type="dxa"/>
          <w:trHeight w:val="458"/>
        </w:trPr>
        <w:tc>
          <w:tcPr>
            <w:tcW w:w="3217" w:type="dxa"/>
            <w:vMerge w:val="restart"/>
            <w:tcBorders>
              <w:top w:val="nil"/>
              <w:left w:val="single" w:sz="8" w:space="0" w:color="auto"/>
              <w:bottom w:val="single" w:sz="8" w:space="0" w:color="000000"/>
              <w:right w:val="single" w:sz="8" w:space="0" w:color="auto"/>
            </w:tcBorders>
            <w:shd w:val="clear" w:color="auto" w:fill="244062"/>
            <w:vAlign w:val="center"/>
            <w:hideMark/>
          </w:tcPr>
          <w:p w14:paraId="42FFCF2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7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ABA2916" w14:textId="77777777" w:rsidR="00614438" w:rsidRPr="00AA7A53" w:rsidRDefault="00614438" w:rsidP="00AA7A53">
            <w:pPr>
              <w:numPr>
                <w:ilvl w:val="0"/>
                <w:numId w:val="155"/>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2009/72/EC</w:t>
            </w:r>
          </w:p>
          <w:p w14:paraId="02C713C0" w14:textId="77777777" w:rsidR="00614438" w:rsidRPr="00AA7A53" w:rsidRDefault="00614438" w:rsidP="00AA7A53">
            <w:pPr>
              <w:numPr>
                <w:ilvl w:val="0"/>
                <w:numId w:val="155"/>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2019/944</w:t>
            </w:r>
          </w:p>
          <w:p w14:paraId="2A4D6FAA" w14:textId="77777777" w:rsidR="00614438" w:rsidRPr="00AA7A53" w:rsidRDefault="00614438" w:rsidP="00AA7A53">
            <w:pPr>
              <w:numPr>
                <w:ilvl w:val="0"/>
                <w:numId w:val="155"/>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2019/943</w:t>
            </w:r>
          </w:p>
        </w:tc>
      </w:tr>
      <w:tr w:rsidR="00614438" w:rsidRPr="00AA7A53" w14:paraId="0E6F7B76"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568F38E4"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F866EF3"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735B3E3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7277AD6"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65E0147D"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07EE935"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7FC5825F"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6ED9EA5E" w14:textId="77777777" w:rsidTr="00614438">
        <w:trPr>
          <w:trHeight w:val="576"/>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20A0353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71" w:type="dxa"/>
            <w:gridSpan w:val="3"/>
            <w:tcBorders>
              <w:top w:val="single" w:sz="8" w:space="0" w:color="auto"/>
              <w:left w:val="nil"/>
              <w:bottom w:val="single" w:sz="8" w:space="0" w:color="auto"/>
              <w:right w:val="single" w:sz="8" w:space="0" w:color="000000"/>
            </w:tcBorders>
            <w:vAlign w:val="center"/>
            <w:hideMark/>
          </w:tcPr>
          <w:p w14:paraId="3D255D49" w14:textId="77777777" w:rsidR="00614438" w:rsidRPr="00AA7A53" w:rsidRDefault="00614438" w:rsidP="00AA7A53">
            <w:pPr>
              <w:numPr>
                <w:ilvl w:val="0"/>
                <w:numId w:val="160"/>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w:t>
            </w:r>
          </w:p>
          <w:p w14:paraId="5D78941B" w14:textId="1C0F53E9" w:rsidR="00614438" w:rsidRPr="00AA7A53" w:rsidRDefault="00614438" w:rsidP="00AA7A53">
            <w:pPr>
              <w:numPr>
                <w:ilvl w:val="0"/>
                <w:numId w:val="160"/>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on Network Code on High Voltage Direct Current connections (HVDC)</w:t>
            </w:r>
            <w:r w:rsidR="009869E2" w:rsidRPr="00AA7A53">
              <w:rPr>
                <w:rFonts w:ascii="Times New Roman" w:hAnsi="Times New Roman" w:cs="Times New Roman"/>
                <w:sz w:val="20"/>
                <w:szCs w:val="20"/>
              </w:rPr>
              <w:t xml:space="preserve"> (Official Gazette of RS, no. 104/22)</w:t>
            </w:r>
          </w:p>
          <w:p w14:paraId="75D6C0CC" w14:textId="581B181B" w:rsidR="00614438" w:rsidRPr="00AA7A53" w:rsidRDefault="00614438" w:rsidP="00AA7A53">
            <w:pPr>
              <w:numPr>
                <w:ilvl w:val="0"/>
                <w:numId w:val="160"/>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on Network Code on Customer connections</w:t>
            </w:r>
            <w:r w:rsidR="009869E2" w:rsidRPr="00AA7A53">
              <w:rPr>
                <w:rFonts w:ascii="Times New Roman" w:hAnsi="Times New Roman" w:cs="Times New Roman"/>
                <w:sz w:val="20"/>
                <w:szCs w:val="20"/>
              </w:rPr>
              <w:t xml:space="preserve"> (Official Gazette of RS, no. 104/22)</w:t>
            </w:r>
          </w:p>
          <w:p w14:paraId="4AAF4F04" w14:textId="4AC9D1F3" w:rsidR="00614438" w:rsidRPr="00AA7A53" w:rsidRDefault="00614438" w:rsidP="00AA7A53">
            <w:pPr>
              <w:numPr>
                <w:ilvl w:val="0"/>
                <w:numId w:val="160"/>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on Network Code on production connections</w:t>
            </w:r>
            <w:r w:rsidR="009869E2" w:rsidRPr="00AA7A53">
              <w:rPr>
                <w:rFonts w:ascii="Times New Roman" w:hAnsi="Times New Roman" w:cs="Times New Roman"/>
                <w:sz w:val="20"/>
                <w:szCs w:val="20"/>
              </w:rPr>
              <w:t xml:space="preserve"> (Official Gazette of Rs, no. 95/22)</w:t>
            </w:r>
          </w:p>
        </w:tc>
        <w:tc>
          <w:tcPr>
            <w:tcW w:w="1212" w:type="dxa"/>
            <w:vAlign w:val="center"/>
            <w:hideMark/>
          </w:tcPr>
          <w:p w14:paraId="42771E8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C7EB80E" w14:textId="77777777" w:rsidTr="00614438">
        <w:trPr>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3900F82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71" w:type="dxa"/>
            <w:gridSpan w:val="3"/>
            <w:tcBorders>
              <w:top w:val="single" w:sz="8" w:space="0" w:color="auto"/>
              <w:left w:val="nil"/>
              <w:bottom w:val="single" w:sz="8" w:space="0" w:color="auto"/>
              <w:right w:val="single" w:sz="8" w:space="0" w:color="000000"/>
            </w:tcBorders>
            <w:vAlign w:val="center"/>
            <w:hideMark/>
          </w:tcPr>
          <w:p w14:paraId="753BFE0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0.2 M€</w:t>
            </w:r>
          </w:p>
        </w:tc>
        <w:tc>
          <w:tcPr>
            <w:tcW w:w="1212" w:type="dxa"/>
            <w:vAlign w:val="center"/>
            <w:hideMark/>
          </w:tcPr>
          <w:p w14:paraId="198E206D"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7D811CA" w14:textId="77777777" w:rsidTr="00614438">
        <w:trPr>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2467F5B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71" w:type="dxa"/>
            <w:gridSpan w:val="3"/>
            <w:tcBorders>
              <w:top w:val="single" w:sz="8" w:space="0" w:color="auto"/>
              <w:left w:val="nil"/>
              <w:bottom w:val="single" w:sz="8" w:space="0" w:color="auto"/>
              <w:right w:val="single" w:sz="8" w:space="0" w:color="000000"/>
            </w:tcBorders>
            <w:vAlign w:val="center"/>
            <w:hideMark/>
          </w:tcPr>
          <w:p w14:paraId="434A0E1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1212" w:type="dxa"/>
            <w:vAlign w:val="center"/>
            <w:hideMark/>
          </w:tcPr>
          <w:p w14:paraId="0B0AC945" w14:textId="77777777" w:rsidR="00614438" w:rsidRPr="00AA7A53" w:rsidRDefault="00614438" w:rsidP="00AA7A53">
            <w:pPr>
              <w:spacing w:after="0"/>
              <w:jc w:val="both"/>
              <w:rPr>
                <w:rFonts w:ascii="Times New Roman" w:hAnsi="Times New Roman" w:cs="Times New Roman"/>
                <w:sz w:val="20"/>
                <w:szCs w:val="20"/>
                <w:lang w:val="en-GB"/>
              </w:rPr>
            </w:pPr>
          </w:p>
        </w:tc>
      </w:tr>
    </w:tbl>
    <w:p w14:paraId="772F5549"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24"/>
        <w:gridCol w:w="1309"/>
        <w:gridCol w:w="922"/>
        <w:gridCol w:w="4033"/>
        <w:gridCol w:w="1212"/>
      </w:tblGrid>
      <w:tr w:rsidR="00614438" w:rsidRPr="00AA7A53" w14:paraId="61C89B6A" w14:textId="77777777" w:rsidTr="00614438">
        <w:trPr>
          <w:gridAfter w:val="1"/>
          <w:wAfter w:w="1212" w:type="dxa"/>
          <w:trHeight w:val="555"/>
        </w:trPr>
        <w:tc>
          <w:tcPr>
            <w:tcW w:w="3224"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6DE7C8B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309" w:type="dxa"/>
            <w:tcBorders>
              <w:top w:val="single" w:sz="8" w:space="0" w:color="auto"/>
              <w:left w:val="nil"/>
              <w:bottom w:val="single" w:sz="8" w:space="0" w:color="auto"/>
              <w:right w:val="single" w:sz="8" w:space="0" w:color="auto"/>
            </w:tcBorders>
            <w:shd w:val="clear" w:color="auto" w:fill="E7E6E6" w:themeFill="background2"/>
            <w:vAlign w:val="center"/>
            <w:hideMark/>
          </w:tcPr>
          <w:p w14:paraId="700C877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PM_IEM22</w:t>
            </w:r>
          </w:p>
        </w:tc>
        <w:tc>
          <w:tcPr>
            <w:tcW w:w="922" w:type="dxa"/>
            <w:tcBorders>
              <w:top w:val="single" w:sz="8" w:space="0" w:color="auto"/>
              <w:left w:val="nil"/>
              <w:bottom w:val="single" w:sz="8" w:space="0" w:color="auto"/>
              <w:right w:val="single" w:sz="8" w:space="0" w:color="auto"/>
            </w:tcBorders>
            <w:shd w:val="clear" w:color="auto" w:fill="244062"/>
            <w:vAlign w:val="center"/>
            <w:hideMark/>
          </w:tcPr>
          <w:p w14:paraId="2BB6093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033" w:type="dxa"/>
            <w:tcBorders>
              <w:top w:val="single" w:sz="8" w:space="0" w:color="auto"/>
              <w:left w:val="nil"/>
              <w:bottom w:val="single" w:sz="8" w:space="0" w:color="auto"/>
              <w:right w:val="single" w:sz="8" w:space="0" w:color="auto"/>
            </w:tcBorders>
            <w:shd w:val="clear" w:color="auto" w:fill="E7E6E6" w:themeFill="background2"/>
            <w:vAlign w:val="center"/>
            <w:hideMark/>
          </w:tcPr>
          <w:p w14:paraId="018B8DB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Unbundling and Certification of Transmission System Operators</w:t>
            </w:r>
          </w:p>
        </w:tc>
      </w:tr>
      <w:tr w:rsidR="00614438" w:rsidRPr="00AA7A53" w14:paraId="01A71075" w14:textId="77777777" w:rsidTr="00614438">
        <w:trPr>
          <w:gridAfter w:val="1"/>
          <w:wAfter w:w="1212" w:type="dxa"/>
          <w:trHeight w:val="421"/>
        </w:trPr>
        <w:tc>
          <w:tcPr>
            <w:tcW w:w="3224" w:type="dxa"/>
            <w:tcBorders>
              <w:top w:val="nil"/>
              <w:left w:val="single" w:sz="8" w:space="0" w:color="auto"/>
              <w:bottom w:val="single" w:sz="8" w:space="0" w:color="auto"/>
              <w:right w:val="nil"/>
            </w:tcBorders>
            <w:shd w:val="clear" w:color="auto" w:fill="244062"/>
            <w:vAlign w:val="center"/>
            <w:hideMark/>
          </w:tcPr>
          <w:p w14:paraId="67FF2DF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64" w:type="dxa"/>
            <w:gridSpan w:val="3"/>
            <w:tcBorders>
              <w:top w:val="single" w:sz="8" w:space="0" w:color="auto"/>
              <w:left w:val="nil"/>
              <w:bottom w:val="single" w:sz="8" w:space="0" w:color="auto"/>
              <w:right w:val="single" w:sz="8" w:space="0" w:color="000000"/>
            </w:tcBorders>
            <w:vAlign w:val="center"/>
            <w:hideMark/>
          </w:tcPr>
          <w:p w14:paraId="439336B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Infrastructure, policies and measures related to market-based price formation </w:t>
            </w:r>
          </w:p>
        </w:tc>
      </w:tr>
      <w:tr w:rsidR="00614438" w:rsidRPr="00AA7A53" w14:paraId="5EFA5421" w14:textId="77777777" w:rsidTr="00614438">
        <w:trPr>
          <w:gridAfter w:val="1"/>
          <w:wAfter w:w="1212" w:type="dxa"/>
          <w:trHeight w:val="315"/>
        </w:trPr>
        <w:tc>
          <w:tcPr>
            <w:tcW w:w="3224" w:type="dxa"/>
            <w:tcBorders>
              <w:top w:val="nil"/>
              <w:left w:val="single" w:sz="8" w:space="0" w:color="auto"/>
              <w:bottom w:val="single" w:sz="8" w:space="0" w:color="auto"/>
              <w:right w:val="single" w:sz="8" w:space="0" w:color="auto"/>
            </w:tcBorders>
            <w:shd w:val="clear" w:color="auto" w:fill="244062"/>
            <w:vAlign w:val="center"/>
            <w:hideMark/>
          </w:tcPr>
          <w:p w14:paraId="012F034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64" w:type="dxa"/>
            <w:gridSpan w:val="3"/>
            <w:tcBorders>
              <w:top w:val="single" w:sz="8" w:space="0" w:color="auto"/>
              <w:left w:val="nil"/>
              <w:bottom w:val="single" w:sz="8" w:space="0" w:color="auto"/>
              <w:right w:val="single" w:sz="8" w:space="0" w:color="000000"/>
            </w:tcBorders>
            <w:vAlign w:val="center"/>
            <w:hideMark/>
          </w:tcPr>
          <w:p w14:paraId="039DFCD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Certification decisions issued</w:t>
            </w:r>
          </w:p>
        </w:tc>
      </w:tr>
      <w:tr w:rsidR="00614438" w:rsidRPr="00AA7A53" w14:paraId="1D939B2D" w14:textId="77777777" w:rsidTr="00614438">
        <w:trPr>
          <w:gridAfter w:val="1"/>
          <w:wAfter w:w="1212" w:type="dxa"/>
          <w:trHeight w:val="1623"/>
        </w:trPr>
        <w:tc>
          <w:tcPr>
            <w:tcW w:w="3224" w:type="dxa"/>
            <w:tcBorders>
              <w:top w:val="nil"/>
              <w:left w:val="single" w:sz="8" w:space="0" w:color="auto"/>
              <w:bottom w:val="single" w:sz="8" w:space="0" w:color="auto"/>
              <w:right w:val="single" w:sz="8" w:space="0" w:color="auto"/>
            </w:tcBorders>
            <w:shd w:val="clear" w:color="auto" w:fill="244062"/>
            <w:vAlign w:val="center"/>
            <w:hideMark/>
          </w:tcPr>
          <w:p w14:paraId="447A5D2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64" w:type="dxa"/>
            <w:gridSpan w:val="3"/>
            <w:tcBorders>
              <w:top w:val="single" w:sz="8" w:space="0" w:color="auto"/>
              <w:left w:val="nil"/>
              <w:bottom w:val="single" w:sz="8" w:space="0" w:color="auto"/>
              <w:right w:val="single" w:sz="8" w:space="0" w:color="000000"/>
            </w:tcBorders>
            <w:vAlign w:val="center"/>
            <w:hideMark/>
          </w:tcPr>
          <w:p w14:paraId="2553DEB5" w14:textId="7482885E"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Transportgas Srbija, is unbundled from Srbijagas</w:t>
            </w:r>
            <w:r w:rsidR="009869E2"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but not yet certified. Yugorosgaz Transport’s certification was revoked and its unbundling is still pending. Only Gastrans has been certified as an Independent Transmission Operator (ITO) with a 2020 decision of AERS. Overall, the unbundling and certifications of Srbijagas and Yugorosgaz are still pending while the Energy Community Secretariat challenges the certification of Gastrans. The issue of unbundling and certification shall need to be addressed</w:t>
            </w:r>
            <w:r w:rsidR="0017152C" w:rsidRPr="00AA7A53">
              <w:rPr>
                <w:rFonts w:ascii="Times New Roman" w:hAnsi="Times New Roman" w:cs="Times New Roman"/>
                <w:sz w:val="20"/>
                <w:szCs w:val="20"/>
                <w:lang w:val="en-GB"/>
              </w:rPr>
              <w:t>.</w:t>
            </w:r>
          </w:p>
        </w:tc>
      </w:tr>
      <w:tr w:rsidR="00614438" w:rsidRPr="00AA7A53" w14:paraId="266F9D9C" w14:textId="77777777" w:rsidTr="00614438">
        <w:trPr>
          <w:gridAfter w:val="1"/>
          <w:wAfter w:w="1212" w:type="dxa"/>
          <w:trHeight w:val="315"/>
        </w:trPr>
        <w:tc>
          <w:tcPr>
            <w:tcW w:w="3224" w:type="dxa"/>
            <w:tcBorders>
              <w:top w:val="nil"/>
              <w:left w:val="single" w:sz="8" w:space="0" w:color="auto"/>
              <w:bottom w:val="single" w:sz="8" w:space="0" w:color="auto"/>
              <w:right w:val="single" w:sz="8" w:space="0" w:color="auto"/>
            </w:tcBorders>
            <w:shd w:val="clear" w:color="auto" w:fill="244062"/>
            <w:vAlign w:val="center"/>
            <w:hideMark/>
          </w:tcPr>
          <w:p w14:paraId="42B4C38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64" w:type="dxa"/>
            <w:gridSpan w:val="3"/>
            <w:tcBorders>
              <w:top w:val="single" w:sz="8" w:space="0" w:color="auto"/>
              <w:left w:val="nil"/>
              <w:bottom w:val="single" w:sz="8" w:space="0" w:color="auto"/>
              <w:right w:val="single" w:sz="8" w:space="0" w:color="000000"/>
            </w:tcBorders>
            <w:vAlign w:val="center"/>
            <w:hideMark/>
          </w:tcPr>
          <w:p w14:paraId="2BBDABA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2024</w:t>
            </w:r>
          </w:p>
        </w:tc>
      </w:tr>
      <w:tr w:rsidR="00614438" w:rsidRPr="00AA7A53" w14:paraId="2D18D4FA" w14:textId="77777777" w:rsidTr="00614438">
        <w:trPr>
          <w:gridAfter w:val="1"/>
          <w:wAfter w:w="1212" w:type="dxa"/>
          <w:trHeight w:val="315"/>
        </w:trPr>
        <w:tc>
          <w:tcPr>
            <w:tcW w:w="3224" w:type="dxa"/>
            <w:tcBorders>
              <w:top w:val="nil"/>
              <w:left w:val="single" w:sz="8" w:space="0" w:color="auto"/>
              <w:bottom w:val="single" w:sz="8" w:space="0" w:color="auto"/>
              <w:right w:val="single" w:sz="8" w:space="0" w:color="auto"/>
            </w:tcBorders>
            <w:shd w:val="clear" w:color="auto" w:fill="244062"/>
            <w:vAlign w:val="center"/>
            <w:hideMark/>
          </w:tcPr>
          <w:p w14:paraId="22FE1F0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64" w:type="dxa"/>
            <w:gridSpan w:val="3"/>
            <w:tcBorders>
              <w:top w:val="single" w:sz="8" w:space="0" w:color="auto"/>
              <w:left w:val="nil"/>
              <w:bottom w:val="single" w:sz="8" w:space="0" w:color="auto"/>
              <w:right w:val="single" w:sz="8" w:space="0" w:color="000000"/>
            </w:tcBorders>
            <w:vAlign w:val="center"/>
            <w:hideMark/>
          </w:tcPr>
          <w:p w14:paraId="09F8E93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67D561D8" w14:textId="77777777" w:rsidTr="00614438">
        <w:trPr>
          <w:gridAfter w:val="1"/>
          <w:wAfter w:w="1212" w:type="dxa"/>
          <w:trHeight w:val="315"/>
        </w:trPr>
        <w:tc>
          <w:tcPr>
            <w:tcW w:w="3224" w:type="dxa"/>
            <w:tcBorders>
              <w:top w:val="nil"/>
              <w:left w:val="single" w:sz="8" w:space="0" w:color="auto"/>
              <w:bottom w:val="single" w:sz="8" w:space="0" w:color="auto"/>
              <w:right w:val="single" w:sz="8" w:space="0" w:color="auto"/>
            </w:tcBorders>
            <w:shd w:val="clear" w:color="auto" w:fill="244062"/>
            <w:vAlign w:val="center"/>
            <w:hideMark/>
          </w:tcPr>
          <w:p w14:paraId="2CAF526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64" w:type="dxa"/>
            <w:gridSpan w:val="3"/>
            <w:tcBorders>
              <w:top w:val="single" w:sz="8" w:space="0" w:color="auto"/>
              <w:left w:val="nil"/>
              <w:bottom w:val="single" w:sz="8" w:space="0" w:color="auto"/>
              <w:right w:val="single" w:sz="8" w:space="0" w:color="000000"/>
            </w:tcBorders>
            <w:vAlign w:val="center"/>
            <w:hideMark/>
          </w:tcPr>
          <w:p w14:paraId="5CF96CF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Gas</w:t>
            </w:r>
          </w:p>
        </w:tc>
      </w:tr>
      <w:tr w:rsidR="00614438" w:rsidRPr="00AA7A53" w14:paraId="68ADD4BE" w14:textId="77777777" w:rsidTr="00614438">
        <w:trPr>
          <w:gridAfter w:val="1"/>
          <w:wAfter w:w="1212" w:type="dxa"/>
          <w:trHeight w:val="315"/>
        </w:trPr>
        <w:tc>
          <w:tcPr>
            <w:tcW w:w="3224" w:type="dxa"/>
            <w:tcBorders>
              <w:top w:val="nil"/>
              <w:left w:val="single" w:sz="8" w:space="0" w:color="auto"/>
              <w:bottom w:val="single" w:sz="8" w:space="0" w:color="auto"/>
              <w:right w:val="single" w:sz="8" w:space="0" w:color="auto"/>
            </w:tcBorders>
            <w:shd w:val="clear" w:color="auto" w:fill="244062"/>
            <w:vAlign w:val="center"/>
            <w:hideMark/>
          </w:tcPr>
          <w:p w14:paraId="001784D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64" w:type="dxa"/>
            <w:gridSpan w:val="3"/>
            <w:tcBorders>
              <w:top w:val="single" w:sz="8" w:space="0" w:color="auto"/>
              <w:left w:val="nil"/>
              <w:bottom w:val="single" w:sz="8" w:space="0" w:color="auto"/>
              <w:right w:val="single" w:sz="8" w:space="0" w:color="000000"/>
            </w:tcBorders>
            <w:vAlign w:val="center"/>
            <w:hideMark/>
          </w:tcPr>
          <w:p w14:paraId="214F2E9A" w14:textId="4A22B421" w:rsidR="00614438" w:rsidRPr="00AA7A53" w:rsidRDefault="0017152C" w:rsidP="00AA7A53">
            <w:pPr>
              <w:numPr>
                <w:ilvl w:val="0"/>
                <w:numId w:val="160"/>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PE </w:t>
            </w:r>
            <w:r w:rsidR="00614438" w:rsidRPr="00AA7A53">
              <w:rPr>
                <w:rFonts w:ascii="Times New Roman" w:hAnsi="Times New Roman" w:cs="Times New Roman"/>
                <w:sz w:val="20"/>
                <w:szCs w:val="20"/>
              </w:rPr>
              <w:t>Srbijagas</w:t>
            </w:r>
          </w:p>
          <w:p w14:paraId="75BB9A44" w14:textId="62B97DC8" w:rsidR="00614438" w:rsidRPr="00AA7A53" w:rsidRDefault="00614438" w:rsidP="00AA7A53">
            <w:pPr>
              <w:numPr>
                <w:ilvl w:val="0"/>
                <w:numId w:val="160"/>
              </w:numPr>
              <w:spacing w:after="0"/>
              <w:jc w:val="both"/>
              <w:rPr>
                <w:rFonts w:ascii="Times New Roman" w:hAnsi="Times New Roman" w:cs="Times New Roman"/>
                <w:sz w:val="20"/>
                <w:szCs w:val="20"/>
              </w:rPr>
            </w:pPr>
            <w:r w:rsidRPr="00AA7A53">
              <w:rPr>
                <w:rFonts w:ascii="Times New Roman" w:hAnsi="Times New Roman" w:cs="Times New Roman"/>
                <w:sz w:val="20"/>
                <w:szCs w:val="20"/>
              </w:rPr>
              <w:t>Transportgas</w:t>
            </w:r>
            <w:r w:rsidR="0017152C" w:rsidRPr="00AA7A53">
              <w:rPr>
                <w:rFonts w:ascii="Times New Roman" w:hAnsi="Times New Roman" w:cs="Times New Roman"/>
                <w:sz w:val="20"/>
                <w:szCs w:val="20"/>
              </w:rPr>
              <w:t xml:space="preserve"> Srbija ltd.</w:t>
            </w:r>
          </w:p>
          <w:p w14:paraId="391A25C1" w14:textId="011B4551" w:rsidR="00614438" w:rsidRPr="00AA7A53" w:rsidRDefault="0017152C" w:rsidP="00AA7A53">
            <w:pPr>
              <w:numPr>
                <w:ilvl w:val="0"/>
                <w:numId w:val="160"/>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JSC </w:t>
            </w:r>
            <w:r w:rsidR="00614438" w:rsidRPr="00AA7A53">
              <w:rPr>
                <w:rFonts w:ascii="Times New Roman" w:hAnsi="Times New Roman" w:cs="Times New Roman"/>
                <w:sz w:val="20"/>
                <w:szCs w:val="20"/>
              </w:rPr>
              <w:t>Jugorosgaz</w:t>
            </w:r>
          </w:p>
          <w:p w14:paraId="3B272B1D" w14:textId="77777777" w:rsidR="00614438" w:rsidRPr="00AA7A53" w:rsidRDefault="00614438" w:rsidP="00AA7A53">
            <w:pPr>
              <w:numPr>
                <w:ilvl w:val="0"/>
                <w:numId w:val="160"/>
              </w:numPr>
              <w:spacing w:after="0"/>
              <w:jc w:val="both"/>
              <w:rPr>
                <w:rFonts w:ascii="Times New Roman" w:hAnsi="Times New Roman" w:cs="Times New Roman"/>
                <w:sz w:val="20"/>
                <w:szCs w:val="20"/>
              </w:rPr>
            </w:pPr>
            <w:r w:rsidRPr="00AA7A53">
              <w:rPr>
                <w:rFonts w:ascii="Times New Roman" w:hAnsi="Times New Roman" w:cs="Times New Roman"/>
                <w:sz w:val="20"/>
                <w:szCs w:val="20"/>
              </w:rPr>
              <w:t>AERS</w:t>
            </w:r>
          </w:p>
        </w:tc>
      </w:tr>
      <w:tr w:rsidR="00614438" w:rsidRPr="00AA7A53" w14:paraId="0BC5796C" w14:textId="77777777" w:rsidTr="00614438">
        <w:trPr>
          <w:gridAfter w:val="1"/>
          <w:wAfter w:w="1212" w:type="dxa"/>
          <w:trHeight w:val="315"/>
        </w:trPr>
        <w:tc>
          <w:tcPr>
            <w:tcW w:w="3224" w:type="dxa"/>
            <w:tcBorders>
              <w:top w:val="nil"/>
              <w:left w:val="single" w:sz="8" w:space="0" w:color="auto"/>
              <w:bottom w:val="single" w:sz="8" w:space="0" w:color="auto"/>
              <w:right w:val="nil"/>
            </w:tcBorders>
            <w:shd w:val="clear" w:color="auto" w:fill="244062"/>
            <w:vAlign w:val="center"/>
            <w:hideMark/>
          </w:tcPr>
          <w:p w14:paraId="6FC77BB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64" w:type="dxa"/>
            <w:gridSpan w:val="3"/>
            <w:tcBorders>
              <w:top w:val="single" w:sz="8" w:space="0" w:color="auto"/>
              <w:left w:val="nil"/>
              <w:bottom w:val="single" w:sz="8" w:space="0" w:color="auto"/>
              <w:right w:val="single" w:sz="8" w:space="0" w:color="000000"/>
            </w:tcBorders>
            <w:vAlign w:val="center"/>
            <w:hideMark/>
          </w:tcPr>
          <w:p w14:paraId="52E26E54" w14:textId="77777777" w:rsidR="00614438" w:rsidRPr="00AA7A53" w:rsidRDefault="00614438" w:rsidP="00AA7A53">
            <w:pPr>
              <w:numPr>
                <w:ilvl w:val="0"/>
                <w:numId w:val="16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53AF6BC0" w14:textId="77777777" w:rsidR="00614438" w:rsidRPr="00AA7A53" w:rsidRDefault="00614438" w:rsidP="00AA7A53">
            <w:pPr>
              <w:numPr>
                <w:ilvl w:val="0"/>
                <w:numId w:val="160"/>
              </w:numPr>
              <w:spacing w:after="0"/>
              <w:jc w:val="both"/>
              <w:rPr>
                <w:rFonts w:ascii="Times New Roman" w:hAnsi="Times New Roman" w:cs="Times New Roman"/>
                <w:sz w:val="20"/>
                <w:szCs w:val="20"/>
              </w:rPr>
            </w:pPr>
            <w:r w:rsidRPr="00AA7A53">
              <w:rPr>
                <w:rFonts w:ascii="Times New Roman" w:hAnsi="Times New Roman" w:cs="Times New Roman"/>
                <w:sz w:val="20"/>
                <w:szCs w:val="20"/>
              </w:rPr>
              <w:t>AERS</w:t>
            </w:r>
          </w:p>
        </w:tc>
      </w:tr>
      <w:tr w:rsidR="00614438" w:rsidRPr="00AA7A53" w14:paraId="62D20E8F" w14:textId="77777777" w:rsidTr="00614438">
        <w:trPr>
          <w:gridAfter w:val="1"/>
          <w:wAfter w:w="1212" w:type="dxa"/>
          <w:trHeight w:val="315"/>
        </w:trPr>
        <w:tc>
          <w:tcPr>
            <w:tcW w:w="3224" w:type="dxa"/>
            <w:tcBorders>
              <w:top w:val="nil"/>
              <w:left w:val="single" w:sz="8" w:space="0" w:color="auto"/>
              <w:bottom w:val="single" w:sz="8" w:space="0" w:color="auto"/>
              <w:right w:val="nil"/>
            </w:tcBorders>
            <w:shd w:val="clear" w:color="auto" w:fill="244062"/>
            <w:vAlign w:val="center"/>
            <w:hideMark/>
          </w:tcPr>
          <w:p w14:paraId="31CFE17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64" w:type="dxa"/>
            <w:gridSpan w:val="3"/>
            <w:tcBorders>
              <w:top w:val="single" w:sz="8" w:space="0" w:color="auto"/>
              <w:left w:val="nil"/>
              <w:bottom w:val="single" w:sz="8" w:space="0" w:color="auto"/>
              <w:right w:val="single" w:sz="8" w:space="0" w:color="000000"/>
            </w:tcBorders>
            <w:vAlign w:val="center"/>
            <w:hideMark/>
          </w:tcPr>
          <w:p w14:paraId="0F08E1F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Certification decision</w:t>
            </w:r>
          </w:p>
        </w:tc>
      </w:tr>
      <w:tr w:rsidR="00614438" w:rsidRPr="00AA7A53" w14:paraId="34D24A56" w14:textId="77777777" w:rsidTr="00614438">
        <w:trPr>
          <w:gridAfter w:val="1"/>
          <w:wAfter w:w="1212" w:type="dxa"/>
          <w:trHeight w:val="796"/>
        </w:trPr>
        <w:tc>
          <w:tcPr>
            <w:tcW w:w="3224" w:type="dxa"/>
            <w:tcBorders>
              <w:top w:val="nil"/>
              <w:left w:val="single" w:sz="8" w:space="0" w:color="auto"/>
              <w:bottom w:val="single" w:sz="8" w:space="0" w:color="auto"/>
              <w:right w:val="single" w:sz="8" w:space="0" w:color="auto"/>
            </w:tcBorders>
            <w:shd w:val="clear" w:color="auto" w:fill="244062"/>
            <w:vAlign w:val="center"/>
            <w:hideMark/>
          </w:tcPr>
          <w:p w14:paraId="2F855C8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64" w:type="dxa"/>
            <w:gridSpan w:val="3"/>
            <w:tcBorders>
              <w:top w:val="single" w:sz="8" w:space="0" w:color="auto"/>
              <w:left w:val="nil"/>
              <w:bottom w:val="single" w:sz="8" w:space="0" w:color="auto"/>
              <w:right w:val="single" w:sz="8" w:space="0" w:color="000000"/>
            </w:tcBorders>
            <w:vAlign w:val="center"/>
            <w:hideMark/>
          </w:tcPr>
          <w:p w14:paraId="2A3B024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735AF9C" w14:textId="77777777" w:rsidTr="00614438">
        <w:trPr>
          <w:gridAfter w:val="1"/>
          <w:wAfter w:w="1212" w:type="dxa"/>
          <w:trHeight w:val="458"/>
        </w:trPr>
        <w:tc>
          <w:tcPr>
            <w:tcW w:w="3224" w:type="dxa"/>
            <w:vMerge w:val="restart"/>
            <w:tcBorders>
              <w:top w:val="nil"/>
              <w:left w:val="single" w:sz="8" w:space="0" w:color="auto"/>
              <w:bottom w:val="single" w:sz="8" w:space="0" w:color="000000"/>
              <w:right w:val="single" w:sz="8" w:space="0" w:color="auto"/>
            </w:tcBorders>
            <w:shd w:val="clear" w:color="auto" w:fill="244062"/>
            <w:vAlign w:val="center"/>
            <w:hideMark/>
          </w:tcPr>
          <w:p w14:paraId="027A8D1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6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283D957" w14:textId="77777777" w:rsidR="00614438" w:rsidRPr="00AA7A53" w:rsidRDefault="00614438" w:rsidP="00AA7A53">
            <w:pPr>
              <w:numPr>
                <w:ilvl w:val="0"/>
                <w:numId w:val="160"/>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2009/73/EC</w:t>
            </w:r>
          </w:p>
        </w:tc>
      </w:tr>
      <w:tr w:rsidR="00614438" w:rsidRPr="00AA7A53" w14:paraId="7E06AA79"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319EA55A"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E3A3195"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098CEA56"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F56D142"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60C6DDDD"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83A5581"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00EF1720"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1BA6C93C" w14:textId="77777777" w:rsidTr="00614438">
        <w:trPr>
          <w:trHeight w:val="780"/>
        </w:trPr>
        <w:tc>
          <w:tcPr>
            <w:tcW w:w="3224" w:type="dxa"/>
            <w:tcBorders>
              <w:top w:val="nil"/>
              <w:left w:val="single" w:sz="8" w:space="0" w:color="auto"/>
              <w:bottom w:val="single" w:sz="8" w:space="0" w:color="auto"/>
              <w:right w:val="single" w:sz="8" w:space="0" w:color="auto"/>
            </w:tcBorders>
            <w:shd w:val="clear" w:color="auto" w:fill="244062"/>
            <w:vAlign w:val="center"/>
            <w:hideMark/>
          </w:tcPr>
          <w:p w14:paraId="70A6B86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Relevant National Planning Document (Legal, Regulatory Acts etc)</w:t>
            </w:r>
          </w:p>
        </w:tc>
        <w:tc>
          <w:tcPr>
            <w:tcW w:w="6264" w:type="dxa"/>
            <w:gridSpan w:val="3"/>
            <w:tcBorders>
              <w:top w:val="single" w:sz="8" w:space="0" w:color="auto"/>
              <w:left w:val="nil"/>
              <w:bottom w:val="single" w:sz="8" w:space="0" w:color="auto"/>
              <w:right w:val="single" w:sz="8" w:space="0" w:color="000000"/>
            </w:tcBorders>
            <w:vAlign w:val="center"/>
            <w:hideMark/>
          </w:tcPr>
          <w:p w14:paraId="46FC39BA" w14:textId="77777777" w:rsidR="00614438" w:rsidRPr="00AA7A53" w:rsidRDefault="00614438" w:rsidP="00AA7A53">
            <w:pPr>
              <w:numPr>
                <w:ilvl w:val="0"/>
                <w:numId w:val="155"/>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Law</w:t>
            </w:r>
          </w:p>
          <w:p w14:paraId="553F8257" w14:textId="0E3ED7DF" w:rsidR="00614438" w:rsidRPr="00AA7A53" w:rsidRDefault="00614438" w:rsidP="00AA7A53">
            <w:pPr>
              <w:numPr>
                <w:ilvl w:val="0"/>
                <w:numId w:val="155"/>
              </w:numPr>
              <w:spacing w:after="0"/>
              <w:jc w:val="both"/>
              <w:rPr>
                <w:rFonts w:ascii="Times New Roman" w:hAnsi="Times New Roman" w:cs="Times New Roman"/>
                <w:sz w:val="20"/>
                <w:szCs w:val="20"/>
              </w:rPr>
            </w:pPr>
            <w:r w:rsidRPr="00AA7A53">
              <w:rPr>
                <w:rFonts w:ascii="Times New Roman" w:hAnsi="Times New Roman" w:cs="Times New Roman"/>
                <w:sz w:val="20"/>
                <w:szCs w:val="20"/>
              </w:rPr>
              <w:t>Action Plan for Implementation of Activities for the Restructuring of PE Srbijagas and Yugorosgaz Transport</w:t>
            </w:r>
            <w:r w:rsidR="0017152C" w:rsidRPr="00AA7A53">
              <w:rPr>
                <w:rFonts w:ascii="Times New Roman" w:hAnsi="Times New Roman" w:cs="Times New Roman"/>
                <w:sz w:val="20"/>
                <w:szCs w:val="20"/>
              </w:rPr>
              <w:t xml:space="preserve"> ltd.</w:t>
            </w:r>
          </w:p>
        </w:tc>
        <w:tc>
          <w:tcPr>
            <w:tcW w:w="1212" w:type="dxa"/>
            <w:vAlign w:val="center"/>
            <w:hideMark/>
          </w:tcPr>
          <w:p w14:paraId="0078216B"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410B7BD" w14:textId="77777777" w:rsidTr="00614438">
        <w:trPr>
          <w:trHeight w:val="315"/>
        </w:trPr>
        <w:tc>
          <w:tcPr>
            <w:tcW w:w="3224" w:type="dxa"/>
            <w:tcBorders>
              <w:top w:val="nil"/>
              <w:left w:val="single" w:sz="8" w:space="0" w:color="auto"/>
              <w:bottom w:val="single" w:sz="8" w:space="0" w:color="auto"/>
              <w:right w:val="single" w:sz="8" w:space="0" w:color="auto"/>
            </w:tcBorders>
            <w:shd w:val="clear" w:color="auto" w:fill="244062"/>
            <w:vAlign w:val="center"/>
            <w:hideMark/>
          </w:tcPr>
          <w:p w14:paraId="6882C19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64" w:type="dxa"/>
            <w:gridSpan w:val="3"/>
            <w:tcBorders>
              <w:top w:val="single" w:sz="8" w:space="0" w:color="auto"/>
              <w:left w:val="nil"/>
              <w:bottom w:val="single" w:sz="8" w:space="0" w:color="auto"/>
              <w:right w:val="single" w:sz="8" w:space="0" w:color="000000"/>
            </w:tcBorders>
            <w:vAlign w:val="center"/>
            <w:hideMark/>
          </w:tcPr>
          <w:p w14:paraId="7B49851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0.2 M€</w:t>
            </w:r>
          </w:p>
        </w:tc>
        <w:tc>
          <w:tcPr>
            <w:tcW w:w="1212" w:type="dxa"/>
            <w:vAlign w:val="center"/>
            <w:hideMark/>
          </w:tcPr>
          <w:p w14:paraId="4E830983"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34C13B3" w14:textId="77777777" w:rsidTr="00614438">
        <w:trPr>
          <w:trHeight w:val="315"/>
        </w:trPr>
        <w:tc>
          <w:tcPr>
            <w:tcW w:w="3224" w:type="dxa"/>
            <w:tcBorders>
              <w:top w:val="nil"/>
              <w:left w:val="single" w:sz="8" w:space="0" w:color="auto"/>
              <w:bottom w:val="single" w:sz="8" w:space="0" w:color="auto"/>
              <w:right w:val="single" w:sz="8" w:space="0" w:color="auto"/>
            </w:tcBorders>
            <w:shd w:val="clear" w:color="auto" w:fill="244062"/>
            <w:vAlign w:val="center"/>
            <w:hideMark/>
          </w:tcPr>
          <w:p w14:paraId="60659CA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64" w:type="dxa"/>
            <w:gridSpan w:val="3"/>
            <w:tcBorders>
              <w:top w:val="single" w:sz="8" w:space="0" w:color="auto"/>
              <w:left w:val="nil"/>
              <w:bottom w:val="single" w:sz="8" w:space="0" w:color="auto"/>
              <w:right w:val="single" w:sz="8" w:space="0" w:color="000000"/>
            </w:tcBorders>
            <w:vAlign w:val="center"/>
            <w:hideMark/>
          </w:tcPr>
          <w:p w14:paraId="3536DDE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1212" w:type="dxa"/>
            <w:vAlign w:val="center"/>
            <w:hideMark/>
          </w:tcPr>
          <w:p w14:paraId="14EC963B" w14:textId="77777777" w:rsidR="00614438" w:rsidRPr="00AA7A53" w:rsidRDefault="00614438" w:rsidP="00AA7A53">
            <w:pPr>
              <w:spacing w:after="0"/>
              <w:jc w:val="both"/>
              <w:rPr>
                <w:rFonts w:ascii="Times New Roman" w:hAnsi="Times New Roman" w:cs="Times New Roman"/>
                <w:sz w:val="20"/>
                <w:szCs w:val="20"/>
                <w:lang w:val="en-GB"/>
              </w:rPr>
            </w:pPr>
          </w:p>
        </w:tc>
      </w:tr>
    </w:tbl>
    <w:p w14:paraId="289C91B2"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17"/>
        <w:gridCol w:w="1309"/>
        <w:gridCol w:w="920"/>
        <w:gridCol w:w="4042"/>
        <w:gridCol w:w="1212"/>
      </w:tblGrid>
      <w:tr w:rsidR="00614438" w:rsidRPr="00AA7A53" w14:paraId="1E392D1D" w14:textId="77777777" w:rsidTr="00614438">
        <w:trPr>
          <w:gridAfter w:val="1"/>
          <w:wAfter w:w="1212" w:type="dxa"/>
          <w:trHeight w:val="523"/>
        </w:trPr>
        <w:tc>
          <w:tcPr>
            <w:tcW w:w="321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198E211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309" w:type="dxa"/>
            <w:tcBorders>
              <w:top w:val="single" w:sz="8" w:space="0" w:color="auto"/>
              <w:left w:val="nil"/>
              <w:bottom w:val="single" w:sz="8" w:space="0" w:color="auto"/>
              <w:right w:val="single" w:sz="8" w:space="0" w:color="auto"/>
            </w:tcBorders>
            <w:shd w:val="clear" w:color="auto" w:fill="E7E6E6" w:themeFill="background2"/>
            <w:vAlign w:val="center"/>
            <w:hideMark/>
          </w:tcPr>
          <w:p w14:paraId="7C978D5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PM_IEM23</w:t>
            </w:r>
          </w:p>
        </w:tc>
        <w:tc>
          <w:tcPr>
            <w:tcW w:w="920" w:type="dxa"/>
            <w:tcBorders>
              <w:top w:val="single" w:sz="8" w:space="0" w:color="auto"/>
              <w:left w:val="nil"/>
              <w:bottom w:val="single" w:sz="8" w:space="0" w:color="auto"/>
              <w:right w:val="single" w:sz="8" w:space="0" w:color="auto"/>
            </w:tcBorders>
            <w:shd w:val="clear" w:color="auto" w:fill="244062"/>
            <w:vAlign w:val="center"/>
            <w:hideMark/>
          </w:tcPr>
          <w:p w14:paraId="5D16790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042" w:type="dxa"/>
            <w:tcBorders>
              <w:top w:val="single" w:sz="8" w:space="0" w:color="auto"/>
              <w:left w:val="nil"/>
              <w:bottom w:val="single" w:sz="8" w:space="0" w:color="auto"/>
              <w:right w:val="single" w:sz="8" w:space="0" w:color="auto"/>
            </w:tcBorders>
            <w:shd w:val="clear" w:color="auto" w:fill="E7E6E6" w:themeFill="background2"/>
            <w:vAlign w:val="center"/>
            <w:hideMark/>
          </w:tcPr>
          <w:p w14:paraId="422EF35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Regulation (EU) 2017/459</w:t>
            </w:r>
          </w:p>
        </w:tc>
      </w:tr>
      <w:tr w:rsidR="00614438" w:rsidRPr="00AA7A53" w14:paraId="238FE247" w14:textId="77777777" w:rsidTr="00614438">
        <w:trPr>
          <w:gridAfter w:val="1"/>
          <w:wAfter w:w="1212" w:type="dxa"/>
          <w:trHeight w:val="960"/>
        </w:trPr>
        <w:tc>
          <w:tcPr>
            <w:tcW w:w="3217" w:type="dxa"/>
            <w:tcBorders>
              <w:top w:val="nil"/>
              <w:left w:val="single" w:sz="8" w:space="0" w:color="auto"/>
              <w:bottom w:val="single" w:sz="8" w:space="0" w:color="auto"/>
              <w:right w:val="nil"/>
            </w:tcBorders>
            <w:shd w:val="clear" w:color="auto" w:fill="244062"/>
            <w:vAlign w:val="center"/>
            <w:hideMark/>
          </w:tcPr>
          <w:p w14:paraId="12847E5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71" w:type="dxa"/>
            <w:gridSpan w:val="3"/>
            <w:tcBorders>
              <w:top w:val="single" w:sz="8" w:space="0" w:color="auto"/>
              <w:left w:val="nil"/>
              <w:bottom w:val="single" w:sz="8" w:space="0" w:color="auto"/>
              <w:right w:val="single" w:sz="8" w:space="0" w:color="000000"/>
            </w:tcBorders>
            <w:vAlign w:val="center"/>
            <w:hideMark/>
          </w:tcPr>
          <w:p w14:paraId="7FEF8A0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Infrastructure, policies and measures related to market-based price formation, market integration aimed at increasing the tradeable capacity, Consumer protection and improvement of competition, regional integration</w:t>
            </w:r>
          </w:p>
        </w:tc>
      </w:tr>
      <w:tr w:rsidR="00614438" w:rsidRPr="00AA7A53" w14:paraId="2C706D0D" w14:textId="77777777" w:rsidTr="00614438">
        <w:trPr>
          <w:gridAfter w:val="1"/>
          <w:wAfter w:w="1212" w:type="dxa"/>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61E8714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71" w:type="dxa"/>
            <w:gridSpan w:val="3"/>
            <w:tcBorders>
              <w:top w:val="single" w:sz="8" w:space="0" w:color="auto"/>
              <w:left w:val="nil"/>
              <w:bottom w:val="single" w:sz="8" w:space="0" w:color="auto"/>
              <w:right w:val="single" w:sz="8" w:space="0" w:color="000000"/>
            </w:tcBorders>
            <w:vAlign w:val="center"/>
            <w:hideMark/>
          </w:tcPr>
          <w:p w14:paraId="2D4E35B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Adoption of Regulation</w:t>
            </w:r>
          </w:p>
        </w:tc>
      </w:tr>
      <w:tr w:rsidR="00614438" w:rsidRPr="00AA7A53" w14:paraId="36A17DF6" w14:textId="77777777" w:rsidTr="00614438">
        <w:trPr>
          <w:gridAfter w:val="1"/>
          <w:wAfter w:w="1212" w:type="dxa"/>
          <w:trHeight w:val="726"/>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701459F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71" w:type="dxa"/>
            <w:gridSpan w:val="3"/>
            <w:tcBorders>
              <w:top w:val="single" w:sz="8" w:space="0" w:color="auto"/>
              <w:left w:val="nil"/>
              <w:bottom w:val="single" w:sz="8" w:space="0" w:color="auto"/>
              <w:right w:val="single" w:sz="8" w:space="0" w:color="000000"/>
            </w:tcBorders>
            <w:vAlign w:val="center"/>
            <w:hideMark/>
          </w:tcPr>
          <w:p w14:paraId="57CB8B0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As an Energy Community Contracting Party, Serbia was obliged to implement the Regulation by 28 February 2020. Implementation is still pending. The policy refers to the implementation of the regulation. Transposition and Implementation are still pending.</w:t>
            </w:r>
          </w:p>
        </w:tc>
      </w:tr>
      <w:tr w:rsidR="00614438" w:rsidRPr="00AA7A53" w14:paraId="60158918" w14:textId="77777777" w:rsidTr="00614438">
        <w:trPr>
          <w:gridAfter w:val="1"/>
          <w:wAfter w:w="1212" w:type="dxa"/>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6C6A07D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71" w:type="dxa"/>
            <w:gridSpan w:val="3"/>
            <w:tcBorders>
              <w:top w:val="single" w:sz="8" w:space="0" w:color="auto"/>
              <w:left w:val="nil"/>
              <w:bottom w:val="single" w:sz="8" w:space="0" w:color="auto"/>
              <w:right w:val="single" w:sz="8" w:space="0" w:color="000000"/>
            </w:tcBorders>
            <w:vAlign w:val="center"/>
            <w:hideMark/>
          </w:tcPr>
          <w:p w14:paraId="3ABC2CF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2024</w:t>
            </w:r>
          </w:p>
        </w:tc>
      </w:tr>
      <w:tr w:rsidR="00614438" w:rsidRPr="00AA7A53" w14:paraId="1DC211AF" w14:textId="77777777" w:rsidTr="00614438">
        <w:trPr>
          <w:gridAfter w:val="1"/>
          <w:wAfter w:w="1212" w:type="dxa"/>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3539529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71" w:type="dxa"/>
            <w:gridSpan w:val="3"/>
            <w:tcBorders>
              <w:top w:val="single" w:sz="8" w:space="0" w:color="auto"/>
              <w:left w:val="nil"/>
              <w:bottom w:val="single" w:sz="8" w:space="0" w:color="auto"/>
              <w:right w:val="single" w:sz="8" w:space="0" w:color="000000"/>
            </w:tcBorders>
            <w:vAlign w:val="center"/>
            <w:hideMark/>
          </w:tcPr>
          <w:p w14:paraId="7322EBE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2F149566" w14:textId="77777777" w:rsidTr="00614438">
        <w:trPr>
          <w:gridAfter w:val="1"/>
          <w:wAfter w:w="1212" w:type="dxa"/>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392D22B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71" w:type="dxa"/>
            <w:gridSpan w:val="3"/>
            <w:tcBorders>
              <w:top w:val="single" w:sz="8" w:space="0" w:color="auto"/>
              <w:left w:val="nil"/>
              <w:bottom w:val="single" w:sz="8" w:space="0" w:color="auto"/>
              <w:right w:val="single" w:sz="8" w:space="0" w:color="000000"/>
            </w:tcBorders>
            <w:vAlign w:val="center"/>
            <w:hideMark/>
          </w:tcPr>
          <w:p w14:paraId="139AA76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Gas</w:t>
            </w:r>
          </w:p>
        </w:tc>
      </w:tr>
      <w:tr w:rsidR="00614438" w:rsidRPr="00AA7A53" w14:paraId="798D12ED" w14:textId="77777777" w:rsidTr="00614438">
        <w:trPr>
          <w:gridAfter w:val="1"/>
          <w:wAfter w:w="1212" w:type="dxa"/>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43B43D6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71" w:type="dxa"/>
            <w:gridSpan w:val="3"/>
            <w:tcBorders>
              <w:top w:val="single" w:sz="8" w:space="0" w:color="auto"/>
              <w:left w:val="nil"/>
              <w:bottom w:val="single" w:sz="8" w:space="0" w:color="auto"/>
              <w:right w:val="single" w:sz="8" w:space="0" w:color="000000"/>
            </w:tcBorders>
            <w:vAlign w:val="center"/>
            <w:hideMark/>
          </w:tcPr>
          <w:p w14:paraId="74A3651D" w14:textId="77777777" w:rsidR="00614438" w:rsidRPr="00AA7A53" w:rsidRDefault="00614438" w:rsidP="00AA7A53">
            <w:pPr>
              <w:numPr>
                <w:ilvl w:val="0"/>
                <w:numId w:val="161"/>
              </w:numPr>
              <w:spacing w:after="0"/>
              <w:jc w:val="both"/>
              <w:rPr>
                <w:rFonts w:ascii="Times New Roman" w:hAnsi="Times New Roman" w:cs="Times New Roman"/>
                <w:sz w:val="20"/>
                <w:szCs w:val="20"/>
              </w:rPr>
            </w:pPr>
            <w:r w:rsidRPr="00AA7A53">
              <w:rPr>
                <w:rFonts w:ascii="Times New Roman" w:hAnsi="Times New Roman" w:cs="Times New Roman"/>
                <w:sz w:val="20"/>
                <w:szCs w:val="20"/>
              </w:rPr>
              <w:t>AERS</w:t>
            </w:r>
          </w:p>
          <w:p w14:paraId="3B6AF030" w14:textId="77777777" w:rsidR="00614438" w:rsidRPr="00AA7A53" w:rsidRDefault="00614438" w:rsidP="00AA7A53">
            <w:pPr>
              <w:numPr>
                <w:ilvl w:val="0"/>
                <w:numId w:val="161"/>
              </w:numPr>
              <w:spacing w:after="0"/>
              <w:jc w:val="both"/>
              <w:rPr>
                <w:rFonts w:ascii="Times New Roman" w:hAnsi="Times New Roman" w:cs="Times New Roman"/>
                <w:sz w:val="20"/>
                <w:szCs w:val="20"/>
              </w:rPr>
            </w:pPr>
            <w:r w:rsidRPr="00AA7A53">
              <w:rPr>
                <w:rFonts w:ascii="Times New Roman" w:hAnsi="Times New Roman" w:cs="Times New Roman"/>
                <w:sz w:val="20"/>
                <w:szCs w:val="20"/>
              </w:rPr>
              <w:t>Transport system operators</w:t>
            </w:r>
          </w:p>
          <w:p w14:paraId="108D3596" w14:textId="77777777" w:rsidR="00614438" w:rsidRPr="00AA7A53" w:rsidRDefault="00614438" w:rsidP="00AA7A53">
            <w:pPr>
              <w:numPr>
                <w:ilvl w:val="0"/>
                <w:numId w:val="161"/>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144D6E4C" w14:textId="77777777" w:rsidR="00614438" w:rsidRPr="00AA7A53" w:rsidRDefault="00614438" w:rsidP="00AA7A53">
            <w:pPr>
              <w:numPr>
                <w:ilvl w:val="0"/>
                <w:numId w:val="161"/>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w:t>
            </w:r>
          </w:p>
        </w:tc>
      </w:tr>
      <w:tr w:rsidR="00614438" w:rsidRPr="00AA7A53" w14:paraId="3A8A1CD9" w14:textId="77777777" w:rsidTr="00614438">
        <w:trPr>
          <w:gridAfter w:val="1"/>
          <w:wAfter w:w="1212" w:type="dxa"/>
          <w:trHeight w:val="315"/>
        </w:trPr>
        <w:tc>
          <w:tcPr>
            <w:tcW w:w="3217" w:type="dxa"/>
            <w:tcBorders>
              <w:top w:val="nil"/>
              <w:left w:val="single" w:sz="8" w:space="0" w:color="auto"/>
              <w:bottom w:val="single" w:sz="8" w:space="0" w:color="auto"/>
              <w:right w:val="nil"/>
            </w:tcBorders>
            <w:shd w:val="clear" w:color="auto" w:fill="244062"/>
            <w:vAlign w:val="center"/>
            <w:hideMark/>
          </w:tcPr>
          <w:p w14:paraId="341C0C9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71" w:type="dxa"/>
            <w:gridSpan w:val="3"/>
            <w:tcBorders>
              <w:top w:val="single" w:sz="8" w:space="0" w:color="auto"/>
              <w:left w:val="nil"/>
              <w:bottom w:val="single" w:sz="8" w:space="0" w:color="auto"/>
              <w:right w:val="single" w:sz="8" w:space="0" w:color="000000"/>
            </w:tcBorders>
            <w:vAlign w:val="center"/>
            <w:hideMark/>
          </w:tcPr>
          <w:p w14:paraId="331B549F" w14:textId="77777777" w:rsidR="00614438" w:rsidRPr="00AA7A53" w:rsidRDefault="00614438" w:rsidP="00AA7A53">
            <w:pPr>
              <w:numPr>
                <w:ilvl w:val="0"/>
                <w:numId w:val="161"/>
              </w:numPr>
              <w:spacing w:after="0"/>
              <w:jc w:val="both"/>
              <w:rPr>
                <w:rFonts w:ascii="Times New Roman" w:hAnsi="Times New Roman" w:cs="Times New Roman"/>
                <w:sz w:val="20"/>
                <w:szCs w:val="20"/>
              </w:rPr>
            </w:pPr>
            <w:r w:rsidRPr="00AA7A53">
              <w:rPr>
                <w:rFonts w:ascii="Times New Roman" w:hAnsi="Times New Roman" w:cs="Times New Roman"/>
                <w:sz w:val="20"/>
                <w:szCs w:val="20"/>
              </w:rPr>
              <w:t>AERS</w:t>
            </w:r>
          </w:p>
        </w:tc>
      </w:tr>
      <w:tr w:rsidR="00614438" w:rsidRPr="00AA7A53" w14:paraId="79FBBB70" w14:textId="77777777" w:rsidTr="00614438">
        <w:trPr>
          <w:gridAfter w:val="1"/>
          <w:wAfter w:w="1212" w:type="dxa"/>
          <w:trHeight w:val="315"/>
        </w:trPr>
        <w:tc>
          <w:tcPr>
            <w:tcW w:w="3217" w:type="dxa"/>
            <w:tcBorders>
              <w:top w:val="nil"/>
              <w:left w:val="single" w:sz="8" w:space="0" w:color="auto"/>
              <w:bottom w:val="single" w:sz="8" w:space="0" w:color="auto"/>
              <w:right w:val="nil"/>
            </w:tcBorders>
            <w:shd w:val="clear" w:color="auto" w:fill="244062"/>
            <w:vAlign w:val="center"/>
            <w:hideMark/>
          </w:tcPr>
          <w:p w14:paraId="5F81767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71" w:type="dxa"/>
            <w:gridSpan w:val="3"/>
            <w:tcBorders>
              <w:top w:val="single" w:sz="8" w:space="0" w:color="auto"/>
              <w:left w:val="nil"/>
              <w:bottom w:val="single" w:sz="8" w:space="0" w:color="auto"/>
              <w:right w:val="single" w:sz="8" w:space="0" w:color="000000"/>
            </w:tcBorders>
            <w:vAlign w:val="center"/>
            <w:hideMark/>
          </w:tcPr>
          <w:p w14:paraId="04A99D1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Transposition of Regulation, offer of capacity through auctions in a capacity booking platform</w:t>
            </w:r>
          </w:p>
        </w:tc>
      </w:tr>
      <w:tr w:rsidR="00614438" w:rsidRPr="00AA7A53" w14:paraId="7B32D53D" w14:textId="77777777" w:rsidTr="00614438">
        <w:trPr>
          <w:gridAfter w:val="1"/>
          <w:wAfter w:w="1212" w:type="dxa"/>
          <w:trHeight w:val="840"/>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4952BA3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71" w:type="dxa"/>
            <w:gridSpan w:val="3"/>
            <w:tcBorders>
              <w:top w:val="single" w:sz="8" w:space="0" w:color="auto"/>
              <w:left w:val="nil"/>
              <w:bottom w:val="single" w:sz="8" w:space="0" w:color="auto"/>
              <w:right w:val="single" w:sz="8" w:space="0" w:color="000000"/>
            </w:tcBorders>
            <w:vAlign w:val="center"/>
            <w:hideMark/>
          </w:tcPr>
          <w:p w14:paraId="05BE93A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09A4BCB" w14:textId="77777777" w:rsidTr="00614438">
        <w:trPr>
          <w:gridAfter w:val="1"/>
          <w:wAfter w:w="1212" w:type="dxa"/>
          <w:trHeight w:val="458"/>
        </w:trPr>
        <w:tc>
          <w:tcPr>
            <w:tcW w:w="3217" w:type="dxa"/>
            <w:vMerge w:val="restart"/>
            <w:tcBorders>
              <w:top w:val="nil"/>
              <w:left w:val="single" w:sz="8" w:space="0" w:color="auto"/>
              <w:bottom w:val="single" w:sz="8" w:space="0" w:color="000000"/>
              <w:right w:val="single" w:sz="8" w:space="0" w:color="auto"/>
            </w:tcBorders>
            <w:shd w:val="clear" w:color="auto" w:fill="244062"/>
            <w:vAlign w:val="center"/>
            <w:hideMark/>
          </w:tcPr>
          <w:p w14:paraId="682B7D1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7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76BE0C1" w14:textId="77777777" w:rsidR="00614438" w:rsidRPr="00AA7A53" w:rsidRDefault="00614438" w:rsidP="00AA7A53">
            <w:pPr>
              <w:numPr>
                <w:ilvl w:val="0"/>
                <w:numId w:val="161"/>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2017/459</w:t>
            </w:r>
          </w:p>
        </w:tc>
      </w:tr>
      <w:tr w:rsidR="00614438" w:rsidRPr="00AA7A53" w14:paraId="7F3B5051"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2A5A7201"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AD4603C"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707CCFC3"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44B643E"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21852398"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BB354EA"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79CD4E8D"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28EE5405" w14:textId="77777777" w:rsidTr="00614438">
        <w:trPr>
          <w:trHeight w:val="780"/>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6B51837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71" w:type="dxa"/>
            <w:gridSpan w:val="3"/>
            <w:tcBorders>
              <w:top w:val="single" w:sz="8" w:space="0" w:color="auto"/>
              <w:left w:val="nil"/>
              <w:bottom w:val="single" w:sz="8" w:space="0" w:color="auto"/>
              <w:right w:val="single" w:sz="8" w:space="0" w:color="000000"/>
            </w:tcBorders>
            <w:vAlign w:val="center"/>
            <w:hideMark/>
          </w:tcPr>
          <w:p w14:paraId="312CC651" w14:textId="77777777" w:rsidR="00614438" w:rsidRPr="00AA7A53" w:rsidRDefault="00614438" w:rsidP="00AA7A53">
            <w:pPr>
              <w:numPr>
                <w:ilvl w:val="0"/>
                <w:numId w:val="162"/>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Law</w:t>
            </w:r>
          </w:p>
          <w:p w14:paraId="1DC0EEDD" w14:textId="77777777" w:rsidR="00614438" w:rsidRPr="00AA7A53" w:rsidRDefault="00614438" w:rsidP="00AA7A53">
            <w:pPr>
              <w:numPr>
                <w:ilvl w:val="0"/>
                <w:numId w:val="162"/>
              </w:numPr>
              <w:spacing w:after="0"/>
              <w:jc w:val="both"/>
              <w:rPr>
                <w:rFonts w:ascii="Times New Roman" w:hAnsi="Times New Roman" w:cs="Times New Roman"/>
                <w:sz w:val="20"/>
                <w:szCs w:val="20"/>
              </w:rPr>
            </w:pPr>
            <w:r w:rsidRPr="00AA7A53">
              <w:rPr>
                <w:rFonts w:ascii="Times New Roman" w:hAnsi="Times New Roman" w:cs="Times New Roman"/>
                <w:sz w:val="20"/>
                <w:szCs w:val="20"/>
              </w:rPr>
              <w:t>Action Plan for the Implementation of Activities aimed at Reorganizing PE Srbijagas</w:t>
            </w:r>
          </w:p>
        </w:tc>
        <w:tc>
          <w:tcPr>
            <w:tcW w:w="1212" w:type="dxa"/>
            <w:vAlign w:val="center"/>
            <w:hideMark/>
          </w:tcPr>
          <w:p w14:paraId="0D985B2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109494D" w14:textId="77777777" w:rsidTr="00614438">
        <w:trPr>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5A19FDA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71" w:type="dxa"/>
            <w:gridSpan w:val="3"/>
            <w:tcBorders>
              <w:top w:val="single" w:sz="8" w:space="0" w:color="auto"/>
              <w:left w:val="nil"/>
              <w:bottom w:val="single" w:sz="8" w:space="0" w:color="auto"/>
              <w:right w:val="single" w:sz="8" w:space="0" w:color="000000"/>
            </w:tcBorders>
            <w:vAlign w:val="center"/>
            <w:hideMark/>
          </w:tcPr>
          <w:p w14:paraId="32251EE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0.2 M€</w:t>
            </w:r>
          </w:p>
        </w:tc>
        <w:tc>
          <w:tcPr>
            <w:tcW w:w="1212" w:type="dxa"/>
            <w:vAlign w:val="center"/>
            <w:hideMark/>
          </w:tcPr>
          <w:p w14:paraId="55203E77"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618E5E5" w14:textId="77777777" w:rsidTr="00614438">
        <w:trPr>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6C4DE24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71" w:type="dxa"/>
            <w:gridSpan w:val="3"/>
            <w:tcBorders>
              <w:top w:val="single" w:sz="8" w:space="0" w:color="auto"/>
              <w:left w:val="nil"/>
              <w:bottom w:val="single" w:sz="8" w:space="0" w:color="auto"/>
              <w:right w:val="single" w:sz="8" w:space="0" w:color="000000"/>
            </w:tcBorders>
            <w:vAlign w:val="center"/>
            <w:hideMark/>
          </w:tcPr>
          <w:p w14:paraId="02EF307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1212" w:type="dxa"/>
            <w:vAlign w:val="center"/>
            <w:hideMark/>
          </w:tcPr>
          <w:p w14:paraId="2D23EBC6" w14:textId="77777777" w:rsidR="00614438" w:rsidRPr="00AA7A53" w:rsidRDefault="00614438" w:rsidP="00AA7A53">
            <w:pPr>
              <w:spacing w:after="0"/>
              <w:jc w:val="both"/>
              <w:rPr>
                <w:rFonts w:ascii="Times New Roman" w:hAnsi="Times New Roman" w:cs="Times New Roman"/>
                <w:sz w:val="20"/>
                <w:szCs w:val="20"/>
                <w:lang w:val="en-GB"/>
              </w:rPr>
            </w:pPr>
          </w:p>
        </w:tc>
      </w:tr>
    </w:tbl>
    <w:p w14:paraId="1438604E"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17"/>
        <w:gridCol w:w="1309"/>
        <w:gridCol w:w="920"/>
        <w:gridCol w:w="4042"/>
        <w:gridCol w:w="1212"/>
      </w:tblGrid>
      <w:tr w:rsidR="00614438" w:rsidRPr="00AA7A53" w14:paraId="2D53EE14" w14:textId="77777777" w:rsidTr="00614438">
        <w:trPr>
          <w:gridAfter w:val="1"/>
          <w:wAfter w:w="1212" w:type="dxa"/>
          <w:trHeight w:val="780"/>
        </w:trPr>
        <w:tc>
          <w:tcPr>
            <w:tcW w:w="321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51D3493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309" w:type="dxa"/>
            <w:tcBorders>
              <w:top w:val="single" w:sz="8" w:space="0" w:color="auto"/>
              <w:left w:val="nil"/>
              <w:bottom w:val="single" w:sz="8" w:space="0" w:color="auto"/>
              <w:right w:val="single" w:sz="8" w:space="0" w:color="auto"/>
            </w:tcBorders>
            <w:shd w:val="clear" w:color="auto" w:fill="E7E6E6" w:themeFill="background2"/>
            <w:vAlign w:val="center"/>
            <w:hideMark/>
          </w:tcPr>
          <w:p w14:paraId="31AC4AE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PM_IEM24</w:t>
            </w:r>
          </w:p>
        </w:tc>
        <w:tc>
          <w:tcPr>
            <w:tcW w:w="920" w:type="dxa"/>
            <w:tcBorders>
              <w:top w:val="single" w:sz="8" w:space="0" w:color="auto"/>
              <w:left w:val="nil"/>
              <w:bottom w:val="single" w:sz="8" w:space="0" w:color="auto"/>
              <w:right w:val="single" w:sz="8" w:space="0" w:color="auto"/>
            </w:tcBorders>
            <w:shd w:val="clear" w:color="auto" w:fill="244062"/>
            <w:vAlign w:val="center"/>
            <w:hideMark/>
          </w:tcPr>
          <w:p w14:paraId="39C3235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042" w:type="dxa"/>
            <w:tcBorders>
              <w:top w:val="single" w:sz="8" w:space="0" w:color="auto"/>
              <w:left w:val="nil"/>
              <w:bottom w:val="single" w:sz="8" w:space="0" w:color="auto"/>
              <w:right w:val="single" w:sz="8" w:space="0" w:color="auto"/>
            </w:tcBorders>
            <w:shd w:val="clear" w:color="auto" w:fill="E7E6E6" w:themeFill="background2"/>
            <w:vAlign w:val="center"/>
            <w:hideMark/>
          </w:tcPr>
          <w:p w14:paraId="0E2E9D4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Regulation (EU) 2017/460</w:t>
            </w:r>
          </w:p>
        </w:tc>
      </w:tr>
      <w:tr w:rsidR="00614438" w:rsidRPr="00AA7A53" w14:paraId="169A8FEF" w14:textId="77777777" w:rsidTr="00614438">
        <w:trPr>
          <w:gridAfter w:val="1"/>
          <w:wAfter w:w="1212" w:type="dxa"/>
          <w:trHeight w:val="423"/>
        </w:trPr>
        <w:tc>
          <w:tcPr>
            <w:tcW w:w="3217" w:type="dxa"/>
            <w:tcBorders>
              <w:top w:val="nil"/>
              <w:left w:val="single" w:sz="8" w:space="0" w:color="auto"/>
              <w:bottom w:val="single" w:sz="8" w:space="0" w:color="auto"/>
              <w:right w:val="nil"/>
            </w:tcBorders>
            <w:shd w:val="clear" w:color="auto" w:fill="244062"/>
            <w:vAlign w:val="center"/>
            <w:hideMark/>
          </w:tcPr>
          <w:p w14:paraId="07E14DD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71" w:type="dxa"/>
            <w:gridSpan w:val="3"/>
            <w:tcBorders>
              <w:top w:val="single" w:sz="8" w:space="0" w:color="auto"/>
              <w:left w:val="nil"/>
              <w:bottom w:val="single" w:sz="8" w:space="0" w:color="auto"/>
              <w:right w:val="single" w:sz="8" w:space="0" w:color="000000"/>
            </w:tcBorders>
            <w:vAlign w:val="center"/>
            <w:hideMark/>
          </w:tcPr>
          <w:p w14:paraId="6973B2A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Infrastructure, policies and measures related to market-based price formation, market integration aimed at increasing the tradeable capacity, Consumer protection and improvement of competition, regional integration</w:t>
            </w:r>
          </w:p>
        </w:tc>
      </w:tr>
      <w:tr w:rsidR="00614438" w:rsidRPr="00AA7A53" w14:paraId="6F999397" w14:textId="77777777" w:rsidTr="00614438">
        <w:trPr>
          <w:gridAfter w:val="1"/>
          <w:wAfter w:w="1212" w:type="dxa"/>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42908BA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71" w:type="dxa"/>
            <w:gridSpan w:val="3"/>
            <w:tcBorders>
              <w:top w:val="single" w:sz="8" w:space="0" w:color="auto"/>
              <w:left w:val="nil"/>
              <w:bottom w:val="single" w:sz="8" w:space="0" w:color="auto"/>
              <w:right w:val="single" w:sz="8" w:space="0" w:color="000000"/>
            </w:tcBorders>
            <w:vAlign w:val="center"/>
            <w:hideMark/>
          </w:tcPr>
          <w:p w14:paraId="3E4B737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Transposition of Regulation</w:t>
            </w:r>
          </w:p>
        </w:tc>
      </w:tr>
      <w:tr w:rsidR="00614438" w:rsidRPr="00AA7A53" w14:paraId="24B409EB" w14:textId="77777777" w:rsidTr="00614438">
        <w:trPr>
          <w:gridAfter w:val="1"/>
          <w:wAfter w:w="1212" w:type="dxa"/>
          <w:trHeight w:val="632"/>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71BFEF4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71" w:type="dxa"/>
            <w:gridSpan w:val="3"/>
            <w:tcBorders>
              <w:top w:val="single" w:sz="8" w:space="0" w:color="auto"/>
              <w:left w:val="nil"/>
              <w:bottom w:val="single" w:sz="8" w:space="0" w:color="auto"/>
              <w:right w:val="single" w:sz="8" w:space="0" w:color="000000"/>
            </w:tcBorders>
            <w:vAlign w:val="center"/>
            <w:hideMark/>
          </w:tcPr>
          <w:p w14:paraId="6B4A83E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As an Energy Community Contracting Party, Serbia was obliged to implement the Regulation by 28 February 2020. The policy refers to the implementation of the regulation. Transposition and Implementation are still pending. It is necessary to continue work on the process of implementing grid codes implementation.</w:t>
            </w:r>
          </w:p>
        </w:tc>
      </w:tr>
      <w:tr w:rsidR="00614438" w:rsidRPr="00AA7A53" w14:paraId="509AA6F4" w14:textId="77777777" w:rsidTr="00614438">
        <w:trPr>
          <w:gridAfter w:val="1"/>
          <w:wAfter w:w="1212" w:type="dxa"/>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29ED48B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Implementation Timeframe</w:t>
            </w:r>
          </w:p>
        </w:tc>
        <w:tc>
          <w:tcPr>
            <w:tcW w:w="6271" w:type="dxa"/>
            <w:gridSpan w:val="3"/>
            <w:tcBorders>
              <w:top w:val="single" w:sz="8" w:space="0" w:color="auto"/>
              <w:left w:val="nil"/>
              <w:bottom w:val="single" w:sz="8" w:space="0" w:color="auto"/>
              <w:right w:val="single" w:sz="8" w:space="0" w:color="000000"/>
            </w:tcBorders>
            <w:vAlign w:val="center"/>
            <w:hideMark/>
          </w:tcPr>
          <w:p w14:paraId="0F0BBE9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2024</w:t>
            </w:r>
          </w:p>
        </w:tc>
      </w:tr>
      <w:tr w:rsidR="00614438" w:rsidRPr="00AA7A53" w14:paraId="603161D6" w14:textId="77777777" w:rsidTr="00614438">
        <w:trPr>
          <w:gridAfter w:val="1"/>
          <w:wAfter w:w="1212" w:type="dxa"/>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5803B62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71" w:type="dxa"/>
            <w:gridSpan w:val="3"/>
            <w:tcBorders>
              <w:top w:val="single" w:sz="8" w:space="0" w:color="auto"/>
              <w:left w:val="nil"/>
              <w:bottom w:val="single" w:sz="8" w:space="0" w:color="auto"/>
              <w:right w:val="single" w:sz="8" w:space="0" w:color="000000"/>
            </w:tcBorders>
            <w:vAlign w:val="center"/>
            <w:hideMark/>
          </w:tcPr>
          <w:p w14:paraId="216FFC5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6E7FF8C6" w14:textId="77777777" w:rsidTr="00614438">
        <w:trPr>
          <w:gridAfter w:val="1"/>
          <w:wAfter w:w="1212" w:type="dxa"/>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618337B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71" w:type="dxa"/>
            <w:gridSpan w:val="3"/>
            <w:tcBorders>
              <w:top w:val="single" w:sz="8" w:space="0" w:color="auto"/>
              <w:left w:val="nil"/>
              <w:bottom w:val="single" w:sz="8" w:space="0" w:color="auto"/>
              <w:right w:val="single" w:sz="8" w:space="0" w:color="000000"/>
            </w:tcBorders>
            <w:vAlign w:val="center"/>
            <w:hideMark/>
          </w:tcPr>
          <w:p w14:paraId="01FD53A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Gas</w:t>
            </w:r>
          </w:p>
        </w:tc>
      </w:tr>
      <w:tr w:rsidR="00614438" w:rsidRPr="00AA7A53" w14:paraId="456272F2" w14:textId="77777777" w:rsidTr="00614438">
        <w:trPr>
          <w:gridAfter w:val="1"/>
          <w:wAfter w:w="1212" w:type="dxa"/>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3E77B77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71" w:type="dxa"/>
            <w:gridSpan w:val="3"/>
            <w:tcBorders>
              <w:top w:val="single" w:sz="8" w:space="0" w:color="auto"/>
              <w:left w:val="nil"/>
              <w:bottom w:val="single" w:sz="8" w:space="0" w:color="auto"/>
              <w:right w:val="single" w:sz="8" w:space="0" w:color="000000"/>
            </w:tcBorders>
            <w:vAlign w:val="center"/>
            <w:hideMark/>
          </w:tcPr>
          <w:p w14:paraId="11C66AF6" w14:textId="77777777" w:rsidR="00614438" w:rsidRPr="00AA7A53" w:rsidRDefault="00614438" w:rsidP="00AA7A53">
            <w:pPr>
              <w:numPr>
                <w:ilvl w:val="0"/>
                <w:numId w:val="163"/>
              </w:numPr>
              <w:spacing w:after="0"/>
              <w:jc w:val="both"/>
              <w:rPr>
                <w:rFonts w:ascii="Times New Roman" w:hAnsi="Times New Roman" w:cs="Times New Roman"/>
                <w:sz w:val="20"/>
                <w:szCs w:val="20"/>
              </w:rPr>
            </w:pPr>
            <w:r w:rsidRPr="00AA7A53">
              <w:rPr>
                <w:rFonts w:ascii="Times New Roman" w:hAnsi="Times New Roman" w:cs="Times New Roman"/>
                <w:sz w:val="20"/>
                <w:szCs w:val="20"/>
              </w:rPr>
              <w:t>AERS</w:t>
            </w:r>
          </w:p>
          <w:p w14:paraId="04021638" w14:textId="77777777" w:rsidR="00614438" w:rsidRPr="00AA7A53" w:rsidRDefault="00614438" w:rsidP="00AA7A53">
            <w:pPr>
              <w:numPr>
                <w:ilvl w:val="0"/>
                <w:numId w:val="163"/>
              </w:numPr>
              <w:spacing w:after="0"/>
              <w:jc w:val="both"/>
              <w:rPr>
                <w:rFonts w:ascii="Times New Roman" w:hAnsi="Times New Roman" w:cs="Times New Roman"/>
                <w:sz w:val="20"/>
                <w:szCs w:val="20"/>
              </w:rPr>
            </w:pPr>
            <w:r w:rsidRPr="00AA7A53">
              <w:rPr>
                <w:rFonts w:ascii="Times New Roman" w:hAnsi="Times New Roman" w:cs="Times New Roman"/>
                <w:sz w:val="20"/>
                <w:szCs w:val="20"/>
              </w:rPr>
              <w:t>Transport system operators</w:t>
            </w:r>
          </w:p>
          <w:p w14:paraId="5F1B1452" w14:textId="77777777" w:rsidR="00614438" w:rsidRPr="00AA7A53" w:rsidRDefault="00614438" w:rsidP="00AA7A53">
            <w:pPr>
              <w:numPr>
                <w:ilvl w:val="0"/>
                <w:numId w:val="163"/>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2CE76D8D" w14:textId="77777777" w:rsidR="00614438" w:rsidRPr="00AA7A53" w:rsidRDefault="00614438" w:rsidP="00AA7A53">
            <w:pPr>
              <w:numPr>
                <w:ilvl w:val="0"/>
                <w:numId w:val="163"/>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w:t>
            </w:r>
          </w:p>
        </w:tc>
      </w:tr>
      <w:tr w:rsidR="00614438" w:rsidRPr="00AA7A53" w14:paraId="4C34265D" w14:textId="77777777" w:rsidTr="00614438">
        <w:trPr>
          <w:gridAfter w:val="1"/>
          <w:wAfter w:w="1212" w:type="dxa"/>
          <w:trHeight w:val="315"/>
        </w:trPr>
        <w:tc>
          <w:tcPr>
            <w:tcW w:w="3217" w:type="dxa"/>
            <w:tcBorders>
              <w:top w:val="nil"/>
              <w:left w:val="single" w:sz="8" w:space="0" w:color="auto"/>
              <w:bottom w:val="single" w:sz="8" w:space="0" w:color="auto"/>
              <w:right w:val="nil"/>
            </w:tcBorders>
            <w:shd w:val="clear" w:color="auto" w:fill="244062"/>
            <w:vAlign w:val="center"/>
            <w:hideMark/>
          </w:tcPr>
          <w:p w14:paraId="6CE074A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71" w:type="dxa"/>
            <w:gridSpan w:val="3"/>
            <w:tcBorders>
              <w:top w:val="single" w:sz="8" w:space="0" w:color="auto"/>
              <w:left w:val="nil"/>
              <w:bottom w:val="single" w:sz="8" w:space="0" w:color="auto"/>
              <w:right w:val="single" w:sz="8" w:space="0" w:color="000000"/>
            </w:tcBorders>
            <w:vAlign w:val="center"/>
            <w:hideMark/>
          </w:tcPr>
          <w:p w14:paraId="79E7C9C3" w14:textId="77777777" w:rsidR="00614438" w:rsidRPr="00AA7A53" w:rsidRDefault="00614438" w:rsidP="00AA7A53">
            <w:pPr>
              <w:numPr>
                <w:ilvl w:val="0"/>
                <w:numId w:val="163"/>
              </w:numPr>
              <w:spacing w:after="0"/>
              <w:jc w:val="both"/>
              <w:rPr>
                <w:rFonts w:ascii="Times New Roman" w:hAnsi="Times New Roman" w:cs="Times New Roman"/>
                <w:sz w:val="20"/>
                <w:szCs w:val="20"/>
              </w:rPr>
            </w:pPr>
            <w:r w:rsidRPr="00AA7A53">
              <w:rPr>
                <w:rFonts w:ascii="Times New Roman" w:hAnsi="Times New Roman" w:cs="Times New Roman"/>
                <w:sz w:val="20"/>
                <w:szCs w:val="20"/>
              </w:rPr>
              <w:t>AERS</w:t>
            </w:r>
          </w:p>
        </w:tc>
      </w:tr>
      <w:tr w:rsidR="00614438" w:rsidRPr="00AA7A53" w14:paraId="26CF73A2" w14:textId="77777777" w:rsidTr="00614438">
        <w:trPr>
          <w:gridAfter w:val="1"/>
          <w:wAfter w:w="1212" w:type="dxa"/>
          <w:trHeight w:val="315"/>
        </w:trPr>
        <w:tc>
          <w:tcPr>
            <w:tcW w:w="3217" w:type="dxa"/>
            <w:tcBorders>
              <w:top w:val="nil"/>
              <w:left w:val="single" w:sz="8" w:space="0" w:color="auto"/>
              <w:bottom w:val="single" w:sz="8" w:space="0" w:color="auto"/>
              <w:right w:val="nil"/>
            </w:tcBorders>
            <w:shd w:val="clear" w:color="auto" w:fill="244062"/>
            <w:vAlign w:val="center"/>
            <w:hideMark/>
          </w:tcPr>
          <w:p w14:paraId="07B0A69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71" w:type="dxa"/>
            <w:gridSpan w:val="3"/>
            <w:tcBorders>
              <w:top w:val="single" w:sz="8" w:space="0" w:color="auto"/>
              <w:left w:val="nil"/>
              <w:bottom w:val="single" w:sz="8" w:space="0" w:color="auto"/>
              <w:right w:val="single" w:sz="8" w:space="0" w:color="000000"/>
            </w:tcBorders>
            <w:vAlign w:val="center"/>
            <w:hideMark/>
          </w:tcPr>
          <w:p w14:paraId="1EF48CE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Transposition of regulation, development and adoption of new tariff methodology, approval of tariffs based on new methodology</w:t>
            </w:r>
          </w:p>
        </w:tc>
      </w:tr>
      <w:tr w:rsidR="00614438" w:rsidRPr="00AA7A53" w14:paraId="69D6197E" w14:textId="77777777" w:rsidTr="00614438">
        <w:trPr>
          <w:gridAfter w:val="1"/>
          <w:wAfter w:w="1212" w:type="dxa"/>
          <w:trHeight w:val="634"/>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7F93DA4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71" w:type="dxa"/>
            <w:gridSpan w:val="3"/>
            <w:tcBorders>
              <w:top w:val="single" w:sz="8" w:space="0" w:color="auto"/>
              <w:left w:val="nil"/>
              <w:bottom w:val="single" w:sz="8" w:space="0" w:color="auto"/>
              <w:right w:val="single" w:sz="8" w:space="0" w:color="000000"/>
            </w:tcBorders>
            <w:vAlign w:val="center"/>
            <w:hideMark/>
          </w:tcPr>
          <w:p w14:paraId="6629BA1F"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688F7D1" w14:textId="77777777" w:rsidTr="00614438">
        <w:trPr>
          <w:gridAfter w:val="1"/>
          <w:wAfter w:w="1212" w:type="dxa"/>
          <w:trHeight w:val="458"/>
        </w:trPr>
        <w:tc>
          <w:tcPr>
            <w:tcW w:w="3217" w:type="dxa"/>
            <w:vMerge w:val="restart"/>
            <w:tcBorders>
              <w:top w:val="nil"/>
              <w:left w:val="single" w:sz="8" w:space="0" w:color="auto"/>
              <w:bottom w:val="single" w:sz="8" w:space="0" w:color="000000"/>
              <w:right w:val="single" w:sz="8" w:space="0" w:color="auto"/>
            </w:tcBorders>
            <w:shd w:val="clear" w:color="auto" w:fill="244062"/>
            <w:vAlign w:val="center"/>
            <w:hideMark/>
          </w:tcPr>
          <w:p w14:paraId="559CD5A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7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CBC800A" w14:textId="77777777" w:rsidR="00614438" w:rsidRPr="00AA7A53" w:rsidRDefault="00614438" w:rsidP="00AA7A53">
            <w:pPr>
              <w:numPr>
                <w:ilvl w:val="0"/>
                <w:numId w:val="163"/>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2017/460</w:t>
            </w:r>
          </w:p>
        </w:tc>
      </w:tr>
      <w:tr w:rsidR="00614438" w:rsidRPr="00AA7A53" w14:paraId="25A24201"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2F97F441"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3822798"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6335E51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543052A"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5CCADF00"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DD9FD81"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5EDF3D64"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59F4AC54" w14:textId="77777777" w:rsidTr="00614438">
        <w:trPr>
          <w:trHeight w:val="780"/>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6729DBF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71" w:type="dxa"/>
            <w:gridSpan w:val="3"/>
            <w:tcBorders>
              <w:top w:val="single" w:sz="8" w:space="0" w:color="auto"/>
              <w:left w:val="nil"/>
              <w:bottom w:val="single" w:sz="8" w:space="0" w:color="auto"/>
              <w:right w:val="single" w:sz="8" w:space="0" w:color="000000"/>
            </w:tcBorders>
            <w:vAlign w:val="center"/>
            <w:hideMark/>
          </w:tcPr>
          <w:p w14:paraId="4BE7BBE3" w14:textId="77777777" w:rsidR="00614438" w:rsidRPr="00AA7A53" w:rsidRDefault="00614438" w:rsidP="00AA7A53">
            <w:pPr>
              <w:numPr>
                <w:ilvl w:val="0"/>
                <w:numId w:val="164"/>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Law</w:t>
            </w:r>
          </w:p>
          <w:p w14:paraId="141FDFAA" w14:textId="77777777" w:rsidR="00614438" w:rsidRPr="00AA7A53" w:rsidRDefault="00614438" w:rsidP="00AA7A53">
            <w:pPr>
              <w:numPr>
                <w:ilvl w:val="0"/>
                <w:numId w:val="164"/>
              </w:numPr>
              <w:spacing w:after="0"/>
              <w:jc w:val="both"/>
              <w:rPr>
                <w:rFonts w:ascii="Times New Roman" w:hAnsi="Times New Roman" w:cs="Times New Roman"/>
                <w:sz w:val="20"/>
                <w:szCs w:val="20"/>
              </w:rPr>
            </w:pPr>
            <w:r w:rsidRPr="00AA7A53">
              <w:rPr>
                <w:rFonts w:ascii="Times New Roman" w:hAnsi="Times New Roman" w:cs="Times New Roman"/>
                <w:sz w:val="20"/>
                <w:szCs w:val="20"/>
              </w:rPr>
              <w:t>Action Plan for the Implementation of Activities aimed at Reorganizing PE Srbijagas</w:t>
            </w:r>
          </w:p>
        </w:tc>
        <w:tc>
          <w:tcPr>
            <w:tcW w:w="1212" w:type="dxa"/>
            <w:vAlign w:val="center"/>
            <w:hideMark/>
          </w:tcPr>
          <w:p w14:paraId="25D43B53"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61F5AB5" w14:textId="77777777" w:rsidTr="00614438">
        <w:trPr>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1A83EFC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71" w:type="dxa"/>
            <w:gridSpan w:val="3"/>
            <w:tcBorders>
              <w:top w:val="single" w:sz="8" w:space="0" w:color="auto"/>
              <w:left w:val="nil"/>
              <w:bottom w:val="single" w:sz="8" w:space="0" w:color="auto"/>
              <w:right w:val="single" w:sz="8" w:space="0" w:color="000000"/>
            </w:tcBorders>
            <w:vAlign w:val="center"/>
            <w:hideMark/>
          </w:tcPr>
          <w:p w14:paraId="52936AC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0.2 M€</w:t>
            </w:r>
          </w:p>
        </w:tc>
        <w:tc>
          <w:tcPr>
            <w:tcW w:w="1212" w:type="dxa"/>
            <w:vAlign w:val="center"/>
            <w:hideMark/>
          </w:tcPr>
          <w:p w14:paraId="7C74564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09C58BE" w14:textId="77777777" w:rsidTr="00614438">
        <w:trPr>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4BE7951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71" w:type="dxa"/>
            <w:gridSpan w:val="3"/>
            <w:tcBorders>
              <w:top w:val="single" w:sz="8" w:space="0" w:color="auto"/>
              <w:left w:val="nil"/>
              <w:bottom w:val="single" w:sz="8" w:space="0" w:color="auto"/>
              <w:right w:val="single" w:sz="8" w:space="0" w:color="000000"/>
            </w:tcBorders>
            <w:vAlign w:val="center"/>
            <w:hideMark/>
          </w:tcPr>
          <w:p w14:paraId="0E505EB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1212" w:type="dxa"/>
            <w:vAlign w:val="center"/>
            <w:hideMark/>
          </w:tcPr>
          <w:p w14:paraId="3C4D6805" w14:textId="77777777" w:rsidR="00614438" w:rsidRPr="00AA7A53" w:rsidRDefault="00614438" w:rsidP="00AA7A53">
            <w:pPr>
              <w:spacing w:after="0"/>
              <w:jc w:val="both"/>
              <w:rPr>
                <w:rFonts w:ascii="Times New Roman" w:hAnsi="Times New Roman" w:cs="Times New Roman"/>
                <w:sz w:val="20"/>
                <w:szCs w:val="20"/>
                <w:lang w:val="en-GB"/>
              </w:rPr>
            </w:pPr>
          </w:p>
        </w:tc>
      </w:tr>
    </w:tbl>
    <w:p w14:paraId="09052B19"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17"/>
        <w:gridCol w:w="1309"/>
        <w:gridCol w:w="920"/>
        <w:gridCol w:w="4042"/>
        <w:gridCol w:w="1212"/>
      </w:tblGrid>
      <w:tr w:rsidR="00614438" w:rsidRPr="00AA7A53" w14:paraId="6A546675" w14:textId="77777777" w:rsidTr="00614438">
        <w:trPr>
          <w:gridAfter w:val="1"/>
          <w:wAfter w:w="1212" w:type="dxa"/>
          <w:trHeight w:val="780"/>
        </w:trPr>
        <w:tc>
          <w:tcPr>
            <w:tcW w:w="321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65308C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309" w:type="dxa"/>
            <w:tcBorders>
              <w:top w:val="single" w:sz="8" w:space="0" w:color="auto"/>
              <w:left w:val="nil"/>
              <w:bottom w:val="single" w:sz="8" w:space="0" w:color="auto"/>
              <w:right w:val="single" w:sz="8" w:space="0" w:color="auto"/>
            </w:tcBorders>
            <w:shd w:val="clear" w:color="auto" w:fill="E7E6E6" w:themeFill="background2"/>
            <w:vAlign w:val="center"/>
            <w:hideMark/>
          </w:tcPr>
          <w:p w14:paraId="5A85274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PM_IEM25</w:t>
            </w:r>
          </w:p>
        </w:tc>
        <w:tc>
          <w:tcPr>
            <w:tcW w:w="920" w:type="dxa"/>
            <w:tcBorders>
              <w:top w:val="single" w:sz="8" w:space="0" w:color="auto"/>
              <w:left w:val="nil"/>
              <w:bottom w:val="single" w:sz="8" w:space="0" w:color="auto"/>
              <w:right w:val="single" w:sz="8" w:space="0" w:color="auto"/>
            </w:tcBorders>
            <w:shd w:val="clear" w:color="auto" w:fill="244062"/>
            <w:vAlign w:val="center"/>
            <w:hideMark/>
          </w:tcPr>
          <w:p w14:paraId="413FC01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042" w:type="dxa"/>
            <w:tcBorders>
              <w:top w:val="single" w:sz="8" w:space="0" w:color="auto"/>
              <w:left w:val="nil"/>
              <w:bottom w:val="single" w:sz="8" w:space="0" w:color="auto"/>
              <w:right w:val="single" w:sz="8" w:space="0" w:color="auto"/>
            </w:tcBorders>
            <w:shd w:val="clear" w:color="auto" w:fill="E7E6E6" w:themeFill="background2"/>
            <w:vAlign w:val="center"/>
            <w:hideMark/>
          </w:tcPr>
          <w:p w14:paraId="45B921D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Regulation (EU) 2014/312</w:t>
            </w:r>
          </w:p>
        </w:tc>
      </w:tr>
      <w:tr w:rsidR="00614438" w:rsidRPr="00AA7A53" w14:paraId="4B228328" w14:textId="77777777" w:rsidTr="00614438">
        <w:trPr>
          <w:gridAfter w:val="1"/>
          <w:wAfter w:w="1212" w:type="dxa"/>
          <w:trHeight w:val="672"/>
        </w:trPr>
        <w:tc>
          <w:tcPr>
            <w:tcW w:w="3217" w:type="dxa"/>
            <w:tcBorders>
              <w:top w:val="nil"/>
              <w:left w:val="single" w:sz="8" w:space="0" w:color="auto"/>
              <w:bottom w:val="single" w:sz="8" w:space="0" w:color="auto"/>
              <w:right w:val="nil"/>
            </w:tcBorders>
            <w:shd w:val="clear" w:color="auto" w:fill="244062"/>
            <w:vAlign w:val="center"/>
            <w:hideMark/>
          </w:tcPr>
          <w:p w14:paraId="42EB948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71" w:type="dxa"/>
            <w:gridSpan w:val="3"/>
            <w:tcBorders>
              <w:top w:val="single" w:sz="8" w:space="0" w:color="auto"/>
              <w:left w:val="nil"/>
              <w:bottom w:val="single" w:sz="8" w:space="0" w:color="auto"/>
              <w:right w:val="single" w:sz="8" w:space="0" w:color="000000"/>
            </w:tcBorders>
            <w:vAlign w:val="center"/>
            <w:hideMark/>
          </w:tcPr>
          <w:p w14:paraId="62AE132D" w14:textId="519681B5"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Infrastructure, policies and measures related to market-based price formation, market integration aimed at increasing the tradeable capacity, Consumer protection and improvement of competition, </w:t>
            </w:r>
            <w:r w:rsidR="004904A1" w:rsidRPr="00AA7A53">
              <w:rPr>
                <w:rFonts w:ascii="Times New Roman" w:hAnsi="Times New Roman" w:cs="Times New Roman"/>
                <w:sz w:val="20"/>
                <w:szCs w:val="20"/>
                <w:lang w:val="en-GB"/>
              </w:rPr>
              <w:t xml:space="preserve">as well as </w:t>
            </w:r>
            <w:r w:rsidRPr="00AA7A53">
              <w:rPr>
                <w:rFonts w:ascii="Times New Roman" w:hAnsi="Times New Roman" w:cs="Times New Roman"/>
                <w:sz w:val="20"/>
                <w:szCs w:val="20"/>
                <w:lang w:val="en-GB"/>
              </w:rPr>
              <w:t>regional integration</w:t>
            </w:r>
          </w:p>
        </w:tc>
      </w:tr>
      <w:tr w:rsidR="00614438" w:rsidRPr="00AA7A53" w14:paraId="0493D24A" w14:textId="77777777" w:rsidTr="00614438">
        <w:trPr>
          <w:gridAfter w:val="1"/>
          <w:wAfter w:w="1212" w:type="dxa"/>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060E7F4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71" w:type="dxa"/>
            <w:gridSpan w:val="3"/>
            <w:tcBorders>
              <w:top w:val="single" w:sz="8" w:space="0" w:color="auto"/>
              <w:left w:val="nil"/>
              <w:bottom w:val="single" w:sz="8" w:space="0" w:color="auto"/>
              <w:right w:val="single" w:sz="8" w:space="0" w:color="000000"/>
            </w:tcBorders>
            <w:vAlign w:val="center"/>
            <w:hideMark/>
          </w:tcPr>
          <w:p w14:paraId="7534C5C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Transposition of Regulation</w:t>
            </w:r>
          </w:p>
        </w:tc>
      </w:tr>
      <w:tr w:rsidR="00614438" w:rsidRPr="00AA7A53" w14:paraId="470AA603" w14:textId="77777777" w:rsidTr="00614438">
        <w:trPr>
          <w:gridAfter w:val="1"/>
          <w:wAfter w:w="1212" w:type="dxa"/>
          <w:trHeight w:val="1059"/>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35F70B8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71" w:type="dxa"/>
            <w:gridSpan w:val="3"/>
            <w:tcBorders>
              <w:top w:val="single" w:sz="8" w:space="0" w:color="auto"/>
              <w:left w:val="nil"/>
              <w:bottom w:val="single" w:sz="8" w:space="0" w:color="auto"/>
              <w:right w:val="single" w:sz="8" w:space="0" w:color="000000"/>
            </w:tcBorders>
            <w:vAlign w:val="center"/>
            <w:hideMark/>
          </w:tcPr>
          <w:p w14:paraId="6181AE5A" w14:textId="6F988A65"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As an Energy Community Contracting Party, </w:t>
            </w:r>
            <w:r w:rsidR="004904A1" w:rsidRPr="00AA7A53">
              <w:rPr>
                <w:rFonts w:ascii="Times New Roman" w:hAnsi="Times New Roman" w:cs="Times New Roman"/>
                <w:sz w:val="20"/>
                <w:szCs w:val="20"/>
                <w:lang w:val="en-GB"/>
              </w:rPr>
              <w:t xml:space="preserve">the Republic of </w:t>
            </w:r>
            <w:r w:rsidRPr="00AA7A53">
              <w:rPr>
                <w:rFonts w:ascii="Times New Roman" w:hAnsi="Times New Roman" w:cs="Times New Roman"/>
                <w:sz w:val="20"/>
                <w:szCs w:val="20"/>
                <w:lang w:val="en-GB"/>
              </w:rPr>
              <w:t>Serbia was obliged to implement the Regulation by 12 December 2020.</w:t>
            </w:r>
            <w:r w:rsidR="004904A1" w:rsidRPr="00AA7A53">
              <w:rPr>
                <w:rFonts w:ascii="Times New Roman" w:hAnsi="Times New Roman" w:cs="Times New Roman"/>
                <w:sz w:val="20"/>
                <w:szCs w:val="20"/>
                <w:lang w:val="en-GB"/>
              </w:rPr>
              <w:t xml:space="preserve"> The i</w:t>
            </w:r>
            <w:r w:rsidRPr="00AA7A53">
              <w:rPr>
                <w:rFonts w:ascii="Times New Roman" w:hAnsi="Times New Roman" w:cs="Times New Roman"/>
                <w:sz w:val="20"/>
                <w:szCs w:val="20"/>
                <w:lang w:val="en-GB"/>
              </w:rPr>
              <w:t>mplementation is still pending. The policy refers to the implementation of the regulation. Transposition and Implementation are still pending. It is necessary to continue work on the process of implementing grid codes implementation.</w:t>
            </w:r>
          </w:p>
        </w:tc>
      </w:tr>
      <w:tr w:rsidR="00614438" w:rsidRPr="00AA7A53" w14:paraId="1972874B" w14:textId="77777777" w:rsidTr="00614438">
        <w:trPr>
          <w:gridAfter w:val="1"/>
          <w:wAfter w:w="1212" w:type="dxa"/>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7E8F897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71" w:type="dxa"/>
            <w:gridSpan w:val="3"/>
            <w:tcBorders>
              <w:top w:val="single" w:sz="8" w:space="0" w:color="auto"/>
              <w:left w:val="nil"/>
              <w:bottom w:val="single" w:sz="8" w:space="0" w:color="auto"/>
              <w:right w:val="single" w:sz="8" w:space="0" w:color="000000"/>
            </w:tcBorders>
            <w:vAlign w:val="center"/>
            <w:hideMark/>
          </w:tcPr>
          <w:p w14:paraId="6399AC4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2024</w:t>
            </w:r>
          </w:p>
        </w:tc>
      </w:tr>
      <w:tr w:rsidR="00614438" w:rsidRPr="00AA7A53" w14:paraId="58129657" w14:textId="77777777" w:rsidTr="00614438">
        <w:trPr>
          <w:gridAfter w:val="1"/>
          <w:wAfter w:w="1212" w:type="dxa"/>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59BD12E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71" w:type="dxa"/>
            <w:gridSpan w:val="3"/>
            <w:tcBorders>
              <w:top w:val="single" w:sz="8" w:space="0" w:color="auto"/>
              <w:left w:val="nil"/>
              <w:bottom w:val="single" w:sz="8" w:space="0" w:color="auto"/>
              <w:right w:val="single" w:sz="8" w:space="0" w:color="000000"/>
            </w:tcBorders>
            <w:vAlign w:val="center"/>
            <w:hideMark/>
          </w:tcPr>
          <w:p w14:paraId="4589F1E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2E599D5E" w14:textId="77777777" w:rsidTr="00614438">
        <w:trPr>
          <w:gridAfter w:val="1"/>
          <w:wAfter w:w="1212" w:type="dxa"/>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5C1E7CD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71" w:type="dxa"/>
            <w:gridSpan w:val="3"/>
            <w:tcBorders>
              <w:top w:val="single" w:sz="8" w:space="0" w:color="auto"/>
              <w:left w:val="nil"/>
              <w:bottom w:val="single" w:sz="8" w:space="0" w:color="auto"/>
              <w:right w:val="single" w:sz="8" w:space="0" w:color="000000"/>
            </w:tcBorders>
            <w:vAlign w:val="center"/>
            <w:hideMark/>
          </w:tcPr>
          <w:p w14:paraId="18A934C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Gas</w:t>
            </w:r>
          </w:p>
        </w:tc>
      </w:tr>
      <w:tr w:rsidR="00614438" w:rsidRPr="00AA7A53" w14:paraId="02D0C721" w14:textId="77777777" w:rsidTr="00614438">
        <w:trPr>
          <w:gridAfter w:val="1"/>
          <w:wAfter w:w="1212" w:type="dxa"/>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3EF6DD0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71" w:type="dxa"/>
            <w:gridSpan w:val="3"/>
            <w:tcBorders>
              <w:top w:val="single" w:sz="8" w:space="0" w:color="auto"/>
              <w:left w:val="nil"/>
              <w:bottom w:val="single" w:sz="8" w:space="0" w:color="auto"/>
              <w:right w:val="single" w:sz="8" w:space="0" w:color="000000"/>
            </w:tcBorders>
            <w:vAlign w:val="center"/>
            <w:hideMark/>
          </w:tcPr>
          <w:p w14:paraId="1F8AA3D3" w14:textId="77777777" w:rsidR="00614438" w:rsidRPr="00AA7A53" w:rsidRDefault="00614438" w:rsidP="00AA7A53">
            <w:pPr>
              <w:numPr>
                <w:ilvl w:val="0"/>
                <w:numId w:val="165"/>
              </w:numPr>
              <w:spacing w:after="0"/>
              <w:jc w:val="both"/>
              <w:rPr>
                <w:rFonts w:ascii="Times New Roman" w:hAnsi="Times New Roman" w:cs="Times New Roman"/>
                <w:sz w:val="20"/>
                <w:szCs w:val="20"/>
              </w:rPr>
            </w:pPr>
            <w:r w:rsidRPr="00AA7A53">
              <w:rPr>
                <w:rFonts w:ascii="Times New Roman" w:hAnsi="Times New Roman" w:cs="Times New Roman"/>
                <w:sz w:val="20"/>
                <w:szCs w:val="20"/>
              </w:rPr>
              <w:t>AERS</w:t>
            </w:r>
          </w:p>
          <w:p w14:paraId="24BB8B4E" w14:textId="77777777" w:rsidR="00614438" w:rsidRPr="00AA7A53" w:rsidRDefault="00614438" w:rsidP="00AA7A53">
            <w:pPr>
              <w:numPr>
                <w:ilvl w:val="0"/>
                <w:numId w:val="165"/>
              </w:numPr>
              <w:spacing w:after="0"/>
              <w:jc w:val="both"/>
              <w:rPr>
                <w:rFonts w:ascii="Times New Roman" w:hAnsi="Times New Roman" w:cs="Times New Roman"/>
                <w:sz w:val="20"/>
                <w:szCs w:val="20"/>
              </w:rPr>
            </w:pPr>
            <w:r w:rsidRPr="00AA7A53">
              <w:rPr>
                <w:rFonts w:ascii="Times New Roman" w:hAnsi="Times New Roman" w:cs="Times New Roman"/>
                <w:sz w:val="20"/>
                <w:szCs w:val="20"/>
              </w:rPr>
              <w:t>Transport system operators</w:t>
            </w:r>
          </w:p>
          <w:p w14:paraId="49DBE4E9" w14:textId="77777777" w:rsidR="00614438" w:rsidRPr="00AA7A53" w:rsidRDefault="00614438" w:rsidP="00AA7A53">
            <w:pPr>
              <w:numPr>
                <w:ilvl w:val="0"/>
                <w:numId w:val="16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13E9939E" w14:textId="77777777" w:rsidR="00614438" w:rsidRPr="00AA7A53" w:rsidRDefault="00614438" w:rsidP="00AA7A53">
            <w:pPr>
              <w:numPr>
                <w:ilvl w:val="0"/>
                <w:numId w:val="165"/>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w:t>
            </w:r>
          </w:p>
        </w:tc>
      </w:tr>
      <w:tr w:rsidR="00614438" w:rsidRPr="00AA7A53" w14:paraId="1D0D17F4" w14:textId="77777777" w:rsidTr="00614438">
        <w:trPr>
          <w:gridAfter w:val="1"/>
          <w:wAfter w:w="1212" w:type="dxa"/>
          <w:trHeight w:val="315"/>
        </w:trPr>
        <w:tc>
          <w:tcPr>
            <w:tcW w:w="3217" w:type="dxa"/>
            <w:tcBorders>
              <w:top w:val="nil"/>
              <w:left w:val="single" w:sz="8" w:space="0" w:color="auto"/>
              <w:bottom w:val="single" w:sz="8" w:space="0" w:color="auto"/>
              <w:right w:val="nil"/>
            </w:tcBorders>
            <w:shd w:val="clear" w:color="auto" w:fill="244062"/>
            <w:vAlign w:val="center"/>
            <w:hideMark/>
          </w:tcPr>
          <w:p w14:paraId="1E73EF5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71" w:type="dxa"/>
            <w:gridSpan w:val="3"/>
            <w:tcBorders>
              <w:top w:val="single" w:sz="8" w:space="0" w:color="auto"/>
              <w:left w:val="nil"/>
              <w:bottom w:val="single" w:sz="8" w:space="0" w:color="auto"/>
              <w:right w:val="single" w:sz="8" w:space="0" w:color="000000"/>
            </w:tcBorders>
            <w:vAlign w:val="center"/>
            <w:hideMark/>
          </w:tcPr>
          <w:p w14:paraId="60B1B8D8" w14:textId="77777777" w:rsidR="00614438" w:rsidRPr="00AA7A53" w:rsidRDefault="00614438" w:rsidP="00AA7A53">
            <w:pPr>
              <w:numPr>
                <w:ilvl w:val="0"/>
                <w:numId w:val="165"/>
              </w:numPr>
              <w:spacing w:after="0"/>
              <w:jc w:val="both"/>
              <w:rPr>
                <w:rFonts w:ascii="Times New Roman" w:hAnsi="Times New Roman" w:cs="Times New Roman"/>
                <w:sz w:val="20"/>
                <w:szCs w:val="20"/>
              </w:rPr>
            </w:pPr>
            <w:r w:rsidRPr="00AA7A53">
              <w:rPr>
                <w:rFonts w:ascii="Times New Roman" w:hAnsi="Times New Roman" w:cs="Times New Roman"/>
                <w:sz w:val="20"/>
                <w:szCs w:val="20"/>
              </w:rPr>
              <w:t>AERS</w:t>
            </w:r>
          </w:p>
        </w:tc>
      </w:tr>
      <w:tr w:rsidR="00614438" w:rsidRPr="00AA7A53" w14:paraId="11B139D4" w14:textId="77777777" w:rsidTr="00614438">
        <w:trPr>
          <w:gridAfter w:val="1"/>
          <w:wAfter w:w="1212" w:type="dxa"/>
          <w:trHeight w:val="315"/>
        </w:trPr>
        <w:tc>
          <w:tcPr>
            <w:tcW w:w="3217" w:type="dxa"/>
            <w:tcBorders>
              <w:top w:val="nil"/>
              <w:left w:val="single" w:sz="8" w:space="0" w:color="auto"/>
              <w:bottom w:val="single" w:sz="8" w:space="0" w:color="auto"/>
              <w:right w:val="nil"/>
            </w:tcBorders>
            <w:shd w:val="clear" w:color="auto" w:fill="244062"/>
            <w:vAlign w:val="center"/>
            <w:hideMark/>
          </w:tcPr>
          <w:p w14:paraId="1A5CAB2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71" w:type="dxa"/>
            <w:gridSpan w:val="3"/>
            <w:tcBorders>
              <w:top w:val="single" w:sz="8" w:space="0" w:color="auto"/>
              <w:left w:val="nil"/>
              <w:bottom w:val="single" w:sz="8" w:space="0" w:color="auto"/>
              <w:right w:val="single" w:sz="8" w:space="0" w:color="000000"/>
            </w:tcBorders>
            <w:vAlign w:val="center"/>
            <w:hideMark/>
          </w:tcPr>
          <w:p w14:paraId="701FDEB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Transposition of regulation. Operation of a balancing platform (if interim measures are to be applied)</w:t>
            </w:r>
          </w:p>
        </w:tc>
      </w:tr>
      <w:tr w:rsidR="00614438" w:rsidRPr="00AA7A53" w14:paraId="7336337E" w14:textId="77777777" w:rsidTr="00614438">
        <w:trPr>
          <w:gridAfter w:val="1"/>
          <w:wAfter w:w="1212" w:type="dxa"/>
          <w:trHeight w:val="802"/>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570437F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71" w:type="dxa"/>
            <w:gridSpan w:val="3"/>
            <w:tcBorders>
              <w:top w:val="single" w:sz="8" w:space="0" w:color="auto"/>
              <w:left w:val="nil"/>
              <w:bottom w:val="single" w:sz="8" w:space="0" w:color="auto"/>
              <w:right w:val="single" w:sz="8" w:space="0" w:color="000000"/>
            </w:tcBorders>
            <w:vAlign w:val="center"/>
            <w:hideMark/>
          </w:tcPr>
          <w:p w14:paraId="57E47A57"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F33318D" w14:textId="77777777" w:rsidTr="00614438">
        <w:trPr>
          <w:gridAfter w:val="1"/>
          <w:wAfter w:w="1212" w:type="dxa"/>
          <w:trHeight w:val="458"/>
        </w:trPr>
        <w:tc>
          <w:tcPr>
            <w:tcW w:w="3217" w:type="dxa"/>
            <w:vMerge w:val="restart"/>
            <w:tcBorders>
              <w:top w:val="nil"/>
              <w:left w:val="single" w:sz="8" w:space="0" w:color="auto"/>
              <w:bottom w:val="single" w:sz="8" w:space="0" w:color="000000"/>
              <w:right w:val="single" w:sz="8" w:space="0" w:color="auto"/>
            </w:tcBorders>
            <w:shd w:val="clear" w:color="auto" w:fill="244062"/>
            <w:vAlign w:val="center"/>
            <w:hideMark/>
          </w:tcPr>
          <w:p w14:paraId="01626B7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7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7C0EC3A" w14:textId="77777777" w:rsidR="00614438" w:rsidRPr="00AA7A53" w:rsidRDefault="00614438" w:rsidP="00AA7A53">
            <w:pPr>
              <w:numPr>
                <w:ilvl w:val="0"/>
                <w:numId w:val="165"/>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2014/312</w:t>
            </w:r>
          </w:p>
        </w:tc>
      </w:tr>
      <w:tr w:rsidR="00614438" w:rsidRPr="00AA7A53" w14:paraId="3871F090"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6A00FAA3"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29C2857"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7BC4655F"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5884A53"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06269251"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0C7E447"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5F8D29C5"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0CFE4F0C" w14:textId="77777777" w:rsidTr="00614438">
        <w:trPr>
          <w:trHeight w:val="780"/>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1898313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Relevant National Planning Document (Legal, Regulatory Acts etc)</w:t>
            </w:r>
          </w:p>
        </w:tc>
        <w:tc>
          <w:tcPr>
            <w:tcW w:w="6271" w:type="dxa"/>
            <w:gridSpan w:val="3"/>
            <w:tcBorders>
              <w:top w:val="single" w:sz="8" w:space="0" w:color="auto"/>
              <w:left w:val="nil"/>
              <w:bottom w:val="single" w:sz="8" w:space="0" w:color="auto"/>
              <w:right w:val="single" w:sz="8" w:space="0" w:color="000000"/>
            </w:tcBorders>
            <w:vAlign w:val="center"/>
            <w:hideMark/>
          </w:tcPr>
          <w:p w14:paraId="21A5B7E5" w14:textId="77777777" w:rsidR="00614438" w:rsidRPr="00AA7A53" w:rsidRDefault="00614438" w:rsidP="00AA7A53">
            <w:pPr>
              <w:numPr>
                <w:ilvl w:val="0"/>
                <w:numId w:val="166"/>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Law</w:t>
            </w:r>
          </w:p>
          <w:p w14:paraId="6D8C91A6" w14:textId="77777777" w:rsidR="00614438" w:rsidRPr="00AA7A53" w:rsidRDefault="00614438" w:rsidP="00AA7A53">
            <w:pPr>
              <w:numPr>
                <w:ilvl w:val="0"/>
                <w:numId w:val="166"/>
              </w:numPr>
              <w:spacing w:after="0"/>
              <w:jc w:val="both"/>
              <w:rPr>
                <w:rFonts w:ascii="Times New Roman" w:hAnsi="Times New Roman" w:cs="Times New Roman"/>
                <w:sz w:val="20"/>
                <w:szCs w:val="20"/>
              </w:rPr>
            </w:pPr>
            <w:r w:rsidRPr="00AA7A53">
              <w:rPr>
                <w:rFonts w:ascii="Times New Roman" w:hAnsi="Times New Roman" w:cs="Times New Roman"/>
                <w:sz w:val="20"/>
                <w:szCs w:val="20"/>
              </w:rPr>
              <w:t>Action Plan for the Implementation of Activities aimed at Reorganizing PE Srbijagas</w:t>
            </w:r>
          </w:p>
        </w:tc>
        <w:tc>
          <w:tcPr>
            <w:tcW w:w="1212" w:type="dxa"/>
            <w:vAlign w:val="center"/>
            <w:hideMark/>
          </w:tcPr>
          <w:p w14:paraId="44BC75C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ED343C1" w14:textId="77777777" w:rsidTr="00614438">
        <w:trPr>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132B425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71" w:type="dxa"/>
            <w:gridSpan w:val="3"/>
            <w:tcBorders>
              <w:top w:val="single" w:sz="8" w:space="0" w:color="auto"/>
              <w:left w:val="nil"/>
              <w:bottom w:val="single" w:sz="8" w:space="0" w:color="auto"/>
              <w:right w:val="single" w:sz="8" w:space="0" w:color="000000"/>
            </w:tcBorders>
            <w:vAlign w:val="center"/>
            <w:hideMark/>
          </w:tcPr>
          <w:p w14:paraId="7D9D12A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0.2 M€</w:t>
            </w:r>
          </w:p>
        </w:tc>
        <w:tc>
          <w:tcPr>
            <w:tcW w:w="1212" w:type="dxa"/>
            <w:vAlign w:val="center"/>
            <w:hideMark/>
          </w:tcPr>
          <w:p w14:paraId="0DE1144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3D8360C" w14:textId="77777777" w:rsidTr="00614438">
        <w:trPr>
          <w:trHeight w:val="315"/>
        </w:trPr>
        <w:tc>
          <w:tcPr>
            <w:tcW w:w="3217" w:type="dxa"/>
            <w:tcBorders>
              <w:top w:val="nil"/>
              <w:left w:val="single" w:sz="8" w:space="0" w:color="auto"/>
              <w:bottom w:val="single" w:sz="8" w:space="0" w:color="auto"/>
              <w:right w:val="single" w:sz="8" w:space="0" w:color="auto"/>
            </w:tcBorders>
            <w:shd w:val="clear" w:color="auto" w:fill="244062"/>
            <w:vAlign w:val="center"/>
            <w:hideMark/>
          </w:tcPr>
          <w:p w14:paraId="59DB0EC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71" w:type="dxa"/>
            <w:gridSpan w:val="3"/>
            <w:tcBorders>
              <w:top w:val="single" w:sz="8" w:space="0" w:color="auto"/>
              <w:left w:val="nil"/>
              <w:bottom w:val="single" w:sz="8" w:space="0" w:color="auto"/>
              <w:right w:val="single" w:sz="8" w:space="0" w:color="000000"/>
            </w:tcBorders>
            <w:vAlign w:val="center"/>
            <w:hideMark/>
          </w:tcPr>
          <w:p w14:paraId="43D346C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1212" w:type="dxa"/>
            <w:vAlign w:val="center"/>
            <w:hideMark/>
          </w:tcPr>
          <w:p w14:paraId="1B4E3F1F" w14:textId="77777777" w:rsidR="00614438" w:rsidRPr="00AA7A53" w:rsidRDefault="00614438" w:rsidP="00AA7A53">
            <w:pPr>
              <w:spacing w:after="0"/>
              <w:jc w:val="both"/>
              <w:rPr>
                <w:rFonts w:ascii="Times New Roman" w:hAnsi="Times New Roman" w:cs="Times New Roman"/>
                <w:sz w:val="20"/>
                <w:szCs w:val="20"/>
                <w:lang w:val="en-GB"/>
              </w:rPr>
            </w:pPr>
          </w:p>
        </w:tc>
      </w:tr>
    </w:tbl>
    <w:p w14:paraId="389E1D29"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25"/>
        <w:gridCol w:w="1309"/>
        <w:gridCol w:w="923"/>
        <w:gridCol w:w="4031"/>
        <w:gridCol w:w="1212"/>
      </w:tblGrid>
      <w:tr w:rsidR="00614438" w:rsidRPr="00AA7A53" w14:paraId="7782621C" w14:textId="77777777" w:rsidTr="00614438">
        <w:trPr>
          <w:gridAfter w:val="1"/>
          <w:wAfter w:w="1212" w:type="dxa"/>
          <w:trHeight w:val="780"/>
        </w:trPr>
        <w:tc>
          <w:tcPr>
            <w:tcW w:w="3225"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4D18D9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309" w:type="dxa"/>
            <w:tcBorders>
              <w:top w:val="single" w:sz="8" w:space="0" w:color="auto"/>
              <w:left w:val="nil"/>
              <w:bottom w:val="single" w:sz="8" w:space="0" w:color="auto"/>
              <w:right w:val="single" w:sz="8" w:space="0" w:color="auto"/>
            </w:tcBorders>
            <w:shd w:val="clear" w:color="auto" w:fill="E7E6E6" w:themeFill="background2"/>
            <w:vAlign w:val="center"/>
            <w:hideMark/>
          </w:tcPr>
          <w:p w14:paraId="16313EE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PM_IEM26</w:t>
            </w:r>
          </w:p>
        </w:tc>
        <w:tc>
          <w:tcPr>
            <w:tcW w:w="923" w:type="dxa"/>
            <w:tcBorders>
              <w:top w:val="single" w:sz="8" w:space="0" w:color="auto"/>
              <w:left w:val="nil"/>
              <w:bottom w:val="single" w:sz="8" w:space="0" w:color="auto"/>
              <w:right w:val="single" w:sz="8" w:space="0" w:color="auto"/>
            </w:tcBorders>
            <w:shd w:val="clear" w:color="auto" w:fill="244062"/>
            <w:vAlign w:val="center"/>
            <w:hideMark/>
          </w:tcPr>
          <w:p w14:paraId="7A462EF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031" w:type="dxa"/>
            <w:tcBorders>
              <w:top w:val="single" w:sz="8" w:space="0" w:color="auto"/>
              <w:left w:val="nil"/>
              <w:bottom w:val="single" w:sz="8" w:space="0" w:color="auto"/>
              <w:right w:val="single" w:sz="8" w:space="0" w:color="auto"/>
            </w:tcBorders>
            <w:shd w:val="clear" w:color="auto" w:fill="E7E6E6" w:themeFill="background2"/>
            <w:vAlign w:val="center"/>
            <w:hideMark/>
          </w:tcPr>
          <w:p w14:paraId="7184321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 of the Wholesale market to foster competition</w:t>
            </w:r>
          </w:p>
        </w:tc>
      </w:tr>
      <w:tr w:rsidR="00614438" w:rsidRPr="00AA7A53" w14:paraId="55ABEDFF" w14:textId="77777777" w:rsidTr="00614438">
        <w:trPr>
          <w:gridAfter w:val="1"/>
          <w:wAfter w:w="1212" w:type="dxa"/>
          <w:trHeight w:val="573"/>
        </w:trPr>
        <w:tc>
          <w:tcPr>
            <w:tcW w:w="3225" w:type="dxa"/>
            <w:tcBorders>
              <w:top w:val="nil"/>
              <w:left w:val="single" w:sz="8" w:space="0" w:color="auto"/>
              <w:bottom w:val="single" w:sz="8" w:space="0" w:color="auto"/>
              <w:right w:val="nil"/>
            </w:tcBorders>
            <w:shd w:val="clear" w:color="auto" w:fill="244062"/>
            <w:vAlign w:val="center"/>
            <w:hideMark/>
          </w:tcPr>
          <w:p w14:paraId="5FFAD09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63" w:type="dxa"/>
            <w:gridSpan w:val="3"/>
            <w:tcBorders>
              <w:top w:val="single" w:sz="8" w:space="0" w:color="auto"/>
              <w:left w:val="nil"/>
              <w:bottom w:val="single" w:sz="8" w:space="0" w:color="auto"/>
              <w:right w:val="single" w:sz="8" w:space="0" w:color="000000"/>
            </w:tcBorders>
            <w:vAlign w:val="center"/>
            <w:hideMark/>
          </w:tcPr>
          <w:p w14:paraId="3420496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Policies and measures related to market-based price formation, Consumer protection and improvement of competition</w:t>
            </w:r>
          </w:p>
        </w:tc>
      </w:tr>
      <w:tr w:rsidR="00614438" w:rsidRPr="00AA7A53" w14:paraId="0CE12403" w14:textId="77777777" w:rsidTr="00614438">
        <w:trPr>
          <w:gridAfter w:val="1"/>
          <w:wAfter w:w="1212" w:type="dxa"/>
          <w:trHeight w:val="315"/>
        </w:trPr>
        <w:tc>
          <w:tcPr>
            <w:tcW w:w="3225" w:type="dxa"/>
            <w:tcBorders>
              <w:top w:val="nil"/>
              <w:left w:val="single" w:sz="8" w:space="0" w:color="auto"/>
              <w:bottom w:val="single" w:sz="8" w:space="0" w:color="auto"/>
              <w:right w:val="single" w:sz="8" w:space="0" w:color="auto"/>
            </w:tcBorders>
            <w:shd w:val="clear" w:color="auto" w:fill="244062"/>
            <w:vAlign w:val="center"/>
            <w:hideMark/>
          </w:tcPr>
          <w:p w14:paraId="3FD62EB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63" w:type="dxa"/>
            <w:gridSpan w:val="3"/>
            <w:tcBorders>
              <w:top w:val="single" w:sz="8" w:space="0" w:color="auto"/>
              <w:left w:val="nil"/>
              <w:bottom w:val="single" w:sz="8" w:space="0" w:color="auto"/>
              <w:right w:val="single" w:sz="8" w:space="0" w:color="000000"/>
            </w:tcBorders>
            <w:vAlign w:val="center"/>
            <w:hideMark/>
          </w:tcPr>
          <w:p w14:paraId="16CB35F1" w14:textId="55AA38F4"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Reduction in the spread between TTF and the import price of natural gas to Serbia, considering that import prices of natural gas </w:t>
            </w:r>
            <w:r w:rsidR="004904A1" w:rsidRPr="00AA7A53">
              <w:rPr>
                <w:rFonts w:ascii="Times New Roman" w:hAnsi="Times New Roman" w:cs="Times New Roman"/>
                <w:sz w:val="20"/>
                <w:szCs w:val="20"/>
                <w:lang w:val="en-GB"/>
              </w:rPr>
              <w:t xml:space="preserve">are </w:t>
            </w:r>
            <w:r w:rsidRPr="00AA7A53">
              <w:rPr>
                <w:rFonts w:ascii="Times New Roman" w:hAnsi="Times New Roman" w:cs="Times New Roman"/>
                <w:sz w:val="20"/>
                <w:szCs w:val="20"/>
                <w:lang w:val="en-GB"/>
              </w:rPr>
              <w:t>not higher than TTF</w:t>
            </w:r>
          </w:p>
        </w:tc>
      </w:tr>
      <w:tr w:rsidR="00614438" w:rsidRPr="00AA7A53" w14:paraId="33F83E67" w14:textId="77777777" w:rsidTr="00614438">
        <w:trPr>
          <w:gridAfter w:val="1"/>
          <w:wAfter w:w="1212" w:type="dxa"/>
          <w:trHeight w:val="1255"/>
        </w:trPr>
        <w:tc>
          <w:tcPr>
            <w:tcW w:w="3225" w:type="dxa"/>
            <w:tcBorders>
              <w:top w:val="nil"/>
              <w:left w:val="single" w:sz="8" w:space="0" w:color="auto"/>
              <w:bottom w:val="single" w:sz="8" w:space="0" w:color="auto"/>
              <w:right w:val="single" w:sz="8" w:space="0" w:color="auto"/>
            </w:tcBorders>
            <w:shd w:val="clear" w:color="auto" w:fill="244062"/>
            <w:vAlign w:val="center"/>
            <w:hideMark/>
          </w:tcPr>
          <w:p w14:paraId="342F492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63" w:type="dxa"/>
            <w:gridSpan w:val="3"/>
            <w:tcBorders>
              <w:top w:val="single" w:sz="8" w:space="0" w:color="auto"/>
              <w:left w:val="nil"/>
              <w:bottom w:val="single" w:sz="8" w:space="0" w:color="auto"/>
              <w:right w:val="single" w:sz="8" w:space="0" w:color="000000"/>
            </w:tcBorders>
            <w:vAlign w:val="center"/>
            <w:hideMark/>
          </w:tcPr>
          <w:p w14:paraId="15172522" w14:textId="097B2939"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A virtual trading point exists in theory but is not operational. AERS reports that the greatest share of natural gas, i.e. 1,691 million </w:t>
            </w:r>
            <w:r w:rsidR="004904A1" w:rsidRPr="00AA7A53">
              <w:rPr>
                <w:rFonts w:ascii="Times New Roman" w:hAnsi="Times New Roman" w:cs="Times New Roman"/>
                <w:sz w:val="20"/>
                <w:szCs w:val="20"/>
              </w:rPr>
              <w:t>m</w:t>
            </w:r>
            <w:r w:rsidR="004904A1" w:rsidRPr="00AA7A53">
              <w:rPr>
                <w:rFonts w:ascii="Times New Roman" w:hAnsi="Times New Roman" w:cs="Times New Roman"/>
                <w:sz w:val="20"/>
                <w:szCs w:val="20"/>
                <w:vertAlign w:val="superscript"/>
              </w:rPr>
              <w:t>3</w:t>
            </w:r>
            <w:r w:rsidR="004904A1" w:rsidRPr="00AA7A53">
              <w:rPr>
                <w:rFonts w:ascii="Times New Roman" w:hAnsi="Times New Roman" w:cs="Times New Roman"/>
                <w:sz w:val="20"/>
                <w:szCs w:val="20"/>
              </w:rPr>
              <w:t xml:space="preserve"> </w:t>
            </w:r>
            <w:r w:rsidRPr="00AA7A53">
              <w:rPr>
                <w:rFonts w:ascii="Times New Roman" w:hAnsi="Times New Roman" w:cs="Times New Roman"/>
                <w:sz w:val="20"/>
                <w:szCs w:val="20"/>
                <w:lang w:val="en-GB"/>
              </w:rPr>
              <w:t>(81%) of total quantities was sold to customers by PE Srbijagas in 2019. The second greatest share was sold by DC Novi Sad Gas and Yugorosgaz JSC. Liquidity in the market shall need to be created to foster competition, and in order to encourage competition, access to the wholesale market in Serbia should be enabled for a greater number of traders. Under this task, measures to enhance competition shall be explored and implemented. Implications from the implementation of PM_IEM25 on balancing and its impact on competition development shall be considered.</w:t>
            </w:r>
          </w:p>
        </w:tc>
      </w:tr>
      <w:tr w:rsidR="00614438" w:rsidRPr="00AA7A53" w14:paraId="218AA000" w14:textId="77777777" w:rsidTr="00614438">
        <w:trPr>
          <w:gridAfter w:val="1"/>
          <w:wAfter w:w="1212" w:type="dxa"/>
          <w:trHeight w:val="315"/>
        </w:trPr>
        <w:tc>
          <w:tcPr>
            <w:tcW w:w="3225" w:type="dxa"/>
            <w:tcBorders>
              <w:top w:val="nil"/>
              <w:left w:val="single" w:sz="8" w:space="0" w:color="auto"/>
              <w:bottom w:val="single" w:sz="8" w:space="0" w:color="auto"/>
              <w:right w:val="single" w:sz="8" w:space="0" w:color="auto"/>
            </w:tcBorders>
            <w:shd w:val="clear" w:color="auto" w:fill="244062"/>
            <w:vAlign w:val="center"/>
            <w:hideMark/>
          </w:tcPr>
          <w:p w14:paraId="557EBFF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63" w:type="dxa"/>
            <w:gridSpan w:val="3"/>
            <w:tcBorders>
              <w:top w:val="single" w:sz="8" w:space="0" w:color="auto"/>
              <w:left w:val="nil"/>
              <w:bottom w:val="single" w:sz="8" w:space="0" w:color="auto"/>
              <w:right w:val="single" w:sz="8" w:space="0" w:color="000000"/>
            </w:tcBorders>
            <w:vAlign w:val="center"/>
            <w:hideMark/>
          </w:tcPr>
          <w:p w14:paraId="7A978307" w14:textId="0F425063"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4904A1"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019B6616" w14:textId="77777777" w:rsidTr="00614438">
        <w:trPr>
          <w:gridAfter w:val="1"/>
          <w:wAfter w:w="1212" w:type="dxa"/>
          <w:trHeight w:val="315"/>
        </w:trPr>
        <w:tc>
          <w:tcPr>
            <w:tcW w:w="3225" w:type="dxa"/>
            <w:tcBorders>
              <w:top w:val="nil"/>
              <w:left w:val="single" w:sz="8" w:space="0" w:color="auto"/>
              <w:bottom w:val="single" w:sz="8" w:space="0" w:color="auto"/>
              <w:right w:val="single" w:sz="8" w:space="0" w:color="auto"/>
            </w:tcBorders>
            <w:shd w:val="clear" w:color="auto" w:fill="244062"/>
            <w:vAlign w:val="center"/>
            <w:hideMark/>
          </w:tcPr>
          <w:p w14:paraId="5E28EE9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63" w:type="dxa"/>
            <w:gridSpan w:val="3"/>
            <w:tcBorders>
              <w:top w:val="single" w:sz="8" w:space="0" w:color="auto"/>
              <w:left w:val="nil"/>
              <w:bottom w:val="single" w:sz="8" w:space="0" w:color="auto"/>
              <w:right w:val="single" w:sz="8" w:space="0" w:color="000000"/>
            </w:tcBorders>
            <w:vAlign w:val="center"/>
            <w:hideMark/>
          </w:tcPr>
          <w:p w14:paraId="6356522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1BFBFC8C" w14:textId="77777777" w:rsidTr="00614438">
        <w:trPr>
          <w:gridAfter w:val="1"/>
          <w:wAfter w:w="1212" w:type="dxa"/>
          <w:trHeight w:val="315"/>
        </w:trPr>
        <w:tc>
          <w:tcPr>
            <w:tcW w:w="3225" w:type="dxa"/>
            <w:tcBorders>
              <w:top w:val="nil"/>
              <w:left w:val="single" w:sz="8" w:space="0" w:color="auto"/>
              <w:bottom w:val="single" w:sz="8" w:space="0" w:color="auto"/>
              <w:right w:val="single" w:sz="8" w:space="0" w:color="auto"/>
            </w:tcBorders>
            <w:shd w:val="clear" w:color="auto" w:fill="244062"/>
            <w:vAlign w:val="center"/>
            <w:hideMark/>
          </w:tcPr>
          <w:p w14:paraId="41A8166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63" w:type="dxa"/>
            <w:gridSpan w:val="3"/>
            <w:tcBorders>
              <w:top w:val="single" w:sz="8" w:space="0" w:color="auto"/>
              <w:left w:val="nil"/>
              <w:bottom w:val="single" w:sz="8" w:space="0" w:color="auto"/>
              <w:right w:val="single" w:sz="8" w:space="0" w:color="000000"/>
            </w:tcBorders>
            <w:vAlign w:val="center"/>
            <w:hideMark/>
          </w:tcPr>
          <w:p w14:paraId="686F96E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Gas</w:t>
            </w:r>
          </w:p>
        </w:tc>
      </w:tr>
      <w:tr w:rsidR="00614438" w:rsidRPr="00AA7A53" w14:paraId="79F2FA65" w14:textId="77777777" w:rsidTr="00614438">
        <w:trPr>
          <w:gridAfter w:val="1"/>
          <w:wAfter w:w="1212" w:type="dxa"/>
          <w:trHeight w:val="315"/>
        </w:trPr>
        <w:tc>
          <w:tcPr>
            <w:tcW w:w="3225" w:type="dxa"/>
            <w:tcBorders>
              <w:top w:val="nil"/>
              <w:left w:val="single" w:sz="8" w:space="0" w:color="auto"/>
              <w:bottom w:val="single" w:sz="8" w:space="0" w:color="auto"/>
              <w:right w:val="single" w:sz="8" w:space="0" w:color="auto"/>
            </w:tcBorders>
            <w:shd w:val="clear" w:color="auto" w:fill="244062"/>
            <w:vAlign w:val="center"/>
            <w:hideMark/>
          </w:tcPr>
          <w:p w14:paraId="2D14534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63" w:type="dxa"/>
            <w:gridSpan w:val="3"/>
            <w:tcBorders>
              <w:top w:val="single" w:sz="8" w:space="0" w:color="auto"/>
              <w:left w:val="nil"/>
              <w:bottom w:val="single" w:sz="8" w:space="0" w:color="auto"/>
              <w:right w:val="single" w:sz="8" w:space="0" w:color="000000"/>
            </w:tcBorders>
            <w:vAlign w:val="center"/>
            <w:hideMark/>
          </w:tcPr>
          <w:p w14:paraId="7FCBFBD8" w14:textId="77777777" w:rsidR="00614438" w:rsidRPr="00AA7A53" w:rsidRDefault="00614438" w:rsidP="00AA7A53">
            <w:pPr>
              <w:numPr>
                <w:ilvl w:val="0"/>
                <w:numId w:val="167"/>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entities</w:t>
            </w:r>
          </w:p>
          <w:p w14:paraId="4F8995FD" w14:textId="77777777" w:rsidR="00614438" w:rsidRPr="00AA7A53" w:rsidRDefault="00614438" w:rsidP="00AA7A53">
            <w:pPr>
              <w:numPr>
                <w:ilvl w:val="0"/>
                <w:numId w:val="167"/>
              </w:numPr>
              <w:spacing w:after="0"/>
              <w:jc w:val="both"/>
              <w:rPr>
                <w:rFonts w:ascii="Times New Roman" w:hAnsi="Times New Roman" w:cs="Times New Roman"/>
                <w:sz w:val="20"/>
                <w:szCs w:val="20"/>
              </w:rPr>
            </w:pPr>
            <w:r w:rsidRPr="00AA7A53">
              <w:rPr>
                <w:rFonts w:ascii="Times New Roman" w:hAnsi="Times New Roman" w:cs="Times New Roman"/>
                <w:sz w:val="20"/>
                <w:szCs w:val="20"/>
              </w:rPr>
              <w:t>AERS</w:t>
            </w:r>
          </w:p>
          <w:p w14:paraId="6C4BE2F3" w14:textId="77777777" w:rsidR="00614438" w:rsidRPr="00AA7A53" w:rsidRDefault="00614438" w:rsidP="00AA7A53">
            <w:pPr>
              <w:numPr>
                <w:ilvl w:val="0"/>
                <w:numId w:val="16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364E6E87" w14:textId="77777777" w:rsidR="00614438" w:rsidRPr="00AA7A53" w:rsidRDefault="00614438" w:rsidP="00AA7A53">
            <w:pPr>
              <w:numPr>
                <w:ilvl w:val="0"/>
                <w:numId w:val="167"/>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w:t>
            </w:r>
          </w:p>
        </w:tc>
      </w:tr>
      <w:tr w:rsidR="00614438" w:rsidRPr="00AA7A53" w14:paraId="5323D539" w14:textId="77777777" w:rsidTr="00614438">
        <w:trPr>
          <w:gridAfter w:val="1"/>
          <w:wAfter w:w="1212" w:type="dxa"/>
          <w:trHeight w:val="315"/>
        </w:trPr>
        <w:tc>
          <w:tcPr>
            <w:tcW w:w="3225" w:type="dxa"/>
            <w:tcBorders>
              <w:top w:val="nil"/>
              <w:left w:val="single" w:sz="8" w:space="0" w:color="auto"/>
              <w:bottom w:val="single" w:sz="8" w:space="0" w:color="auto"/>
              <w:right w:val="nil"/>
            </w:tcBorders>
            <w:shd w:val="clear" w:color="auto" w:fill="244062"/>
            <w:vAlign w:val="center"/>
            <w:hideMark/>
          </w:tcPr>
          <w:p w14:paraId="797CEE3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63" w:type="dxa"/>
            <w:gridSpan w:val="3"/>
            <w:tcBorders>
              <w:top w:val="single" w:sz="8" w:space="0" w:color="auto"/>
              <w:left w:val="nil"/>
              <w:bottom w:val="single" w:sz="8" w:space="0" w:color="auto"/>
              <w:right w:val="single" w:sz="8" w:space="0" w:color="000000"/>
            </w:tcBorders>
            <w:vAlign w:val="center"/>
            <w:hideMark/>
          </w:tcPr>
          <w:p w14:paraId="48CBF286" w14:textId="77777777" w:rsidR="00614438" w:rsidRPr="00AA7A53" w:rsidRDefault="00614438" w:rsidP="00AA7A53">
            <w:pPr>
              <w:numPr>
                <w:ilvl w:val="0"/>
                <w:numId w:val="167"/>
              </w:numPr>
              <w:spacing w:after="0"/>
              <w:jc w:val="both"/>
              <w:rPr>
                <w:rFonts w:ascii="Times New Roman" w:hAnsi="Times New Roman" w:cs="Times New Roman"/>
                <w:sz w:val="20"/>
                <w:szCs w:val="20"/>
              </w:rPr>
            </w:pPr>
            <w:r w:rsidRPr="00AA7A53">
              <w:rPr>
                <w:rFonts w:ascii="Times New Roman" w:hAnsi="Times New Roman" w:cs="Times New Roman"/>
                <w:sz w:val="20"/>
                <w:szCs w:val="20"/>
              </w:rPr>
              <w:t>AERS</w:t>
            </w:r>
          </w:p>
        </w:tc>
      </w:tr>
      <w:tr w:rsidR="00614438" w:rsidRPr="00AA7A53" w14:paraId="17899547" w14:textId="77777777" w:rsidTr="00614438">
        <w:trPr>
          <w:gridAfter w:val="1"/>
          <w:wAfter w:w="1212" w:type="dxa"/>
          <w:trHeight w:val="315"/>
        </w:trPr>
        <w:tc>
          <w:tcPr>
            <w:tcW w:w="3225" w:type="dxa"/>
            <w:tcBorders>
              <w:top w:val="nil"/>
              <w:left w:val="single" w:sz="8" w:space="0" w:color="auto"/>
              <w:bottom w:val="single" w:sz="8" w:space="0" w:color="auto"/>
              <w:right w:val="nil"/>
            </w:tcBorders>
            <w:shd w:val="clear" w:color="auto" w:fill="244062"/>
            <w:vAlign w:val="center"/>
            <w:hideMark/>
          </w:tcPr>
          <w:p w14:paraId="20B7BDA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63" w:type="dxa"/>
            <w:gridSpan w:val="3"/>
            <w:tcBorders>
              <w:top w:val="single" w:sz="8" w:space="0" w:color="auto"/>
              <w:left w:val="nil"/>
              <w:bottom w:val="single" w:sz="8" w:space="0" w:color="auto"/>
              <w:right w:val="single" w:sz="8" w:space="0" w:color="000000"/>
            </w:tcBorders>
            <w:vAlign w:val="center"/>
            <w:hideMark/>
          </w:tcPr>
          <w:p w14:paraId="43F48B1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Number and diversity of supply sources, concentration in supply (HHI), residual supply index</w:t>
            </w:r>
          </w:p>
        </w:tc>
      </w:tr>
      <w:tr w:rsidR="00614438" w:rsidRPr="00AA7A53" w14:paraId="3BC73670" w14:textId="77777777" w:rsidTr="00614438">
        <w:trPr>
          <w:gridAfter w:val="1"/>
          <w:wAfter w:w="1212" w:type="dxa"/>
          <w:trHeight w:val="313"/>
        </w:trPr>
        <w:tc>
          <w:tcPr>
            <w:tcW w:w="3225" w:type="dxa"/>
            <w:tcBorders>
              <w:top w:val="nil"/>
              <w:left w:val="single" w:sz="8" w:space="0" w:color="auto"/>
              <w:bottom w:val="single" w:sz="8" w:space="0" w:color="auto"/>
              <w:right w:val="single" w:sz="8" w:space="0" w:color="auto"/>
            </w:tcBorders>
            <w:shd w:val="clear" w:color="auto" w:fill="244062"/>
            <w:vAlign w:val="center"/>
            <w:hideMark/>
          </w:tcPr>
          <w:p w14:paraId="1430920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63" w:type="dxa"/>
            <w:gridSpan w:val="3"/>
            <w:tcBorders>
              <w:top w:val="single" w:sz="8" w:space="0" w:color="auto"/>
              <w:left w:val="nil"/>
              <w:bottom w:val="single" w:sz="8" w:space="0" w:color="auto"/>
              <w:right w:val="single" w:sz="8" w:space="0" w:color="000000"/>
            </w:tcBorders>
            <w:vAlign w:val="center"/>
            <w:hideMark/>
          </w:tcPr>
          <w:p w14:paraId="265F944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3DDE0B3" w14:textId="77777777" w:rsidTr="00614438">
        <w:trPr>
          <w:gridAfter w:val="1"/>
          <w:wAfter w:w="1212" w:type="dxa"/>
          <w:trHeight w:val="458"/>
        </w:trPr>
        <w:tc>
          <w:tcPr>
            <w:tcW w:w="3225" w:type="dxa"/>
            <w:vMerge w:val="restart"/>
            <w:tcBorders>
              <w:top w:val="nil"/>
              <w:left w:val="single" w:sz="8" w:space="0" w:color="auto"/>
              <w:bottom w:val="single" w:sz="8" w:space="0" w:color="000000"/>
              <w:right w:val="single" w:sz="8" w:space="0" w:color="auto"/>
            </w:tcBorders>
            <w:shd w:val="clear" w:color="auto" w:fill="244062"/>
            <w:vAlign w:val="center"/>
            <w:hideMark/>
          </w:tcPr>
          <w:p w14:paraId="648042B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63"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278BA8F7" w14:textId="77777777" w:rsidR="00614438" w:rsidRPr="00AA7A53" w:rsidRDefault="00614438" w:rsidP="00AA7A53">
            <w:pPr>
              <w:numPr>
                <w:ilvl w:val="0"/>
                <w:numId w:val="167"/>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2009/73/EC</w:t>
            </w:r>
          </w:p>
        </w:tc>
      </w:tr>
      <w:tr w:rsidR="00614438" w:rsidRPr="00AA7A53" w14:paraId="3C43C9E9"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62020C1E"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397B39E"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6DD26A4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B0F9CCB"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0FA5B867"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3A00934"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0D8DFC2A"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0BC0F61D" w14:textId="77777777" w:rsidTr="00614438">
        <w:trPr>
          <w:trHeight w:val="780"/>
        </w:trPr>
        <w:tc>
          <w:tcPr>
            <w:tcW w:w="3225" w:type="dxa"/>
            <w:tcBorders>
              <w:top w:val="nil"/>
              <w:left w:val="single" w:sz="8" w:space="0" w:color="auto"/>
              <w:bottom w:val="single" w:sz="8" w:space="0" w:color="auto"/>
              <w:right w:val="single" w:sz="8" w:space="0" w:color="auto"/>
            </w:tcBorders>
            <w:shd w:val="clear" w:color="auto" w:fill="244062"/>
            <w:vAlign w:val="center"/>
            <w:hideMark/>
          </w:tcPr>
          <w:p w14:paraId="40FEE0C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63" w:type="dxa"/>
            <w:gridSpan w:val="3"/>
            <w:tcBorders>
              <w:top w:val="single" w:sz="8" w:space="0" w:color="auto"/>
              <w:left w:val="nil"/>
              <w:bottom w:val="single" w:sz="8" w:space="0" w:color="auto"/>
              <w:right w:val="single" w:sz="8" w:space="0" w:color="000000"/>
            </w:tcBorders>
            <w:vAlign w:val="center"/>
            <w:hideMark/>
          </w:tcPr>
          <w:p w14:paraId="0D02F623" w14:textId="77777777" w:rsidR="00614438" w:rsidRPr="00AA7A53" w:rsidRDefault="00614438" w:rsidP="00AA7A53">
            <w:pPr>
              <w:numPr>
                <w:ilvl w:val="0"/>
                <w:numId w:val="167"/>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Law</w:t>
            </w:r>
          </w:p>
        </w:tc>
        <w:tc>
          <w:tcPr>
            <w:tcW w:w="1212" w:type="dxa"/>
            <w:vAlign w:val="center"/>
            <w:hideMark/>
          </w:tcPr>
          <w:p w14:paraId="45A9522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EAFF9EF" w14:textId="77777777" w:rsidTr="00614438">
        <w:trPr>
          <w:trHeight w:val="315"/>
        </w:trPr>
        <w:tc>
          <w:tcPr>
            <w:tcW w:w="3225" w:type="dxa"/>
            <w:tcBorders>
              <w:top w:val="nil"/>
              <w:left w:val="single" w:sz="8" w:space="0" w:color="auto"/>
              <w:bottom w:val="single" w:sz="8" w:space="0" w:color="auto"/>
              <w:right w:val="single" w:sz="8" w:space="0" w:color="auto"/>
            </w:tcBorders>
            <w:shd w:val="clear" w:color="auto" w:fill="244062"/>
            <w:vAlign w:val="center"/>
            <w:hideMark/>
          </w:tcPr>
          <w:p w14:paraId="04AE718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63" w:type="dxa"/>
            <w:gridSpan w:val="3"/>
            <w:tcBorders>
              <w:top w:val="single" w:sz="8" w:space="0" w:color="auto"/>
              <w:left w:val="nil"/>
              <w:bottom w:val="single" w:sz="8" w:space="0" w:color="auto"/>
              <w:right w:val="single" w:sz="8" w:space="0" w:color="000000"/>
            </w:tcBorders>
            <w:vAlign w:val="center"/>
            <w:hideMark/>
          </w:tcPr>
          <w:p w14:paraId="334539D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0.2 M€</w:t>
            </w:r>
          </w:p>
        </w:tc>
        <w:tc>
          <w:tcPr>
            <w:tcW w:w="1212" w:type="dxa"/>
            <w:vAlign w:val="center"/>
            <w:hideMark/>
          </w:tcPr>
          <w:p w14:paraId="01C85D4D"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C065566" w14:textId="77777777" w:rsidTr="00614438">
        <w:trPr>
          <w:trHeight w:val="315"/>
        </w:trPr>
        <w:tc>
          <w:tcPr>
            <w:tcW w:w="3225" w:type="dxa"/>
            <w:tcBorders>
              <w:top w:val="nil"/>
              <w:left w:val="single" w:sz="8" w:space="0" w:color="auto"/>
              <w:bottom w:val="single" w:sz="8" w:space="0" w:color="auto"/>
              <w:right w:val="single" w:sz="8" w:space="0" w:color="auto"/>
            </w:tcBorders>
            <w:shd w:val="clear" w:color="auto" w:fill="244062"/>
            <w:vAlign w:val="center"/>
            <w:hideMark/>
          </w:tcPr>
          <w:p w14:paraId="4014310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63" w:type="dxa"/>
            <w:gridSpan w:val="3"/>
            <w:tcBorders>
              <w:top w:val="single" w:sz="8" w:space="0" w:color="auto"/>
              <w:left w:val="nil"/>
              <w:bottom w:val="single" w:sz="8" w:space="0" w:color="auto"/>
              <w:right w:val="single" w:sz="8" w:space="0" w:color="000000"/>
            </w:tcBorders>
            <w:vAlign w:val="center"/>
            <w:hideMark/>
          </w:tcPr>
          <w:p w14:paraId="61AA876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1212" w:type="dxa"/>
            <w:vAlign w:val="center"/>
            <w:hideMark/>
          </w:tcPr>
          <w:p w14:paraId="661A5A47" w14:textId="77777777" w:rsidR="00614438" w:rsidRPr="00AA7A53" w:rsidRDefault="00614438" w:rsidP="00AA7A53">
            <w:pPr>
              <w:spacing w:after="0"/>
              <w:jc w:val="both"/>
              <w:rPr>
                <w:rFonts w:ascii="Times New Roman" w:hAnsi="Times New Roman" w:cs="Times New Roman"/>
                <w:sz w:val="20"/>
                <w:szCs w:val="20"/>
                <w:lang w:val="en-GB"/>
              </w:rPr>
            </w:pPr>
          </w:p>
        </w:tc>
      </w:tr>
    </w:tbl>
    <w:p w14:paraId="3A06EA58"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23"/>
        <w:gridCol w:w="1309"/>
        <w:gridCol w:w="922"/>
        <w:gridCol w:w="4034"/>
        <w:gridCol w:w="1212"/>
      </w:tblGrid>
      <w:tr w:rsidR="00614438" w:rsidRPr="00AA7A53" w14:paraId="17259CEB" w14:textId="77777777" w:rsidTr="00614438">
        <w:trPr>
          <w:gridAfter w:val="1"/>
          <w:wAfter w:w="1212" w:type="dxa"/>
          <w:trHeight w:val="780"/>
        </w:trPr>
        <w:tc>
          <w:tcPr>
            <w:tcW w:w="3223"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65905F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309" w:type="dxa"/>
            <w:tcBorders>
              <w:top w:val="single" w:sz="8" w:space="0" w:color="auto"/>
              <w:left w:val="nil"/>
              <w:bottom w:val="single" w:sz="8" w:space="0" w:color="auto"/>
              <w:right w:val="single" w:sz="8" w:space="0" w:color="auto"/>
            </w:tcBorders>
            <w:shd w:val="clear" w:color="auto" w:fill="E7E6E6" w:themeFill="background2"/>
            <w:vAlign w:val="center"/>
            <w:hideMark/>
          </w:tcPr>
          <w:p w14:paraId="10469FF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PM_IEM27</w:t>
            </w:r>
          </w:p>
        </w:tc>
        <w:tc>
          <w:tcPr>
            <w:tcW w:w="922" w:type="dxa"/>
            <w:tcBorders>
              <w:top w:val="single" w:sz="8" w:space="0" w:color="auto"/>
              <w:left w:val="nil"/>
              <w:bottom w:val="single" w:sz="8" w:space="0" w:color="auto"/>
              <w:right w:val="single" w:sz="8" w:space="0" w:color="auto"/>
            </w:tcBorders>
            <w:shd w:val="clear" w:color="auto" w:fill="244062"/>
            <w:vAlign w:val="center"/>
            <w:hideMark/>
          </w:tcPr>
          <w:p w14:paraId="007361E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034" w:type="dxa"/>
            <w:tcBorders>
              <w:top w:val="single" w:sz="8" w:space="0" w:color="auto"/>
              <w:left w:val="nil"/>
              <w:bottom w:val="single" w:sz="8" w:space="0" w:color="auto"/>
              <w:right w:val="single" w:sz="8" w:space="0" w:color="auto"/>
            </w:tcBorders>
            <w:shd w:val="clear" w:color="auto" w:fill="E7E6E6" w:themeFill="background2"/>
            <w:vAlign w:val="center"/>
            <w:hideMark/>
          </w:tcPr>
          <w:p w14:paraId="6580BED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Further development of Retail market opening</w:t>
            </w:r>
          </w:p>
        </w:tc>
      </w:tr>
      <w:tr w:rsidR="00614438" w:rsidRPr="00AA7A53" w14:paraId="61B19FA7" w14:textId="77777777" w:rsidTr="00614438">
        <w:trPr>
          <w:gridAfter w:val="1"/>
          <w:wAfter w:w="1212" w:type="dxa"/>
          <w:trHeight w:val="496"/>
        </w:trPr>
        <w:tc>
          <w:tcPr>
            <w:tcW w:w="3223" w:type="dxa"/>
            <w:tcBorders>
              <w:top w:val="nil"/>
              <w:left w:val="single" w:sz="8" w:space="0" w:color="auto"/>
              <w:bottom w:val="single" w:sz="8" w:space="0" w:color="auto"/>
              <w:right w:val="nil"/>
            </w:tcBorders>
            <w:shd w:val="clear" w:color="auto" w:fill="244062"/>
            <w:vAlign w:val="center"/>
            <w:hideMark/>
          </w:tcPr>
          <w:p w14:paraId="1901906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65" w:type="dxa"/>
            <w:gridSpan w:val="3"/>
            <w:tcBorders>
              <w:top w:val="single" w:sz="8" w:space="0" w:color="auto"/>
              <w:left w:val="nil"/>
              <w:bottom w:val="single" w:sz="8" w:space="0" w:color="auto"/>
              <w:right w:val="single" w:sz="8" w:space="0" w:color="000000"/>
            </w:tcBorders>
            <w:vAlign w:val="center"/>
            <w:hideMark/>
          </w:tcPr>
          <w:p w14:paraId="6C0D9FA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Consumer protection and improvement of competition</w:t>
            </w:r>
          </w:p>
        </w:tc>
      </w:tr>
      <w:tr w:rsidR="00614438" w:rsidRPr="00AA7A53" w14:paraId="6B05E7FC" w14:textId="77777777" w:rsidTr="00614438">
        <w:trPr>
          <w:gridAfter w:val="1"/>
          <w:wAfter w:w="1212" w:type="dxa"/>
          <w:trHeight w:val="315"/>
        </w:trPr>
        <w:tc>
          <w:tcPr>
            <w:tcW w:w="3223" w:type="dxa"/>
            <w:tcBorders>
              <w:top w:val="nil"/>
              <w:left w:val="single" w:sz="8" w:space="0" w:color="auto"/>
              <w:bottom w:val="single" w:sz="8" w:space="0" w:color="auto"/>
              <w:right w:val="single" w:sz="8" w:space="0" w:color="auto"/>
            </w:tcBorders>
            <w:shd w:val="clear" w:color="auto" w:fill="244062"/>
            <w:vAlign w:val="center"/>
            <w:hideMark/>
          </w:tcPr>
          <w:p w14:paraId="7646C47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65" w:type="dxa"/>
            <w:gridSpan w:val="3"/>
            <w:tcBorders>
              <w:top w:val="single" w:sz="8" w:space="0" w:color="auto"/>
              <w:left w:val="nil"/>
              <w:bottom w:val="single" w:sz="8" w:space="0" w:color="auto"/>
              <w:right w:val="single" w:sz="8" w:space="0" w:color="000000"/>
            </w:tcBorders>
            <w:vAlign w:val="center"/>
            <w:hideMark/>
          </w:tcPr>
          <w:p w14:paraId="13EC4B00" w14:textId="7B40FFA1"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Consumer switching rates </w:t>
            </w:r>
            <w:r w:rsidR="004904A1" w:rsidRPr="00AA7A53">
              <w:rPr>
                <w:rFonts w:ascii="Times New Roman" w:hAnsi="Times New Roman" w:cs="Times New Roman"/>
                <w:sz w:val="20"/>
                <w:szCs w:val="20"/>
                <w:lang w:val="en-GB"/>
              </w:rPr>
              <w:t xml:space="preserve">(to other suppliers) </w:t>
            </w:r>
            <w:r w:rsidRPr="00AA7A53">
              <w:rPr>
                <w:rFonts w:ascii="Times New Roman" w:hAnsi="Times New Roman" w:cs="Times New Roman"/>
                <w:sz w:val="20"/>
                <w:szCs w:val="20"/>
                <w:lang w:val="en-GB"/>
              </w:rPr>
              <w:t>are improved</w:t>
            </w:r>
          </w:p>
        </w:tc>
      </w:tr>
      <w:tr w:rsidR="00614438" w:rsidRPr="00AA7A53" w14:paraId="57922B56" w14:textId="77777777" w:rsidTr="00614438">
        <w:trPr>
          <w:gridAfter w:val="1"/>
          <w:wAfter w:w="1212" w:type="dxa"/>
          <w:trHeight w:val="583"/>
        </w:trPr>
        <w:tc>
          <w:tcPr>
            <w:tcW w:w="3223" w:type="dxa"/>
            <w:tcBorders>
              <w:top w:val="nil"/>
              <w:left w:val="single" w:sz="8" w:space="0" w:color="auto"/>
              <w:bottom w:val="single" w:sz="8" w:space="0" w:color="auto"/>
              <w:right w:val="single" w:sz="8" w:space="0" w:color="auto"/>
            </w:tcBorders>
            <w:shd w:val="clear" w:color="auto" w:fill="244062"/>
            <w:vAlign w:val="center"/>
            <w:hideMark/>
          </w:tcPr>
          <w:p w14:paraId="5CA1961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65" w:type="dxa"/>
            <w:gridSpan w:val="3"/>
            <w:tcBorders>
              <w:top w:val="single" w:sz="8" w:space="0" w:color="auto"/>
              <w:left w:val="nil"/>
              <w:bottom w:val="single" w:sz="8" w:space="0" w:color="auto"/>
              <w:right w:val="single" w:sz="8" w:space="0" w:color="000000"/>
            </w:tcBorders>
            <w:vAlign w:val="center"/>
            <w:hideMark/>
          </w:tcPr>
          <w:p w14:paraId="3E08181F" w14:textId="35EA51FB"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The vast majority of the market is supplied at non-regulated prices. All customers are eligible, yet the retail market is dominated by</w:t>
            </w:r>
            <w:r w:rsidR="004904A1" w:rsidRPr="00AA7A53">
              <w:rPr>
                <w:rFonts w:ascii="Times New Roman" w:hAnsi="Times New Roman" w:cs="Times New Roman"/>
                <w:sz w:val="20"/>
                <w:szCs w:val="20"/>
                <w:lang w:val="en-GB"/>
              </w:rPr>
              <w:t xml:space="preserve"> PE</w:t>
            </w:r>
            <w:r w:rsidRPr="00AA7A53">
              <w:rPr>
                <w:rFonts w:ascii="Times New Roman" w:hAnsi="Times New Roman" w:cs="Times New Roman"/>
                <w:sz w:val="20"/>
                <w:szCs w:val="20"/>
                <w:lang w:val="en-GB"/>
              </w:rPr>
              <w:t xml:space="preserve"> Srbijagas as </w:t>
            </w:r>
            <w:r w:rsidRPr="00AA7A53">
              <w:rPr>
                <w:rFonts w:ascii="Times New Roman" w:hAnsi="Times New Roman" w:cs="Times New Roman"/>
                <w:sz w:val="20"/>
                <w:szCs w:val="20"/>
                <w:lang w:val="en-GB"/>
              </w:rPr>
              <w:lastRenderedPageBreak/>
              <w:t xml:space="preserve">noted under item </w:t>
            </w:r>
            <w:r w:rsidR="004904A1" w:rsidRPr="00AA7A53">
              <w:rPr>
                <w:rFonts w:ascii="Times New Roman" w:hAnsi="Times New Roman" w:cs="Times New Roman"/>
                <w:sz w:val="20"/>
                <w:szCs w:val="20"/>
                <w:lang w:val="en-GB"/>
              </w:rPr>
              <w:t>P</w:t>
            </w:r>
            <w:r w:rsidRPr="00AA7A53">
              <w:rPr>
                <w:rFonts w:ascii="Times New Roman" w:hAnsi="Times New Roman" w:cs="Times New Roman"/>
                <w:sz w:val="20"/>
                <w:szCs w:val="20"/>
                <w:lang w:val="en-GB"/>
              </w:rPr>
              <w:t>M</w:t>
            </w:r>
            <w:r w:rsidR="004904A1" w:rsidRPr="00AA7A53">
              <w:rPr>
                <w:rFonts w:ascii="Times New Roman" w:hAnsi="Times New Roman" w:cs="Times New Roman"/>
                <w:sz w:val="20"/>
                <w:szCs w:val="20"/>
                <w:lang w:val="en-GB"/>
              </w:rPr>
              <w:t>_IEM</w:t>
            </w:r>
            <w:r w:rsidRPr="00AA7A53">
              <w:rPr>
                <w:rFonts w:ascii="Times New Roman" w:hAnsi="Times New Roman" w:cs="Times New Roman"/>
                <w:sz w:val="20"/>
                <w:szCs w:val="20"/>
                <w:lang w:val="en-GB"/>
              </w:rPr>
              <w:t>27. Customer protection measures are implemented.</w:t>
            </w:r>
          </w:p>
        </w:tc>
      </w:tr>
      <w:tr w:rsidR="00614438" w:rsidRPr="00AA7A53" w14:paraId="63B56F46" w14:textId="77777777" w:rsidTr="00614438">
        <w:trPr>
          <w:gridAfter w:val="1"/>
          <w:wAfter w:w="1212" w:type="dxa"/>
          <w:trHeight w:val="315"/>
        </w:trPr>
        <w:tc>
          <w:tcPr>
            <w:tcW w:w="3223" w:type="dxa"/>
            <w:tcBorders>
              <w:top w:val="nil"/>
              <w:left w:val="single" w:sz="8" w:space="0" w:color="auto"/>
              <w:bottom w:val="single" w:sz="8" w:space="0" w:color="auto"/>
              <w:right w:val="single" w:sz="8" w:space="0" w:color="auto"/>
            </w:tcBorders>
            <w:shd w:val="clear" w:color="auto" w:fill="244062"/>
            <w:vAlign w:val="center"/>
            <w:hideMark/>
          </w:tcPr>
          <w:p w14:paraId="1D95666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Implementation Timeframe</w:t>
            </w:r>
          </w:p>
        </w:tc>
        <w:tc>
          <w:tcPr>
            <w:tcW w:w="6265" w:type="dxa"/>
            <w:gridSpan w:val="3"/>
            <w:tcBorders>
              <w:top w:val="single" w:sz="8" w:space="0" w:color="auto"/>
              <w:left w:val="nil"/>
              <w:bottom w:val="single" w:sz="8" w:space="0" w:color="auto"/>
              <w:right w:val="single" w:sz="8" w:space="0" w:color="000000"/>
            </w:tcBorders>
            <w:vAlign w:val="center"/>
            <w:hideMark/>
          </w:tcPr>
          <w:p w14:paraId="07871175" w14:textId="3B6C1082"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4904A1"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62A7B188" w14:textId="77777777" w:rsidTr="00614438">
        <w:trPr>
          <w:gridAfter w:val="1"/>
          <w:wAfter w:w="1212" w:type="dxa"/>
          <w:trHeight w:val="315"/>
        </w:trPr>
        <w:tc>
          <w:tcPr>
            <w:tcW w:w="3223" w:type="dxa"/>
            <w:tcBorders>
              <w:top w:val="nil"/>
              <w:left w:val="single" w:sz="8" w:space="0" w:color="auto"/>
              <w:bottom w:val="single" w:sz="8" w:space="0" w:color="auto"/>
              <w:right w:val="single" w:sz="8" w:space="0" w:color="auto"/>
            </w:tcBorders>
            <w:shd w:val="clear" w:color="auto" w:fill="244062"/>
            <w:vAlign w:val="center"/>
            <w:hideMark/>
          </w:tcPr>
          <w:p w14:paraId="427AABF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65" w:type="dxa"/>
            <w:gridSpan w:val="3"/>
            <w:tcBorders>
              <w:top w:val="single" w:sz="8" w:space="0" w:color="auto"/>
              <w:left w:val="nil"/>
              <w:bottom w:val="single" w:sz="8" w:space="0" w:color="auto"/>
              <w:right w:val="single" w:sz="8" w:space="0" w:color="000000"/>
            </w:tcBorders>
            <w:vAlign w:val="center"/>
            <w:hideMark/>
          </w:tcPr>
          <w:p w14:paraId="772507C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3F0C45BB" w14:textId="77777777" w:rsidTr="00614438">
        <w:trPr>
          <w:gridAfter w:val="1"/>
          <w:wAfter w:w="1212" w:type="dxa"/>
          <w:trHeight w:val="315"/>
        </w:trPr>
        <w:tc>
          <w:tcPr>
            <w:tcW w:w="3223" w:type="dxa"/>
            <w:tcBorders>
              <w:top w:val="nil"/>
              <w:left w:val="single" w:sz="8" w:space="0" w:color="auto"/>
              <w:bottom w:val="single" w:sz="8" w:space="0" w:color="auto"/>
              <w:right w:val="single" w:sz="8" w:space="0" w:color="auto"/>
            </w:tcBorders>
            <w:shd w:val="clear" w:color="auto" w:fill="244062"/>
            <w:vAlign w:val="center"/>
            <w:hideMark/>
          </w:tcPr>
          <w:p w14:paraId="5652AB9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65" w:type="dxa"/>
            <w:gridSpan w:val="3"/>
            <w:tcBorders>
              <w:top w:val="single" w:sz="8" w:space="0" w:color="auto"/>
              <w:left w:val="nil"/>
              <w:bottom w:val="single" w:sz="8" w:space="0" w:color="auto"/>
              <w:right w:val="single" w:sz="8" w:space="0" w:color="000000"/>
            </w:tcBorders>
            <w:vAlign w:val="center"/>
            <w:hideMark/>
          </w:tcPr>
          <w:p w14:paraId="3C8E6D8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Gas</w:t>
            </w:r>
          </w:p>
        </w:tc>
      </w:tr>
      <w:tr w:rsidR="00614438" w:rsidRPr="00AA7A53" w14:paraId="45192C7E" w14:textId="77777777" w:rsidTr="00614438">
        <w:trPr>
          <w:gridAfter w:val="1"/>
          <w:wAfter w:w="1212" w:type="dxa"/>
          <w:trHeight w:val="315"/>
        </w:trPr>
        <w:tc>
          <w:tcPr>
            <w:tcW w:w="3223" w:type="dxa"/>
            <w:tcBorders>
              <w:top w:val="nil"/>
              <w:left w:val="single" w:sz="8" w:space="0" w:color="auto"/>
              <w:bottom w:val="single" w:sz="8" w:space="0" w:color="auto"/>
              <w:right w:val="single" w:sz="8" w:space="0" w:color="auto"/>
            </w:tcBorders>
            <w:shd w:val="clear" w:color="auto" w:fill="244062"/>
            <w:vAlign w:val="center"/>
            <w:hideMark/>
          </w:tcPr>
          <w:p w14:paraId="54DBFC8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65" w:type="dxa"/>
            <w:gridSpan w:val="3"/>
            <w:tcBorders>
              <w:top w:val="single" w:sz="8" w:space="0" w:color="auto"/>
              <w:left w:val="nil"/>
              <w:bottom w:val="single" w:sz="8" w:space="0" w:color="auto"/>
              <w:right w:val="single" w:sz="8" w:space="0" w:color="000000"/>
            </w:tcBorders>
            <w:vAlign w:val="center"/>
            <w:hideMark/>
          </w:tcPr>
          <w:p w14:paraId="1673F94D" w14:textId="77777777" w:rsidR="00614438" w:rsidRPr="00AA7A53" w:rsidRDefault="00614438" w:rsidP="00AA7A53">
            <w:pPr>
              <w:numPr>
                <w:ilvl w:val="0"/>
                <w:numId w:val="167"/>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entities</w:t>
            </w:r>
          </w:p>
          <w:p w14:paraId="7A2FB72A" w14:textId="77777777" w:rsidR="00614438" w:rsidRPr="00AA7A53" w:rsidRDefault="00614438" w:rsidP="00AA7A53">
            <w:pPr>
              <w:numPr>
                <w:ilvl w:val="0"/>
                <w:numId w:val="167"/>
              </w:numPr>
              <w:spacing w:after="0"/>
              <w:jc w:val="both"/>
              <w:rPr>
                <w:rFonts w:ascii="Times New Roman" w:hAnsi="Times New Roman" w:cs="Times New Roman"/>
                <w:sz w:val="20"/>
                <w:szCs w:val="20"/>
              </w:rPr>
            </w:pPr>
            <w:r w:rsidRPr="00AA7A53">
              <w:rPr>
                <w:rFonts w:ascii="Times New Roman" w:hAnsi="Times New Roman" w:cs="Times New Roman"/>
                <w:sz w:val="20"/>
                <w:szCs w:val="20"/>
              </w:rPr>
              <w:t>AERS</w:t>
            </w:r>
          </w:p>
          <w:p w14:paraId="1392CF4E" w14:textId="77777777" w:rsidR="00614438" w:rsidRPr="00AA7A53" w:rsidRDefault="00614438" w:rsidP="00AA7A53">
            <w:pPr>
              <w:numPr>
                <w:ilvl w:val="0"/>
                <w:numId w:val="16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02279F5C" w14:textId="77777777" w:rsidR="00614438" w:rsidRPr="00AA7A53" w:rsidRDefault="00614438" w:rsidP="00AA7A53">
            <w:pPr>
              <w:numPr>
                <w:ilvl w:val="0"/>
                <w:numId w:val="167"/>
              </w:numPr>
              <w:spacing w:after="0"/>
              <w:jc w:val="both"/>
              <w:rPr>
                <w:rFonts w:ascii="Times New Roman" w:hAnsi="Times New Roman" w:cs="Times New Roman"/>
                <w:sz w:val="20"/>
                <w:szCs w:val="20"/>
              </w:rPr>
            </w:pPr>
            <w:r w:rsidRPr="00AA7A53">
              <w:rPr>
                <w:rFonts w:ascii="Times New Roman" w:hAnsi="Times New Roman" w:cs="Times New Roman"/>
                <w:sz w:val="20"/>
                <w:szCs w:val="20"/>
              </w:rPr>
              <w:t>Government</w:t>
            </w:r>
          </w:p>
        </w:tc>
      </w:tr>
      <w:tr w:rsidR="00614438" w:rsidRPr="00AA7A53" w14:paraId="09667EF4" w14:textId="77777777" w:rsidTr="00614438">
        <w:trPr>
          <w:gridAfter w:val="1"/>
          <w:wAfter w:w="1212" w:type="dxa"/>
          <w:trHeight w:val="315"/>
        </w:trPr>
        <w:tc>
          <w:tcPr>
            <w:tcW w:w="3223" w:type="dxa"/>
            <w:tcBorders>
              <w:top w:val="nil"/>
              <w:left w:val="single" w:sz="8" w:space="0" w:color="auto"/>
              <w:bottom w:val="single" w:sz="8" w:space="0" w:color="auto"/>
              <w:right w:val="nil"/>
            </w:tcBorders>
            <w:shd w:val="clear" w:color="auto" w:fill="244062"/>
            <w:vAlign w:val="center"/>
            <w:hideMark/>
          </w:tcPr>
          <w:p w14:paraId="71CCADB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65" w:type="dxa"/>
            <w:gridSpan w:val="3"/>
            <w:tcBorders>
              <w:top w:val="single" w:sz="8" w:space="0" w:color="auto"/>
              <w:left w:val="nil"/>
              <w:bottom w:val="single" w:sz="8" w:space="0" w:color="auto"/>
              <w:right w:val="single" w:sz="8" w:space="0" w:color="000000"/>
            </w:tcBorders>
            <w:vAlign w:val="center"/>
            <w:hideMark/>
          </w:tcPr>
          <w:p w14:paraId="54317BC8" w14:textId="77777777" w:rsidR="00614438" w:rsidRPr="00AA7A53" w:rsidRDefault="00614438" w:rsidP="00AA7A53">
            <w:pPr>
              <w:numPr>
                <w:ilvl w:val="0"/>
                <w:numId w:val="167"/>
              </w:numPr>
              <w:spacing w:after="0"/>
              <w:jc w:val="both"/>
              <w:rPr>
                <w:rFonts w:ascii="Times New Roman" w:hAnsi="Times New Roman" w:cs="Times New Roman"/>
                <w:sz w:val="20"/>
                <w:szCs w:val="20"/>
              </w:rPr>
            </w:pPr>
            <w:r w:rsidRPr="00AA7A53">
              <w:rPr>
                <w:rFonts w:ascii="Times New Roman" w:hAnsi="Times New Roman" w:cs="Times New Roman"/>
                <w:sz w:val="20"/>
                <w:szCs w:val="20"/>
              </w:rPr>
              <w:t>AERS</w:t>
            </w:r>
          </w:p>
        </w:tc>
      </w:tr>
      <w:tr w:rsidR="00614438" w:rsidRPr="00AA7A53" w14:paraId="59E3542F" w14:textId="77777777" w:rsidTr="00614438">
        <w:trPr>
          <w:gridAfter w:val="1"/>
          <w:wAfter w:w="1212" w:type="dxa"/>
          <w:trHeight w:val="315"/>
        </w:trPr>
        <w:tc>
          <w:tcPr>
            <w:tcW w:w="3223" w:type="dxa"/>
            <w:tcBorders>
              <w:top w:val="nil"/>
              <w:left w:val="single" w:sz="8" w:space="0" w:color="auto"/>
              <w:bottom w:val="single" w:sz="8" w:space="0" w:color="auto"/>
              <w:right w:val="nil"/>
            </w:tcBorders>
            <w:shd w:val="clear" w:color="auto" w:fill="244062"/>
            <w:vAlign w:val="center"/>
            <w:hideMark/>
          </w:tcPr>
          <w:p w14:paraId="3C20FB3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65" w:type="dxa"/>
            <w:gridSpan w:val="3"/>
            <w:tcBorders>
              <w:top w:val="single" w:sz="8" w:space="0" w:color="auto"/>
              <w:left w:val="nil"/>
              <w:bottom w:val="single" w:sz="8" w:space="0" w:color="auto"/>
              <w:right w:val="single" w:sz="8" w:space="0" w:color="000000"/>
            </w:tcBorders>
            <w:vAlign w:val="center"/>
            <w:hideMark/>
          </w:tcPr>
          <w:p w14:paraId="5851EC4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Customer witching rates</w:t>
            </w:r>
          </w:p>
        </w:tc>
      </w:tr>
      <w:tr w:rsidR="00614438" w:rsidRPr="00AA7A53" w14:paraId="02465867" w14:textId="77777777" w:rsidTr="00614438">
        <w:trPr>
          <w:gridAfter w:val="1"/>
          <w:wAfter w:w="1212" w:type="dxa"/>
          <w:trHeight w:val="415"/>
        </w:trPr>
        <w:tc>
          <w:tcPr>
            <w:tcW w:w="3223" w:type="dxa"/>
            <w:tcBorders>
              <w:top w:val="nil"/>
              <w:left w:val="single" w:sz="8" w:space="0" w:color="auto"/>
              <w:bottom w:val="single" w:sz="8" w:space="0" w:color="auto"/>
              <w:right w:val="single" w:sz="8" w:space="0" w:color="auto"/>
            </w:tcBorders>
            <w:shd w:val="clear" w:color="auto" w:fill="244062"/>
            <w:vAlign w:val="center"/>
            <w:hideMark/>
          </w:tcPr>
          <w:p w14:paraId="012185D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65" w:type="dxa"/>
            <w:gridSpan w:val="3"/>
            <w:tcBorders>
              <w:top w:val="single" w:sz="8" w:space="0" w:color="auto"/>
              <w:left w:val="nil"/>
              <w:bottom w:val="single" w:sz="8" w:space="0" w:color="auto"/>
              <w:right w:val="single" w:sz="8" w:space="0" w:color="000000"/>
            </w:tcBorders>
            <w:vAlign w:val="center"/>
            <w:hideMark/>
          </w:tcPr>
          <w:p w14:paraId="7E1838C2"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A350395" w14:textId="77777777" w:rsidTr="00614438">
        <w:trPr>
          <w:gridAfter w:val="1"/>
          <w:wAfter w:w="1212" w:type="dxa"/>
          <w:trHeight w:val="458"/>
        </w:trPr>
        <w:tc>
          <w:tcPr>
            <w:tcW w:w="3223" w:type="dxa"/>
            <w:vMerge w:val="restart"/>
            <w:tcBorders>
              <w:top w:val="nil"/>
              <w:left w:val="single" w:sz="8" w:space="0" w:color="auto"/>
              <w:bottom w:val="single" w:sz="8" w:space="0" w:color="000000"/>
              <w:right w:val="single" w:sz="8" w:space="0" w:color="auto"/>
            </w:tcBorders>
            <w:shd w:val="clear" w:color="auto" w:fill="244062"/>
            <w:vAlign w:val="center"/>
            <w:hideMark/>
          </w:tcPr>
          <w:p w14:paraId="5FBA120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65"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00536421" w14:textId="77777777" w:rsidR="00614438" w:rsidRPr="00AA7A53" w:rsidRDefault="00614438" w:rsidP="00AA7A53">
            <w:pPr>
              <w:numPr>
                <w:ilvl w:val="0"/>
                <w:numId w:val="167"/>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2009/73/EC</w:t>
            </w:r>
          </w:p>
        </w:tc>
      </w:tr>
      <w:tr w:rsidR="00614438" w:rsidRPr="00AA7A53" w14:paraId="0065D50B"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7ED72A71"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F842BEB"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2C958D98"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5A6E777"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5DAAABC9"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78D1EFA"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7BEA46B1"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349BC103" w14:textId="77777777" w:rsidTr="00614438">
        <w:trPr>
          <w:trHeight w:val="780"/>
        </w:trPr>
        <w:tc>
          <w:tcPr>
            <w:tcW w:w="3223" w:type="dxa"/>
            <w:tcBorders>
              <w:top w:val="nil"/>
              <w:left w:val="single" w:sz="8" w:space="0" w:color="auto"/>
              <w:bottom w:val="single" w:sz="8" w:space="0" w:color="auto"/>
              <w:right w:val="single" w:sz="8" w:space="0" w:color="auto"/>
            </w:tcBorders>
            <w:shd w:val="clear" w:color="auto" w:fill="244062"/>
            <w:vAlign w:val="center"/>
            <w:hideMark/>
          </w:tcPr>
          <w:p w14:paraId="4F0AA11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65" w:type="dxa"/>
            <w:gridSpan w:val="3"/>
            <w:tcBorders>
              <w:top w:val="single" w:sz="8" w:space="0" w:color="auto"/>
              <w:left w:val="nil"/>
              <w:bottom w:val="single" w:sz="8" w:space="0" w:color="auto"/>
              <w:right w:val="single" w:sz="8" w:space="0" w:color="000000"/>
            </w:tcBorders>
            <w:vAlign w:val="center"/>
            <w:hideMark/>
          </w:tcPr>
          <w:p w14:paraId="65D3AA0D" w14:textId="77777777" w:rsidR="00614438" w:rsidRPr="00AA7A53" w:rsidRDefault="00614438" w:rsidP="00AA7A53">
            <w:pPr>
              <w:numPr>
                <w:ilvl w:val="0"/>
                <w:numId w:val="167"/>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Law</w:t>
            </w:r>
          </w:p>
        </w:tc>
        <w:tc>
          <w:tcPr>
            <w:tcW w:w="1212" w:type="dxa"/>
            <w:vAlign w:val="center"/>
            <w:hideMark/>
          </w:tcPr>
          <w:p w14:paraId="042FB0B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61BDDA8" w14:textId="77777777" w:rsidTr="00614438">
        <w:trPr>
          <w:trHeight w:val="315"/>
        </w:trPr>
        <w:tc>
          <w:tcPr>
            <w:tcW w:w="3223" w:type="dxa"/>
            <w:tcBorders>
              <w:top w:val="nil"/>
              <w:left w:val="single" w:sz="8" w:space="0" w:color="auto"/>
              <w:bottom w:val="single" w:sz="8" w:space="0" w:color="auto"/>
              <w:right w:val="single" w:sz="8" w:space="0" w:color="auto"/>
            </w:tcBorders>
            <w:shd w:val="clear" w:color="auto" w:fill="244062"/>
            <w:vAlign w:val="center"/>
            <w:hideMark/>
          </w:tcPr>
          <w:p w14:paraId="56486A1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65" w:type="dxa"/>
            <w:gridSpan w:val="3"/>
            <w:tcBorders>
              <w:top w:val="single" w:sz="8" w:space="0" w:color="auto"/>
              <w:left w:val="nil"/>
              <w:bottom w:val="single" w:sz="8" w:space="0" w:color="auto"/>
              <w:right w:val="single" w:sz="8" w:space="0" w:color="000000"/>
            </w:tcBorders>
            <w:vAlign w:val="center"/>
            <w:hideMark/>
          </w:tcPr>
          <w:p w14:paraId="331A60E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0.2 M€</w:t>
            </w:r>
          </w:p>
        </w:tc>
        <w:tc>
          <w:tcPr>
            <w:tcW w:w="1212" w:type="dxa"/>
            <w:vAlign w:val="center"/>
            <w:hideMark/>
          </w:tcPr>
          <w:p w14:paraId="16034286"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1B0A9C6" w14:textId="77777777" w:rsidTr="00614438">
        <w:trPr>
          <w:trHeight w:val="315"/>
        </w:trPr>
        <w:tc>
          <w:tcPr>
            <w:tcW w:w="3223" w:type="dxa"/>
            <w:tcBorders>
              <w:top w:val="nil"/>
              <w:left w:val="single" w:sz="8" w:space="0" w:color="auto"/>
              <w:bottom w:val="single" w:sz="8" w:space="0" w:color="auto"/>
              <w:right w:val="single" w:sz="8" w:space="0" w:color="auto"/>
            </w:tcBorders>
            <w:shd w:val="clear" w:color="auto" w:fill="244062"/>
            <w:vAlign w:val="center"/>
            <w:hideMark/>
          </w:tcPr>
          <w:p w14:paraId="46133AB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65" w:type="dxa"/>
            <w:gridSpan w:val="3"/>
            <w:tcBorders>
              <w:top w:val="single" w:sz="8" w:space="0" w:color="auto"/>
              <w:left w:val="nil"/>
              <w:bottom w:val="single" w:sz="8" w:space="0" w:color="auto"/>
              <w:right w:val="single" w:sz="8" w:space="0" w:color="000000"/>
            </w:tcBorders>
            <w:vAlign w:val="center"/>
            <w:hideMark/>
          </w:tcPr>
          <w:p w14:paraId="6AC1542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1212" w:type="dxa"/>
            <w:vAlign w:val="center"/>
            <w:hideMark/>
          </w:tcPr>
          <w:p w14:paraId="15C640CD" w14:textId="77777777" w:rsidR="00614438" w:rsidRPr="00AA7A53" w:rsidRDefault="00614438" w:rsidP="00AA7A53">
            <w:pPr>
              <w:spacing w:after="0"/>
              <w:jc w:val="both"/>
              <w:rPr>
                <w:rFonts w:ascii="Times New Roman" w:hAnsi="Times New Roman" w:cs="Times New Roman"/>
                <w:sz w:val="20"/>
                <w:szCs w:val="20"/>
                <w:lang w:val="en-GB"/>
              </w:rPr>
            </w:pPr>
          </w:p>
        </w:tc>
      </w:tr>
    </w:tbl>
    <w:p w14:paraId="216DFEB4"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22"/>
        <w:gridCol w:w="1309"/>
        <w:gridCol w:w="921"/>
        <w:gridCol w:w="4036"/>
        <w:gridCol w:w="1212"/>
      </w:tblGrid>
      <w:tr w:rsidR="00614438" w:rsidRPr="00AA7A53" w14:paraId="604F5604" w14:textId="77777777" w:rsidTr="00614438">
        <w:trPr>
          <w:gridAfter w:val="1"/>
          <w:wAfter w:w="1212" w:type="dxa"/>
          <w:trHeight w:val="780"/>
        </w:trPr>
        <w:tc>
          <w:tcPr>
            <w:tcW w:w="3222"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13D0F6E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309" w:type="dxa"/>
            <w:tcBorders>
              <w:top w:val="single" w:sz="8" w:space="0" w:color="auto"/>
              <w:left w:val="nil"/>
              <w:bottom w:val="single" w:sz="8" w:space="0" w:color="auto"/>
              <w:right w:val="single" w:sz="8" w:space="0" w:color="auto"/>
            </w:tcBorders>
            <w:shd w:val="clear" w:color="auto" w:fill="E7E6E6" w:themeFill="background2"/>
            <w:vAlign w:val="center"/>
            <w:hideMark/>
          </w:tcPr>
          <w:p w14:paraId="529D395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PM_IEM28</w:t>
            </w:r>
          </w:p>
        </w:tc>
        <w:tc>
          <w:tcPr>
            <w:tcW w:w="921" w:type="dxa"/>
            <w:tcBorders>
              <w:top w:val="single" w:sz="8" w:space="0" w:color="auto"/>
              <w:left w:val="nil"/>
              <w:bottom w:val="single" w:sz="8" w:space="0" w:color="auto"/>
              <w:right w:val="single" w:sz="8" w:space="0" w:color="auto"/>
            </w:tcBorders>
            <w:shd w:val="clear" w:color="auto" w:fill="244062"/>
            <w:vAlign w:val="center"/>
            <w:hideMark/>
          </w:tcPr>
          <w:p w14:paraId="74AD794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036" w:type="dxa"/>
            <w:tcBorders>
              <w:top w:val="single" w:sz="8" w:space="0" w:color="auto"/>
              <w:left w:val="nil"/>
              <w:bottom w:val="single" w:sz="8" w:space="0" w:color="auto"/>
              <w:right w:val="single" w:sz="8" w:space="0" w:color="auto"/>
            </w:tcBorders>
            <w:shd w:val="clear" w:color="auto" w:fill="E7E6E6" w:themeFill="background2"/>
            <w:vAlign w:val="center"/>
            <w:hideMark/>
          </w:tcPr>
          <w:p w14:paraId="3E1254E3" w14:textId="495CE95A"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Development of the Grid Code of Transportgas S</w:t>
            </w:r>
            <w:r w:rsidR="004904A1" w:rsidRPr="00AA7A53">
              <w:rPr>
                <w:rFonts w:ascii="Times New Roman" w:hAnsi="Times New Roman" w:cs="Times New Roman"/>
                <w:sz w:val="20"/>
                <w:szCs w:val="20"/>
                <w:lang w:val="en-GB"/>
              </w:rPr>
              <w:t>rbija</w:t>
            </w:r>
            <w:r w:rsidRPr="00AA7A53">
              <w:rPr>
                <w:rFonts w:ascii="Times New Roman" w:hAnsi="Times New Roman" w:cs="Times New Roman"/>
                <w:sz w:val="20"/>
                <w:szCs w:val="20"/>
                <w:lang w:val="en-GB"/>
              </w:rPr>
              <w:t>. Development of a grid code for Yugorosgaz Transport</w:t>
            </w:r>
          </w:p>
        </w:tc>
      </w:tr>
      <w:tr w:rsidR="00614438" w:rsidRPr="00AA7A53" w14:paraId="4DEDB5DF" w14:textId="77777777" w:rsidTr="00614438">
        <w:trPr>
          <w:gridAfter w:val="1"/>
          <w:wAfter w:w="1212" w:type="dxa"/>
          <w:trHeight w:val="512"/>
        </w:trPr>
        <w:tc>
          <w:tcPr>
            <w:tcW w:w="3222" w:type="dxa"/>
            <w:tcBorders>
              <w:top w:val="nil"/>
              <w:left w:val="single" w:sz="8" w:space="0" w:color="auto"/>
              <w:bottom w:val="single" w:sz="8" w:space="0" w:color="auto"/>
              <w:right w:val="nil"/>
            </w:tcBorders>
            <w:shd w:val="clear" w:color="auto" w:fill="244062"/>
            <w:vAlign w:val="center"/>
            <w:hideMark/>
          </w:tcPr>
          <w:p w14:paraId="5EA3B13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66" w:type="dxa"/>
            <w:gridSpan w:val="3"/>
            <w:tcBorders>
              <w:top w:val="single" w:sz="8" w:space="0" w:color="auto"/>
              <w:left w:val="nil"/>
              <w:bottom w:val="single" w:sz="8" w:space="0" w:color="auto"/>
              <w:right w:val="single" w:sz="8" w:space="0" w:color="000000"/>
            </w:tcBorders>
            <w:vAlign w:val="center"/>
            <w:hideMark/>
          </w:tcPr>
          <w:p w14:paraId="48D27C0C" w14:textId="1979AE56"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Consumer protection and improvement of competition, </w:t>
            </w:r>
            <w:r w:rsidR="004904A1" w:rsidRPr="00AA7A53">
              <w:rPr>
                <w:rFonts w:ascii="Times New Roman" w:hAnsi="Times New Roman" w:cs="Times New Roman"/>
                <w:sz w:val="20"/>
                <w:szCs w:val="20"/>
                <w:lang w:val="en-GB"/>
              </w:rPr>
              <w:t>e</w:t>
            </w:r>
            <w:r w:rsidRPr="00AA7A53">
              <w:rPr>
                <w:rFonts w:ascii="Times New Roman" w:hAnsi="Times New Roman" w:cs="Times New Roman"/>
                <w:sz w:val="20"/>
                <w:szCs w:val="20"/>
                <w:lang w:val="en-GB"/>
              </w:rPr>
              <w:t>nabl</w:t>
            </w:r>
            <w:r w:rsidR="004904A1" w:rsidRPr="00AA7A53">
              <w:rPr>
                <w:rFonts w:ascii="Times New Roman" w:hAnsi="Times New Roman" w:cs="Times New Roman"/>
                <w:sz w:val="20"/>
                <w:szCs w:val="20"/>
                <w:lang w:val="en-GB"/>
              </w:rPr>
              <w:t>ing</w:t>
            </w:r>
            <w:r w:rsidRPr="00AA7A53">
              <w:rPr>
                <w:rFonts w:ascii="Times New Roman" w:hAnsi="Times New Roman" w:cs="Times New Roman"/>
                <w:sz w:val="20"/>
                <w:szCs w:val="20"/>
                <w:lang w:val="en-GB"/>
              </w:rPr>
              <w:t xml:space="preserve"> EE at the supply side (i.e. through the reduction of losses)</w:t>
            </w:r>
          </w:p>
        </w:tc>
      </w:tr>
      <w:tr w:rsidR="00614438" w:rsidRPr="00AA7A53" w14:paraId="74ADE887" w14:textId="77777777" w:rsidTr="00614438">
        <w:trPr>
          <w:gridAfter w:val="1"/>
          <w:wAfter w:w="1212" w:type="dxa"/>
          <w:trHeight w:val="315"/>
        </w:trPr>
        <w:tc>
          <w:tcPr>
            <w:tcW w:w="3222" w:type="dxa"/>
            <w:tcBorders>
              <w:top w:val="nil"/>
              <w:left w:val="single" w:sz="8" w:space="0" w:color="auto"/>
              <w:bottom w:val="single" w:sz="8" w:space="0" w:color="auto"/>
              <w:right w:val="single" w:sz="8" w:space="0" w:color="auto"/>
            </w:tcBorders>
            <w:shd w:val="clear" w:color="auto" w:fill="244062"/>
            <w:vAlign w:val="center"/>
            <w:hideMark/>
          </w:tcPr>
          <w:p w14:paraId="3366F9D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66" w:type="dxa"/>
            <w:gridSpan w:val="3"/>
            <w:tcBorders>
              <w:top w:val="single" w:sz="8" w:space="0" w:color="auto"/>
              <w:left w:val="nil"/>
              <w:bottom w:val="single" w:sz="8" w:space="0" w:color="auto"/>
              <w:right w:val="single" w:sz="8" w:space="0" w:color="000000"/>
            </w:tcBorders>
            <w:vAlign w:val="center"/>
          </w:tcPr>
          <w:p w14:paraId="108C629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04AA6CC" w14:textId="77777777" w:rsidTr="00614438">
        <w:trPr>
          <w:gridAfter w:val="1"/>
          <w:wAfter w:w="1212" w:type="dxa"/>
          <w:trHeight w:val="481"/>
        </w:trPr>
        <w:tc>
          <w:tcPr>
            <w:tcW w:w="3222" w:type="dxa"/>
            <w:tcBorders>
              <w:top w:val="nil"/>
              <w:left w:val="single" w:sz="8" w:space="0" w:color="auto"/>
              <w:bottom w:val="single" w:sz="8" w:space="0" w:color="auto"/>
              <w:right w:val="single" w:sz="8" w:space="0" w:color="auto"/>
            </w:tcBorders>
            <w:shd w:val="clear" w:color="auto" w:fill="244062"/>
            <w:vAlign w:val="center"/>
            <w:hideMark/>
          </w:tcPr>
          <w:p w14:paraId="4EBE886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66" w:type="dxa"/>
            <w:gridSpan w:val="3"/>
            <w:tcBorders>
              <w:top w:val="single" w:sz="8" w:space="0" w:color="auto"/>
              <w:left w:val="nil"/>
              <w:bottom w:val="single" w:sz="8" w:space="0" w:color="auto"/>
              <w:right w:val="single" w:sz="8" w:space="0" w:color="000000"/>
            </w:tcBorders>
            <w:vAlign w:val="center"/>
            <w:hideMark/>
          </w:tcPr>
          <w:p w14:paraId="7E8430A2" w14:textId="1387304B"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The Code of Transportgas Serbia needs to be developed and the code of Yugorosgaz Transport needs to be updates to align with all provisions of Regulation (EU) 715/2009 and Regulat</w:t>
            </w:r>
            <w:r w:rsidR="004904A1" w:rsidRPr="00AA7A53">
              <w:rPr>
                <w:rFonts w:ascii="Times New Roman" w:hAnsi="Times New Roman" w:cs="Times New Roman"/>
                <w:sz w:val="20"/>
                <w:szCs w:val="20"/>
                <w:lang w:val="en-GB"/>
              </w:rPr>
              <w:t>ions (EU) 459/2017 and 312/2014 should be transposed.</w:t>
            </w:r>
          </w:p>
        </w:tc>
      </w:tr>
      <w:tr w:rsidR="00614438" w:rsidRPr="00AA7A53" w14:paraId="400C96A8" w14:textId="77777777" w:rsidTr="00614438">
        <w:trPr>
          <w:gridAfter w:val="1"/>
          <w:wAfter w:w="1212" w:type="dxa"/>
          <w:trHeight w:val="315"/>
        </w:trPr>
        <w:tc>
          <w:tcPr>
            <w:tcW w:w="3222" w:type="dxa"/>
            <w:tcBorders>
              <w:top w:val="nil"/>
              <w:left w:val="single" w:sz="8" w:space="0" w:color="auto"/>
              <w:bottom w:val="single" w:sz="8" w:space="0" w:color="auto"/>
              <w:right w:val="single" w:sz="8" w:space="0" w:color="auto"/>
            </w:tcBorders>
            <w:shd w:val="clear" w:color="auto" w:fill="244062"/>
            <w:vAlign w:val="center"/>
            <w:hideMark/>
          </w:tcPr>
          <w:p w14:paraId="3AEDA1F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66" w:type="dxa"/>
            <w:gridSpan w:val="3"/>
            <w:tcBorders>
              <w:top w:val="single" w:sz="8" w:space="0" w:color="auto"/>
              <w:left w:val="nil"/>
              <w:bottom w:val="single" w:sz="8" w:space="0" w:color="auto"/>
              <w:right w:val="single" w:sz="8" w:space="0" w:color="000000"/>
            </w:tcBorders>
            <w:vAlign w:val="center"/>
            <w:hideMark/>
          </w:tcPr>
          <w:p w14:paraId="496B9A55" w14:textId="34DEA543" w:rsidR="00614438" w:rsidRPr="00AA7A53" w:rsidRDefault="004904A1"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until </w:t>
            </w:r>
            <w:r w:rsidR="00614438" w:rsidRPr="00AA7A53">
              <w:rPr>
                <w:rFonts w:ascii="Times New Roman" w:hAnsi="Times New Roman" w:cs="Times New Roman"/>
                <w:sz w:val="20"/>
                <w:szCs w:val="20"/>
                <w:lang w:val="en-GB"/>
              </w:rPr>
              <w:t>20</w:t>
            </w:r>
            <w:r w:rsidRPr="00AA7A53">
              <w:rPr>
                <w:rFonts w:ascii="Times New Roman" w:hAnsi="Times New Roman" w:cs="Times New Roman"/>
                <w:sz w:val="20"/>
                <w:szCs w:val="20"/>
                <w:lang w:val="en-GB"/>
              </w:rPr>
              <w:t>30</w:t>
            </w:r>
          </w:p>
        </w:tc>
      </w:tr>
      <w:tr w:rsidR="00614438" w:rsidRPr="00AA7A53" w14:paraId="1655ECE9" w14:textId="77777777" w:rsidTr="00614438">
        <w:trPr>
          <w:gridAfter w:val="1"/>
          <w:wAfter w:w="1212" w:type="dxa"/>
          <w:trHeight w:val="315"/>
        </w:trPr>
        <w:tc>
          <w:tcPr>
            <w:tcW w:w="3222" w:type="dxa"/>
            <w:tcBorders>
              <w:top w:val="nil"/>
              <w:left w:val="single" w:sz="8" w:space="0" w:color="auto"/>
              <w:bottom w:val="single" w:sz="8" w:space="0" w:color="auto"/>
              <w:right w:val="single" w:sz="8" w:space="0" w:color="auto"/>
            </w:tcBorders>
            <w:shd w:val="clear" w:color="auto" w:fill="244062"/>
            <w:vAlign w:val="center"/>
            <w:hideMark/>
          </w:tcPr>
          <w:p w14:paraId="3DFC747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66" w:type="dxa"/>
            <w:gridSpan w:val="3"/>
            <w:tcBorders>
              <w:top w:val="single" w:sz="8" w:space="0" w:color="auto"/>
              <w:left w:val="nil"/>
              <w:bottom w:val="single" w:sz="8" w:space="0" w:color="auto"/>
              <w:right w:val="single" w:sz="8" w:space="0" w:color="000000"/>
            </w:tcBorders>
            <w:vAlign w:val="center"/>
            <w:hideMark/>
          </w:tcPr>
          <w:p w14:paraId="190CAD0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30CD7EF2" w14:textId="77777777" w:rsidTr="00614438">
        <w:trPr>
          <w:gridAfter w:val="1"/>
          <w:wAfter w:w="1212" w:type="dxa"/>
          <w:trHeight w:val="315"/>
        </w:trPr>
        <w:tc>
          <w:tcPr>
            <w:tcW w:w="3222" w:type="dxa"/>
            <w:tcBorders>
              <w:top w:val="nil"/>
              <w:left w:val="single" w:sz="8" w:space="0" w:color="auto"/>
              <w:bottom w:val="single" w:sz="8" w:space="0" w:color="auto"/>
              <w:right w:val="single" w:sz="8" w:space="0" w:color="auto"/>
            </w:tcBorders>
            <w:shd w:val="clear" w:color="auto" w:fill="244062"/>
            <w:vAlign w:val="center"/>
            <w:hideMark/>
          </w:tcPr>
          <w:p w14:paraId="796E6F8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66" w:type="dxa"/>
            <w:gridSpan w:val="3"/>
            <w:tcBorders>
              <w:top w:val="single" w:sz="8" w:space="0" w:color="auto"/>
              <w:left w:val="nil"/>
              <w:bottom w:val="single" w:sz="8" w:space="0" w:color="auto"/>
              <w:right w:val="single" w:sz="8" w:space="0" w:color="000000"/>
            </w:tcBorders>
            <w:vAlign w:val="center"/>
            <w:hideMark/>
          </w:tcPr>
          <w:p w14:paraId="1CBA43F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Gas</w:t>
            </w:r>
          </w:p>
        </w:tc>
      </w:tr>
      <w:tr w:rsidR="00614438" w:rsidRPr="00AA7A53" w14:paraId="381CB173" w14:textId="77777777" w:rsidTr="00614438">
        <w:trPr>
          <w:gridAfter w:val="1"/>
          <w:wAfter w:w="1212" w:type="dxa"/>
          <w:trHeight w:val="315"/>
        </w:trPr>
        <w:tc>
          <w:tcPr>
            <w:tcW w:w="3222" w:type="dxa"/>
            <w:tcBorders>
              <w:top w:val="nil"/>
              <w:left w:val="single" w:sz="8" w:space="0" w:color="auto"/>
              <w:bottom w:val="single" w:sz="8" w:space="0" w:color="auto"/>
              <w:right w:val="single" w:sz="8" w:space="0" w:color="auto"/>
            </w:tcBorders>
            <w:shd w:val="clear" w:color="auto" w:fill="244062"/>
            <w:vAlign w:val="center"/>
            <w:hideMark/>
          </w:tcPr>
          <w:p w14:paraId="568BD03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66" w:type="dxa"/>
            <w:gridSpan w:val="3"/>
            <w:tcBorders>
              <w:top w:val="single" w:sz="8" w:space="0" w:color="auto"/>
              <w:left w:val="nil"/>
              <w:bottom w:val="single" w:sz="8" w:space="0" w:color="auto"/>
              <w:right w:val="single" w:sz="8" w:space="0" w:color="000000"/>
            </w:tcBorders>
            <w:vAlign w:val="center"/>
            <w:hideMark/>
          </w:tcPr>
          <w:p w14:paraId="4CBEF68A" w14:textId="11E02CFC" w:rsidR="00614438" w:rsidRPr="00AA7A53" w:rsidRDefault="00614438" w:rsidP="00AA7A53">
            <w:pPr>
              <w:numPr>
                <w:ilvl w:val="0"/>
                <w:numId w:val="168"/>
              </w:numPr>
              <w:spacing w:after="0"/>
              <w:jc w:val="both"/>
              <w:rPr>
                <w:rFonts w:ascii="Times New Roman" w:hAnsi="Times New Roman" w:cs="Times New Roman"/>
                <w:sz w:val="20"/>
                <w:szCs w:val="20"/>
              </w:rPr>
            </w:pPr>
            <w:r w:rsidRPr="00AA7A53">
              <w:rPr>
                <w:rFonts w:ascii="Times New Roman" w:hAnsi="Times New Roman" w:cs="Times New Roman"/>
                <w:sz w:val="20"/>
                <w:szCs w:val="20"/>
              </w:rPr>
              <w:t>Transportgas</w:t>
            </w:r>
            <w:r w:rsidR="004904A1" w:rsidRPr="00AA7A53">
              <w:rPr>
                <w:rFonts w:ascii="Times New Roman" w:hAnsi="Times New Roman" w:cs="Times New Roman"/>
                <w:sz w:val="20"/>
                <w:szCs w:val="20"/>
              </w:rPr>
              <w:t xml:space="preserve"> Srbija ltd.</w:t>
            </w:r>
          </w:p>
          <w:p w14:paraId="5504E6F2" w14:textId="7DAAAC47" w:rsidR="00614438" w:rsidRPr="00AA7A53" w:rsidRDefault="00614438" w:rsidP="00AA7A53">
            <w:pPr>
              <w:numPr>
                <w:ilvl w:val="0"/>
                <w:numId w:val="168"/>
              </w:numPr>
              <w:spacing w:after="0"/>
              <w:jc w:val="both"/>
              <w:rPr>
                <w:rFonts w:ascii="Times New Roman" w:hAnsi="Times New Roman" w:cs="Times New Roman"/>
                <w:sz w:val="20"/>
                <w:szCs w:val="20"/>
              </w:rPr>
            </w:pPr>
            <w:r w:rsidRPr="00AA7A53">
              <w:rPr>
                <w:rFonts w:ascii="Times New Roman" w:hAnsi="Times New Roman" w:cs="Times New Roman"/>
                <w:sz w:val="20"/>
                <w:szCs w:val="20"/>
              </w:rPr>
              <w:t>Jugorosgaz Transport</w:t>
            </w:r>
            <w:r w:rsidR="004904A1" w:rsidRPr="00AA7A53">
              <w:rPr>
                <w:rFonts w:ascii="Times New Roman" w:hAnsi="Times New Roman" w:cs="Times New Roman"/>
                <w:sz w:val="20"/>
                <w:szCs w:val="20"/>
              </w:rPr>
              <w:t xml:space="preserve"> lts. Nis</w:t>
            </w:r>
          </w:p>
        </w:tc>
      </w:tr>
      <w:tr w:rsidR="00614438" w:rsidRPr="00AA7A53" w14:paraId="6BA62DC7" w14:textId="77777777" w:rsidTr="00614438">
        <w:trPr>
          <w:gridAfter w:val="1"/>
          <w:wAfter w:w="1212" w:type="dxa"/>
          <w:trHeight w:val="315"/>
        </w:trPr>
        <w:tc>
          <w:tcPr>
            <w:tcW w:w="3222" w:type="dxa"/>
            <w:tcBorders>
              <w:top w:val="nil"/>
              <w:left w:val="single" w:sz="8" w:space="0" w:color="auto"/>
              <w:bottom w:val="single" w:sz="8" w:space="0" w:color="auto"/>
              <w:right w:val="nil"/>
            </w:tcBorders>
            <w:shd w:val="clear" w:color="auto" w:fill="244062"/>
            <w:vAlign w:val="center"/>
            <w:hideMark/>
          </w:tcPr>
          <w:p w14:paraId="3FD052F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66" w:type="dxa"/>
            <w:gridSpan w:val="3"/>
            <w:tcBorders>
              <w:top w:val="single" w:sz="8" w:space="0" w:color="auto"/>
              <w:left w:val="nil"/>
              <w:bottom w:val="single" w:sz="8" w:space="0" w:color="auto"/>
              <w:right w:val="single" w:sz="8" w:space="0" w:color="000000"/>
            </w:tcBorders>
            <w:vAlign w:val="center"/>
            <w:hideMark/>
          </w:tcPr>
          <w:p w14:paraId="360B541A" w14:textId="77777777" w:rsidR="00614438" w:rsidRPr="00AA7A53" w:rsidRDefault="00614438" w:rsidP="00AA7A53">
            <w:pPr>
              <w:numPr>
                <w:ilvl w:val="0"/>
                <w:numId w:val="168"/>
              </w:numPr>
              <w:spacing w:after="0"/>
              <w:jc w:val="both"/>
              <w:rPr>
                <w:rFonts w:ascii="Times New Roman" w:hAnsi="Times New Roman" w:cs="Times New Roman"/>
                <w:sz w:val="20"/>
                <w:szCs w:val="20"/>
              </w:rPr>
            </w:pPr>
            <w:r w:rsidRPr="00AA7A53">
              <w:rPr>
                <w:rFonts w:ascii="Times New Roman" w:hAnsi="Times New Roman" w:cs="Times New Roman"/>
                <w:sz w:val="20"/>
                <w:szCs w:val="20"/>
              </w:rPr>
              <w:t>AERS</w:t>
            </w:r>
          </w:p>
        </w:tc>
      </w:tr>
      <w:tr w:rsidR="00614438" w:rsidRPr="00AA7A53" w14:paraId="039D89B5" w14:textId="77777777" w:rsidTr="00614438">
        <w:trPr>
          <w:gridAfter w:val="1"/>
          <w:wAfter w:w="1212" w:type="dxa"/>
          <w:trHeight w:val="315"/>
        </w:trPr>
        <w:tc>
          <w:tcPr>
            <w:tcW w:w="3222" w:type="dxa"/>
            <w:tcBorders>
              <w:top w:val="nil"/>
              <w:left w:val="single" w:sz="8" w:space="0" w:color="auto"/>
              <w:bottom w:val="single" w:sz="8" w:space="0" w:color="auto"/>
              <w:right w:val="nil"/>
            </w:tcBorders>
            <w:shd w:val="clear" w:color="auto" w:fill="244062"/>
            <w:vAlign w:val="center"/>
            <w:hideMark/>
          </w:tcPr>
          <w:p w14:paraId="61371E4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66" w:type="dxa"/>
            <w:gridSpan w:val="3"/>
            <w:tcBorders>
              <w:top w:val="single" w:sz="8" w:space="0" w:color="auto"/>
              <w:left w:val="nil"/>
              <w:bottom w:val="single" w:sz="8" w:space="0" w:color="auto"/>
              <w:right w:val="single" w:sz="8" w:space="0" w:color="000000"/>
            </w:tcBorders>
            <w:vAlign w:val="center"/>
            <w:hideMark/>
          </w:tcPr>
          <w:p w14:paraId="1A928FA6" w14:textId="206E0308"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Adopti</w:t>
            </w:r>
            <w:r w:rsidR="004904A1" w:rsidRPr="00AA7A53">
              <w:rPr>
                <w:rFonts w:ascii="Times New Roman" w:hAnsi="Times New Roman" w:cs="Times New Roman"/>
                <w:sz w:val="20"/>
                <w:szCs w:val="20"/>
                <w:lang w:val="en-GB"/>
              </w:rPr>
              <w:t>on of a Code for Transportgas S</w:t>
            </w:r>
            <w:r w:rsidRPr="00AA7A53">
              <w:rPr>
                <w:rFonts w:ascii="Times New Roman" w:hAnsi="Times New Roman" w:cs="Times New Roman"/>
                <w:sz w:val="20"/>
                <w:szCs w:val="20"/>
                <w:lang w:val="en-GB"/>
              </w:rPr>
              <w:t>rbi</w:t>
            </w:r>
            <w:r w:rsidR="004904A1" w:rsidRPr="00AA7A53">
              <w:rPr>
                <w:rFonts w:ascii="Times New Roman" w:hAnsi="Times New Roman" w:cs="Times New Roman"/>
                <w:sz w:val="20"/>
                <w:szCs w:val="20"/>
                <w:lang w:val="en-GB"/>
              </w:rPr>
              <w:t>ja</w:t>
            </w:r>
            <w:r w:rsidRPr="00AA7A53">
              <w:rPr>
                <w:rFonts w:ascii="Times New Roman" w:hAnsi="Times New Roman" w:cs="Times New Roman"/>
                <w:sz w:val="20"/>
                <w:szCs w:val="20"/>
                <w:lang w:val="en-GB"/>
              </w:rPr>
              <w:t xml:space="preserve">a </w:t>
            </w:r>
            <w:r w:rsidR="004904A1" w:rsidRPr="00AA7A53">
              <w:rPr>
                <w:rFonts w:ascii="Times New Roman" w:hAnsi="Times New Roman" w:cs="Times New Roman"/>
                <w:sz w:val="20"/>
                <w:szCs w:val="20"/>
                <w:lang w:val="en-GB"/>
              </w:rPr>
              <w:t xml:space="preserve">ltd. </w:t>
            </w:r>
            <w:r w:rsidRPr="00AA7A53">
              <w:rPr>
                <w:rFonts w:ascii="Times New Roman" w:hAnsi="Times New Roman" w:cs="Times New Roman"/>
                <w:sz w:val="20"/>
                <w:szCs w:val="20"/>
                <w:lang w:val="en-GB"/>
              </w:rPr>
              <w:t>and an updated code for Yugorosgaz Transport</w:t>
            </w:r>
            <w:r w:rsidR="004904A1" w:rsidRPr="00AA7A53">
              <w:rPr>
                <w:rFonts w:ascii="Times New Roman" w:hAnsi="Times New Roman" w:cs="Times New Roman"/>
                <w:sz w:val="20"/>
                <w:szCs w:val="20"/>
                <w:lang w:val="en-GB"/>
              </w:rPr>
              <w:t xml:space="preserve"> ltd.</w:t>
            </w:r>
          </w:p>
        </w:tc>
      </w:tr>
      <w:tr w:rsidR="00614438" w:rsidRPr="00AA7A53" w14:paraId="71055569" w14:textId="77777777" w:rsidTr="00614438">
        <w:trPr>
          <w:gridAfter w:val="1"/>
          <w:wAfter w:w="1212" w:type="dxa"/>
          <w:trHeight w:val="726"/>
        </w:trPr>
        <w:tc>
          <w:tcPr>
            <w:tcW w:w="3222" w:type="dxa"/>
            <w:tcBorders>
              <w:top w:val="nil"/>
              <w:left w:val="single" w:sz="8" w:space="0" w:color="auto"/>
              <w:bottom w:val="single" w:sz="8" w:space="0" w:color="auto"/>
              <w:right w:val="single" w:sz="8" w:space="0" w:color="auto"/>
            </w:tcBorders>
            <w:shd w:val="clear" w:color="auto" w:fill="244062"/>
            <w:vAlign w:val="center"/>
            <w:hideMark/>
          </w:tcPr>
          <w:p w14:paraId="4DB8934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66" w:type="dxa"/>
            <w:gridSpan w:val="3"/>
            <w:tcBorders>
              <w:top w:val="single" w:sz="8" w:space="0" w:color="auto"/>
              <w:left w:val="nil"/>
              <w:bottom w:val="single" w:sz="8" w:space="0" w:color="auto"/>
              <w:right w:val="single" w:sz="8" w:space="0" w:color="000000"/>
            </w:tcBorders>
            <w:vAlign w:val="center"/>
            <w:hideMark/>
          </w:tcPr>
          <w:p w14:paraId="3CF729A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C63549E" w14:textId="77777777" w:rsidTr="00614438">
        <w:trPr>
          <w:gridAfter w:val="1"/>
          <w:wAfter w:w="1212" w:type="dxa"/>
          <w:trHeight w:val="458"/>
        </w:trPr>
        <w:tc>
          <w:tcPr>
            <w:tcW w:w="3222" w:type="dxa"/>
            <w:vMerge w:val="restart"/>
            <w:tcBorders>
              <w:top w:val="nil"/>
              <w:left w:val="single" w:sz="8" w:space="0" w:color="auto"/>
              <w:bottom w:val="single" w:sz="8" w:space="0" w:color="000000"/>
              <w:right w:val="single" w:sz="8" w:space="0" w:color="auto"/>
            </w:tcBorders>
            <w:shd w:val="clear" w:color="auto" w:fill="244062"/>
            <w:vAlign w:val="center"/>
            <w:hideMark/>
          </w:tcPr>
          <w:p w14:paraId="74AA9F5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66"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0B0CDA9" w14:textId="77777777" w:rsidR="00614438" w:rsidRPr="00AA7A53" w:rsidRDefault="00614438" w:rsidP="00AA7A53">
            <w:pPr>
              <w:numPr>
                <w:ilvl w:val="0"/>
                <w:numId w:val="168"/>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2009/715</w:t>
            </w:r>
          </w:p>
          <w:p w14:paraId="29CEB79E" w14:textId="77777777" w:rsidR="00614438" w:rsidRPr="00AA7A53" w:rsidRDefault="00614438" w:rsidP="00AA7A53">
            <w:pPr>
              <w:numPr>
                <w:ilvl w:val="0"/>
                <w:numId w:val="168"/>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2017/459</w:t>
            </w:r>
          </w:p>
          <w:p w14:paraId="7A66FF76" w14:textId="77777777" w:rsidR="00614438" w:rsidRPr="00AA7A53" w:rsidRDefault="00614438" w:rsidP="00AA7A53">
            <w:pPr>
              <w:numPr>
                <w:ilvl w:val="0"/>
                <w:numId w:val="168"/>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2014/312</w:t>
            </w:r>
          </w:p>
        </w:tc>
      </w:tr>
      <w:tr w:rsidR="00614438" w:rsidRPr="00AA7A53" w14:paraId="63587837"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69B209E3"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E323728"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177AF6BD"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A099B2A"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5408C1BA"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EFCDE0D"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75DF7E9F"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4BC79C45" w14:textId="77777777" w:rsidTr="00614438">
        <w:trPr>
          <w:trHeight w:val="780"/>
        </w:trPr>
        <w:tc>
          <w:tcPr>
            <w:tcW w:w="3222" w:type="dxa"/>
            <w:tcBorders>
              <w:top w:val="nil"/>
              <w:left w:val="single" w:sz="8" w:space="0" w:color="auto"/>
              <w:bottom w:val="single" w:sz="8" w:space="0" w:color="auto"/>
              <w:right w:val="single" w:sz="8" w:space="0" w:color="auto"/>
            </w:tcBorders>
            <w:shd w:val="clear" w:color="auto" w:fill="244062"/>
            <w:vAlign w:val="center"/>
            <w:hideMark/>
          </w:tcPr>
          <w:p w14:paraId="7D92686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66" w:type="dxa"/>
            <w:gridSpan w:val="3"/>
            <w:tcBorders>
              <w:top w:val="single" w:sz="8" w:space="0" w:color="auto"/>
              <w:left w:val="nil"/>
              <w:bottom w:val="single" w:sz="8" w:space="0" w:color="auto"/>
              <w:right w:val="single" w:sz="8" w:space="0" w:color="000000"/>
            </w:tcBorders>
            <w:vAlign w:val="center"/>
            <w:hideMark/>
          </w:tcPr>
          <w:p w14:paraId="74BC48ED" w14:textId="77777777" w:rsidR="00614438" w:rsidRPr="00AA7A53" w:rsidRDefault="00614438" w:rsidP="00AA7A53">
            <w:pPr>
              <w:numPr>
                <w:ilvl w:val="0"/>
                <w:numId w:val="168"/>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Law</w:t>
            </w:r>
          </w:p>
          <w:p w14:paraId="7646A2B5" w14:textId="6AEC09E2" w:rsidR="00614438" w:rsidRPr="00AA7A53" w:rsidRDefault="00614438" w:rsidP="00AA7A53">
            <w:pPr>
              <w:numPr>
                <w:ilvl w:val="0"/>
                <w:numId w:val="168"/>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Grid Code of </w:t>
            </w:r>
            <w:r w:rsidR="004904A1" w:rsidRPr="00AA7A53">
              <w:rPr>
                <w:rFonts w:ascii="Times New Roman" w:hAnsi="Times New Roman" w:cs="Times New Roman"/>
                <w:sz w:val="20"/>
                <w:szCs w:val="20"/>
              </w:rPr>
              <w:t xml:space="preserve">PE </w:t>
            </w:r>
            <w:r w:rsidRPr="00AA7A53">
              <w:rPr>
                <w:rFonts w:ascii="Times New Roman" w:hAnsi="Times New Roman" w:cs="Times New Roman"/>
                <w:sz w:val="20"/>
                <w:szCs w:val="20"/>
              </w:rPr>
              <w:t>Srbijagas</w:t>
            </w:r>
          </w:p>
        </w:tc>
        <w:tc>
          <w:tcPr>
            <w:tcW w:w="1212" w:type="dxa"/>
            <w:vAlign w:val="center"/>
            <w:hideMark/>
          </w:tcPr>
          <w:p w14:paraId="0EDCE847"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9607245" w14:textId="77777777" w:rsidTr="00614438">
        <w:trPr>
          <w:trHeight w:val="315"/>
        </w:trPr>
        <w:tc>
          <w:tcPr>
            <w:tcW w:w="3222" w:type="dxa"/>
            <w:tcBorders>
              <w:top w:val="nil"/>
              <w:left w:val="single" w:sz="8" w:space="0" w:color="auto"/>
              <w:bottom w:val="single" w:sz="8" w:space="0" w:color="auto"/>
              <w:right w:val="single" w:sz="8" w:space="0" w:color="auto"/>
            </w:tcBorders>
            <w:shd w:val="clear" w:color="auto" w:fill="244062"/>
            <w:vAlign w:val="center"/>
            <w:hideMark/>
          </w:tcPr>
          <w:p w14:paraId="43C2F0E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66" w:type="dxa"/>
            <w:gridSpan w:val="3"/>
            <w:tcBorders>
              <w:top w:val="single" w:sz="8" w:space="0" w:color="auto"/>
              <w:left w:val="nil"/>
              <w:bottom w:val="single" w:sz="8" w:space="0" w:color="auto"/>
              <w:right w:val="single" w:sz="8" w:space="0" w:color="000000"/>
            </w:tcBorders>
            <w:vAlign w:val="center"/>
            <w:hideMark/>
          </w:tcPr>
          <w:p w14:paraId="28A0FF6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0.2 M€</w:t>
            </w:r>
          </w:p>
        </w:tc>
        <w:tc>
          <w:tcPr>
            <w:tcW w:w="1212" w:type="dxa"/>
            <w:vAlign w:val="center"/>
            <w:hideMark/>
          </w:tcPr>
          <w:p w14:paraId="4373B7D6"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0713EE7" w14:textId="77777777" w:rsidTr="00614438">
        <w:trPr>
          <w:trHeight w:val="315"/>
        </w:trPr>
        <w:tc>
          <w:tcPr>
            <w:tcW w:w="3222" w:type="dxa"/>
            <w:tcBorders>
              <w:top w:val="nil"/>
              <w:left w:val="single" w:sz="8" w:space="0" w:color="auto"/>
              <w:bottom w:val="single" w:sz="8" w:space="0" w:color="auto"/>
              <w:right w:val="single" w:sz="8" w:space="0" w:color="auto"/>
            </w:tcBorders>
            <w:shd w:val="clear" w:color="auto" w:fill="244062"/>
            <w:vAlign w:val="center"/>
            <w:hideMark/>
          </w:tcPr>
          <w:p w14:paraId="140C9FA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Financing source(s)</w:t>
            </w:r>
          </w:p>
        </w:tc>
        <w:tc>
          <w:tcPr>
            <w:tcW w:w="6266" w:type="dxa"/>
            <w:gridSpan w:val="3"/>
            <w:tcBorders>
              <w:top w:val="single" w:sz="8" w:space="0" w:color="auto"/>
              <w:left w:val="nil"/>
              <w:bottom w:val="single" w:sz="8" w:space="0" w:color="auto"/>
              <w:right w:val="single" w:sz="8" w:space="0" w:color="000000"/>
            </w:tcBorders>
            <w:vAlign w:val="center"/>
            <w:hideMark/>
          </w:tcPr>
          <w:p w14:paraId="43549FC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1212" w:type="dxa"/>
            <w:vAlign w:val="center"/>
            <w:hideMark/>
          </w:tcPr>
          <w:p w14:paraId="20838425" w14:textId="77777777" w:rsidR="00614438" w:rsidRPr="00AA7A53" w:rsidRDefault="00614438" w:rsidP="00AA7A53">
            <w:pPr>
              <w:spacing w:after="0"/>
              <w:jc w:val="both"/>
              <w:rPr>
                <w:rFonts w:ascii="Times New Roman" w:hAnsi="Times New Roman" w:cs="Times New Roman"/>
                <w:sz w:val="20"/>
                <w:szCs w:val="20"/>
                <w:lang w:val="en-GB"/>
              </w:rPr>
            </w:pPr>
          </w:p>
        </w:tc>
      </w:tr>
    </w:tbl>
    <w:p w14:paraId="43871E5A"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27"/>
        <w:gridCol w:w="1309"/>
        <w:gridCol w:w="923"/>
        <w:gridCol w:w="4029"/>
        <w:gridCol w:w="1212"/>
      </w:tblGrid>
      <w:tr w:rsidR="00614438" w:rsidRPr="00AA7A53" w14:paraId="5290B8A5" w14:textId="77777777" w:rsidTr="00614438">
        <w:trPr>
          <w:gridAfter w:val="1"/>
          <w:wAfter w:w="1212" w:type="dxa"/>
          <w:trHeight w:val="780"/>
        </w:trPr>
        <w:tc>
          <w:tcPr>
            <w:tcW w:w="322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1A4350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309" w:type="dxa"/>
            <w:tcBorders>
              <w:top w:val="single" w:sz="8" w:space="0" w:color="auto"/>
              <w:left w:val="nil"/>
              <w:bottom w:val="single" w:sz="8" w:space="0" w:color="auto"/>
              <w:right w:val="single" w:sz="8" w:space="0" w:color="auto"/>
            </w:tcBorders>
            <w:shd w:val="clear" w:color="auto" w:fill="E7E6E6" w:themeFill="background2"/>
            <w:vAlign w:val="center"/>
            <w:hideMark/>
          </w:tcPr>
          <w:p w14:paraId="0393B26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PM_IEM10</w:t>
            </w:r>
          </w:p>
        </w:tc>
        <w:tc>
          <w:tcPr>
            <w:tcW w:w="923" w:type="dxa"/>
            <w:tcBorders>
              <w:top w:val="single" w:sz="8" w:space="0" w:color="auto"/>
              <w:left w:val="nil"/>
              <w:bottom w:val="single" w:sz="8" w:space="0" w:color="auto"/>
              <w:right w:val="single" w:sz="8" w:space="0" w:color="auto"/>
            </w:tcBorders>
            <w:shd w:val="clear" w:color="auto" w:fill="244062"/>
            <w:vAlign w:val="center"/>
            <w:hideMark/>
          </w:tcPr>
          <w:p w14:paraId="542EDC5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029" w:type="dxa"/>
            <w:tcBorders>
              <w:top w:val="single" w:sz="8" w:space="0" w:color="auto"/>
              <w:left w:val="nil"/>
              <w:bottom w:val="single" w:sz="8" w:space="0" w:color="auto"/>
              <w:right w:val="single" w:sz="8" w:space="0" w:color="auto"/>
            </w:tcBorders>
            <w:shd w:val="clear" w:color="auto" w:fill="E7E6E6" w:themeFill="background2"/>
            <w:vAlign w:val="center"/>
            <w:hideMark/>
          </w:tcPr>
          <w:p w14:paraId="24C91E00" w14:textId="11DEFD6D"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Intensify</w:t>
            </w:r>
            <w:r w:rsidR="000C3790" w:rsidRPr="00AA7A53">
              <w:rPr>
                <w:rFonts w:ascii="Times New Roman" w:hAnsi="Times New Roman" w:cs="Times New Roman"/>
                <w:sz w:val="20"/>
                <w:szCs w:val="20"/>
                <w:lang w:val="en-GB"/>
              </w:rPr>
              <w:t>ing the</w:t>
            </w:r>
            <w:r w:rsidRPr="00AA7A53">
              <w:rPr>
                <w:rFonts w:ascii="Times New Roman" w:hAnsi="Times New Roman" w:cs="Times New Roman"/>
                <w:sz w:val="20"/>
                <w:szCs w:val="20"/>
                <w:lang w:val="en-GB"/>
              </w:rPr>
              <w:t xml:space="preserve"> gasification efforts in </w:t>
            </w:r>
            <w:r w:rsidR="000C3790" w:rsidRPr="00AA7A53">
              <w:rPr>
                <w:rFonts w:ascii="Times New Roman" w:hAnsi="Times New Roman" w:cs="Times New Roman"/>
                <w:sz w:val="20"/>
                <w:szCs w:val="20"/>
                <w:lang w:val="en-GB"/>
              </w:rPr>
              <w:t xml:space="preserve">the Republic of </w:t>
            </w:r>
            <w:r w:rsidRPr="00AA7A53">
              <w:rPr>
                <w:rFonts w:ascii="Times New Roman" w:hAnsi="Times New Roman" w:cs="Times New Roman"/>
                <w:sz w:val="20"/>
                <w:szCs w:val="20"/>
                <w:lang w:val="en-GB"/>
              </w:rPr>
              <w:t>Serbia</w:t>
            </w:r>
          </w:p>
        </w:tc>
      </w:tr>
      <w:tr w:rsidR="00614438" w:rsidRPr="00AA7A53" w14:paraId="7E77DF55" w14:textId="77777777" w:rsidTr="00614438">
        <w:trPr>
          <w:gridAfter w:val="1"/>
          <w:wAfter w:w="1212" w:type="dxa"/>
          <w:trHeight w:val="563"/>
        </w:trPr>
        <w:tc>
          <w:tcPr>
            <w:tcW w:w="3227" w:type="dxa"/>
            <w:tcBorders>
              <w:top w:val="nil"/>
              <w:left w:val="single" w:sz="8" w:space="0" w:color="auto"/>
              <w:bottom w:val="single" w:sz="8" w:space="0" w:color="auto"/>
              <w:right w:val="nil"/>
            </w:tcBorders>
            <w:shd w:val="clear" w:color="auto" w:fill="244062"/>
            <w:vAlign w:val="center"/>
            <w:hideMark/>
          </w:tcPr>
          <w:p w14:paraId="1508793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61" w:type="dxa"/>
            <w:gridSpan w:val="3"/>
            <w:tcBorders>
              <w:top w:val="single" w:sz="8" w:space="0" w:color="auto"/>
              <w:left w:val="nil"/>
              <w:bottom w:val="single" w:sz="8" w:space="0" w:color="auto"/>
              <w:right w:val="single" w:sz="8" w:space="0" w:color="000000"/>
            </w:tcBorders>
            <w:vAlign w:val="center"/>
            <w:hideMark/>
          </w:tcPr>
          <w:p w14:paraId="011E322F" w14:textId="32ACE6D6"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Infrastructure at </w:t>
            </w:r>
            <w:r w:rsidR="000C3790" w:rsidRPr="00AA7A53">
              <w:rPr>
                <w:rFonts w:ascii="Times New Roman" w:hAnsi="Times New Roman" w:cs="Times New Roman"/>
                <w:sz w:val="20"/>
                <w:szCs w:val="20"/>
                <w:lang w:val="en-GB"/>
              </w:rPr>
              <w:t xml:space="preserve">the </w:t>
            </w:r>
            <w:r w:rsidRPr="00AA7A53">
              <w:rPr>
                <w:rFonts w:ascii="Times New Roman" w:hAnsi="Times New Roman" w:cs="Times New Roman"/>
                <w:sz w:val="20"/>
                <w:szCs w:val="20"/>
                <w:lang w:val="en-GB"/>
              </w:rPr>
              <w:t>distribution level</w:t>
            </w:r>
          </w:p>
        </w:tc>
      </w:tr>
      <w:tr w:rsidR="00614438" w:rsidRPr="00AA7A53" w14:paraId="307CF15F" w14:textId="77777777" w:rsidTr="00614438">
        <w:trPr>
          <w:gridAfter w:val="1"/>
          <w:wAfter w:w="1212" w:type="dxa"/>
          <w:trHeight w:val="315"/>
        </w:trPr>
        <w:tc>
          <w:tcPr>
            <w:tcW w:w="3227" w:type="dxa"/>
            <w:tcBorders>
              <w:top w:val="nil"/>
              <w:left w:val="single" w:sz="8" w:space="0" w:color="auto"/>
              <w:bottom w:val="single" w:sz="8" w:space="0" w:color="auto"/>
              <w:right w:val="single" w:sz="8" w:space="0" w:color="auto"/>
            </w:tcBorders>
            <w:shd w:val="clear" w:color="auto" w:fill="244062"/>
            <w:vAlign w:val="center"/>
            <w:hideMark/>
          </w:tcPr>
          <w:p w14:paraId="57BFAAC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61" w:type="dxa"/>
            <w:gridSpan w:val="3"/>
            <w:tcBorders>
              <w:top w:val="single" w:sz="8" w:space="0" w:color="auto"/>
              <w:left w:val="nil"/>
              <w:bottom w:val="single" w:sz="8" w:space="0" w:color="auto"/>
              <w:right w:val="single" w:sz="8" w:space="0" w:color="000000"/>
            </w:tcBorders>
            <w:vAlign w:val="center"/>
            <w:hideMark/>
          </w:tcPr>
          <w:p w14:paraId="6F0867A4" w14:textId="0667BE85"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Gasification at the south west part of Serbia and the south east part of </w:t>
            </w:r>
            <w:r w:rsidR="00787C5A" w:rsidRPr="00AA7A53">
              <w:rPr>
                <w:rFonts w:ascii="Times New Roman" w:hAnsi="Times New Roman" w:cs="Times New Roman"/>
                <w:sz w:val="20"/>
                <w:szCs w:val="20"/>
                <w:lang w:val="en-GB"/>
              </w:rPr>
              <w:t xml:space="preserve">the Republic of </w:t>
            </w:r>
            <w:r w:rsidRPr="00AA7A53">
              <w:rPr>
                <w:rFonts w:ascii="Times New Roman" w:hAnsi="Times New Roman" w:cs="Times New Roman"/>
                <w:sz w:val="20"/>
                <w:szCs w:val="20"/>
                <w:lang w:val="en-GB"/>
              </w:rPr>
              <w:t>Serbia, decrease of the use of other fue</w:t>
            </w:r>
            <w:r w:rsidR="00787C5A" w:rsidRPr="00AA7A53">
              <w:rPr>
                <w:rFonts w:ascii="Times New Roman" w:hAnsi="Times New Roman" w:cs="Times New Roman"/>
                <w:sz w:val="20"/>
                <w:szCs w:val="20"/>
                <w:lang w:val="en-GB"/>
              </w:rPr>
              <w:t>ls in the southern part of the R</w:t>
            </w:r>
            <w:r w:rsidRPr="00AA7A53">
              <w:rPr>
                <w:rFonts w:ascii="Times New Roman" w:hAnsi="Times New Roman" w:cs="Times New Roman"/>
                <w:sz w:val="20"/>
                <w:szCs w:val="20"/>
                <w:lang w:val="en-GB"/>
              </w:rPr>
              <w:t>epublic of Serbia</w:t>
            </w:r>
          </w:p>
        </w:tc>
      </w:tr>
      <w:tr w:rsidR="00614438" w:rsidRPr="00AA7A53" w14:paraId="5B6C30ED" w14:textId="77777777" w:rsidTr="00614438">
        <w:trPr>
          <w:gridAfter w:val="1"/>
          <w:wAfter w:w="1212" w:type="dxa"/>
          <w:trHeight w:val="738"/>
        </w:trPr>
        <w:tc>
          <w:tcPr>
            <w:tcW w:w="3227" w:type="dxa"/>
            <w:tcBorders>
              <w:top w:val="nil"/>
              <w:left w:val="single" w:sz="8" w:space="0" w:color="auto"/>
              <w:bottom w:val="single" w:sz="8" w:space="0" w:color="auto"/>
              <w:right w:val="single" w:sz="8" w:space="0" w:color="auto"/>
            </w:tcBorders>
            <w:shd w:val="clear" w:color="auto" w:fill="244062"/>
            <w:vAlign w:val="center"/>
            <w:hideMark/>
          </w:tcPr>
          <w:p w14:paraId="4444877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61" w:type="dxa"/>
            <w:gridSpan w:val="3"/>
            <w:tcBorders>
              <w:top w:val="single" w:sz="8" w:space="0" w:color="auto"/>
              <w:left w:val="nil"/>
              <w:bottom w:val="single" w:sz="8" w:space="0" w:color="auto"/>
              <w:right w:val="single" w:sz="8" w:space="0" w:color="000000"/>
            </w:tcBorders>
            <w:vAlign w:val="center"/>
            <w:hideMark/>
          </w:tcPr>
          <w:p w14:paraId="140E357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Three IPs are foreseen along the Gastrans pipeline to provide gas to the south-east areas of Serbia which currently have no access to gas infrastructure. The purpose of this measure shall be to develop a gasification plan for these regions.</w:t>
            </w:r>
          </w:p>
          <w:p w14:paraId="0026613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Any additional investment costs essential for its implementation will be subjected to thorough scrutiny within the framework of comprehensive action plans.</w:t>
            </w:r>
          </w:p>
        </w:tc>
      </w:tr>
      <w:tr w:rsidR="00614438" w:rsidRPr="00AA7A53" w14:paraId="5902C9BF" w14:textId="77777777" w:rsidTr="00614438">
        <w:trPr>
          <w:gridAfter w:val="1"/>
          <w:wAfter w:w="1212" w:type="dxa"/>
          <w:trHeight w:val="315"/>
        </w:trPr>
        <w:tc>
          <w:tcPr>
            <w:tcW w:w="3227" w:type="dxa"/>
            <w:tcBorders>
              <w:top w:val="nil"/>
              <w:left w:val="single" w:sz="8" w:space="0" w:color="auto"/>
              <w:bottom w:val="single" w:sz="8" w:space="0" w:color="auto"/>
              <w:right w:val="single" w:sz="8" w:space="0" w:color="auto"/>
            </w:tcBorders>
            <w:shd w:val="clear" w:color="auto" w:fill="244062"/>
            <w:vAlign w:val="center"/>
            <w:hideMark/>
          </w:tcPr>
          <w:p w14:paraId="609DEBE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61" w:type="dxa"/>
            <w:gridSpan w:val="3"/>
            <w:tcBorders>
              <w:top w:val="single" w:sz="8" w:space="0" w:color="auto"/>
              <w:left w:val="nil"/>
              <w:bottom w:val="single" w:sz="8" w:space="0" w:color="auto"/>
              <w:right w:val="single" w:sz="8" w:space="0" w:color="000000"/>
            </w:tcBorders>
            <w:vAlign w:val="center"/>
            <w:hideMark/>
          </w:tcPr>
          <w:p w14:paraId="25701C84" w14:textId="2D91F4D6"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787C5A"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-2025</w:t>
            </w:r>
          </w:p>
        </w:tc>
      </w:tr>
      <w:tr w:rsidR="00614438" w:rsidRPr="00AA7A53" w14:paraId="3439ED9E" w14:textId="77777777" w:rsidTr="00614438">
        <w:trPr>
          <w:gridAfter w:val="1"/>
          <w:wAfter w:w="1212" w:type="dxa"/>
          <w:trHeight w:val="315"/>
        </w:trPr>
        <w:tc>
          <w:tcPr>
            <w:tcW w:w="3227" w:type="dxa"/>
            <w:tcBorders>
              <w:top w:val="nil"/>
              <w:left w:val="single" w:sz="8" w:space="0" w:color="auto"/>
              <w:bottom w:val="single" w:sz="8" w:space="0" w:color="auto"/>
              <w:right w:val="single" w:sz="8" w:space="0" w:color="auto"/>
            </w:tcBorders>
            <w:shd w:val="clear" w:color="auto" w:fill="244062"/>
            <w:vAlign w:val="center"/>
            <w:hideMark/>
          </w:tcPr>
          <w:p w14:paraId="5B027D6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61" w:type="dxa"/>
            <w:gridSpan w:val="3"/>
            <w:tcBorders>
              <w:top w:val="single" w:sz="8" w:space="0" w:color="auto"/>
              <w:left w:val="nil"/>
              <w:bottom w:val="single" w:sz="8" w:space="0" w:color="auto"/>
              <w:right w:val="single" w:sz="8" w:space="0" w:color="000000"/>
            </w:tcBorders>
            <w:vAlign w:val="center"/>
            <w:hideMark/>
          </w:tcPr>
          <w:p w14:paraId="0991AA2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5C6488BA" w14:textId="77777777" w:rsidTr="00614438">
        <w:trPr>
          <w:gridAfter w:val="1"/>
          <w:wAfter w:w="1212" w:type="dxa"/>
          <w:trHeight w:val="315"/>
        </w:trPr>
        <w:tc>
          <w:tcPr>
            <w:tcW w:w="3227" w:type="dxa"/>
            <w:tcBorders>
              <w:top w:val="nil"/>
              <w:left w:val="single" w:sz="8" w:space="0" w:color="auto"/>
              <w:bottom w:val="single" w:sz="8" w:space="0" w:color="auto"/>
              <w:right w:val="single" w:sz="8" w:space="0" w:color="auto"/>
            </w:tcBorders>
            <w:shd w:val="clear" w:color="auto" w:fill="244062"/>
            <w:vAlign w:val="center"/>
            <w:hideMark/>
          </w:tcPr>
          <w:p w14:paraId="2D5D908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61" w:type="dxa"/>
            <w:gridSpan w:val="3"/>
            <w:tcBorders>
              <w:top w:val="single" w:sz="8" w:space="0" w:color="auto"/>
              <w:left w:val="nil"/>
              <w:bottom w:val="single" w:sz="8" w:space="0" w:color="auto"/>
              <w:right w:val="single" w:sz="8" w:space="0" w:color="000000"/>
            </w:tcBorders>
            <w:vAlign w:val="center"/>
            <w:hideMark/>
          </w:tcPr>
          <w:p w14:paraId="797D70F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Gas</w:t>
            </w:r>
          </w:p>
        </w:tc>
      </w:tr>
      <w:tr w:rsidR="00614438" w:rsidRPr="00AA7A53" w14:paraId="4E5622ED" w14:textId="77777777" w:rsidTr="00614438">
        <w:trPr>
          <w:gridAfter w:val="1"/>
          <w:wAfter w:w="1212" w:type="dxa"/>
          <w:trHeight w:val="315"/>
        </w:trPr>
        <w:tc>
          <w:tcPr>
            <w:tcW w:w="3227" w:type="dxa"/>
            <w:tcBorders>
              <w:top w:val="nil"/>
              <w:left w:val="single" w:sz="8" w:space="0" w:color="auto"/>
              <w:bottom w:val="single" w:sz="8" w:space="0" w:color="auto"/>
              <w:right w:val="single" w:sz="8" w:space="0" w:color="auto"/>
            </w:tcBorders>
            <w:shd w:val="clear" w:color="auto" w:fill="244062"/>
            <w:vAlign w:val="center"/>
            <w:hideMark/>
          </w:tcPr>
          <w:p w14:paraId="17DE3A4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61" w:type="dxa"/>
            <w:gridSpan w:val="3"/>
            <w:tcBorders>
              <w:top w:val="single" w:sz="8" w:space="0" w:color="auto"/>
              <w:left w:val="nil"/>
              <w:bottom w:val="single" w:sz="8" w:space="0" w:color="auto"/>
              <w:right w:val="single" w:sz="8" w:space="0" w:color="000000"/>
            </w:tcBorders>
            <w:vAlign w:val="center"/>
            <w:hideMark/>
          </w:tcPr>
          <w:p w14:paraId="436EDFE1" w14:textId="5C23305C" w:rsidR="00614438" w:rsidRPr="00AA7A53" w:rsidRDefault="00787C5A" w:rsidP="00AA7A53">
            <w:pPr>
              <w:numPr>
                <w:ilvl w:val="0"/>
                <w:numId w:val="169"/>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PE “Srbijagas”, </w:t>
            </w:r>
            <w:r w:rsidR="00614438" w:rsidRPr="00AA7A53">
              <w:rPr>
                <w:rFonts w:ascii="Times New Roman" w:hAnsi="Times New Roman" w:cs="Times New Roman"/>
                <w:sz w:val="20"/>
                <w:szCs w:val="20"/>
              </w:rPr>
              <w:t>Transportgas</w:t>
            </w:r>
            <w:r w:rsidRPr="00AA7A53">
              <w:rPr>
                <w:rFonts w:ascii="Times New Roman" w:hAnsi="Times New Roman" w:cs="Times New Roman"/>
                <w:sz w:val="20"/>
                <w:szCs w:val="20"/>
              </w:rPr>
              <w:t xml:space="preserve"> Srbij altd.</w:t>
            </w:r>
          </w:p>
          <w:p w14:paraId="0F8FA105" w14:textId="0C990566" w:rsidR="00614438" w:rsidRPr="00AA7A53" w:rsidRDefault="00614438" w:rsidP="00AA7A53">
            <w:pPr>
              <w:numPr>
                <w:ilvl w:val="0"/>
                <w:numId w:val="169"/>
              </w:numPr>
              <w:spacing w:after="0"/>
              <w:jc w:val="both"/>
              <w:rPr>
                <w:rFonts w:ascii="Times New Roman" w:hAnsi="Times New Roman" w:cs="Times New Roman"/>
                <w:sz w:val="20"/>
                <w:szCs w:val="20"/>
              </w:rPr>
            </w:pPr>
            <w:r w:rsidRPr="00AA7A53">
              <w:rPr>
                <w:rFonts w:ascii="Times New Roman" w:hAnsi="Times New Roman" w:cs="Times New Roman"/>
                <w:sz w:val="20"/>
                <w:szCs w:val="20"/>
              </w:rPr>
              <w:t>P</w:t>
            </w:r>
            <w:r w:rsidR="00787C5A" w:rsidRPr="00AA7A53">
              <w:rPr>
                <w:rFonts w:ascii="Times New Roman" w:hAnsi="Times New Roman" w:cs="Times New Roman"/>
                <w:sz w:val="20"/>
                <w:szCs w:val="20"/>
              </w:rPr>
              <w:t>E</w:t>
            </w:r>
            <w:r w:rsidRPr="00AA7A53">
              <w:rPr>
                <w:rFonts w:ascii="Times New Roman" w:hAnsi="Times New Roman" w:cs="Times New Roman"/>
                <w:sz w:val="20"/>
                <w:szCs w:val="20"/>
              </w:rPr>
              <w:t xml:space="preserve"> Srbijagas</w:t>
            </w:r>
          </w:p>
          <w:p w14:paraId="1420EDF9" w14:textId="35C5B258" w:rsidR="00614438" w:rsidRPr="00AA7A53" w:rsidRDefault="00614438" w:rsidP="00AA7A53">
            <w:pPr>
              <w:numPr>
                <w:ilvl w:val="0"/>
                <w:numId w:val="169"/>
              </w:numPr>
              <w:spacing w:after="0"/>
              <w:jc w:val="both"/>
              <w:rPr>
                <w:rFonts w:ascii="Times New Roman" w:hAnsi="Times New Roman" w:cs="Times New Roman"/>
                <w:sz w:val="20"/>
                <w:szCs w:val="20"/>
              </w:rPr>
            </w:pPr>
            <w:r w:rsidRPr="00AA7A53">
              <w:rPr>
                <w:rFonts w:ascii="Times New Roman" w:hAnsi="Times New Roman" w:cs="Times New Roman"/>
                <w:sz w:val="20"/>
                <w:szCs w:val="20"/>
              </w:rPr>
              <w:t>Jugorozgas</w:t>
            </w:r>
            <w:r w:rsidR="00787C5A" w:rsidRPr="00AA7A53">
              <w:rPr>
                <w:rFonts w:ascii="Times New Roman" w:hAnsi="Times New Roman" w:cs="Times New Roman"/>
                <w:sz w:val="20"/>
                <w:szCs w:val="20"/>
              </w:rPr>
              <w:t xml:space="preserve"> JSC</w:t>
            </w:r>
          </w:p>
        </w:tc>
      </w:tr>
      <w:tr w:rsidR="00614438" w:rsidRPr="00AA7A53" w14:paraId="19BB2AC9" w14:textId="77777777" w:rsidTr="00614438">
        <w:trPr>
          <w:gridAfter w:val="1"/>
          <w:wAfter w:w="1212" w:type="dxa"/>
          <w:trHeight w:val="315"/>
        </w:trPr>
        <w:tc>
          <w:tcPr>
            <w:tcW w:w="3227" w:type="dxa"/>
            <w:tcBorders>
              <w:top w:val="nil"/>
              <w:left w:val="single" w:sz="8" w:space="0" w:color="auto"/>
              <w:bottom w:val="single" w:sz="8" w:space="0" w:color="auto"/>
              <w:right w:val="nil"/>
            </w:tcBorders>
            <w:shd w:val="clear" w:color="auto" w:fill="244062"/>
            <w:vAlign w:val="center"/>
            <w:hideMark/>
          </w:tcPr>
          <w:p w14:paraId="5986C42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61" w:type="dxa"/>
            <w:gridSpan w:val="3"/>
            <w:tcBorders>
              <w:top w:val="single" w:sz="8" w:space="0" w:color="auto"/>
              <w:left w:val="nil"/>
              <w:bottom w:val="single" w:sz="8" w:space="0" w:color="auto"/>
              <w:right w:val="single" w:sz="8" w:space="0" w:color="000000"/>
            </w:tcBorders>
            <w:vAlign w:val="center"/>
            <w:hideMark/>
          </w:tcPr>
          <w:p w14:paraId="221FCEC8" w14:textId="77777777" w:rsidR="00614438" w:rsidRPr="00AA7A53" w:rsidRDefault="00614438" w:rsidP="00AA7A53">
            <w:pPr>
              <w:numPr>
                <w:ilvl w:val="0"/>
                <w:numId w:val="169"/>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394C947D" w14:textId="7DE56327" w:rsidR="00614438" w:rsidRPr="00AA7A53" w:rsidRDefault="00614438" w:rsidP="00AA7A53">
            <w:pPr>
              <w:numPr>
                <w:ilvl w:val="0"/>
                <w:numId w:val="169"/>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w:t>
            </w:r>
            <w:r w:rsidR="00787C5A" w:rsidRPr="00AA7A53">
              <w:rPr>
                <w:rFonts w:ascii="Times New Roman" w:hAnsi="Times New Roman" w:cs="Times New Roman"/>
                <w:sz w:val="20"/>
                <w:szCs w:val="20"/>
              </w:rPr>
              <w:t>nsport and Infrastructure</w:t>
            </w:r>
            <w:r w:rsidRPr="00AA7A53">
              <w:rPr>
                <w:rFonts w:ascii="Times New Roman" w:hAnsi="Times New Roman" w:cs="Times New Roman"/>
                <w:sz w:val="20"/>
                <w:szCs w:val="20"/>
              </w:rPr>
              <w:t xml:space="preserve"> </w:t>
            </w:r>
            <w:r w:rsidR="00787C5A" w:rsidRPr="00AA7A53">
              <w:rPr>
                <w:rFonts w:ascii="Times New Roman" w:hAnsi="Times New Roman" w:cs="Times New Roman"/>
                <w:sz w:val="20"/>
                <w:szCs w:val="20"/>
              </w:rPr>
              <w:t xml:space="preserve">and </w:t>
            </w:r>
            <w:r w:rsidRPr="00AA7A53">
              <w:rPr>
                <w:rFonts w:ascii="Times New Roman" w:hAnsi="Times New Roman" w:cs="Times New Roman"/>
                <w:sz w:val="20"/>
                <w:szCs w:val="20"/>
              </w:rPr>
              <w:t>Local Self-Government</w:t>
            </w:r>
            <w:r w:rsidR="00787C5A" w:rsidRPr="00AA7A53">
              <w:rPr>
                <w:rFonts w:ascii="Times New Roman" w:hAnsi="Times New Roman" w:cs="Times New Roman"/>
                <w:sz w:val="20"/>
                <w:szCs w:val="20"/>
              </w:rPr>
              <w:t xml:space="preserve"> units</w:t>
            </w:r>
          </w:p>
          <w:p w14:paraId="49E96457" w14:textId="77777777" w:rsidR="00614438" w:rsidRPr="00AA7A53" w:rsidRDefault="00614438" w:rsidP="00AA7A53">
            <w:pPr>
              <w:numPr>
                <w:ilvl w:val="0"/>
                <w:numId w:val="169"/>
              </w:numPr>
              <w:spacing w:after="0"/>
              <w:jc w:val="both"/>
              <w:rPr>
                <w:rFonts w:ascii="Times New Roman" w:hAnsi="Times New Roman" w:cs="Times New Roman"/>
                <w:sz w:val="20"/>
                <w:szCs w:val="20"/>
              </w:rPr>
            </w:pPr>
            <w:r w:rsidRPr="00AA7A53">
              <w:rPr>
                <w:rFonts w:ascii="Times New Roman" w:hAnsi="Times New Roman" w:cs="Times New Roman"/>
                <w:sz w:val="20"/>
                <w:szCs w:val="20"/>
              </w:rPr>
              <w:t>AERS</w:t>
            </w:r>
          </w:p>
        </w:tc>
      </w:tr>
      <w:tr w:rsidR="00614438" w:rsidRPr="00AA7A53" w14:paraId="77BB6E8E" w14:textId="77777777" w:rsidTr="00614438">
        <w:trPr>
          <w:gridAfter w:val="1"/>
          <w:wAfter w:w="1212" w:type="dxa"/>
          <w:trHeight w:val="315"/>
        </w:trPr>
        <w:tc>
          <w:tcPr>
            <w:tcW w:w="3227" w:type="dxa"/>
            <w:tcBorders>
              <w:top w:val="nil"/>
              <w:left w:val="single" w:sz="8" w:space="0" w:color="auto"/>
              <w:bottom w:val="single" w:sz="8" w:space="0" w:color="auto"/>
              <w:right w:val="nil"/>
            </w:tcBorders>
            <w:shd w:val="clear" w:color="auto" w:fill="244062"/>
            <w:vAlign w:val="center"/>
            <w:hideMark/>
          </w:tcPr>
          <w:p w14:paraId="3C6517F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61" w:type="dxa"/>
            <w:gridSpan w:val="3"/>
            <w:tcBorders>
              <w:top w:val="single" w:sz="8" w:space="0" w:color="auto"/>
              <w:left w:val="nil"/>
              <w:bottom w:val="single" w:sz="8" w:space="0" w:color="auto"/>
              <w:right w:val="single" w:sz="8" w:space="0" w:color="000000"/>
            </w:tcBorders>
            <w:vAlign w:val="center"/>
            <w:hideMark/>
          </w:tcPr>
          <w:p w14:paraId="0D5457D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Building and distribution licenses in new areas</w:t>
            </w:r>
          </w:p>
        </w:tc>
      </w:tr>
      <w:tr w:rsidR="00614438" w:rsidRPr="00AA7A53" w14:paraId="31B4F818" w14:textId="77777777" w:rsidTr="00614438">
        <w:trPr>
          <w:gridAfter w:val="1"/>
          <w:wAfter w:w="1212" w:type="dxa"/>
          <w:trHeight w:val="586"/>
        </w:trPr>
        <w:tc>
          <w:tcPr>
            <w:tcW w:w="3227" w:type="dxa"/>
            <w:tcBorders>
              <w:top w:val="nil"/>
              <w:left w:val="single" w:sz="8" w:space="0" w:color="auto"/>
              <w:bottom w:val="single" w:sz="8" w:space="0" w:color="auto"/>
              <w:right w:val="single" w:sz="8" w:space="0" w:color="auto"/>
            </w:tcBorders>
            <w:shd w:val="clear" w:color="auto" w:fill="244062"/>
            <w:vAlign w:val="center"/>
            <w:hideMark/>
          </w:tcPr>
          <w:p w14:paraId="6C8D436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61" w:type="dxa"/>
            <w:gridSpan w:val="3"/>
            <w:tcBorders>
              <w:top w:val="single" w:sz="8" w:space="0" w:color="auto"/>
              <w:left w:val="nil"/>
              <w:bottom w:val="single" w:sz="8" w:space="0" w:color="auto"/>
              <w:right w:val="single" w:sz="8" w:space="0" w:color="000000"/>
            </w:tcBorders>
            <w:vAlign w:val="center"/>
            <w:hideMark/>
          </w:tcPr>
          <w:p w14:paraId="025FD682" w14:textId="77777777" w:rsidR="00614438" w:rsidRPr="00AA7A53" w:rsidRDefault="00614438" w:rsidP="00AA7A53">
            <w:pPr>
              <w:numPr>
                <w:ilvl w:val="0"/>
                <w:numId w:val="169"/>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28C0923C" w14:textId="77777777" w:rsidTr="00614438">
        <w:trPr>
          <w:gridAfter w:val="1"/>
          <w:wAfter w:w="1212" w:type="dxa"/>
          <w:trHeight w:val="458"/>
        </w:trPr>
        <w:tc>
          <w:tcPr>
            <w:tcW w:w="3227" w:type="dxa"/>
            <w:vMerge w:val="restart"/>
            <w:tcBorders>
              <w:top w:val="nil"/>
              <w:left w:val="single" w:sz="8" w:space="0" w:color="auto"/>
              <w:bottom w:val="single" w:sz="8" w:space="0" w:color="000000"/>
              <w:right w:val="single" w:sz="8" w:space="0" w:color="auto"/>
            </w:tcBorders>
            <w:shd w:val="clear" w:color="auto" w:fill="244062"/>
            <w:vAlign w:val="center"/>
            <w:hideMark/>
          </w:tcPr>
          <w:p w14:paraId="069E736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6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07BE4097" w14:textId="6419BD76" w:rsidR="00614438" w:rsidRPr="00AA7A53" w:rsidRDefault="00614438" w:rsidP="00AA7A53">
            <w:pPr>
              <w:numPr>
                <w:ilvl w:val="0"/>
                <w:numId w:val="169"/>
              </w:numPr>
              <w:spacing w:after="0"/>
              <w:jc w:val="both"/>
              <w:rPr>
                <w:rFonts w:ascii="Times New Roman" w:hAnsi="Times New Roman" w:cs="Times New Roman"/>
                <w:sz w:val="20"/>
                <w:szCs w:val="20"/>
              </w:rPr>
            </w:pPr>
            <w:r w:rsidRPr="00AA7A53">
              <w:rPr>
                <w:rFonts w:ascii="Times New Roman" w:hAnsi="Times New Roman" w:cs="Times New Roman"/>
                <w:sz w:val="20"/>
                <w:szCs w:val="20"/>
              </w:rPr>
              <w:t>The measure is generally aligned with all decarbonisation actions</w:t>
            </w:r>
            <w:r w:rsidR="00787C5A" w:rsidRPr="00AA7A53">
              <w:rPr>
                <w:rFonts w:ascii="Times New Roman" w:hAnsi="Times New Roman" w:cs="Times New Roman"/>
                <w:sz w:val="20"/>
                <w:szCs w:val="20"/>
              </w:rPr>
              <w:t>,</w:t>
            </w:r>
            <w:r w:rsidRPr="00AA7A53">
              <w:rPr>
                <w:rFonts w:ascii="Times New Roman" w:hAnsi="Times New Roman" w:cs="Times New Roman"/>
                <w:sz w:val="20"/>
                <w:szCs w:val="20"/>
              </w:rPr>
              <w:t xml:space="preserve"> with natural gas being a transitional fuel</w:t>
            </w:r>
          </w:p>
        </w:tc>
      </w:tr>
      <w:tr w:rsidR="00614438" w:rsidRPr="00AA7A53" w14:paraId="54C6ECA1"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7EB6D62B"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7432FAC"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7788C3A8"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71FA645" w14:textId="77777777" w:rsidTr="00614438">
        <w:trPr>
          <w:trHeight w:val="173"/>
        </w:trPr>
        <w:tc>
          <w:tcPr>
            <w:tcW w:w="0" w:type="auto"/>
            <w:vMerge/>
            <w:tcBorders>
              <w:top w:val="nil"/>
              <w:left w:val="single" w:sz="8" w:space="0" w:color="auto"/>
              <w:bottom w:val="single" w:sz="8" w:space="0" w:color="000000"/>
              <w:right w:val="single" w:sz="8" w:space="0" w:color="auto"/>
            </w:tcBorders>
            <w:vAlign w:val="center"/>
            <w:hideMark/>
          </w:tcPr>
          <w:p w14:paraId="6E70CC34"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856E06C"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37EC810D"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147E2F70" w14:textId="77777777" w:rsidTr="00614438">
        <w:trPr>
          <w:trHeight w:val="780"/>
        </w:trPr>
        <w:tc>
          <w:tcPr>
            <w:tcW w:w="3227" w:type="dxa"/>
            <w:tcBorders>
              <w:top w:val="nil"/>
              <w:left w:val="single" w:sz="8" w:space="0" w:color="auto"/>
              <w:bottom w:val="single" w:sz="8" w:space="0" w:color="auto"/>
              <w:right w:val="single" w:sz="8" w:space="0" w:color="auto"/>
            </w:tcBorders>
            <w:shd w:val="clear" w:color="auto" w:fill="244062"/>
            <w:vAlign w:val="center"/>
            <w:hideMark/>
          </w:tcPr>
          <w:p w14:paraId="643A50A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61" w:type="dxa"/>
            <w:gridSpan w:val="3"/>
            <w:tcBorders>
              <w:top w:val="single" w:sz="8" w:space="0" w:color="auto"/>
              <w:left w:val="nil"/>
              <w:bottom w:val="single" w:sz="8" w:space="0" w:color="auto"/>
              <w:right w:val="single" w:sz="8" w:space="0" w:color="000000"/>
            </w:tcBorders>
            <w:vAlign w:val="center"/>
            <w:hideMark/>
          </w:tcPr>
          <w:p w14:paraId="2C35CBC0" w14:textId="77777777" w:rsidR="00614438" w:rsidRPr="00AA7A53" w:rsidRDefault="00614438" w:rsidP="00AA7A53">
            <w:pPr>
              <w:numPr>
                <w:ilvl w:val="0"/>
                <w:numId w:val="170"/>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Law</w:t>
            </w:r>
          </w:p>
          <w:p w14:paraId="26D6427E" w14:textId="506777A1" w:rsidR="00614438" w:rsidRPr="00AA7A53" w:rsidRDefault="00614438" w:rsidP="00AA7A53">
            <w:pPr>
              <w:numPr>
                <w:ilvl w:val="0"/>
                <w:numId w:val="170"/>
              </w:numPr>
              <w:spacing w:after="0"/>
              <w:jc w:val="both"/>
              <w:rPr>
                <w:rFonts w:ascii="Times New Roman" w:hAnsi="Times New Roman" w:cs="Times New Roman"/>
                <w:sz w:val="20"/>
                <w:szCs w:val="20"/>
              </w:rPr>
            </w:pPr>
            <w:r w:rsidRPr="00AA7A53">
              <w:rPr>
                <w:rFonts w:ascii="Times New Roman" w:hAnsi="Times New Roman" w:cs="Times New Roman"/>
                <w:sz w:val="20"/>
                <w:szCs w:val="20"/>
              </w:rPr>
              <w:t>Spatial plan of the special-purpose area of the network of main and branch gas pipelines in eastern Serbi</w:t>
            </w:r>
            <w:r w:rsidR="00787C5A" w:rsidRPr="00AA7A53">
              <w:rPr>
                <w:rFonts w:ascii="Times New Roman" w:hAnsi="Times New Roman" w:cs="Times New Roman"/>
                <w:sz w:val="20"/>
                <w:szCs w:val="20"/>
              </w:rPr>
              <w:t>a with elements of further reg</w:t>
            </w:r>
            <w:r w:rsidRPr="00AA7A53">
              <w:rPr>
                <w:rFonts w:ascii="Times New Roman" w:hAnsi="Times New Roman" w:cs="Times New Roman"/>
                <w:sz w:val="20"/>
                <w:szCs w:val="20"/>
              </w:rPr>
              <w:t>a</w:t>
            </w:r>
            <w:r w:rsidR="00787C5A" w:rsidRPr="00AA7A53">
              <w:rPr>
                <w:rFonts w:ascii="Times New Roman" w:hAnsi="Times New Roman" w:cs="Times New Roman"/>
                <w:sz w:val="20"/>
                <w:szCs w:val="20"/>
              </w:rPr>
              <w:t>lation (Öfficial Gazette of RS, no. 84/22)</w:t>
            </w:r>
          </w:p>
        </w:tc>
        <w:tc>
          <w:tcPr>
            <w:tcW w:w="1212" w:type="dxa"/>
            <w:vAlign w:val="center"/>
            <w:hideMark/>
          </w:tcPr>
          <w:p w14:paraId="04C1A907"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0AA7B12" w14:textId="77777777" w:rsidTr="00614438">
        <w:trPr>
          <w:trHeight w:val="315"/>
        </w:trPr>
        <w:tc>
          <w:tcPr>
            <w:tcW w:w="3227" w:type="dxa"/>
            <w:tcBorders>
              <w:top w:val="nil"/>
              <w:left w:val="single" w:sz="8" w:space="0" w:color="auto"/>
              <w:bottom w:val="single" w:sz="8" w:space="0" w:color="auto"/>
              <w:right w:val="single" w:sz="8" w:space="0" w:color="auto"/>
            </w:tcBorders>
            <w:shd w:val="clear" w:color="auto" w:fill="244062"/>
            <w:vAlign w:val="center"/>
            <w:hideMark/>
          </w:tcPr>
          <w:p w14:paraId="47EE908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61" w:type="dxa"/>
            <w:gridSpan w:val="3"/>
            <w:tcBorders>
              <w:top w:val="single" w:sz="8" w:space="0" w:color="auto"/>
              <w:left w:val="nil"/>
              <w:bottom w:val="single" w:sz="8" w:space="0" w:color="auto"/>
              <w:right w:val="single" w:sz="8" w:space="0" w:color="000000"/>
            </w:tcBorders>
            <w:vAlign w:val="center"/>
            <w:hideMark/>
          </w:tcPr>
          <w:p w14:paraId="262ACD9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0.2 M€</w:t>
            </w:r>
          </w:p>
        </w:tc>
        <w:tc>
          <w:tcPr>
            <w:tcW w:w="1212" w:type="dxa"/>
            <w:vAlign w:val="center"/>
            <w:hideMark/>
          </w:tcPr>
          <w:p w14:paraId="531E68E2"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4CA0A77" w14:textId="77777777" w:rsidTr="00614438">
        <w:trPr>
          <w:trHeight w:val="315"/>
        </w:trPr>
        <w:tc>
          <w:tcPr>
            <w:tcW w:w="3227" w:type="dxa"/>
            <w:tcBorders>
              <w:top w:val="nil"/>
              <w:left w:val="single" w:sz="8" w:space="0" w:color="auto"/>
              <w:bottom w:val="single" w:sz="8" w:space="0" w:color="auto"/>
              <w:right w:val="single" w:sz="8" w:space="0" w:color="auto"/>
            </w:tcBorders>
            <w:shd w:val="clear" w:color="auto" w:fill="244062"/>
            <w:vAlign w:val="center"/>
            <w:hideMark/>
          </w:tcPr>
          <w:p w14:paraId="37403AA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61" w:type="dxa"/>
            <w:gridSpan w:val="3"/>
            <w:tcBorders>
              <w:top w:val="single" w:sz="8" w:space="0" w:color="auto"/>
              <w:left w:val="nil"/>
              <w:bottom w:val="single" w:sz="8" w:space="0" w:color="auto"/>
              <w:right w:val="single" w:sz="8" w:space="0" w:color="000000"/>
            </w:tcBorders>
            <w:vAlign w:val="center"/>
            <w:hideMark/>
          </w:tcPr>
          <w:p w14:paraId="36160B3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1212" w:type="dxa"/>
            <w:vAlign w:val="center"/>
            <w:hideMark/>
          </w:tcPr>
          <w:p w14:paraId="06B8A622" w14:textId="77777777" w:rsidR="00614438" w:rsidRPr="00AA7A53" w:rsidRDefault="00614438" w:rsidP="00AA7A53">
            <w:pPr>
              <w:spacing w:after="0"/>
              <w:jc w:val="both"/>
              <w:rPr>
                <w:rFonts w:ascii="Times New Roman" w:hAnsi="Times New Roman" w:cs="Times New Roman"/>
                <w:sz w:val="20"/>
                <w:szCs w:val="20"/>
                <w:lang w:val="en-GB"/>
              </w:rPr>
            </w:pPr>
          </w:p>
        </w:tc>
      </w:tr>
    </w:tbl>
    <w:p w14:paraId="06006634"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21"/>
        <w:gridCol w:w="1309"/>
        <w:gridCol w:w="921"/>
        <w:gridCol w:w="4037"/>
        <w:gridCol w:w="1212"/>
      </w:tblGrid>
      <w:tr w:rsidR="00614438" w:rsidRPr="00AA7A53" w14:paraId="1AB2C5CE" w14:textId="77777777" w:rsidTr="00614438">
        <w:trPr>
          <w:gridAfter w:val="1"/>
          <w:wAfter w:w="1212" w:type="dxa"/>
          <w:trHeight w:val="780"/>
        </w:trPr>
        <w:tc>
          <w:tcPr>
            <w:tcW w:w="3221"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585D8CD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309" w:type="dxa"/>
            <w:tcBorders>
              <w:top w:val="single" w:sz="8" w:space="0" w:color="auto"/>
              <w:left w:val="nil"/>
              <w:bottom w:val="single" w:sz="8" w:space="0" w:color="auto"/>
              <w:right w:val="single" w:sz="8" w:space="0" w:color="auto"/>
            </w:tcBorders>
            <w:shd w:val="clear" w:color="auto" w:fill="E7E6E6" w:themeFill="background2"/>
            <w:vAlign w:val="center"/>
            <w:hideMark/>
          </w:tcPr>
          <w:p w14:paraId="17F0030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PM_IEM29</w:t>
            </w:r>
          </w:p>
        </w:tc>
        <w:tc>
          <w:tcPr>
            <w:tcW w:w="921" w:type="dxa"/>
            <w:tcBorders>
              <w:top w:val="single" w:sz="8" w:space="0" w:color="auto"/>
              <w:left w:val="nil"/>
              <w:bottom w:val="single" w:sz="8" w:space="0" w:color="auto"/>
              <w:right w:val="single" w:sz="8" w:space="0" w:color="auto"/>
            </w:tcBorders>
            <w:shd w:val="clear" w:color="auto" w:fill="244062"/>
            <w:vAlign w:val="center"/>
            <w:hideMark/>
          </w:tcPr>
          <w:p w14:paraId="6DB1A40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037" w:type="dxa"/>
            <w:tcBorders>
              <w:top w:val="single" w:sz="8" w:space="0" w:color="auto"/>
              <w:left w:val="nil"/>
              <w:bottom w:val="single" w:sz="8" w:space="0" w:color="auto"/>
              <w:right w:val="single" w:sz="8" w:space="0" w:color="auto"/>
            </w:tcBorders>
            <w:shd w:val="clear" w:color="auto" w:fill="E7E6E6" w:themeFill="background2"/>
            <w:vAlign w:val="center"/>
            <w:hideMark/>
          </w:tcPr>
          <w:p w14:paraId="52EE4AA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Development of regulatory framework for biomethane</w:t>
            </w:r>
          </w:p>
        </w:tc>
      </w:tr>
      <w:tr w:rsidR="00614438" w:rsidRPr="00AA7A53" w14:paraId="7DE4610F" w14:textId="77777777" w:rsidTr="00614438">
        <w:trPr>
          <w:gridAfter w:val="1"/>
          <w:wAfter w:w="1212" w:type="dxa"/>
          <w:trHeight w:val="469"/>
        </w:trPr>
        <w:tc>
          <w:tcPr>
            <w:tcW w:w="3221" w:type="dxa"/>
            <w:tcBorders>
              <w:top w:val="nil"/>
              <w:left w:val="single" w:sz="8" w:space="0" w:color="auto"/>
              <w:bottom w:val="single" w:sz="8" w:space="0" w:color="auto"/>
              <w:right w:val="nil"/>
            </w:tcBorders>
            <w:shd w:val="clear" w:color="auto" w:fill="244062"/>
            <w:vAlign w:val="center"/>
            <w:hideMark/>
          </w:tcPr>
          <w:p w14:paraId="575B413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67" w:type="dxa"/>
            <w:gridSpan w:val="3"/>
            <w:tcBorders>
              <w:top w:val="single" w:sz="8" w:space="0" w:color="auto"/>
              <w:left w:val="nil"/>
              <w:bottom w:val="single" w:sz="8" w:space="0" w:color="auto"/>
              <w:right w:val="single" w:sz="8" w:space="0" w:color="000000"/>
            </w:tcBorders>
            <w:vAlign w:val="center"/>
            <w:hideMark/>
          </w:tcPr>
          <w:p w14:paraId="62E1722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Consumer protection and improvement of competition, reduction of carbon footprint</w:t>
            </w:r>
          </w:p>
        </w:tc>
      </w:tr>
      <w:tr w:rsidR="00614438" w:rsidRPr="00AA7A53" w14:paraId="526F8D9B" w14:textId="77777777" w:rsidTr="00614438">
        <w:trPr>
          <w:gridAfter w:val="1"/>
          <w:wAfter w:w="1212" w:type="dxa"/>
          <w:trHeight w:val="315"/>
        </w:trPr>
        <w:tc>
          <w:tcPr>
            <w:tcW w:w="3221" w:type="dxa"/>
            <w:tcBorders>
              <w:top w:val="nil"/>
              <w:left w:val="single" w:sz="8" w:space="0" w:color="auto"/>
              <w:bottom w:val="single" w:sz="8" w:space="0" w:color="auto"/>
              <w:right w:val="single" w:sz="8" w:space="0" w:color="auto"/>
            </w:tcBorders>
            <w:shd w:val="clear" w:color="auto" w:fill="244062"/>
            <w:vAlign w:val="center"/>
            <w:hideMark/>
          </w:tcPr>
          <w:p w14:paraId="3D6C6D1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67" w:type="dxa"/>
            <w:gridSpan w:val="3"/>
            <w:tcBorders>
              <w:top w:val="single" w:sz="8" w:space="0" w:color="auto"/>
              <w:left w:val="nil"/>
              <w:bottom w:val="single" w:sz="8" w:space="0" w:color="auto"/>
              <w:right w:val="single" w:sz="8" w:space="0" w:color="000000"/>
            </w:tcBorders>
            <w:vAlign w:val="center"/>
            <w:hideMark/>
          </w:tcPr>
          <w:p w14:paraId="03A0FF5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Production of biomethane and other gases of reduced carbon content</w:t>
            </w:r>
          </w:p>
        </w:tc>
      </w:tr>
      <w:tr w:rsidR="00614438" w:rsidRPr="00AA7A53" w14:paraId="3A627A71" w14:textId="77777777" w:rsidTr="00614438">
        <w:trPr>
          <w:gridAfter w:val="1"/>
          <w:wAfter w:w="1212" w:type="dxa"/>
          <w:trHeight w:val="674"/>
        </w:trPr>
        <w:tc>
          <w:tcPr>
            <w:tcW w:w="3221" w:type="dxa"/>
            <w:tcBorders>
              <w:top w:val="nil"/>
              <w:left w:val="single" w:sz="8" w:space="0" w:color="auto"/>
              <w:bottom w:val="single" w:sz="8" w:space="0" w:color="auto"/>
              <w:right w:val="single" w:sz="8" w:space="0" w:color="auto"/>
            </w:tcBorders>
            <w:shd w:val="clear" w:color="auto" w:fill="244062"/>
            <w:vAlign w:val="center"/>
            <w:hideMark/>
          </w:tcPr>
          <w:p w14:paraId="1C98629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67" w:type="dxa"/>
            <w:gridSpan w:val="3"/>
            <w:tcBorders>
              <w:top w:val="single" w:sz="8" w:space="0" w:color="auto"/>
              <w:left w:val="nil"/>
              <w:bottom w:val="single" w:sz="8" w:space="0" w:color="auto"/>
              <w:right w:val="single" w:sz="8" w:space="0" w:color="000000"/>
            </w:tcBorders>
            <w:vAlign w:val="center"/>
            <w:hideMark/>
          </w:tcPr>
          <w:p w14:paraId="1D0A977E" w14:textId="4EBE97F4"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 preparation to address the challenges of energy transition, legal and regulatory options to promote the injection of biomethane and other gases of reduced carbon content shall be considered. Such options may</w:t>
            </w:r>
            <w:r w:rsidR="00787C5A" w:rsidRPr="00AA7A53">
              <w:rPr>
                <w:rFonts w:ascii="Times New Roman" w:hAnsi="Times New Roman" w:cs="Times New Roman"/>
                <w:sz w:val="20"/>
                <w:szCs w:val="20"/>
                <w:lang w:val="en-GB"/>
              </w:rPr>
              <w:t>, for example,</w:t>
            </w:r>
            <w:r w:rsidRPr="00AA7A53">
              <w:rPr>
                <w:rFonts w:ascii="Times New Roman" w:hAnsi="Times New Roman" w:cs="Times New Roman"/>
                <w:sz w:val="20"/>
                <w:szCs w:val="20"/>
                <w:lang w:val="en-GB"/>
              </w:rPr>
              <w:t xml:space="preserve"> include support schemes, simplification of connection rules and costs, priority at injection, simpler balancing rules.</w:t>
            </w:r>
          </w:p>
        </w:tc>
      </w:tr>
      <w:tr w:rsidR="00614438" w:rsidRPr="00AA7A53" w14:paraId="27160881" w14:textId="77777777" w:rsidTr="00614438">
        <w:trPr>
          <w:gridAfter w:val="1"/>
          <w:wAfter w:w="1212" w:type="dxa"/>
          <w:trHeight w:val="315"/>
        </w:trPr>
        <w:tc>
          <w:tcPr>
            <w:tcW w:w="3221" w:type="dxa"/>
            <w:tcBorders>
              <w:top w:val="nil"/>
              <w:left w:val="single" w:sz="8" w:space="0" w:color="auto"/>
              <w:bottom w:val="single" w:sz="8" w:space="0" w:color="auto"/>
              <w:right w:val="single" w:sz="8" w:space="0" w:color="auto"/>
            </w:tcBorders>
            <w:shd w:val="clear" w:color="auto" w:fill="244062"/>
            <w:vAlign w:val="center"/>
            <w:hideMark/>
          </w:tcPr>
          <w:p w14:paraId="6F00075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67" w:type="dxa"/>
            <w:gridSpan w:val="3"/>
            <w:tcBorders>
              <w:top w:val="single" w:sz="8" w:space="0" w:color="auto"/>
              <w:left w:val="nil"/>
              <w:bottom w:val="single" w:sz="8" w:space="0" w:color="auto"/>
              <w:right w:val="single" w:sz="8" w:space="0" w:color="000000"/>
            </w:tcBorders>
            <w:vAlign w:val="center"/>
            <w:hideMark/>
          </w:tcPr>
          <w:p w14:paraId="6F263040" w14:textId="0746EAD2"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787C5A"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007CCD99" w14:textId="77777777" w:rsidTr="00614438">
        <w:trPr>
          <w:gridAfter w:val="1"/>
          <w:wAfter w:w="1212" w:type="dxa"/>
          <w:trHeight w:val="315"/>
        </w:trPr>
        <w:tc>
          <w:tcPr>
            <w:tcW w:w="3221" w:type="dxa"/>
            <w:tcBorders>
              <w:top w:val="nil"/>
              <w:left w:val="single" w:sz="8" w:space="0" w:color="auto"/>
              <w:bottom w:val="single" w:sz="8" w:space="0" w:color="auto"/>
              <w:right w:val="single" w:sz="8" w:space="0" w:color="auto"/>
            </w:tcBorders>
            <w:shd w:val="clear" w:color="auto" w:fill="244062"/>
            <w:vAlign w:val="center"/>
            <w:hideMark/>
          </w:tcPr>
          <w:p w14:paraId="1350FD1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Type of measure</w:t>
            </w:r>
          </w:p>
        </w:tc>
        <w:tc>
          <w:tcPr>
            <w:tcW w:w="6267" w:type="dxa"/>
            <w:gridSpan w:val="3"/>
            <w:tcBorders>
              <w:top w:val="single" w:sz="8" w:space="0" w:color="auto"/>
              <w:left w:val="nil"/>
              <w:bottom w:val="single" w:sz="8" w:space="0" w:color="auto"/>
              <w:right w:val="single" w:sz="8" w:space="0" w:color="000000"/>
            </w:tcBorders>
            <w:vAlign w:val="center"/>
            <w:hideMark/>
          </w:tcPr>
          <w:p w14:paraId="2509B54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35D4D31C" w14:textId="77777777" w:rsidTr="00614438">
        <w:trPr>
          <w:gridAfter w:val="1"/>
          <w:wAfter w:w="1212" w:type="dxa"/>
          <w:trHeight w:val="315"/>
        </w:trPr>
        <w:tc>
          <w:tcPr>
            <w:tcW w:w="3221" w:type="dxa"/>
            <w:tcBorders>
              <w:top w:val="nil"/>
              <w:left w:val="single" w:sz="8" w:space="0" w:color="auto"/>
              <w:bottom w:val="single" w:sz="8" w:space="0" w:color="auto"/>
              <w:right w:val="single" w:sz="8" w:space="0" w:color="auto"/>
            </w:tcBorders>
            <w:shd w:val="clear" w:color="auto" w:fill="244062"/>
            <w:vAlign w:val="center"/>
            <w:hideMark/>
          </w:tcPr>
          <w:p w14:paraId="4EE827C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67" w:type="dxa"/>
            <w:gridSpan w:val="3"/>
            <w:tcBorders>
              <w:top w:val="single" w:sz="8" w:space="0" w:color="auto"/>
              <w:left w:val="nil"/>
              <w:bottom w:val="single" w:sz="8" w:space="0" w:color="auto"/>
              <w:right w:val="single" w:sz="8" w:space="0" w:color="000000"/>
            </w:tcBorders>
            <w:vAlign w:val="center"/>
            <w:hideMark/>
          </w:tcPr>
          <w:p w14:paraId="3B4A8B7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Gas</w:t>
            </w:r>
          </w:p>
        </w:tc>
      </w:tr>
      <w:tr w:rsidR="00614438" w:rsidRPr="00AA7A53" w14:paraId="1C46DBCC" w14:textId="77777777" w:rsidTr="00614438">
        <w:trPr>
          <w:gridAfter w:val="1"/>
          <w:wAfter w:w="1212" w:type="dxa"/>
          <w:trHeight w:val="315"/>
        </w:trPr>
        <w:tc>
          <w:tcPr>
            <w:tcW w:w="3221" w:type="dxa"/>
            <w:tcBorders>
              <w:top w:val="nil"/>
              <w:left w:val="single" w:sz="8" w:space="0" w:color="auto"/>
              <w:bottom w:val="single" w:sz="8" w:space="0" w:color="auto"/>
              <w:right w:val="single" w:sz="8" w:space="0" w:color="auto"/>
            </w:tcBorders>
            <w:shd w:val="clear" w:color="auto" w:fill="244062"/>
            <w:vAlign w:val="center"/>
            <w:hideMark/>
          </w:tcPr>
          <w:p w14:paraId="40B3973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67" w:type="dxa"/>
            <w:gridSpan w:val="3"/>
            <w:tcBorders>
              <w:top w:val="single" w:sz="8" w:space="0" w:color="auto"/>
              <w:left w:val="nil"/>
              <w:bottom w:val="single" w:sz="8" w:space="0" w:color="auto"/>
              <w:right w:val="single" w:sz="8" w:space="0" w:color="000000"/>
            </w:tcBorders>
            <w:vAlign w:val="center"/>
            <w:hideMark/>
          </w:tcPr>
          <w:p w14:paraId="44BCDBBE" w14:textId="77777777" w:rsidR="00614438" w:rsidRPr="00AA7A53" w:rsidRDefault="00614438" w:rsidP="00AA7A53">
            <w:pPr>
              <w:numPr>
                <w:ilvl w:val="0"/>
                <w:numId w:val="159"/>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3E05EC7E" w14:textId="77777777" w:rsidTr="00614438">
        <w:trPr>
          <w:gridAfter w:val="1"/>
          <w:wAfter w:w="1212" w:type="dxa"/>
          <w:trHeight w:val="315"/>
        </w:trPr>
        <w:tc>
          <w:tcPr>
            <w:tcW w:w="3221" w:type="dxa"/>
            <w:tcBorders>
              <w:top w:val="nil"/>
              <w:left w:val="single" w:sz="8" w:space="0" w:color="auto"/>
              <w:bottom w:val="single" w:sz="8" w:space="0" w:color="auto"/>
              <w:right w:val="nil"/>
            </w:tcBorders>
            <w:shd w:val="clear" w:color="auto" w:fill="244062"/>
            <w:vAlign w:val="center"/>
            <w:hideMark/>
          </w:tcPr>
          <w:p w14:paraId="656AD76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67" w:type="dxa"/>
            <w:gridSpan w:val="3"/>
            <w:tcBorders>
              <w:top w:val="single" w:sz="8" w:space="0" w:color="auto"/>
              <w:left w:val="nil"/>
              <w:bottom w:val="single" w:sz="8" w:space="0" w:color="auto"/>
              <w:right w:val="single" w:sz="8" w:space="0" w:color="000000"/>
            </w:tcBorders>
            <w:vAlign w:val="center"/>
            <w:hideMark/>
          </w:tcPr>
          <w:p w14:paraId="4ED78B40" w14:textId="77777777" w:rsidR="00614438" w:rsidRPr="00AA7A53" w:rsidRDefault="00614438" w:rsidP="00AA7A53">
            <w:pPr>
              <w:numPr>
                <w:ilvl w:val="0"/>
                <w:numId w:val="159"/>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0882DA52" w14:textId="77777777" w:rsidTr="00614438">
        <w:trPr>
          <w:gridAfter w:val="1"/>
          <w:wAfter w:w="1212" w:type="dxa"/>
          <w:trHeight w:val="315"/>
        </w:trPr>
        <w:tc>
          <w:tcPr>
            <w:tcW w:w="3221" w:type="dxa"/>
            <w:tcBorders>
              <w:top w:val="nil"/>
              <w:left w:val="single" w:sz="8" w:space="0" w:color="auto"/>
              <w:bottom w:val="single" w:sz="8" w:space="0" w:color="auto"/>
              <w:right w:val="nil"/>
            </w:tcBorders>
            <w:shd w:val="clear" w:color="auto" w:fill="244062"/>
            <w:vAlign w:val="center"/>
            <w:hideMark/>
          </w:tcPr>
          <w:p w14:paraId="044E7A3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67" w:type="dxa"/>
            <w:gridSpan w:val="3"/>
            <w:tcBorders>
              <w:top w:val="single" w:sz="8" w:space="0" w:color="auto"/>
              <w:left w:val="nil"/>
              <w:bottom w:val="single" w:sz="8" w:space="0" w:color="auto"/>
              <w:right w:val="single" w:sz="8" w:space="0" w:color="000000"/>
            </w:tcBorders>
            <w:vAlign w:val="center"/>
            <w:hideMark/>
          </w:tcPr>
          <w:p w14:paraId="51B42F2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Production of biomethane and other gases of reduced carbon content as a percentage of overall gas imports and national production</w:t>
            </w:r>
          </w:p>
        </w:tc>
      </w:tr>
      <w:tr w:rsidR="00614438" w:rsidRPr="00AA7A53" w14:paraId="09892315" w14:textId="77777777" w:rsidTr="00614438">
        <w:trPr>
          <w:gridAfter w:val="1"/>
          <w:wAfter w:w="1212" w:type="dxa"/>
          <w:trHeight w:val="528"/>
        </w:trPr>
        <w:tc>
          <w:tcPr>
            <w:tcW w:w="3221" w:type="dxa"/>
            <w:tcBorders>
              <w:top w:val="nil"/>
              <w:left w:val="single" w:sz="8" w:space="0" w:color="auto"/>
              <w:bottom w:val="single" w:sz="8" w:space="0" w:color="auto"/>
              <w:right w:val="single" w:sz="8" w:space="0" w:color="auto"/>
            </w:tcBorders>
            <w:shd w:val="clear" w:color="auto" w:fill="244062"/>
            <w:vAlign w:val="center"/>
            <w:hideMark/>
          </w:tcPr>
          <w:p w14:paraId="1EFE30C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67" w:type="dxa"/>
            <w:gridSpan w:val="3"/>
            <w:tcBorders>
              <w:top w:val="single" w:sz="8" w:space="0" w:color="auto"/>
              <w:left w:val="nil"/>
              <w:bottom w:val="single" w:sz="8" w:space="0" w:color="auto"/>
              <w:right w:val="single" w:sz="8" w:space="0" w:color="000000"/>
            </w:tcBorders>
            <w:vAlign w:val="center"/>
            <w:hideMark/>
          </w:tcPr>
          <w:p w14:paraId="18A192CB" w14:textId="77777777" w:rsidR="00614438" w:rsidRPr="00AA7A53" w:rsidRDefault="00614438" w:rsidP="00AA7A53">
            <w:pPr>
              <w:numPr>
                <w:ilvl w:val="0"/>
                <w:numId w:val="171"/>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4598E129" w14:textId="77777777" w:rsidTr="00614438">
        <w:trPr>
          <w:gridAfter w:val="1"/>
          <w:wAfter w:w="1212" w:type="dxa"/>
          <w:trHeight w:val="458"/>
        </w:trPr>
        <w:tc>
          <w:tcPr>
            <w:tcW w:w="3221" w:type="dxa"/>
            <w:vMerge w:val="restart"/>
            <w:tcBorders>
              <w:top w:val="nil"/>
              <w:left w:val="single" w:sz="8" w:space="0" w:color="auto"/>
              <w:bottom w:val="single" w:sz="8" w:space="0" w:color="000000"/>
              <w:right w:val="single" w:sz="8" w:space="0" w:color="auto"/>
            </w:tcBorders>
            <w:shd w:val="clear" w:color="auto" w:fill="244062"/>
            <w:vAlign w:val="center"/>
            <w:hideMark/>
          </w:tcPr>
          <w:p w14:paraId="6D138BF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67"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21EE1498" w14:textId="77777777" w:rsidR="00614438" w:rsidRPr="00AA7A53" w:rsidRDefault="00614438" w:rsidP="00AA7A53">
            <w:pPr>
              <w:numPr>
                <w:ilvl w:val="0"/>
                <w:numId w:val="172"/>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2009/73/EC</w:t>
            </w:r>
          </w:p>
        </w:tc>
      </w:tr>
      <w:tr w:rsidR="00614438" w:rsidRPr="00AA7A53" w14:paraId="2F0499C2"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1502C8D9"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6DFF657"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78FA2259"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81C1D93"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5E8B70D4"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6746E8D"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5BC1E286"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48512CF8" w14:textId="77777777" w:rsidTr="00614438">
        <w:trPr>
          <w:trHeight w:val="780"/>
        </w:trPr>
        <w:tc>
          <w:tcPr>
            <w:tcW w:w="3221" w:type="dxa"/>
            <w:tcBorders>
              <w:top w:val="nil"/>
              <w:left w:val="single" w:sz="8" w:space="0" w:color="auto"/>
              <w:bottom w:val="single" w:sz="8" w:space="0" w:color="auto"/>
              <w:right w:val="single" w:sz="8" w:space="0" w:color="auto"/>
            </w:tcBorders>
            <w:shd w:val="clear" w:color="auto" w:fill="244062"/>
            <w:vAlign w:val="center"/>
            <w:hideMark/>
          </w:tcPr>
          <w:p w14:paraId="29A763A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67" w:type="dxa"/>
            <w:gridSpan w:val="3"/>
            <w:tcBorders>
              <w:top w:val="single" w:sz="8" w:space="0" w:color="auto"/>
              <w:left w:val="nil"/>
              <w:bottom w:val="single" w:sz="8" w:space="0" w:color="auto"/>
              <w:right w:val="single" w:sz="8" w:space="0" w:color="000000"/>
            </w:tcBorders>
            <w:vAlign w:val="center"/>
            <w:hideMark/>
          </w:tcPr>
          <w:p w14:paraId="15A6A994" w14:textId="77777777" w:rsidR="00614438" w:rsidRPr="00AA7A53" w:rsidRDefault="00614438" w:rsidP="00AA7A53">
            <w:pPr>
              <w:numPr>
                <w:ilvl w:val="0"/>
                <w:numId w:val="173"/>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Law</w:t>
            </w:r>
          </w:p>
        </w:tc>
        <w:tc>
          <w:tcPr>
            <w:tcW w:w="1212" w:type="dxa"/>
            <w:vAlign w:val="center"/>
            <w:hideMark/>
          </w:tcPr>
          <w:p w14:paraId="35C4572D"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E175514" w14:textId="77777777" w:rsidTr="00614438">
        <w:trPr>
          <w:trHeight w:val="315"/>
        </w:trPr>
        <w:tc>
          <w:tcPr>
            <w:tcW w:w="3221" w:type="dxa"/>
            <w:tcBorders>
              <w:top w:val="nil"/>
              <w:left w:val="single" w:sz="8" w:space="0" w:color="auto"/>
              <w:bottom w:val="single" w:sz="8" w:space="0" w:color="auto"/>
              <w:right w:val="single" w:sz="8" w:space="0" w:color="auto"/>
            </w:tcBorders>
            <w:shd w:val="clear" w:color="auto" w:fill="244062"/>
            <w:vAlign w:val="center"/>
            <w:hideMark/>
          </w:tcPr>
          <w:p w14:paraId="6D36F4D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67" w:type="dxa"/>
            <w:gridSpan w:val="3"/>
            <w:tcBorders>
              <w:top w:val="single" w:sz="8" w:space="0" w:color="auto"/>
              <w:left w:val="nil"/>
              <w:bottom w:val="single" w:sz="8" w:space="0" w:color="auto"/>
              <w:right w:val="single" w:sz="8" w:space="0" w:color="000000"/>
            </w:tcBorders>
            <w:vAlign w:val="center"/>
            <w:hideMark/>
          </w:tcPr>
          <w:p w14:paraId="705BD8A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0.2 M€</w:t>
            </w:r>
          </w:p>
        </w:tc>
        <w:tc>
          <w:tcPr>
            <w:tcW w:w="1212" w:type="dxa"/>
            <w:vAlign w:val="center"/>
            <w:hideMark/>
          </w:tcPr>
          <w:p w14:paraId="0E92BAD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94B5193" w14:textId="77777777" w:rsidTr="00614438">
        <w:trPr>
          <w:trHeight w:val="315"/>
        </w:trPr>
        <w:tc>
          <w:tcPr>
            <w:tcW w:w="3221" w:type="dxa"/>
            <w:tcBorders>
              <w:top w:val="nil"/>
              <w:left w:val="single" w:sz="8" w:space="0" w:color="auto"/>
              <w:bottom w:val="single" w:sz="8" w:space="0" w:color="auto"/>
              <w:right w:val="single" w:sz="8" w:space="0" w:color="auto"/>
            </w:tcBorders>
            <w:shd w:val="clear" w:color="auto" w:fill="244062"/>
            <w:vAlign w:val="center"/>
            <w:hideMark/>
          </w:tcPr>
          <w:p w14:paraId="50279AD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67" w:type="dxa"/>
            <w:gridSpan w:val="3"/>
            <w:tcBorders>
              <w:top w:val="single" w:sz="8" w:space="0" w:color="auto"/>
              <w:left w:val="nil"/>
              <w:bottom w:val="single" w:sz="8" w:space="0" w:color="auto"/>
              <w:right w:val="single" w:sz="8" w:space="0" w:color="000000"/>
            </w:tcBorders>
            <w:vAlign w:val="center"/>
            <w:hideMark/>
          </w:tcPr>
          <w:p w14:paraId="1A6CC56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1212" w:type="dxa"/>
            <w:vAlign w:val="center"/>
            <w:hideMark/>
          </w:tcPr>
          <w:p w14:paraId="59DE1EAA" w14:textId="77777777" w:rsidR="00614438" w:rsidRPr="00AA7A53" w:rsidRDefault="00614438" w:rsidP="00AA7A53">
            <w:pPr>
              <w:spacing w:after="0"/>
              <w:jc w:val="both"/>
              <w:rPr>
                <w:rFonts w:ascii="Times New Roman" w:hAnsi="Times New Roman" w:cs="Times New Roman"/>
                <w:sz w:val="20"/>
                <w:szCs w:val="20"/>
                <w:lang w:val="en-GB"/>
              </w:rPr>
            </w:pPr>
          </w:p>
        </w:tc>
      </w:tr>
    </w:tbl>
    <w:p w14:paraId="19854ADF"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65"/>
        <w:gridCol w:w="1207"/>
        <w:gridCol w:w="931"/>
        <w:gridCol w:w="4085"/>
        <w:gridCol w:w="1212"/>
      </w:tblGrid>
      <w:tr w:rsidR="00614438" w:rsidRPr="00AA7A53" w14:paraId="1568097D" w14:textId="77777777" w:rsidTr="00614438">
        <w:trPr>
          <w:gridAfter w:val="1"/>
          <w:wAfter w:w="1212" w:type="dxa"/>
          <w:trHeight w:val="780"/>
        </w:trPr>
        <w:tc>
          <w:tcPr>
            <w:tcW w:w="3265"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996180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2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7E24247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PM_IEM30</w:t>
            </w:r>
          </w:p>
        </w:tc>
        <w:tc>
          <w:tcPr>
            <w:tcW w:w="931" w:type="dxa"/>
            <w:tcBorders>
              <w:top w:val="single" w:sz="8" w:space="0" w:color="auto"/>
              <w:left w:val="nil"/>
              <w:bottom w:val="single" w:sz="8" w:space="0" w:color="auto"/>
              <w:right w:val="single" w:sz="8" w:space="0" w:color="auto"/>
            </w:tcBorders>
            <w:shd w:val="clear" w:color="auto" w:fill="244062"/>
            <w:vAlign w:val="center"/>
            <w:hideMark/>
          </w:tcPr>
          <w:p w14:paraId="4B9819B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085" w:type="dxa"/>
            <w:tcBorders>
              <w:top w:val="single" w:sz="8" w:space="0" w:color="auto"/>
              <w:left w:val="nil"/>
              <w:bottom w:val="single" w:sz="8" w:space="0" w:color="auto"/>
              <w:right w:val="single" w:sz="8" w:space="0" w:color="auto"/>
            </w:tcBorders>
            <w:shd w:val="clear" w:color="auto" w:fill="E7E6E6" w:themeFill="background2"/>
            <w:vAlign w:val="center"/>
            <w:hideMark/>
          </w:tcPr>
          <w:p w14:paraId="251E45C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Market coupling to the Single Day Ahead Market (SDAC) </w:t>
            </w:r>
          </w:p>
        </w:tc>
      </w:tr>
      <w:tr w:rsidR="00614438" w:rsidRPr="00AA7A53" w14:paraId="68BFBBE2" w14:textId="77777777" w:rsidTr="00614438">
        <w:trPr>
          <w:gridAfter w:val="1"/>
          <w:wAfter w:w="1212" w:type="dxa"/>
          <w:trHeight w:val="443"/>
        </w:trPr>
        <w:tc>
          <w:tcPr>
            <w:tcW w:w="3265" w:type="dxa"/>
            <w:tcBorders>
              <w:top w:val="nil"/>
              <w:left w:val="single" w:sz="8" w:space="0" w:color="auto"/>
              <w:bottom w:val="single" w:sz="8" w:space="0" w:color="auto"/>
              <w:right w:val="nil"/>
            </w:tcBorders>
            <w:shd w:val="clear" w:color="auto" w:fill="244062"/>
            <w:vAlign w:val="center"/>
            <w:hideMark/>
          </w:tcPr>
          <w:p w14:paraId="5340AF3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23" w:type="dxa"/>
            <w:gridSpan w:val="3"/>
            <w:tcBorders>
              <w:top w:val="single" w:sz="8" w:space="0" w:color="auto"/>
              <w:left w:val="nil"/>
              <w:bottom w:val="single" w:sz="8" w:space="0" w:color="auto"/>
              <w:right w:val="single" w:sz="8" w:space="0" w:color="000000"/>
            </w:tcBorders>
            <w:vAlign w:val="center"/>
            <w:hideMark/>
          </w:tcPr>
          <w:p w14:paraId="738FA52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system flexibility and quality of electricity supply, in particular through policies and measures related to market-based price formation in compliance with applicable law; market integration and coupling, aiming to increase the tradeable capacity of existing interconnectors, smart grids, aggregation, demand response, storage, distributed generation, mechanisms for dispatching, re-dispatching and curtailment and real-time price signals.</w:t>
            </w:r>
          </w:p>
        </w:tc>
      </w:tr>
      <w:tr w:rsidR="00614438" w:rsidRPr="00AA7A53" w14:paraId="412967D9" w14:textId="77777777" w:rsidTr="00614438">
        <w:trPr>
          <w:gridAfter w:val="1"/>
          <w:wAfter w:w="1212" w:type="dxa"/>
          <w:trHeight w:val="315"/>
        </w:trPr>
        <w:tc>
          <w:tcPr>
            <w:tcW w:w="3265" w:type="dxa"/>
            <w:tcBorders>
              <w:top w:val="nil"/>
              <w:left w:val="single" w:sz="8" w:space="0" w:color="auto"/>
              <w:bottom w:val="single" w:sz="8" w:space="0" w:color="auto"/>
              <w:right w:val="single" w:sz="8" w:space="0" w:color="auto"/>
            </w:tcBorders>
            <w:shd w:val="clear" w:color="auto" w:fill="244062"/>
            <w:vAlign w:val="center"/>
            <w:hideMark/>
          </w:tcPr>
          <w:p w14:paraId="1E97AA8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23" w:type="dxa"/>
            <w:gridSpan w:val="3"/>
            <w:tcBorders>
              <w:top w:val="single" w:sz="8" w:space="0" w:color="auto"/>
              <w:left w:val="nil"/>
              <w:bottom w:val="single" w:sz="8" w:space="0" w:color="auto"/>
              <w:right w:val="single" w:sz="8" w:space="0" w:color="000000"/>
            </w:tcBorders>
            <w:vAlign w:val="center"/>
            <w:hideMark/>
          </w:tcPr>
          <w:p w14:paraId="3B76370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Energy Community Acquis Communautaire, increased market use of the interconnectors, price convergence with the neighbouring bidding zone, increased market-based integration of RES in the electricity mix</w:t>
            </w:r>
          </w:p>
        </w:tc>
      </w:tr>
      <w:tr w:rsidR="00614438" w:rsidRPr="00AA7A53" w14:paraId="4A5509B4" w14:textId="77777777" w:rsidTr="00614438">
        <w:trPr>
          <w:gridAfter w:val="1"/>
          <w:wAfter w:w="1212" w:type="dxa"/>
          <w:trHeight w:val="443"/>
        </w:trPr>
        <w:tc>
          <w:tcPr>
            <w:tcW w:w="3265" w:type="dxa"/>
            <w:tcBorders>
              <w:top w:val="nil"/>
              <w:left w:val="single" w:sz="8" w:space="0" w:color="auto"/>
              <w:bottom w:val="single" w:sz="8" w:space="0" w:color="auto"/>
              <w:right w:val="single" w:sz="8" w:space="0" w:color="auto"/>
            </w:tcBorders>
            <w:shd w:val="clear" w:color="auto" w:fill="244062"/>
            <w:vAlign w:val="center"/>
            <w:hideMark/>
          </w:tcPr>
          <w:p w14:paraId="6C81D00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23" w:type="dxa"/>
            <w:gridSpan w:val="3"/>
            <w:tcBorders>
              <w:top w:val="single" w:sz="8" w:space="0" w:color="auto"/>
              <w:left w:val="nil"/>
              <w:bottom w:val="single" w:sz="8" w:space="0" w:color="auto"/>
              <w:right w:val="single" w:sz="8" w:space="0" w:color="000000"/>
            </w:tcBorders>
            <w:vAlign w:val="center"/>
            <w:hideMark/>
          </w:tcPr>
          <w:p w14:paraId="4B16F22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PM_IEM30 aims to further integrate the Serbian Day Ahead Market with the European Single Day-Ahead Coupling (SDAC). SDAC is to create a single pan European regional day-ahead electricity market. An integrated day-ahead market increases the overall efficiency of trading by promoting effective competition, increasing liquidity and enabling a more efficient utilisation of generation resources across Europe. Interim Coupling project aims to connect the 4M MC (Czech-Slovak-Hungarian-Romanian market coupling) with the Multi-Regional Coupling (MRC) by introducing Net Transmission Capacity (NTC) based implicit capacity allocation on six new borders: PL-DE, PL-CZ, PL-SK, CZ-DE, CZ-AT, HU-AT. The project represents an important step towards the extension of the European Single Day-Ahead Coupling foreseen by Regulation 2015/1222 (guideline on Capacity Allocation and Congestion Management/CACM). </w:t>
            </w:r>
          </w:p>
        </w:tc>
      </w:tr>
      <w:tr w:rsidR="00614438" w:rsidRPr="00AA7A53" w14:paraId="6DC6807D" w14:textId="77777777" w:rsidTr="00614438">
        <w:trPr>
          <w:gridAfter w:val="1"/>
          <w:wAfter w:w="1212" w:type="dxa"/>
          <w:trHeight w:val="315"/>
        </w:trPr>
        <w:tc>
          <w:tcPr>
            <w:tcW w:w="3265" w:type="dxa"/>
            <w:tcBorders>
              <w:top w:val="nil"/>
              <w:left w:val="single" w:sz="8" w:space="0" w:color="auto"/>
              <w:bottom w:val="single" w:sz="8" w:space="0" w:color="auto"/>
              <w:right w:val="single" w:sz="8" w:space="0" w:color="auto"/>
            </w:tcBorders>
            <w:shd w:val="clear" w:color="auto" w:fill="244062"/>
            <w:vAlign w:val="center"/>
            <w:hideMark/>
          </w:tcPr>
          <w:p w14:paraId="3B620D1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23" w:type="dxa"/>
            <w:gridSpan w:val="3"/>
            <w:tcBorders>
              <w:top w:val="single" w:sz="8" w:space="0" w:color="auto"/>
              <w:left w:val="nil"/>
              <w:bottom w:val="single" w:sz="8" w:space="0" w:color="auto"/>
              <w:right w:val="single" w:sz="8" w:space="0" w:color="000000"/>
            </w:tcBorders>
            <w:vAlign w:val="center"/>
            <w:hideMark/>
          </w:tcPr>
          <w:p w14:paraId="3B9C1460" w14:textId="2FE516EE"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787C5A"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308FA683" w14:textId="77777777" w:rsidTr="00614438">
        <w:trPr>
          <w:gridAfter w:val="1"/>
          <w:wAfter w:w="1212" w:type="dxa"/>
          <w:trHeight w:val="315"/>
        </w:trPr>
        <w:tc>
          <w:tcPr>
            <w:tcW w:w="3265" w:type="dxa"/>
            <w:tcBorders>
              <w:top w:val="nil"/>
              <w:left w:val="single" w:sz="8" w:space="0" w:color="auto"/>
              <w:bottom w:val="single" w:sz="8" w:space="0" w:color="auto"/>
              <w:right w:val="single" w:sz="8" w:space="0" w:color="auto"/>
            </w:tcBorders>
            <w:shd w:val="clear" w:color="auto" w:fill="244062"/>
            <w:vAlign w:val="center"/>
            <w:hideMark/>
          </w:tcPr>
          <w:p w14:paraId="733C1E8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23" w:type="dxa"/>
            <w:gridSpan w:val="3"/>
            <w:tcBorders>
              <w:top w:val="single" w:sz="8" w:space="0" w:color="auto"/>
              <w:left w:val="nil"/>
              <w:bottom w:val="single" w:sz="8" w:space="0" w:color="auto"/>
              <w:right w:val="single" w:sz="8" w:space="0" w:color="000000"/>
            </w:tcBorders>
            <w:vAlign w:val="center"/>
            <w:hideMark/>
          </w:tcPr>
          <w:p w14:paraId="646C79F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788C3139" w14:textId="77777777" w:rsidTr="00614438">
        <w:trPr>
          <w:gridAfter w:val="1"/>
          <w:wAfter w:w="1212" w:type="dxa"/>
          <w:trHeight w:val="315"/>
        </w:trPr>
        <w:tc>
          <w:tcPr>
            <w:tcW w:w="3265" w:type="dxa"/>
            <w:tcBorders>
              <w:top w:val="nil"/>
              <w:left w:val="single" w:sz="8" w:space="0" w:color="auto"/>
              <w:bottom w:val="single" w:sz="8" w:space="0" w:color="auto"/>
              <w:right w:val="single" w:sz="8" w:space="0" w:color="auto"/>
            </w:tcBorders>
            <w:shd w:val="clear" w:color="auto" w:fill="244062"/>
            <w:vAlign w:val="center"/>
            <w:hideMark/>
          </w:tcPr>
          <w:p w14:paraId="11F3C8C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23" w:type="dxa"/>
            <w:gridSpan w:val="3"/>
            <w:tcBorders>
              <w:top w:val="single" w:sz="8" w:space="0" w:color="auto"/>
              <w:left w:val="nil"/>
              <w:bottom w:val="single" w:sz="8" w:space="0" w:color="auto"/>
              <w:right w:val="single" w:sz="8" w:space="0" w:color="000000"/>
            </w:tcBorders>
            <w:vAlign w:val="center"/>
            <w:hideMark/>
          </w:tcPr>
          <w:p w14:paraId="506973C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Electricity</w:t>
            </w:r>
          </w:p>
        </w:tc>
      </w:tr>
      <w:tr w:rsidR="00614438" w:rsidRPr="00AA7A53" w14:paraId="6EEC05CA" w14:textId="77777777" w:rsidTr="00614438">
        <w:trPr>
          <w:gridAfter w:val="1"/>
          <w:wAfter w:w="1212" w:type="dxa"/>
          <w:trHeight w:val="315"/>
        </w:trPr>
        <w:tc>
          <w:tcPr>
            <w:tcW w:w="3265" w:type="dxa"/>
            <w:tcBorders>
              <w:top w:val="nil"/>
              <w:left w:val="single" w:sz="8" w:space="0" w:color="auto"/>
              <w:bottom w:val="single" w:sz="8" w:space="0" w:color="auto"/>
              <w:right w:val="single" w:sz="8" w:space="0" w:color="auto"/>
            </w:tcBorders>
            <w:shd w:val="clear" w:color="auto" w:fill="244062"/>
            <w:vAlign w:val="center"/>
            <w:hideMark/>
          </w:tcPr>
          <w:p w14:paraId="354948E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23" w:type="dxa"/>
            <w:gridSpan w:val="3"/>
            <w:tcBorders>
              <w:top w:val="single" w:sz="8" w:space="0" w:color="auto"/>
              <w:left w:val="nil"/>
              <w:bottom w:val="single" w:sz="8" w:space="0" w:color="auto"/>
              <w:right w:val="single" w:sz="8" w:space="0" w:color="000000"/>
            </w:tcBorders>
            <w:vAlign w:val="center"/>
            <w:hideMark/>
          </w:tcPr>
          <w:p w14:paraId="577F7141" w14:textId="77777777" w:rsidR="00614438" w:rsidRPr="00AA7A53" w:rsidRDefault="00614438" w:rsidP="00AA7A53">
            <w:pPr>
              <w:numPr>
                <w:ilvl w:val="0"/>
                <w:numId w:val="173"/>
              </w:numPr>
              <w:spacing w:after="0"/>
              <w:jc w:val="both"/>
              <w:rPr>
                <w:rFonts w:ascii="Times New Roman" w:hAnsi="Times New Roman" w:cs="Times New Roman"/>
                <w:sz w:val="20"/>
                <w:szCs w:val="20"/>
              </w:rPr>
            </w:pPr>
            <w:r w:rsidRPr="00AA7A53">
              <w:rPr>
                <w:rFonts w:ascii="Times New Roman" w:hAnsi="Times New Roman" w:cs="Times New Roman"/>
                <w:sz w:val="20"/>
                <w:szCs w:val="20"/>
              </w:rPr>
              <w:t>SEEPEX</w:t>
            </w:r>
          </w:p>
          <w:p w14:paraId="4F28BD8D" w14:textId="47F924FC" w:rsidR="00614438" w:rsidRPr="00AA7A53" w:rsidRDefault="00787C5A" w:rsidP="00AA7A53">
            <w:pPr>
              <w:numPr>
                <w:ilvl w:val="0"/>
                <w:numId w:val="173"/>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JSC </w:t>
            </w:r>
            <w:r w:rsidR="00614438" w:rsidRPr="00AA7A53">
              <w:rPr>
                <w:rFonts w:ascii="Times New Roman" w:hAnsi="Times New Roman" w:cs="Times New Roman"/>
                <w:sz w:val="20"/>
                <w:szCs w:val="20"/>
              </w:rPr>
              <w:t>“Elektromreža Srbije“</w:t>
            </w:r>
          </w:p>
          <w:p w14:paraId="68FCBC7C" w14:textId="77777777" w:rsidR="00614438" w:rsidRPr="00AA7A53" w:rsidRDefault="00614438" w:rsidP="00AA7A53">
            <w:pPr>
              <w:numPr>
                <w:ilvl w:val="0"/>
                <w:numId w:val="173"/>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42D7E153" w14:textId="77777777" w:rsidR="00614438" w:rsidRPr="00AA7A53" w:rsidRDefault="00614438" w:rsidP="00AA7A53">
            <w:pPr>
              <w:numPr>
                <w:ilvl w:val="0"/>
                <w:numId w:val="173"/>
              </w:numPr>
              <w:spacing w:after="0"/>
              <w:jc w:val="both"/>
              <w:rPr>
                <w:rFonts w:ascii="Times New Roman" w:hAnsi="Times New Roman" w:cs="Times New Roman"/>
                <w:sz w:val="20"/>
                <w:szCs w:val="20"/>
              </w:rPr>
            </w:pPr>
            <w:r w:rsidRPr="00AA7A53">
              <w:rPr>
                <w:rFonts w:ascii="Times New Roman" w:hAnsi="Times New Roman" w:cs="Times New Roman"/>
                <w:sz w:val="20"/>
                <w:szCs w:val="20"/>
              </w:rPr>
              <w:t>The Government of the Republic of Serbia</w:t>
            </w:r>
          </w:p>
        </w:tc>
      </w:tr>
      <w:tr w:rsidR="00614438" w:rsidRPr="00AA7A53" w14:paraId="5CDA8B22" w14:textId="77777777" w:rsidTr="00614438">
        <w:trPr>
          <w:gridAfter w:val="1"/>
          <w:wAfter w:w="1212" w:type="dxa"/>
          <w:trHeight w:val="315"/>
        </w:trPr>
        <w:tc>
          <w:tcPr>
            <w:tcW w:w="3265" w:type="dxa"/>
            <w:tcBorders>
              <w:top w:val="nil"/>
              <w:left w:val="single" w:sz="8" w:space="0" w:color="auto"/>
              <w:bottom w:val="single" w:sz="8" w:space="0" w:color="auto"/>
              <w:right w:val="nil"/>
            </w:tcBorders>
            <w:shd w:val="clear" w:color="auto" w:fill="244062"/>
            <w:vAlign w:val="center"/>
            <w:hideMark/>
          </w:tcPr>
          <w:p w14:paraId="6FA7120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23" w:type="dxa"/>
            <w:gridSpan w:val="3"/>
            <w:tcBorders>
              <w:top w:val="single" w:sz="8" w:space="0" w:color="auto"/>
              <w:left w:val="nil"/>
              <w:bottom w:val="single" w:sz="8" w:space="0" w:color="auto"/>
              <w:right w:val="single" w:sz="8" w:space="0" w:color="000000"/>
            </w:tcBorders>
            <w:vAlign w:val="center"/>
            <w:hideMark/>
          </w:tcPr>
          <w:p w14:paraId="776AF233" w14:textId="77777777" w:rsidR="00614438" w:rsidRPr="00AA7A53" w:rsidRDefault="00614438" w:rsidP="00AA7A53">
            <w:pPr>
              <w:numPr>
                <w:ilvl w:val="0"/>
                <w:numId w:val="173"/>
              </w:numPr>
              <w:spacing w:after="0"/>
              <w:jc w:val="both"/>
              <w:rPr>
                <w:rFonts w:ascii="Times New Roman" w:hAnsi="Times New Roman" w:cs="Times New Roman"/>
                <w:sz w:val="20"/>
                <w:szCs w:val="20"/>
              </w:rPr>
            </w:pPr>
            <w:r w:rsidRPr="00AA7A53">
              <w:rPr>
                <w:rFonts w:ascii="Times New Roman" w:hAnsi="Times New Roman" w:cs="Times New Roman"/>
                <w:sz w:val="20"/>
                <w:szCs w:val="20"/>
              </w:rPr>
              <w:t> Ministry of Mining and Energy</w:t>
            </w:r>
          </w:p>
        </w:tc>
      </w:tr>
      <w:tr w:rsidR="00614438" w:rsidRPr="00AA7A53" w14:paraId="1E0C7D6A" w14:textId="77777777" w:rsidTr="00614438">
        <w:trPr>
          <w:gridAfter w:val="1"/>
          <w:wAfter w:w="1212" w:type="dxa"/>
          <w:trHeight w:val="315"/>
        </w:trPr>
        <w:tc>
          <w:tcPr>
            <w:tcW w:w="3265" w:type="dxa"/>
            <w:tcBorders>
              <w:top w:val="nil"/>
              <w:left w:val="single" w:sz="8" w:space="0" w:color="auto"/>
              <w:bottom w:val="single" w:sz="8" w:space="0" w:color="auto"/>
              <w:right w:val="nil"/>
            </w:tcBorders>
            <w:shd w:val="clear" w:color="auto" w:fill="244062"/>
            <w:vAlign w:val="center"/>
            <w:hideMark/>
          </w:tcPr>
          <w:p w14:paraId="471873E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23" w:type="dxa"/>
            <w:gridSpan w:val="3"/>
            <w:tcBorders>
              <w:top w:val="single" w:sz="8" w:space="0" w:color="auto"/>
              <w:left w:val="nil"/>
              <w:bottom w:val="single" w:sz="8" w:space="0" w:color="auto"/>
              <w:right w:val="single" w:sz="8" w:space="0" w:color="000000"/>
            </w:tcBorders>
            <w:vAlign w:val="center"/>
            <w:hideMark/>
          </w:tcPr>
          <w:p w14:paraId="1022B1D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Day ahead market coupling go-live date</w:t>
            </w:r>
          </w:p>
        </w:tc>
      </w:tr>
      <w:tr w:rsidR="00614438" w:rsidRPr="00AA7A53" w14:paraId="228DEB98" w14:textId="77777777" w:rsidTr="00614438">
        <w:trPr>
          <w:gridAfter w:val="1"/>
          <w:wAfter w:w="1212" w:type="dxa"/>
          <w:trHeight w:val="307"/>
        </w:trPr>
        <w:tc>
          <w:tcPr>
            <w:tcW w:w="3265" w:type="dxa"/>
            <w:tcBorders>
              <w:top w:val="nil"/>
              <w:left w:val="single" w:sz="8" w:space="0" w:color="auto"/>
              <w:bottom w:val="single" w:sz="8" w:space="0" w:color="auto"/>
              <w:right w:val="single" w:sz="8" w:space="0" w:color="auto"/>
            </w:tcBorders>
            <w:shd w:val="clear" w:color="auto" w:fill="244062"/>
            <w:vAlign w:val="center"/>
            <w:hideMark/>
          </w:tcPr>
          <w:p w14:paraId="603400D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Other relevant Energy Union dimension(s) affected</w:t>
            </w:r>
          </w:p>
        </w:tc>
        <w:tc>
          <w:tcPr>
            <w:tcW w:w="6223" w:type="dxa"/>
            <w:gridSpan w:val="3"/>
            <w:tcBorders>
              <w:top w:val="single" w:sz="8" w:space="0" w:color="auto"/>
              <w:left w:val="nil"/>
              <w:bottom w:val="single" w:sz="8" w:space="0" w:color="auto"/>
              <w:right w:val="single" w:sz="8" w:space="0" w:color="000000"/>
            </w:tcBorders>
            <w:vAlign w:val="center"/>
            <w:hideMark/>
          </w:tcPr>
          <w:p w14:paraId="30CC2400" w14:textId="60B48B24" w:rsidR="00614438" w:rsidRPr="00AA7A53" w:rsidRDefault="00614438" w:rsidP="00AA7A53">
            <w:pPr>
              <w:numPr>
                <w:ilvl w:val="0"/>
                <w:numId w:val="173"/>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tc>
      </w:tr>
      <w:tr w:rsidR="00614438" w:rsidRPr="00AA7A53" w14:paraId="5896F198" w14:textId="77777777" w:rsidTr="00614438">
        <w:trPr>
          <w:gridAfter w:val="1"/>
          <w:wAfter w:w="1212" w:type="dxa"/>
          <w:trHeight w:val="458"/>
        </w:trPr>
        <w:tc>
          <w:tcPr>
            <w:tcW w:w="3265" w:type="dxa"/>
            <w:vMerge w:val="restart"/>
            <w:tcBorders>
              <w:top w:val="nil"/>
              <w:left w:val="single" w:sz="8" w:space="0" w:color="auto"/>
              <w:bottom w:val="single" w:sz="8" w:space="0" w:color="000000"/>
              <w:right w:val="single" w:sz="8" w:space="0" w:color="auto"/>
            </w:tcBorders>
            <w:shd w:val="clear" w:color="auto" w:fill="244062"/>
            <w:vAlign w:val="center"/>
            <w:hideMark/>
          </w:tcPr>
          <w:p w14:paraId="3993E6A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23"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A049CF6" w14:textId="77777777" w:rsidR="00614438" w:rsidRPr="00AA7A53" w:rsidRDefault="00614438" w:rsidP="00AA7A53">
            <w:pPr>
              <w:numPr>
                <w:ilvl w:val="0"/>
                <w:numId w:val="174"/>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2009/72/EC</w:t>
            </w:r>
          </w:p>
          <w:p w14:paraId="1E0672B8" w14:textId="77777777" w:rsidR="00614438" w:rsidRPr="00AA7A53" w:rsidRDefault="00614438" w:rsidP="00AA7A53">
            <w:pPr>
              <w:numPr>
                <w:ilvl w:val="0"/>
                <w:numId w:val="174"/>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2019/944</w:t>
            </w:r>
          </w:p>
          <w:p w14:paraId="786BBF4D" w14:textId="77777777" w:rsidR="00614438" w:rsidRPr="00AA7A53" w:rsidRDefault="00614438" w:rsidP="00AA7A53">
            <w:pPr>
              <w:numPr>
                <w:ilvl w:val="0"/>
                <w:numId w:val="174"/>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2019/943</w:t>
            </w:r>
          </w:p>
        </w:tc>
      </w:tr>
      <w:tr w:rsidR="00614438" w:rsidRPr="00AA7A53" w14:paraId="2EC34E9D"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31BF418A"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1422580"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31A5553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84135B9" w14:textId="77777777" w:rsidTr="00614438">
        <w:trPr>
          <w:trHeight w:val="315"/>
        </w:trPr>
        <w:tc>
          <w:tcPr>
            <w:tcW w:w="0" w:type="auto"/>
            <w:vMerge/>
            <w:tcBorders>
              <w:top w:val="nil"/>
              <w:left w:val="single" w:sz="8" w:space="0" w:color="auto"/>
              <w:bottom w:val="single" w:sz="8" w:space="0" w:color="000000"/>
              <w:right w:val="single" w:sz="8" w:space="0" w:color="auto"/>
            </w:tcBorders>
            <w:vAlign w:val="center"/>
            <w:hideMark/>
          </w:tcPr>
          <w:p w14:paraId="15ABADE3"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63A9090"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3FC8DFDF"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45BD1661" w14:textId="77777777" w:rsidTr="00614438">
        <w:trPr>
          <w:trHeight w:val="780"/>
        </w:trPr>
        <w:tc>
          <w:tcPr>
            <w:tcW w:w="3265" w:type="dxa"/>
            <w:tcBorders>
              <w:top w:val="nil"/>
              <w:left w:val="single" w:sz="8" w:space="0" w:color="auto"/>
              <w:bottom w:val="single" w:sz="8" w:space="0" w:color="auto"/>
              <w:right w:val="single" w:sz="8" w:space="0" w:color="auto"/>
            </w:tcBorders>
            <w:shd w:val="clear" w:color="auto" w:fill="244062"/>
            <w:vAlign w:val="center"/>
            <w:hideMark/>
          </w:tcPr>
          <w:p w14:paraId="18B6A72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23" w:type="dxa"/>
            <w:gridSpan w:val="3"/>
            <w:tcBorders>
              <w:top w:val="single" w:sz="8" w:space="0" w:color="auto"/>
              <w:left w:val="nil"/>
              <w:bottom w:val="single" w:sz="8" w:space="0" w:color="auto"/>
              <w:right w:val="single" w:sz="8" w:space="0" w:color="000000"/>
            </w:tcBorders>
            <w:vAlign w:val="center"/>
            <w:hideMark/>
          </w:tcPr>
          <w:p w14:paraId="3237CF80" w14:textId="77777777" w:rsidR="00614438" w:rsidRPr="00AA7A53" w:rsidRDefault="00614438" w:rsidP="00AA7A53">
            <w:pPr>
              <w:numPr>
                <w:ilvl w:val="0"/>
                <w:numId w:val="175"/>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w:t>
            </w:r>
          </w:p>
        </w:tc>
        <w:tc>
          <w:tcPr>
            <w:tcW w:w="1212" w:type="dxa"/>
            <w:vAlign w:val="center"/>
            <w:hideMark/>
          </w:tcPr>
          <w:p w14:paraId="222021C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CB1C075" w14:textId="77777777" w:rsidTr="00614438">
        <w:trPr>
          <w:trHeight w:val="315"/>
        </w:trPr>
        <w:tc>
          <w:tcPr>
            <w:tcW w:w="3265" w:type="dxa"/>
            <w:tcBorders>
              <w:top w:val="nil"/>
              <w:left w:val="single" w:sz="8" w:space="0" w:color="auto"/>
              <w:bottom w:val="single" w:sz="8" w:space="0" w:color="auto"/>
              <w:right w:val="single" w:sz="8" w:space="0" w:color="auto"/>
            </w:tcBorders>
            <w:shd w:val="clear" w:color="auto" w:fill="244062"/>
            <w:vAlign w:val="center"/>
            <w:hideMark/>
          </w:tcPr>
          <w:p w14:paraId="0210527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23" w:type="dxa"/>
            <w:gridSpan w:val="3"/>
            <w:tcBorders>
              <w:top w:val="single" w:sz="8" w:space="0" w:color="auto"/>
              <w:left w:val="nil"/>
              <w:bottom w:val="single" w:sz="8" w:space="0" w:color="auto"/>
              <w:right w:val="single" w:sz="8" w:space="0" w:color="000000"/>
            </w:tcBorders>
            <w:vAlign w:val="center"/>
            <w:hideMark/>
          </w:tcPr>
          <w:p w14:paraId="4738872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0.2 M€</w:t>
            </w:r>
          </w:p>
        </w:tc>
        <w:tc>
          <w:tcPr>
            <w:tcW w:w="1212" w:type="dxa"/>
            <w:vAlign w:val="center"/>
            <w:hideMark/>
          </w:tcPr>
          <w:p w14:paraId="5EA5E0E6"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72EDE67" w14:textId="77777777" w:rsidTr="00614438">
        <w:trPr>
          <w:trHeight w:val="315"/>
        </w:trPr>
        <w:tc>
          <w:tcPr>
            <w:tcW w:w="3265" w:type="dxa"/>
            <w:tcBorders>
              <w:top w:val="nil"/>
              <w:left w:val="single" w:sz="8" w:space="0" w:color="auto"/>
              <w:bottom w:val="single" w:sz="8" w:space="0" w:color="auto"/>
              <w:right w:val="single" w:sz="8" w:space="0" w:color="auto"/>
            </w:tcBorders>
            <w:shd w:val="clear" w:color="auto" w:fill="244062"/>
            <w:vAlign w:val="center"/>
            <w:hideMark/>
          </w:tcPr>
          <w:p w14:paraId="6A31075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23" w:type="dxa"/>
            <w:gridSpan w:val="3"/>
            <w:tcBorders>
              <w:top w:val="single" w:sz="8" w:space="0" w:color="auto"/>
              <w:left w:val="nil"/>
              <w:bottom w:val="single" w:sz="8" w:space="0" w:color="auto"/>
              <w:right w:val="single" w:sz="8" w:space="0" w:color="000000"/>
            </w:tcBorders>
            <w:vAlign w:val="center"/>
            <w:hideMark/>
          </w:tcPr>
          <w:p w14:paraId="75F48A3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1212" w:type="dxa"/>
            <w:vAlign w:val="center"/>
            <w:hideMark/>
          </w:tcPr>
          <w:p w14:paraId="41669354" w14:textId="77777777" w:rsidR="00614438" w:rsidRPr="00AA7A53" w:rsidRDefault="00614438" w:rsidP="00AA7A53">
            <w:pPr>
              <w:spacing w:after="0"/>
              <w:jc w:val="both"/>
              <w:rPr>
                <w:rFonts w:ascii="Times New Roman" w:hAnsi="Times New Roman" w:cs="Times New Roman"/>
                <w:sz w:val="20"/>
                <w:szCs w:val="20"/>
                <w:lang w:val="en-GB"/>
              </w:rPr>
            </w:pPr>
          </w:p>
        </w:tc>
      </w:tr>
    </w:tbl>
    <w:p w14:paraId="7C16C392" w14:textId="77777777" w:rsidR="00614438" w:rsidRPr="00AA7A53" w:rsidRDefault="00614438" w:rsidP="00AA7A53">
      <w:pPr>
        <w:spacing w:after="0"/>
        <w:jc w:val="both"/>
        <w:rPr>
          <w:rFonts w:ascii="Times New Roman" w:hAnsi="Times New Roman" w:cs="Times New Roman"/>
          <w:sz w:val="20"/>
          <w:szCs w:val="20"/>
          <w:lang w:val="en-GB"/>
        </w:rPr>
      </w:pPr>
    </w:p>
    <w:tbl>
      <w:tblPr>
        <w:tblW w:w="9724" w:type="dxa"/>
        <w:tblLook w:val="04A0" w:firstRow="1" w:lastRow="0" w:firstColumn="1" w:lastColumn="0" w:noHBand="0" w:noVBand="1"/>
      </w:tblPr>
      <w:tblGrid>
        <w:gridCol w:w="3266"/>
        <w:gridCol w:w="1207"/>
        <w:gridCol w:w="930"/>
        <w:gridCol w:w="4085"/>
        <w:gridCol w:w="236"/>
      </w:tblGrid>
      <w:tr w:rsidR="00614438" w:rsidRPr="00AA7A53" w14:paraId="1991DEEE" w14:textId="77777777" w:rsidTr="00614438">
        <w:trPr>
          <w:gridAfter w:val="1"/>
          <w:wAfter w:w="236" w:type="dxa"/>
          <w:trHeight w:val="780"/>
        </w:trPr>
        <w:tc>
          <w:tcPr>
            <w:tcW w:w="3266"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1059B40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2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5C5CFB8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PM_IEM31</w:t>
            </w:r>
          </w:p>
        </w:tc>
        <w:tc>
          <w:tcPr>
            <w:tcW w:w="930" w:type="dxa"/>
            <w:tcBorders>
              <w:top w:val="single" w:sz="8" w:space="0" w:color="auto"/>
              <w:left w:val="nil"/>
              <w:bottom w:val="single" w:sz="8" w:space="0" w:color="auto"/>
              <w:right w:val="single" w:sz="8" w:space="0" w:color="auto"/>
            </w:tcBorders>
            <w:shd w:val="clear" w:color="auto" w:fill="244062"/>
            <w:vAlign w:val="center"/>
            <w:hideMark/>
          </w:tcPr>
          <w:p w14:paraId="7629B18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085" w:type="dxa"/>
            <w:tcBorders>
              <w:top w:val="single" w:sz="8" w:space="0" w:color="auto"/>
              <w:left w:val="nil"/>
              <w:bottom w:val="single" w:sz="8" w:space="0" w:color="auto"/>
              <w:right w:val="single" w:sz="8" w:space="0" w:color="auto"/>
            </w:tcBorders>
            <w:shd w:val="clear" w:color="auto" w:fill="E7E6E6" w:themeFill="background2"/>
            <w:vAlign w:val="center"/>
            <w:hideMark/>
          </w:tcPr>
          <w:p w14:paraId="388D2359" w14:textId="16C02B61"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Mark</w:t>
            </w:r>
            <w:r w:rsidR="00787C5A" w:rsidRPr="00AA7A53">
              <w:rPr>
                <w:rFonts w:ascii="Times New Roman" w:hAnsi="Times New Roman" w:cs="Times New Roman"/>
                <w:sz w:val="20"/>
                <w:szCs w:val="20"/>
                <w:lang w:val="en-GB"/>
              </w:rPr>
              <w:t>et coupling to the Single Intra-</w:t>
            </w:r>
            <w:r w:rsidRPr="00AA7A53">
              <w:rPr>
                <w:rFonts w:ascii="Times New Roman" w:hAnsi="Times New Roman" w:cs="Times New Roman"/>
                <w:sz w:val="20"/>
                <w:szCs w:val="20"/>
                <w:lang w:val="en-GB"/>
              </w:rPr>
              <w:t xml:space="preserve">Day Market (SIDC) </w:t>
            </w:r>
          </w:p>
        </w:tc>
      </w:tr>
      <w:tr w:rsidR="00614438" w:rsidRPr="00AA7A53" w14:paraId="011AA929" w14:textId="77777777" w:rsidTr="00614438">
        <w:trPr>
          <w:gridAfter w:val="1"/>
          <w:wAfter w:w="236" w:type="dxa"/>
          <w:trHeight w:val="315"/>
        </w:trPr>
        <w:tc>
          <w:tcPr>
            <w:tcW w:w="3266" w:type="dxa"/>
            <w:tcBorders>
              <w:top w:val="nil"/>
              <w:left w:val="single" w:sz="8" w:space="0" w:color="auto"/>
              <w:bottom w:val="single" w:sz="8" w:space="0" w:color="auto"/>
              <w:right w:val="nil"/>
            </w:tcBorders>
            <w:shd w:val="clear" w:color="auto" w:fill="244062"/>
            <w:vAlign w:val="center"/>
            <w:hideMark/>
          </w:tcPr>
          <w:p w14:paraId="0C2222E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22" w:type="dxa"/>
            <w:gridSpan w:val="3"/>
            <w:tcBorders>
              <w:top w:val="single" w:sz="8" w:space="0" w:color="auto"/>
              <w:left w:val="nil"/>
              <w:bottom w:val="single" w:sz="8" w:space="0" w:color="auto"/>
              <w:right w:val="single" w:sz="8" w:space="0" w:color="000000"/>
            </w:tcBorders>
            <w:vAlign w:val="center"/>
            <w:hideMark/>
          </w:tcPr>
          <w:p w14:paraId="14A10A7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Increased system flexibility and quality of electricity supply, in particular through policies and measures related to market-based price formation in compliance with applicable law; market integration and coupling, aiming to increase the tradeable capacity of existing interconnectors, smart grids, aggregation, demand response, storage, distributed generation, mechanisms for dispatching, re-dispatching and curtailment and real-time price signals.</w:t>
            </w:r>
          </w:p>
        </w:tc>
      </w:tr>
      <w:tr w:rsidR="00614438" w:rsidRPr="00AA7A53" w14:paraId="7DD7D616" w14:textId="77777777" w:rsidTr="00614438">
        <w:trPr>
          <w:gridAfter w:val="1"/>
          <w:wAfter w:w="236" w:type="dxa"/>
          <w:trHeight w:val="315"/>
        </w:trPr>
        <w:tc>
          <w:tcPr>
            <w:tcW w:w="3266" w:type="dxa"/>
            <w:tcBorders>
              <w:top w:val="nil"/>
              <w:left w:val="single" w:sz="8" w:space="0" w:color="auto"/>
              <w:bottom w:val="single" w:sz="8" w:space="0" w:color="auto"/>
              <w:right w:val="single" w:sz="8" w:space="0" w:color="auto"/>
            </w:tcBorders>
            <w:shd w:val="clear" w:color="auto" w:fill="244062"/>
            <w:vAlign w:val="center"/>
            <w:hideMark/>
          </w:tcPr>
          <w:p w14:paraId="76D8330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22" w:type="dxa"/>
            <w:gridSpan w:val="3"/>
            <w:tcBorders>
              <w:top w:val="single" w:sz="8" w:space="0" w:color="auto"/>
              <w:left w:val="nil"/>
              <w:bottom w:val="single" w:sz="8" w:space="0" w:color="auto"/>
              <w:right w:val="single" w:sz="8" w:space="0" w:color="000000"/>
            </w:tcBorders>
            <w:vAlign w:val="center"/>
            <w:hideMark/>
          </w:tcPr>
          <w:p w14:paraId="5F2A890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of Energy Community Acquis Communautaire, increased market use of the interconnectors, price convergence with the neighbouring bidding zone, increased market-based integration of RES in the electricity mix</w:t>
            </w:r>
          </w:p>
        </w:tc>
      </w:tr>
      <w:tr w:rsidR="00614438" w:rsidRPr="00AA7A53" w14:paraId="7AF8B816" w14:textId="77777777" w:rsidTr="00614438">
        <w:trPr>
          <w:gridAfter w:val="1"/>
          <w:wAfter w:w="236" w:type="dxa"/>
          <w:trHeight w:val="567"/>
        </w:trPr>
        <w:tc>
          <w:tcPr>
            <w:tcW w:w="3266" w:type="dxa"/>
            <w:tcBorders>
              <w:top w:val="nil"/>
              <w:left w:val="single" w:sz="8" w:space="0" w:color="auto"/>
              <w:bottom w:val="single" w:sz="8" w:space="0" w:color="auto"/>
              <w:right w:val="single" w:sz="8" w:space="0" w:color="auto"/>
            </w:tcBorders>
            <w:shd w:val="clear" w:color="auto" w:fill="244062"/>
            <w:vAlign w:val="center"/>
            <w:hideMark/>
          </w:tcPr>
          <w:p w14:paraId="5C3D168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22" w:type="dxa"/>
            <w:gridSpan w:val="3"/>
            <w:tcBorders>
              <w:top w:val="single" w:sz="8" w:space="0" w:color="auto"/>
              <w:left w:val="nil"/>
              <w:bottom w:val="single" w:sz="8" w:space="0" w:color="auto"/>
              <w:right w:val="single" w:sz="8" w:space="0" w:color="000000"/>
            </w:tcBorders>
            <w:vAlign w:val="center"/>
            <w:hideMark/>
          </w:tcPr>
          <w:p w14:paraId="2E973C8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PM_IEM31 can be regarded as a continuation of PM_IEM30. The Single Intraday Coupling (SIDC) creates a single EU regional intraday electricity market and complements the market coupling activities that may have been achieved under SDAC. The measure is dependent on PM_IEM16 i.e. the appointment of the Nominated Electricity Market Operator (NEMO) in Serbia.</w:t>
            </w:r>
          </w:p>
        </w:tc>
      </w:tr>
      <w:tr w:rsidR="00614438" w:rsidRPr="00AA7A53" w14:paraId="5F431CBA" w14:textId="77777777" w:rsidTr="00614438">
        <w:trPr>
          <w:gridAfter w:val="1"/>
          <w:wAfter w:w="236" w:type="dxa"/>
          <w:trHeight w:val="315"/>
        </w:trPr>
        <w:tc>
          <w:tcPr>
            <w:tcW w:w="3266" w:type="dxa"/>
            <w:tcBorders>
              <w:top w:val="nil"/>
              <w:left w:val="single" w:sz="8" w:space="0" w:color="auto"/>
              <w:bottom w:val="single" w:sz="8" w:space="0" w:color="auto"/>
              <w:right w:val="single" w:sz="8" w:space="0" w:color="auto"/>
            </w:tcBorders>
            <w:shd w:val="clear" w:color="auto" w:fill="244062"/>
            <w:vAlign w:val="center"/>
            <w:hideMark/>
          </w:tcPr>
          <w:p w14:paraId="32BB300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22" w:type="dxa"/>
            <w:gridSpan w:val="3"/>
            <w:tcBorders>
              <w:top w:val="single" w:sz="8" w:space="0" w:color="auto"/>
              <w:left w:val="nil"/>
              <w:bottom w:val="single" w:sz="8" w:space="0" w:color="auto"/>
              <w:right w:val="single" w:sz="8" w:space="0" w:color="000000"/>
            </w:tcBorders>
            <w:vAlign w:val="center"/>
            <w:hideMark/>
          </w:tcPr>
          <w:p w14:paraId="522E8F7A" w14:textId="4FFA0F55"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AA16C4"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44EB51E1" w14:textId="77777777" w:rsidTr="00614438">
        <w:trPr>
          <w:gridAfter w:val="1"/>
          <w:wAfter w:w="236" w:type="dxa"/>
          <w:trHeight w:val="315"/>
        </w:trPr>
        <w:tc>
          <w:tcPr>
            <w:tcW w:w="3266" w:type="dxa"/>
            <w:tcBorders>
              <w:top w:val="nil"/>
              <w:left w:val="single" w:sz="8" w:space="0" w:color="auto"/>
              <w:bottom w:val="single" w:sz="8" w:space="0" w:color="auto"/>
              <w:right w:val="single" w:sz="8" w:space="0" w:color="auto"/>
            </w:tcBorders>
            <w:shd w:val="clear" w:color="auto" w:fill="244062"/>
            <w:vAlign w:val="center"/>
            <w:hideMark/>
          </w:tcPr>
          <w:p w14:paraId="2CB1EA8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22" w:type="dxa"/>
            <w:gridSpan w:val="3"/>
            <w:tcBorders>
              <w:top w:val="single" w:sz="8" w:space="0" w:color="auto"/>
              <w:left w:val="nil"/>
              <w:bottom w:val="single" w:sz="8" w:space="0" w:color="auto"/>
              <w:right w:val="single" w:sz="8" w:space="0" w:color="000000"/>
            </w:tcBorders>
            <w:vAlign w:val="center"/>
            <w:hideMark/>
          </w:tcPr>
          <w:p w14:paraId="407E360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340E38DA" w14:textId="77777777" w:rsidTr="00614438">
        <w:trPr>
          <w:gridAfter w:val="1"/>
          <w:wAfter w:w="236" w:type="dxa"/>
          <w:trHeight w:val="315"/>
        </w:trPr>
        <w:tc>
          <w:tcPr>
            <w:tcW w:w="3266" w:type="dxa"/>
            <w:tcBorders>
              <w:top w:val="nil"/>
              <w:left w:val="single" w:sz="8" w:space="0" w:color="auto"/>
              <w:bottom w:val="single" w:sz="8" w:space="0" w:color="auto"/>
              <w:right w:val="single" w:sz="8" w:space="0" w:color="auto"/>
            </w:tcBorders>
            <w:shd w:val="clear" w:color="auto" w:fill="244062"/>
            <w:vAlign w:val="center"/>
            <w:hideMark/>
          </w:tcPr>
          <w:p w14:paraId="12B10C7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22" w:type="dxa"/>
            <w:gridSpan w:val="3"/>
            <w:tcBorders>
              <w:top w:val="single" w:sz="8" w:space="0" w:color="auto"/>
              <w:left w:val="nil"/>
              <w:bottom w:val="single" w:sz="8" w:space="0" w:color="auto"/>
              <w:right w:val="single" w:sz="8" w:space="0" w:color="000000"/>
            </w:tcBorders>
            <w:vAlign w:val="center"/>
            <w:hideMark/>
          </w:tcPr>
          <w:p w14:paraId="2D370D8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Electricity</w:t>
            </w:r>
          </w:p>
        </w:tc>
      </w:tr>
      <w:tr w:rsidR="00614438" w:rsidRPr="00AA7A53" w14:paraId="0EBDD02E" w14:textId="77777777" w:rsidTr="00614438">
        <w:trPr>
          <w:gridAfter w:val="1"/>
          <w:wAfter w:w="236" w:type="dxa"/>
          <w:trHeight w:val="315"/>
        </w:trPr>
        <w:tc>
          <w:tcPr>
            <w:tcW w:w="3266" w:type="dxa"/>
            <w:tcBorders>
              <w:top w:val="nil"/>
              <w:left w:val="single" w:sz="8" w:space="0" w:color="auto"/>
              <w:bottom w:val="single" w:sz="8" w:space="0" w:color="auto"/>
              <w:right w:val="single" w:sz="8" w:space="0" w:color="auto"/>
            </w:tcBorders>
            <w:shd w:val="clear" w:color="auto" w:fill="244062"/>
            <w:vAlign w:val="center"/>
            <w:hideMark/>
          </w:tcPr>
          <w:p w14:paraId="20A7CA0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22" w:type="dxa"/>
            <w:gridSpan w:val="3"/>
            <w:tcBorders>
              <w:top w:val="single" w:sz="8" w:space="0" w:color="auto"/>
              <w:left w:val="nil"/>
              <w:bottom w:val="single" w:sz="8" w:space="0" w:color="auto"/>
              <w:right w:val="single" w:sz="8" w:space="0" w:color="000000"/>
            </w:tcBorders>
            <w:vAlign w:val="center"/>
            <w:hideMark/>
          </w:tcPr>
          <w:p w14:paraId="5FFD54CA" w14:textId="77777777" w:rsidR="00614438" w:rsidRPr="00AA7A53" w:rsidRDefault="00614438" w:rsidP="00AA7A53">
            <w:pPr>
              <w:numPr>
                <w:ilvl w:val="0"/>
                <w:numId w:val="173"/>
              </w:numPr>
              <w:spacing w:after="0"/>
              <w:jc w:val="both"/>
              <w:rPr>
                <w:rFonts w:ascii="Times New Roman" w:hAnsi="Times New Roman" w:cs="Times New Roman"/>
                <w:sz w:val="20"/>
                <w:szCs w:val="20"/>
              </w:rPr>
            </w:pPr>
            <w:r w:rsidRPr="00AA7A53">
              <w:rPr>
                <w:rFonts w:ascii="Times New Roman" w:hAnsi="Times New Roman" w:cs="Times New Roman"/>
                <w:sz w:val="20"/>
                <w:szCs w:val="20"/>
              </w:rPr>
              <w:t>SEEPEX</w:t>
            </w:r>
          </w:p>
          <w:p w14:paraId="14AAADB7" w14:textId="57B0BA11" w:rsidR="00614438" w:rsidRPr="00AA7A53" w:rsidRDefault="00AA16C4" w:rsidP="00AA7A53">
            <w:pPr>
              <w:numPr>
                <w:ilvl w:val="0"/>
                <w:numId w:val="173"/>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JSC </w:t>
            </w:r>
            <w:r w:rsidR="00614438" w:rsidRPr="00AA7A53">
              <w:rPr>
                <w:rFonts w:ascii="Times New Roman" w:hAnsi="Times New Roman" w:cs="Times New Roman"/>
                <w:sz w:val="20"/>
                <w:szCs w:val="20"/>
              </w:rPr>
              <w:t xml:space="preserve">“Elektromreža Srbije“ – </w:t>
            </w:r>
          </w:p>
          <w:p w14:paraId="72D70145" w14:textId="77777777" w:rsidR="00614438" w:rsidRPr="00AA7A53" w:rsidRDefault="00614438" w:rsidP="00AA7A53">
            <w:pPr>
              <w:numPr>
                <w:ilvl w:val="0"/>
                <w:numId w:val="173"/>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3D58B252" w14:textId="77777777" w:rsidR="00614438" w:rsidRPr="00AA7A53" w:rsidRDefault="00614438" w:rsidP="00AA7A53">
            <w:pPr>
              <w:numPr>
                <w:ilvl w:val="0"/>
                <w:numId w:val="173"/>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The Government of the Republic of Serbia </w:t>
            </w:r>
          </w:p>
        </w:tc>
      </w:tr>
      <w:tr w:rsidR="00614438" w:rsidRPr="00AA7A53" w14:paraId="605DAEA3" w14:textId="77777777" w:rsidTr="00614438">
        <w:trPr>
          <w:gridAfter w:val="1"/>
          <w:wAfter w:w="236" w:type="dxa"/>
          <w:trHeight w:val="315"/>
        </w:trPr>
        <w:tc>
          <w:tcPr>
            <w:tcW w:w="3266" w:type="dxa"/>
            <w:tcBorders>
              <w:top w:val="nil"/>
              <w:left w:val="single" w:sz="8" w:space="0" w:color="auto"/>
              <w:bottom w:val="single" w:sz="8" w:space="0" w:color="auto"/>
              <w:right w:val="nil"/>
            </w:tcBorders>
            <w:shd w:val="clear" w:color="auto" w:fill="244062"/>
            <w:vAlign w:val="center"/>
            <w:hideMark/>
          </w:tcPr>
          <w:p w14:paraId="22E826C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22" w:type="dxa"/>
            <w:gridSpan w:val="3"/>
            <w:tcBorders>
              <w:top w:val="single" w:sz="8" w:space="0" w:color="auto"/>
              <w:left w:val="nil"/>
              <w:bottom w:val="single" w:sz="8" w:space="0" w:color="auto"/>
              <w:right w:val="single" w:sz="8" w:space="0" w:color="000000"/>
            </w:tcBorders>
            <w:vAlign w:val="center"/>
            <w:hideMark/>
          </w:tcPr>
          <w:p w14:paraId="3F23ED91" w14:textId="77777777" w:rsidR="00614438" w:rsidRPr="00AA7A53" w:rsidRDefault="00614438" w:rsidP="00AA7A53">
            <w:pPr>
              <w:numPr>
                <w:ilvl w:val="0"/>
                <w:numId w:val="17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4CD57238" w14:textId="77777777" w:rsidTr="00614438">
        <w:trPr>
          <w:gridAfter w:val="1"/>
          <w:wAfter w:w="236" w:type="dxa"/>
          <w:trHeight w:val="315"/>
        </w:trPr>
        <w:tc>
          <w:tcPr>
            <w:tcW w:w="3266" w:type="dxa"/>
            <w:tcBorders>
              <w:top w:val="nil"/>
              <w:left w:val="single" w:sz="8" w:space="0" w:color="auto"/>
              <w:bottom w:val="single" w:sz="8" w:space="0" w:color="auto"/>
              <w:right w:val="nil"/>
            </w:tcBorders>
            <w:shd w:val="clear" w:color="auto" w:fill="244062"/>
            <w:vAlign w:val="center"/>
            <w:hideMark/>
          </w:tcPr>
          <w:p w14:paraId="050190B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22" w:type="dxa"/>
            <w:gridSpan w:val="3"/>
            <w:tcBorders>
              <w:top w:val="single" w:sz="8" w:space="0" w:color="auto"/>
              <w:left w:val="nil"/>
              <w:bottom w:val="single" w:sz="8" w:space="0" w:color="auto"/>
              <w:right w:val="single" w:sz="8" w:space="0" w:color="000000"/>
            </w:tcBorders>
            <w:vAlign w:val="center"/>
            <w:hideMark/>
          </w:tcPr>
          <w:p w14:paraId="281871E0" w14:textId="561C123D" w:rsidR="00614438" w:rsidRPr="00AA7A53" w:rsidRDefault="00AA16C4"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Day-</w:t>
            </w:r>
            <w:r w:rsidR="00614438" w:rsidRPr="00AA7A53">
              <w:rPr>
                <w:rFonts w:ascii="Times New Roman" w:hAnsi="Times New Roman" w:cs="Times New Roman"/>
                <w:sz w:val="20"/>
                <w:szCs w:val="20"/>
                <w:lang w:val="en-GB"/>
              </w:rPr>
              <w:t>ahead market coupling go-live date</w:t>
            </w:r>
          </w:p>
        </w:tc>
      </w:tr>
      <w:tr w:rsidR="00614438" w:rsidRPr="00AA7A53" w14:paraId="76164714" w14:textId="77777777" w:rsidTr="00614438">
        <w:trPr>
          <w:gridAfter w:val="1"/>
          <w:wAfter w:w="236" w:type="dxa"/>
          <w:trHeight w:val="454"/>
        </w:trPr>
        <w:tc>
          <w:tcPr>
            <w:tcW w:w="3266" w:type="dxa"/>
            <w:tcBorders>
              <w:top w:val="nil"/>
              <w:left w:val="single" w:sz="8" w:space="0" w:color="auto"/>
              <w:bottom w:val="single" w:sz="8" w:space="0" w:color="auto"/>
              <w:right w:val="single" w:sz="8" w:space="0" w:color="auto"/>
            </w:tcBorders>
            <w:shd w:val="clear" w:color="auto" w:fill="244062"/>
            <w:vAlign w:val="center"/>
            <w:hideMark/>
          </w:tcPr>
          <w:p w14:paraId="338BB20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22" w:type="dxa"/>
            <w:gridSpan w:val="3"/>
            <w:tcBorders>
              <w:top w:val="single" w:sz="8" w:space="0" w:color="auto"/>
              <w:left w:val="nil"/>
              <w:bottom w:val="single" w:sz="8" w:space="0" w:color="auto"/>
              <w:right w:val="single" w:sz="8" w:space="0" w:color="000000"/>
            </w:tcBorders>
            <w:vAlign w:val="center"/>
            <w:hideMark/>
          </w:tcPr>
          <w:p w14:paraId="113873CF" w14:textId="77777777" w:rsidR="00614438" w:rsidRPr="00AA7A53" w:rsidRDefault="00614438" w:rsidP="00AA7A53">
            <w:pPr>
              <w:numPr>
                <w:ilvl w:val="0"/>
                <w:numId w:val="175"/>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p w14:paraId="3DBF7C74" w14:textId="77777777" w:rsidR="00614438" w:rsidRPr="00AA7A53" w:rsidRDefault="00614438" w:rsidP="00AA7A53">
            <w:pPr>
              <w:numPr>
                <w:ilvl w:val="0"/>
                <w:numId w:val="175"/>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Decarbonisation</w:t>
            </w:r>
          </w:p>
        </w:tc>
      </w:tr>
      <w:tr w:rsidR="00614438" w:rsidRPr="00AA7A53" w14:paraId="564629B8" w14:textId="77777777" w:rsidTr="00614438">
        <w:trPr>
          <w:gridAfter w:val="1"/>
          <w:wAfter w:w="236" w:type="dxa"/>
          <w:trHeight w:val="458"/>
        </w:trPr>
        <w:tc>
          <w:tcPr>
            <w:tcW w:w="3266" w:type="dxa"/>
            <w:vMerge w:val="restart"/>
            <w:tcBorders>
              <w:top w:val="nil"/>
              <w:left w:val="single" w:sz="8" w:space="0" w:color="auto"/>
              <w:bottom w:val="single" w:sz="8" w:space="0" w:color="000000"/>
              <w:right w:val="single" w:sz="8" w:space="0" w:color="auto"/>
            </w:tcBorders>
            <w:shd w:val="clear" w:color="auto" w:fill="244062"/>
            <w:vAlign w:val="center"/>
            <w:hideMark/>
          </w:tcPr>
          <w:p w14:paraId="4FB1BB6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22"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06F6968" w14:textId="77777777" w:rsidR="00614438" w:rsidRPr="00AA7A53" w:rsidRDefault="00614438" w:rsidP="00AA7A53">
            <w:pPr>
              <w:numPr>
                <w:ilvl w:val="0"/>
                <w:numId w:val="125"/>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2009/72/EC</w:t>
            </w:r>
          </w:p>
          <w:p w14:paraId="7D2BB8CF" w14:textId="77777777" w:rsidR="00614438" w:rsidRPr="00AA7A53" w:rsidRDefault="00614438" w:rsidP="00AA7A53">
            <w:pPr>
              <w:numPr>
                <w:ilvl w:val="0"/>
                <w:numId w:val="125"/>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(EU) 2019/944</w:t>
            </w:r>
          </w:p>
          <w:p w14:paraId="115DCB1F" w14:textId="77777777" w:rsidR="00614438" w:rsidRPr="00AA7A53" w:rsidRDefault="00614438" w:rsidP="00AA7A53">
            <w:pPr>
              <w:numPr>
                <w:ilvl w:val="0"/>
                <w:numId w:val="125"/>
              </w:numPr>
              <w:spacing w:after="0"/>
              <w:jc w:val="both"/>
              <w:rPr>
                <w:rFonts w:ascii="Times New Roman" w:hAnsi="Times New Roman" w:cs="Times New Roman"/>
                <w:sz w:val="20"/>
                <w:szCs w:val="20"/>
              </w:rPr>
            </w:pPr>
            <w:r w:rsidRPr="00AA7A53">
              <w:rPr>
                <w:rFonts w:ascii="Times New Roman" w:hAnsi="Times New Roman" w:cs="Times New Roman"/>
                <w:sz w:val="20"/>
                <w:szCs w:val="20"/>
              </w:rPr>
              <w:t>Regulation (EU) 2019/943</w:t>
            </w:r>
          </w:p>
        </w:tc>
      </w:tr>
      <w:tr w:rsidR="00614438" w:rsidRPr="00AA7A53" w14:paraId="0804A390"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5CBB604B"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B69FF08" w14:textId="77777777" w:rsidR="00614438" w:rsidRPr="00AA7A53" w:rsidRDefault="00614438" w:rsidP="00AA7A53">
            <w:pPr>
              <w:spacing w:after="0"/>
              <w:jc w:val="both"/>
              <w:rPr>
                <w:rFonts w:ascii="Times New Roman" w:hAnsi="Times New Roman" w:cs="Times New Roman"/>
                <w:sz w:val="20"/>
                <w:szCs w:val="20"/>
                <w:lang w:val="en-GB"/>
              </w:rPr>
            </w:pPr>
          </w:p>
        </w:tc>
        <w:tc>
          <w:tcPr>
            <w:tcW w:w="236" w:type="dxa"/>
            <w:noWrap/>
            <w:vAlign w:val="bottom"/>
            <w:hideMark/>
          </w:tcPr>
          <w:p w14:paraId="4C698AF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EF399C4"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35037486"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09A0EC5" w14:textId="77777777" w:rsidR="00614438" w:rsidRPr="00AA7A53" w:rsidRDefault="00614438" w:rsidP="00AA7A53">
            <w:pPr>
              <w:spacing w:after="0"/>
              <w:jc w:val="both"/>
              <w:rPr>
                <w:rFonts w:ascii="Times New Roman" w:hAnsi="Times New Roman" w:cs="Times New Roman"/>
                <w:sz w:val="20"/>
                <w:szCs w:val="20"/>
                <w:lang w:val="en-GB"/>
              </w:rPr>
            </w:pPr>
          </w:p>
        </w:tc>
        <w:tc>
          <w:tcPr>
            <w:tcW w:w="236" w:type="dxa"/>
            <w:noWrap/>
            <w:vAlign w:val="bottom"/>
            <w:hideMark/>
          </w:tcPr>
          <w:p w14:paraId="11359075"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5AF93F61" w14:textId="77777777" w:rsidTr="00614438">
        <w:trPr>
          <w:trHeight w:val="489"/>
        </w:trPr>
        <w:tc>
          <w:tcPr>
            <w:tcW w:w="3266" w:type="dxa"/>
            <w:tcBorders>
              <w:top w:val="nil"/>
              <w:left w:val="single" w:sz="8" w:space="0" w:color="auto"/>
              <w:bottom w:val="single" w:sz="8" w:space="0" w:color="auto"/>
              <w:right w:val="single" w:sz="8" w:space="0" w:color="auto"/>
            </w:tcBorders>
            <w:shd w:val="clear" w:color="auto" w:fill="244062"/>
            <w:vAlign w:val="center"/>
            <w:hideMark/>
          </w:tcPr>
          <w:p w14:paraId="725ED60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22" w:type="dxa"/>
            <w:gridSpan w:val="3"/>
            <w:tcBorders>
              <w:top w:val="single" w:sz="8" w:space="0" w:color="auto"/>
              <w:left w:val="nil"/>
              <w:bottom w:val="single" w:sz="8" w:space="0" w:color="auto"/>
              <w:right w:val="single" w:sz="8" w:space="0" w:color="000000"/>
            </w:tcBorders>
            <w:vAlign w:val="center"/>
            <w:hideMark/>
          </w:tcPr>
          <w:p w14:paraId="3B46DFD5" w14:textId="77777777" w:rsidR="00614438" w:rsidRPr="00AA7A53" w:rsidRDefault="00614438" w:rsidP="00AA7A53">
            <w:pPr>
              <w:numPr>
                <w:ilvl w:val="0"/>
                <w:numId w:val="177"/>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Energy</w:t>
            </w:r>
          </w:p>
        </w:tc>
        <w:tc>
          <w:tcPr>
            <w:tcW w:w="236" w:type="dxa"/>
            <w:vAlign w:val="center"/>
            <w:hideMark/>
          </w:tcPr>
          <w:p w14:paraId="2905B4E3"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DC0030F" w14:textId="77777777" w:rsidTr="00614438">
        <w:trPr>
          <w:trHeight w:val="315"/>
        </w:trPr>
        <w:tc>
          <w:tcPr>
            <w:tcW w:w="3266" w:type="dxa"/>
            <w:tcBorders>
              <w:top w:val="nil"/>
              <w:left w:val="single" w:sz="8" w:space="0" w:color="auto"/>
              <w:bottom w:val="single" w:sz="8" w:space="0" w:color="auto"/>
              <w:right w:val="single" w:sz="8" w:space="0" w:color="auto"/>
            </w:tcBorders>
            <w:shd w:val="clear" w:color="auto" w:fill="244062"/>
            <w:vAlign w:val="center"/>
            <w:hideMark/>
          </w:tcPr>
          <w:p w14:paraId="2701610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22" w:type="dxa"/>
            <w:gridSpan w:val="3"/>
            <w:tcBorders>
              <w:top w:val="single" w:sz="8" w:space="0" w:color="auto"/>
              <w:left w:val="nil"/>
              <w:bottom w:val="single" w:sz="8" w:space="0" w:color="auto"/>
              <w:right w:val="single" w:sz="8" w:space="0" w:color="000000"/>
            </w:tcBorders>
            <w:vAlign w:val="center"/>
            <w:hideMark/>
          </w:tcPr>
          <w:p w14:paraId="7AF5106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0.2 M€</w:t>
            </w:r>
          </w:p>
        </w:tc>
        <w:tc>
          <w:tcPr>
            <w:tcW w:w="236" w:type="dxa"/>
            <w:vAlign w:val="center"/>
            <w:hideMark/>
          </w:tcPr>
          <w:p w14:paraId="26823F38"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459FC9A" w14:textId="77777777" w:rsidTr="00614438">
        <w:trPr>
          <w:trHeight w:val="315"/>
        </w:trPr>
        <w:tc>
          <w:tcPr>
            <w:tcW w:w="3266" w:type="dxa"/>
            <w:tcBorders>
              <w:top w:val="nil"/>
              <w:left w:val="single" w:sz="8" w:space="0" w:color="auto"/>
              <w:bottom w:val="single" w:sz="8" w:space="0" w:color="auto"/>
              <w:right w:val="single" w:sz="8" w:space="0" w:color="auto"/>
            </w:tcBorders>
            <w:shd w:val="clear" w:color="auto" w:fill="244062"/>
            <w:vAlign w:val="center"/>
            <w:hideMark/>
          </w:tcPr>
          <w:p w14:paraId="7A424DB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22" w:type="dxa"/>
            <w:gridSpan w:val="3"/>
            <w:tcBorders>
              <w:top w:val="single" w:sz="8" w:space="0" w:color="auto"/>
              <w:left w:val="nil"/>
              <w:bottom w:val="single" w:sz="8" w:space="0" w:color="auto"/>
              <w:right w:val="single" w:sz="8" w:space="0" w:color="000000"/>
            </w:tcBorders>
            <w:vAlign w:val="center"/>
            <w:hideMark/>
          </w:tcPr>
          <w:p w14:paraId="5CAD05B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236" w:type="dxa"/>
            <w:vAlign w:val="center"/>
            <w:hideMark/>
          </w:tcPr>
          <w:p w14:paraId="74C1A814" w14:textId="77777777" w:rsidR="00614438" w:rsidRPr="00AA7A53" w:rsidRDefault="00614438" w:rsidP="00AA7A53">
            <w:pPr>
              <w:spacing w:after="0"/>
              <w:jc w:val="both"/>
              <w:rPr>
                <w:rFonts w:ascii="Times New Roman" w:hAnsi="Times New Roman" w:cs="Times New Roman"/>
                <w:sz w:val="20"/>
                <w:szCs w:val="20"/>
                <w:lang w:val="en-GB"/>
              </w:rPr>
            </w:pPr>
          </w:p>
        </w:tc>
      </w:tr>
    </w:tbl>
    <w:p w14:paraId="4B3C8B2B" w14:textId="77777777" w:rsidR="00614438" w:rsidRPr="00AA7A53" w:rsidRDefault="00614438" w:rsidP="00AA7A53">
      <w:pPr>
        <w:spacing w:after="0"/>
        <w:jc w:val="both"/>
        <w:rPr>
          <w:rFonts w:ascii="Times New Roman" w:hAnsi="Times New Roman" w:cs="Times New Roman"/>
          <w:sz w:val="20"/>
          <w:szCs w:val="20"/>
          <w:lang w:val="en-GB"/>
        </w:rPr>
      </w:pPr>
    </w:p>
    <w:p w14:paraId="6CB3C7AF" w14:textId="0DF496B0" w:rsidR="00614438" w:rsidRPr="00614438" w:rsidRDefault="00AA16C4" w:rsidP="00AA16C4">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3.4.4 </w:t>
      </w:r>
      <w:r w:rsidR="00614438" w:rsidRPr="00614438">
        <w:rPr>
          <w:rFonts w:ascii="Times New Roman" w:hAnsi="Times New Roman" w:cs="Times New Roman"/>
          <w:sz w:val="24"/>
          <w:szCs w:val="24"/>
          <w:lang w:val="en-GB"/>
        </w:rPr>
        <w:t>Energy poverty</w:t>
      </w:r>
    </w:p>
    <w:p w14:paraId="48008753" w14:textId="77777777" w:rsidR="00614438" w:rsidRPr="00614438" w:rsidRDefault="00614438" w:rsidP="0021063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A well-balanced mixture of policies and measures will be introduced to improve the alleviation of energy poverty. The official definition adopted will be reviewed to ensure the enhanced protection of the energy poor households, while an action plan will be prepared for the targeted and coordinated confrontation of energy poverty. The planned policies and measures will be specialised, while a holistic monitoring mechanism will be developed according to the adopted national definition including the required tools and indicators.</w:t>
      </w:r>
    </w:p>
    <w:p w14:paraId="575453A4" w14:textId="1BB3E938" w:rsidR="00614438" w:rsidRPr="00614438" w:rsidRDefault="00614438" w:rsidP="0021063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Specific regulatory measures will be adopted in order to protect energy poor households from potential disconnections from electricity and natural gas grids</w:t>
      </w:r>
      <w:r w:rsidR="00F02B6C">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w:t>
      </w:r>
      <w:r w:rsidR="00F02B6C">
        <w:rPr>
          <w:rFonts w:ascii="Times New Roman" w:hAnsi="Times New Roman" w:cs="Times New Roman"/>
          <w:sz w:val="24"/>
          <w:szCs w:val="24"/>
          <w:lang w:val="en-GB"/>
        </w:rPr>
        <w:t>thus contributing to</w:t>
      </w:r>
      <w:r w:rsidRPr="00614438">
        <w:rPr>
          <w:rFonts w:ascii="Times New Roman" w:hAnsi="Times New Roman" w:cs="Times New Roman"/>
          <w:sz w:val="24"/>
          <w:szCs w:val="24"/>
          <w:lang w:val="en-GB"/>
        </w:rPr>
        <w:t xml:space="preserve"> at the short-term alleviation of the energy poverty. Moreover, additional financial incentives will be provided to energy poor households for purchasing the energy carriers, which will be consumed in order to cover their actual energy needs.</w:t>
      </w:r>
    </w:p>
    <w:p w14:paraId="5919A846" w14:textId="7EF0C5AA" w:rsidR="00614438" w:rsidRPr="00614438" w:rsidRDefault="00614438" w:rsidP="0021063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Targeted financial instruments will be designed so as to improve energy efficiency and foster the installation of RES in the buildings of the energy poor households</w:t>
      </w:r>
      <w:r w:rsidR="00F02B6C">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contributing to the long-term alleviation of energy poverty. The access of energy poor households to alternative energy sources will be facilitated</w:t>
      </w:r>
      <w:r w:rsidR="00F02B6C">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also for the considerable reduction of their energy expenses.</w:t>
      </w:r>
    </w:p>
    <w:p w14:paraId="48595C45" w14:textId="624F08EA" w:rsidR="00614438" w:rsidRPr="00AA7A53" w:rsidRDefault="00614438" w:rsidP="00AA7A53">
      <w:pPr>
        <w:spacing w:after="0"/>
        <w:ind w:firstLine="720"/>
        <w:jc w:val="both"/>
        <w:rPr>
          <w:rFonts w:ascii="Times New Roman" w:hAnsi="Times New Roman" w:cs="Times New Roman"/>
          <w:sz w:val="20"/>
          <w:szCs w:val="20"/>
          <w:lang w:val="en-GB"/>
        </w:rPr>
      </w:pPr>
      <w:r w:rsidRPr="00614438">
        <w:rPr>
          <w:rFonts w:ascii="Times New Roman" w:hAnsi="Times New Roman" w:cs="Times New Roman"/>
          <w:sz w:val="24"/>
          <w:szCs w:val="24"/>
          <w:lang w:val="en-GB"/>
        </w:rPr>
        <w:t xml:space="preserve">Finally, information, awareness-raising, guidance or training programmes will be carried out facilitating the implementation of the planned policies and measures and </w:t>
      </w:r>
      <w:r w:rsidR="00F02B6C">
        <w:rPr>
          <w:rFonts w:ascii="Times New Roman" w:hAnsi="Times New Roman" w:cs="Times New Roman"/>
          <w:sz w:val="24"/>
          <w:szCs w:val="24"/>
          <w:lang w:val="en-GB"/>
        </w:rPr>
        <w:t xml:space="preserve">will </w:t>
      </w:r>
      <w:r w:rsidRPr="00614438">
        <w:rPr>
          <w:rFonts w:ascii="Times New Roman" w:hAnsi="Times New Roman" w:cs="Times New Roman"/>
          <w:sz w:val="24"/>
          <w:szCs w:val="24"/>
          <w:lang w:val="en-GB"/>
        </w:rPr>
        <w:t>contribut</w:t>
      </w:r>
      <w:r w:rsidR="00F02B6C">
        <w:rPr>
          <w:rFonts w:ascii="Times New Roman" w:hAnsi="Times New Roman" w:cs="Times New Roman"/>
          <w:sz w:val="24"/>
          <w:szCs w:val="24"/>
          <w:lang w:val="en-GB"/>
        </w:rPr>
        <w:t>e</w:t>
      </w:r>
      <w:r w:rsidRPr="00614438">
        <w:rPr>
          <w:rFonts w:ascii="Times New Roman" w:hAnsi="Times New Roman" w:cs="Times New Roman"/>
          <w:sz w:val="24"/>
          <w:szCs w:val="24"/>
          <w:lang w:val="en-GB"/>
        </w:rPr>
        <w:t xml:space="preserve"> to the effective alleviation of energy poverty. Emphasis will be </w:t>
      </w:r>
      <w:r w:rsidR="00F02B6C">
        <w:rPr>
          <w:rFonts w:ascii="Times New Roman" w:hAnsi="Times New Roman" w:cs="Times New Roman"/>
          <w:sz w:val="24"/>
          <w:szCs w:val="24"/>
          <w:lang w:val="en-GB"/>
        </w:rPr>
        <w:t>placed</w:t>
      </w:r>
      <w:r w:rsidRPr="00614438">
        <w:rPr>
          <w:rFonts w:ascii="Times New Roman" w:hAnsi="Times New Roman" w:cs="Times New Roman"/>
          <w:sz w:val="24"/>
          <w:szCs w:val="24"/>
          <w:lang w:val="en-GB"/>
        </w:rPr>
        <w:t xml:space="preserve"> on the </w:t>
      </w:r>
      <w:r w:rsidR="00F02B6C">
        <w:rPr>
          <w:rFonts w:ascii="Times New Roman" w:hAnsi="Times New Roman" w:cs="Times New Roman"/>
          <w:sz w:val="24"/>
          <w:szCs w:val="24"/>
          <w:lang w:val="en-GB"/>
        </w:rPr>
        <w:t>carrying out</w:t>
      </w:r>
      <w:r w:rsidRPr="00614438">
        <w:rPr>
          <w:rFonts w:ascii="Times New Roman" w:hAnsi="Times New Roman" w:cs="Times New Roman"/>
          <w:sz w:val="24"/>
          <w:szCs w:val="24"/>
          <w:lang w:val="en-GB"/>
        </w:rPr>
        <w:t xml:space="preserve"> of simplified energy audits, the deployment of smart meters and the provision of guidance and targeted energy advices to energy poor households.</w:t>
      </w:r>
    </w:p>
    <w:tbl>
      <w:tblPr>
        <w:tblW w:w="10700" w:type="dxa"/>
        <w:tblLook w:val="04A0" w:firstRow="1" w:lastRow="0" w:firstColumn="1" w:lastColumn="0" w:noHBand="0" w:noVBand="1"/>
      </w:tblPr>
      <w:tblGrid>
        <w:gridCol w:w="3261"/>
        <w:gridCol w:w="1172"/>
        <w:gridCol w:w="938"/>
        <w:gridCol w:w="4117"/>
        <w:gridCol w:w="1212"/>
      </w:tblGrid>
      <w:tr w:rsidR="00614438" w:rsidRPr="00AA7A53" w14:paraId="6FFB5FA0" w14:textId="77777777" w:rsidTr="00614438">
        <w:trPr>
          <w:gridAfter w:val="1"/>
          <w:wAfter w:w="1212" w:type="dxa"/>
          <w:trHeight w:val="780"/>
        </w:trPr>
        <w:tc>
          <w:tcPr>
            <w:tcW w:w="3288"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735B0E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106" w:type="dxa"/>
            <w:tcBorders>
              <w:top w:val="single" w:sz="8" w:space="0" w:color="auto"/>
              <w:left w:val="nil"/>
              <w:bottom w:val="single" w:sz="8" w:space="0" w:color="auto"/>
              <w:right w:val="single" w:sz="8" w:space="0" w:color="auto"/>
            </w:tcBorders>
            <w:shd w:val="clear" w:color="auto" w:fill="E7E6E6" w:themeFill="background2"/>
            <w:vAlign w:val="center"/>
            <w:hideMark/>
          </w:tcPr>
          <w:p w14:paraId="51D0BF6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PM_IEM32</w:t>
            </w:r>
          </w:p>
        </w:tc>
        <w:tc>
          <w:tcPr>
            <w:tcW w:w="939" w:type="dxa"/>
            <w:tcBorders>
              <w:top w:val="single" w:sz="8" w:space="0" w:color="auto"/>
              <w:left w:val="nil"/>
              <w:bottom w:val="single" w:sz="8" w:space="0" w:color="auto"/>
              <w:right w:val="single" w:sz="8" w:space="0" w:color="auto"/>
            </w:tcBorders>
            <w:shd w:val="clear" w:color="auto" w:fill="244062"/>
            <w:vAlign w:val="center"/>
            <w:hideMark/>
          </w:tcPr>
          <w:p w14:paraId="504C77D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55" w:type="dxa"/>
            <w:tcBorders>
              <w:top w:val="single" w:sz="8" w:space="0" w:color="auto"/>
              <w:left w:val="nil"/>
              <w:bottom w:val="single" w:sz="8" w:space="0" w:color="auto"/>
              <w:right w:val="single" w:sz="8" w:space="0" w:color="auto"/>
            </w:tcBorders>
            <w:shd w:val="clear" w:color="auto" w:fill="E7E6E6" w:themeFill="background2"/>
            <w:vAlign w:val="center"/>
            <w:hideMark/>
          </w:tcPr>
          <w:p w14:paraId="209E324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Preparation and adoption of an action plan to ensure achievement for energy poverty reduction</w:t>
            </w:r>
          </w:p>
        </w:tc>
      </w:tr>
      <w:tr w:rsidR="00614438" w:rsidRPr="00AA7A53" w14:paraId="021DDEC8" w14:textId="77777777" w:rsidTr="00614438">
        <w:trPr>
          <w:gridAfter w:val="1"/>
          <w:wAfter w:w="1212" w:type="dxa"/>
          <w:trHeight w:val="354"/>
        </w:trPr>
        <w:tc>
          <w:tcPr>
            <w:tcW w:w="3288" w:type="dxa"/>
            <w:tcBorders>
              <w:top w:val="nil"/>
              <w:left w:val="single" w:sz="8" w:space="0" w:color="auto"/>
              <w:bottom w:val="single" w:sz="8" w:space="0" w:color="auto"/>
              <w:right w:val="nil"/>
            </w:tcBorders>
            <w:shd w:val="clear" w:color="auto" w:fill="244062"/>
            <w:vAlign w:val="center"/>
            <w:hideMark/>
          </w:tcPr>
          <w:p w14:paraId="19905FC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00" w:type="dxa"/>
            <w:gridSpan w:val="3"/>
            <w:tcBorders>
              <w:top w:val="single" w:sz="8" w:space="0" w:color="auto"/>
              <w:left w:val="nil"/>
              <w:bottom w:val="single" w:sz="8" w:space="0" w:color="auto"/>
              <w:right w:val="single" w:sz="8" w:space="0" w:color="000000"/>
            </w:tcBorders>
            <w:vAlign w:val="center"/>
            <w:hideMark/>
          </w:tcPr>
          <w:p w14:paraId="52B8443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Alleviation of energy poverty</w:t>
            </w:r>
          </w:p>
        </w:tc>
      </w:tr>
      <w:tr w:rsidR="00614438" w:rsidRPr="00AA7A53" w14:paraId="407FA101" w14:textId="77777777" w:rsidTr="00614438">
        <w:trPr>
          <w:gridAfter w:val="1"/>
          <w:wAfter w:w="1212" w:type="dxa"/>
          <w:trHeight w:val="315"/>
        </w:trPr>
        <w:tc>
          <w:tcPr>
            <w:tcW w:w="3288" w:type="dxa"/>
            <w:tcBorders>
              <w:top w:val="nil"/>
              <w:left w:val="single" w:sz="8" w:space="0" w:color="auto"/>
              <w:bottom w:val="single" w:sz="8" w:space="0" w:color="auto"/>
              <w:right w:val="single" w:sz="8" w:space="0" w:color="auto"/>
            </w:tcBorders>
            <w:shd w:val="clear" w:color="auto" w:fill="244062"/>
            <w:vAlign w:val="center"/>
            <w:hideMark/>
          </w:tcPr>
          <w:p w14:paraId="4EF8483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00" w:type="dxa"/>
            <w:gridSpan w:val="3"/>
            <w:tcBorders>
              <w:top w:val="single" w:sz="8" w:space="0" w:color="auto"/>
              <w:left w:val="nil"/>
              <w:bottom w:val="single" w:sz="8" w:space="0" w:color="auto"/>
              <w:right w:val="single" w:sz="8" w:space="0" w:color="000000"/>
            </w:tcBorders>
            <w:vAlign w:val="center"/>
            <w:hideMark/>
          </w:tcPr>
          <w:p w14:paraId="25F8451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Reduction of energy poverty</w:t>
            </w:r>
          </w:p>
        </w:tc>
      </w:tr>
      <w:tr w:rsidR="00614438" w:rsidRPr="00AA7A53" w14:paraId="6A76A53A" w14:textId="77777777" w:rsidTr="00614438">
        <w:trPr>
          <w:gridAfter w:val="1"/>
          <w:wAfter w:w="1212" w:type="dxa"/>
          <w:trHeight w:val="726"/>
        </w:trPr>
        <w:tc>
          <w:tcPr>
            <w:tcW w:w="3288" w:type="dxa"/>
            <w:tcBorders>
              <w:top w:val="nil"/>
              <w:left w:val="single" w:sz="8" w:space="0" w:color="auto"/>
              <w:bottom w:val="single" w:sz="8" w:space="0" w:color="auto"/>
              <w:right w:val="single" w:sz="8" w:space="0" w:color="auto"/>
            </w:tcBorders>
            <w:shd w:val="clear" w:color="auto" w:fill="244062"/>
            <w:vAlign w:val="center"/>
            <w:hideMark/>
          </w:tcPr>
          <w:p w14:paraId="7B5083C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00" w:type="dxa"/>
            <w:gridSpan w:val="3"/>
            <w:tcBorders>
              <w:top w:val="single" w:sz="8" w:space="0" w:color="auto"/>
              <w:left w:val="nil"/>
              <w:bottom w:val="single" w:sz="8" w:space="0" w:color="auto"/>
              <w:right w:val="single" w:sz="8" w:space="0" w:color="000000"/>
            </w:tcBorders>
            <w:vAlign w:val="center"/>
            <w:hideMark/>
          </w:tcPr>
          <w:p w14:paraId="5ADCFA2E" w14:textId="56D44A4D"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PM_IEM32 will lead to the preparation and adoption of the action plan for the confrontation of energy poverty. The action plan will specialize the policies and measures, which will be introduced until 2030 with quantified objectives and the expected impacts. Moreover, a holistic monitoring mechanism will be developed according to the national definition and the developed indicators within the framework of PM_IEM33. Emphasis will be </w:t>
            </w:r>
            <w:r w:rsidR="00F02B6C" w:rsidRPr="00AA7A53">
              <w:rPr>
                <w:rFonts w:ascii="Times New Roman" w:hAnsi="Times New Roman" w:cs="Times New Roman"/>
                <w:sz w:val="20"/>
                <w:szCs w:val="20"/>
                <w:lang w:val="en-GB"/>
              </w:rPr>
              <w:t>placed</w:t>
            </w:r>
            <w:r w:rsidRPr="00AA7A53">
              <w:rPr>
                <w:rFonts w:ascii="Times New Roman" w:hAnsi="Times New Roman" w:cs="Times New Roman"/>
                <w:sz w:val="20"/>
                <w:szCs w:val="20"/>
                <w:lang w:val="en-GB"/>
              </w:rPr>
              <w:t xml:space="preserve"> on the continuous assessment of the planned policy measures</w:t>
            </w:r>
            <w:r w:rsidR="00F02B6C"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so as to either improve them or to in</w:t>
            </w:r>
            <w:r w:rsidR="00F02B6C" w:rsidRPr="00AA7A53">
              <w:rPr>
                <w:rFonts w:ascii="Times New Roman" w:hAnsi="Times New Roman" w:cs="Times New Roman"/>
                <w:sz w:val="20"/>
                <w:szCs w:val="20"/>
                <w:lang w:val="en-GB"/>
              </w:rPr>
              <w:t>troduce</w:t>
            </w:r>
            <w:r w:rsidRPr="00AA7A53">
              <w:rPr>
                <w:rFonts w:ascii="Times New Roman" w:hAnsi="Times New Roman" w:cs="Times New Roman"/>
                <w:sz w:val="20"/>
                <w:szCs w:val="20"/>
                <w:lang w:val="en-GB"/>
              </w:rPr>
              <w:t xml:space="preserve"> new more effective</w:t>
            </w:r>
            <w:r w:rsidR="00F02B6C" w:rsidRPr="00AA7A53">
              <w:rPr>
                <w:rFonts w:ascii="Times New Roman" w:hAnsi="Times New Roman" w:cs="Times New Roman"/>
                <w:sz w:val="20"/>
                <w:szCs w:val="20"/>
                <w:lang w:val="en-GB"/>
              </w:rPr>
              <w:t xml:space="preserve"> ones</w:t>
            </w:r>
            <w:r w:rsidRPr="00AA7A53">
              <w:rPr>
                <w:rFonts w:ascii="Times New Roman" w:hAnsi="Times New Roman" w:cs="Times New Roman"/>
                <w:sz w:val="20"/>
                <w:szCs w:val="20"/>
                <w:lang w:val="en-GB"/>
              </w:rPr>
              <w:t xml:space="preserve">. Finally, the </w:t>
            </w:r>
            <w:r w:rsidR="00F02B6C" w:rsidRPr="00AA7A53">
              <w:rPr>
                <w:rFonts w:ascii="Times New Roman" w:hAnsi="Times New Roman" w:cs="Times New Roman"/>
                <w:sz w:val="20"/>
                <w:szCs w:val="20"/>
                <w:lang w:val="en-GB"/>
              </w:rPr>
              <w:t>competent</w:t>
            </w:r>
            <w:r w:rsidRPr="00AA7A53">
              <w:rPr>
                <w:rFonts w:ascii="Times New Roman" w:hAnsi="Times New Roman" w:cs="Times New Roman"/>
                <w:sz w:val="20"/>
                <w:szCs w:val="20"/>
                <w:lang w:val="en-GB"/>
              </w:rPr>
              <w:t xml:space="preserve"> authorities will be appointed </w:t>
            </w:r>
            <w:r w:rsidR="00F02B6C" w:rsidRPr="00AA7A53">
              <w:rPr>
                <w:rFonts w:ascii="Times New Roman" w:hAnsi="Times New Roman" w:cs="Times New Roman"/>
                <w:sz w:val="20"/>
                <w:szCs w:val="20"/>
                <w:lang w:val="en-GB"/>
              </w:rPr>
              <w:t>and given</w:t>
            </w:r>
            <w:r w:rsidRPr="00AA7A53">
              <w:rPr>
                <w:rFonts w:ascii="Times New Roman" w:hAnsi="Times New Roman" w:cs="Times New Roman"/>
                <w:sz w:val="20"/>
                <w:szCs w:val="20"/>
                <w:lang w:val="en-GB"/>
              </w:rPr>
              <w:t xml:space="preserve"> detailed specification of their responsibilities and duties.</w:t>
            </w:r>
          </w:p>
        </w:tc>
      </w:tr>
      <w:tr w:rsidR="00614438" w:rsidRPr="00AA7A53" w14:paraId="59E9AE51" w14:textId="77777777" w:rsidTr="00614438">
        <w:trPr>
          <w:gridAfter w:val="1"/>
          <w:wAfter w:w="1212" w:type="dxa"/>
          <w:trHeight w:val="315"/>
        </w:trPr>
        <w:tc>
          <w:tcPr>
            <w:tcW w:w="3288" w:type="dxa"/>
            <w:tcBorders>
              <w:top w:val="nil"/>
              <w:left w:val="single" w:sz="8" w:space="0" w:color="auto"/>
              <w:bottom w:val="single" w:sz="8" w:space="0" w:color="auto"/>
              <w:right w:val="single" w:sz="8" w:space="0" w:color="auto"/>
            </w:tcBorders>
            <w:shd w:val="clear" w:color="auto" w:fill="244062"/>
            <w:vAlign w:val="center"/>
            <w:hideMark/>
          </w:tcPr>
          <w:p w14:paraId="64AD9F3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00" w:type="dxa"/>
            <w:gridSpan w:val="3"/>
            <w:tcBorders>
              <w:top w:val="single" w:sz="8" w:space="0" w:color="auto"/>
              <w:left w:val="nil"/>
              <w:bottom w:val="single" w:sz="8" w:space="0" w:color="auto"/>
              <w:right w:val="single" w:sz="8" w:space="0" w:color="000000"/>
            </w:tcBorders>
            <w:vAlign w:val="center"/>
            <w:hideMark/>
          </w:tcPr>
          <w:p w14:paraId="73C14E67" w14:textId="32FB00D8"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F02B6C"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0E79E0CC" w14:textId="77777777" w:rsidTr="00614438">
        <w:trPr>
          <w:gridAfter w:val="1"/>
          <w:wAfter w:w="1212" w:type="dxa"/>
          <w:trHeight w:val="315"/>
        </w:trPr>
        <w:tc>
          <w:tcPr>
            <w:tcW w:w="3288" w:type="dxa"/>
            <w:tcBorders>
              <w:top w:val="nil"/>
              <w:left w:val="single" w:sz="8" w:space="0" w:color="auto"/>
              <w:bottom w:val="single" w:sz="8" w:space="0" w:color="auto"/>
              <w:right w:val="single" w:sz="8" w:space="0" w:color="auto"/>
            </w:tcBorders>
            <w:shd w:val="clear" w:color="auto" w:fill="244062"/>
            <w:vAlign w:val="center"/>
            <w:hideMark/>
          </w:tcPr>
          <w:p w14:paraId="74D13EA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00" w:type="dxa"/>
            <w:gridSpan w:val="3"/>
            <w:tcBorders>
              <w:top w:val="single" w:sz="8" w:space="0" w:color="auto"/>
              <w:left w:val="nil"/>
              <w:bottom w:val="single" w:sz="8" w:space="0" w:color="auto"/>
              <w:right w:val="single" w:sz="8" w:space="0" w:color="000000"/>
            </w:tcBorders>
            <w:vAlign w:val="center"/>
            <w:hideMark/>
          </w:tcPr>
          <w:p w14:paraId="1A5D75B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4436B538" w14:textId="77777777" w:rsidTr="00614438">
        <w:trPr>
          <w:gridAfter w:val="1"/>
          <w:wAfter w:w="1212" w:type="dxa"/>
          <w:trHeight w:val="315"/>
        </w:trPr>
        <w:tc>
          <w:tcPr>
            <w:tcW w:w="3288" w:type="dxa"/>
            <w:tcBorders>
              <w:top w:val="nil"/>
              <w:left w:val="single" w:sz="8" w:space="0" w:color="auto"/>
              <w:bottom w:val="single" w:sz="8" w:space="0" w:color="auto"/>
              <w:right w:val="single" w:sz="8" w:space="0" w:color="auto"/>
            </w:tcBorders>
            <w:shd w:val="clear" w:color="auto" w:fill="244062"/>
            <w:vAlign w:val="center"/>
            <w:hideMark/>
          </w:tcPr>
          <w:p w14:paraId="74B1BA7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00" w:type="dxa"/>
            <w:gridSpan w:val="3"/>
            <w:tcBorders>
              <w:top w:val="single" w:sz="8" w:space="0" w:color="auto"/>
              <w:left w:val="nil"/>
              <w:bottom w:val="single" w:sz="8" w:space="0" w:color="auto"/>
              <w:right w:val="single" w:sz="8" w:space="0" w:color="000000"/>
            </w:tcBorders>
            <w:vAlign w:val="center"/>
            <w:hideMark/>
          </w:tcPr>
          <w:p w14:paraId="614C391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Residential</w:t>
            </w:r>
          </w:p>
        </w:tc>
      </w:tr>
      <w:tr w:rsidR="00614438" w:rsidRPr="00AA7A53" w14:paraId="2B3EF2BB" w14:textId="77777777" w:rsidTr="00614438">
        <w:trPr>
          <w:gridAfter w:val="1"/>
          <w:wAfter w:w="1212" w:type="dxa"/>
          <w:trHeight w:val="315"/>
        </w:trPr>
        <w:tc>
          <w:tcPr>
            <w:tcW w:w="3288" w:type="dxa"/>
            <w:tcBorders>
              <w:top w:val="nil"/>
              <w:left w:val="single" w:sz="8" w:space="0" w:color="auto"/>
              <w:bottom w:val="single" w:sz="8" w:space="0" w:color="auto"/>
              <w:right w:val="single" w:sz="8" w:space="0" w:color="auto"/>
            </w:tcBorders>
            <w:shd w:val="clear" w:color="auto" w:fill="244062"/>
            <w:vAlign w:val="center"/>
            <w:hideMark/>
          </w:tcPr>
          <w:p w14:paraId="01D2EFF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00" w:type="dxa"/>
            <w:gridSpan w:val="3"/>
            <w:tcBorders>
              <w:top w:val="single" w:sz="8" w:space="0" w:color="auto"/>
              <w:left w:val="nil"/>
              <w:bottom w:val="single" w:sz="8" w:space="0" w:color="auto"/>
              <w:right w:val="single" w:sz="8" w:space="0" w:color="000000"/>
            </w:tcBorders>
            <w:vAlign w:val="center"/>
            <w:hideMark/>
          </w:tcPr>
          <w:p w14:paraId="144CFA01" w14:textId="77777777" w:rsidR="00614438" w:rsidRPr="00AA7A53" w:rsidRDefault="00614438" w:rsidP="00AA7A53">
            <w:pPr>
              <w:numPr>
                <w:ilvl w:val="0"/>
                <w:numId w:val="17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681FA3F9" w14:textId="77777777" w:rsidR="00614438" w:rsidRPr="00AA7A53" w:rsidRDefault="00614438" w:rsidP="00AA7A53">
            <w:pPr>
              <w:numPr>
                <w:ilvl w:val="0"/>
                <w:numId w:val="17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p w14:paraId="20E26D5D" w14:textId="77777777" w:rsidR="00614438" w:rsidRPr="00AA7A53" w:rsidRDefault="00614438" w:rsidP="00AA7A53">
            <w:pPr>
              <w:numPr>
                <w:ilvl w:val="0"/>
                <w:numId w:val="17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Health</w:t>
            </w:r>
          </w:p>
          <w:p w14:paraId="298A3D76" w14:textId="77777777" w:rsidR="00614438" w:rsidRPr="00AA7A53" w:rsidRDefault="00614438" w:rsidP="00AA7A53">
            <w:pPr>
              <w:numPr>
                <w:ilvl w:val="0"/>
                <w:numId w:val="17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Labour, Employment, Veteran and Social Affairs</w:t>
            </w:r>
          </w:p>
          <w:p w14:paraId="3764A5F1" w14:textId="77777777" w:rsidR="00614438" w:rsidRPr="00AA7A53" w:rsidRDefault="00614438" w:rsidP="00AA7A53">
            <w:pPr>
              <w:numPr>
                <w:ilvl w:val="0"/>
                <w:numId w:val="177"/>
              </w:numPr>
              <w:spacing w:after="0"/>
              <w:jc w:val="both"/>
              <w:rPr>
                <w:rFonts w:ascii="Times New Roman" w:hAnsi="Times New Roman" w:cs="Times New Roman"/>
                <w:sz w:val="20"/>
                <w:szCs w:val="20"/>
              </w:rPr>
            </w:pPr>
            <w:r w:rsidRPr="00AA7A53">
              <w:rPr>
                <w:rFonts w:ascii="Times New Roman" w:hAnsi="Times New Roman" w:cs="Times New Roman"/>
                <w:sz w:val="20"/>
                <w:szCs w:val="20"/>
              </w:rPr>
              <w:t>National coalition for reduction of energy poverty</w:t>
            </w:r>
          </w:p>
        </w:tc>
      </w:tr>
      <w:tr w:rsidR="00614438" w:rsidRPr="00AA7A53" w14:paraId="55852189" w14:textId="77777777" w:rsidTr="00614438">
        <w:trPr>
          <w:gridAfter w:val="1"/>
          <w:wAfter w:w="1212" w:type="dxa"/>
          <w:trHeight w:val="315"/>
        </w:trPr>
        <w:tc>
          <w:tcPr>
            <w:tcW w:w="3288" w:type="dxa"/>
            <w:tcBorders>
              <w:top w:val="nil"/>
              <w:left w:val="single" w:sz="8" w:space="0" w:color="auto"/>
              <w:bottom w:val="single" w:sz="8" w:space="0" w:color="auto"/>
              <w:right w:val="nil"/>
            </w:tcBorders>
            <w:shd w:val="clear" w:color="auto" w:fill="244062"/>
            <w:vAlign w:val="center"/>
            <w:hideMark/>
          </w:tcPr>
          <w:p w14:paraId="28F2C42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00" w:type="dxa"/>
            <w:gridSpan w:val="3"/>
            <w:tcBorders>
              <w:top w:val="single" w:sz="8" w:space="0" w:color="auto"/>
              <w:left w:val="nil"/>
              <w:bottom w:val="single" w:sz="8" w:space="0" w:color="auto"/>
              <w:right w:val="single" w:sz="8" w:space="0" w:color="000000"/>
            </w:tcBorders>
            <w:vAlign w:val="center"/>
            <w:hideMark/>
          </w:tcPr>
          <w:p w14:paraId="045BEC4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w:t>
            </w:r>
          </w:p>
        </w:tc>
      </w:tr>
      <w:tr w:rsidR="00614438" w:rsidRPr="00AA7A53" w14:paraId="46EC8F54" w14:textId="77777777" w:rsidTr="00614438">
        <w:trPr>
          <w:gridAfter w:val="1"/>
          <w:wAfter w:w="1212" w:type="dxa"/>
          <w:trHeight w:val="315"/>
        </w:trPr>
        <w:tc>
          <w:tcPr>
            <w:tcW w:w="3288" w:type="dxa"/>
            <w:tcBorders>
              <w:top w:val="nil"/>
              <w:left w:val="single" w:sz="8" w:space="0" w:color="auto"/>
              <w:bottom w:val="single" w:sz="8" w:space="0" w:color="auto"/>
              <w:right w:val="nil"/>
            </w:tcBorders>
            <w:shd w:val="clear" w:color="auto" w:fill="244062"/>
            <w:vAlign w:val="center"/>
            <w:hideMark/>
          </w:tcPr>
          <w:p w14:paraId="6F645D4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00" w:type="dxa"/>
            <w:gridSpan w:val="3"/>
            <w:tcBorders>
              <w:top w:val="single" w:sz="8" w:space="0" w:color="auto"/>
              <w:left w:val="nil"/>
              <w:bottom w:val="single" w:sz="8" w:space="0" w:color="auto"/>
              <w:right w:val="single" w:sz="8" w:space="0" w:color="000000"/>
            </w:tcBorders>
            <w:vAlign w:val="center"/>
            <w:hideMark/>
          </w:tcPr>
          <w:p w14:paraId="785A9AA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Prepared action plan</w:t>
            </w:r>
          </w:p>
        </w:tc>
      </w:tr>
      <w:tr w:rsidR="00614438" w:rsidRPr="00AA7A53" w14:paraId="73DFD126" w14:textId="77777777" w:rsidTr="00614438">
        <w:trPr>
          <w:gridAfter w:val="1"/>
          <w:wAfter w:w="1212" w:type="dxa"/>
          <w:trHeight w:val="343"/>
        </w:trPr>
        <w:tc>
          <w:tcPr>
            <w:tcW w:w="3288" w:type="dxa"/>
            <w:tcBorders>
              <w:top w:val="nil"/>
              <w:left w:val="single" w:sz="8" w:space="0" w:color="auto"/>
              <w:bottom w:val="single" w:sz="8" w:space="0" w:color="auto"/>
              <w:right w:val="single" w:sz="8" w:space="0" w:color="auto"/>
            </w:tcBorders>
            <w:shd w:val="clear" w:color="auto" w:fill="244062"/>
            <w:vAlign w:val="center"/>
            <w:hideMark/>
          </w:tcPr>
          <w:p w14:paraId="7C43511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00" w:type="dxa"/>
            <w:gridSpan w:val="3"/>
            <w:tcBorders>
              <w:top w:val="single" w:sz="8" w:space="0" w:color="auto"/>
              <w:left w:val="nil"/>
              <w:bottom w:val="single" w:sz="8" w:space="0" w:color="auto"/>
              <w:right w:val="single" w:sz="8" w:space="0" w:color="000000"/>
            </w:tcBorders>
            <w:vAlign w:val="center"/>
          </w:tcPr>
          <w:p w14:paraId="3D8A0B49"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CB65F4E" w14:textId="77777777" w:rsidTr="00614438">
        <w:trPr>
          <w:gridAfter w:val="1"/>
          <w:wAfter w:w="1212" w:type="dxa"/>
          <w:trHeight w:val="458"/>
        </w:trPr>
        <w:tc>
          <w:tcPr>
            <w:tcW w:w="3288" w:type="dxa"/>
            <w:vMerge w:val="restart"/>
            <w:tcBorders>
              <w:top w:val="nil"/>
              <w:left w:val="single" w:sz="8" w:space="0" w:color="auto"/>
              <w:bottom w:val="single" w:sz="8" w:space="0" w:color="000000"/>
              <w:right w:val="single" w:sz="8" w:space="0" w:color="auto"/>
            </w:tcBorders>
            <w:shd w:val="clear" w:color="auto" w:fill="244062"/>
            <w:vAlign w:val="center"/>
            <w:hideMark/>
          </w:tcPr>
          <w:p w14:paraId="6C6792A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0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C7196E3" w14:textId="77777777" w:rsidR="00614438" w:rsidRPr="00AA7A53" w:rsidRDefault="00614438" w:rsidP="00AA7A53">
            <w:pPr>
              <w:numPr>
                <w:ilvl w:val="0"/>
                <w:numId w:val="177"/>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2019/944/EU</w:t>
            </w:r>
          </w:p>
        </w:tc>
      </w:tr>
      <w:tr w:rsidR="00614438" w:rsidRPr="00AA7A53" w14:paraId="6A3AB323"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4B72E8D6"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25B27BF"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4E10813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23E8965"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68F72579"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C65720A"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0AD4D6BB"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67C8F2FA" w14:textId="77777777" w:rsidTr="00614438">
        <w:trPr>
          <w:trHeight w:val="377"/>
        </w:trPr>
        <w:tc>
          <w:tcPr>
            <w:tcW w:w="3288" w:type="dxa"/>
            <w:tcBorders>
              <w:top w:val="nil"/>
              <w:left w:val="single" w:sz="8" w:space="0" w:color="auto"/>
              <w:bottom w:val="single" w:sz="8" w:space="0" w:color="auto"/>
              <w:right w:val="single" w:sz="8" w:space="0" w:color="auto"/>
            </w:tcBorders>
            <w:shd w:val="clear" w:color="auto" w:fill="244062"/>
            <w:vAlign w:val="center"/>
            <w:hideMark/>
          </w:tcPr>
          <w:p w14:paraId="5429A9C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00" w:type="dxa"/>
            <w:gridSpan w:val="3"/>
            <w:tcBorders>
              <w:top w:val="single" w:sz="8" w:space="0" w:color="auto"/>
              <w:left w:val="nil"/>
              <w:bottom w:val="single" w:sz="8" w:space="0" w:color="auto"/>
              <w:right w:val="single" w:sz="8" w:space="0" w:color="000000"/>
            </w:tcBorders>
            <w:vAlign w:val="center"/>
          </w:tcPr>
          <w:p w14:paraId="5D631913"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vAlign w:val="center"/>
            <w:hideMark/>
          </w:tcPr>
          <w:p w14:paraId="3DC5C95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DACE4F0" w14:textId="77777777" w:rsidTr="00614438">
        <w:trPr>
          <w:trHeight w:val="315"/>
        </w:trPr>
        <w:tc>
          <w:tcPr>
            <w:tcW w:w="3288" w:type="dxa"/>
            <w:tcBorders>
              <w:top w:val="nil"/>
              <w:left w:val="single" w:sz="8" w:space="0" w:color="auto"/>
              <w:bottom w:val="single" w:sz="8" w:space="0" w:color="auto"/>
              <w:right w:val="single" w:sz="8" w:space="0" w:color="auto"/>
            </w:tcBorders>
            <w:shd w:val="clear" w:color="auto" w:fill="244062"/>
            <w:vAlign w:val="center"/>
            <w:hideMark/>
          </w:tcPr>
          <w:p w14:paraId="231E56C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00" w:type="dxa"/>
            <w:gridSpan w:val="3"/>
            <w:tcBorders>
              <w:top w:val="single" w:sz="8" w:space="0" w:color="auto"/>
              <w:left w:val="nil"/>
              <w:bottom w:val="single" w:sz="8" w:space="0" w:color="auto"/>
              <w:right w:val="single" w:sz="8" w:space="0" w:color="000000"/>
            </w:tcBorders>
            <w:vAlign w:val="center"/>
            <w:hideMark/>
          </w:tcPr>
          <w:p w14:paraId="5DF3269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0.2 M€</w:t>
            </w:r>
          </w:p>
        </w:tc>
        <w:tc>
          <w:tcPr>
            <w:tcW w:w="1212" w:type="dxa"/>
            <w:vAlign w:val="center"/>
            <w:hideMark/>
          </w:tcPr>
          <w:p w14:paraId="541B7D9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8FB726E" w14:textId="77777777" w:rsidTr="00614438">
        <w:trPr>
          <w:trHeight w:val="315"/>
        </w:trPr>
        <w:tc>
          <w:tcPr>
            <w:tcW w:w="3288" w:type="dxa"/>
            <w:tcBorders>
              <w:top w:val="nil"/>
              <w:left w:val="single" w:sz="8" w:space="0" w:color="auto"/>
              <w:bottom w:val="single" w:sz="8" w:space="0" w:color="auto"/>
              <w:right w:val="single" w:sz="8" w:space="0" w:color="auto"/>
            </w:tcBorders>
            <w:shd w:val="clear" w:color="auto" w:fill="244062"/>
            <w:vAlign w:val="center"/>
            <w:hideMark/>
          </w:tcPr>
          <w:p w14:paraId="2CD7AD0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00" w:type="dxa"/>
            <w:gridSpan w:val="3"/>
            <w:tcBorders>
              <w:top w:val="single" w:sz="8" w:space="0" w:color="auto"/>
              <w:left w:val="nil"/>
              <w:bottom w:val="single" w:sz="8" w:space="0" w:color="auto"/>
              <w:right w:val="single" w:sz="8" w:space="0" w:color="000000"/>
            </w:tcBorders>
            <w:vAlign w:val="center"/>
            <w:hideMark/>
          </w:tcPr>
          <w:p w14:paraId="6916616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1212" w:type="dxa"/>
            <w:vAlign w:val="center"/>
            <w:hideMark/>
          </w:tcPr>
          <w:p w14:paraId="1AA28CAC" w14:textId="77777777" w:rsidR="00614438" w:rsidRPr="00AA7A53" w:rsidRDefault="00614438" w:rsidP="00AA7A53">
            <w:pPr>
              <w:spacing w:after="0"/>
              <w:jc w:val="both"/>
              <w:rPr>
                <w:rFonts w:ascii="Times New Roman" w:hAnsi="Times New Roman" w:cs="Times New Roman"/>
                <w:sz w:val="20"/>
                <w:szCs w:val="20"/>
                <w:lang w:val="en-GB"/>
              </w:rPr>
            </w:pPr>
          </w:p>
        </w:tc>
      </w:tr>
    </w:tbl>
    <w:p w14:paraId="1161DEE6"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72"/>
        <w:gridCol w:w="1172"/>
        <w:gridCol w:w="932"/>
        <w:gridCol w:w="4112"/>
        <w:gridCol w:w="1212"/>
      </w:tblGrid>
      <w:tr w:rsidR="00614438" w:rsidRPr="00AA7A53" w14:paraId="05D187F7" w14:textId="77777777" w:rsidTr="00614438">
        <w:trPr>
          <w:gridAfter w:val="1"/>
          <w:wAfter w:w="1212" w:type="dxa"/>
          <w:trHeight w:val="780"/>
        </w:trPr>
        <w:tc>
          <w:tcPr>
            <w:tcW w:w="3295"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72B0D77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106" w:type="dxa"/>
            <w:tcBorders>
              <w:top w:val="single" w:sz="8" w:space="0" w:color="auto"/>
              <w:left w:val="nil"/>
              <w:bottom w:val="single" w:sz="8" w:space="0" w:color="auto"/>
              <w:right w:val="single" w:sz="8" w:space="0" w:color="auto"/>
            </w:tcBorders>
            <w:shd w:val="clear" w:color="auto" w:fill="E7E6E6" w:themeFill="background2"/>
            <w:vAlign w:val="center"/>
            <w:hideMark/>
          </w:tcPr>
          <w:p w14:paraId="0547267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PM_IEM33</w:t>
            </w:r>
          </w:p>
        </w:tc>
        <w:tc>
          <w:tcPr>
            <w:tcW w:w="936" w:type="dxa"/>
            <w:tcBorders>
              <w:top w:val="single" w:sz="8" w:space="0" w:color="auto"/>
              <w:left w:val="nil"/>
              <w:bottom w:val="single" w:sz="8" w:space="0" w:color="auto"/>
              <w:right w:val="single" w:sz="8" w:space="0" w:color="auto"/>
            </w:tcBorders>
            <w:shd w:val="clear" w:color="auto" w:fill="244062"/>
            <w:vAlign w:val="center"/>
            <w:hideMark/>
          </w:tcPr>
          <w:p w14:paraId="159B26C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51" w:type="dxa"/>
            <w:tcBorders>
              <w:top w:val="single" w:sz="8" w:space="0" w:color="auto"/>
              <w:left w:val="nil"/>
              <w:bottom w:val="single" w:sz="8" w:space="0" w:color="auto"/>
              <w:right w:val="single" w:sz="8" w:space="0" w:color="auto"/>
            </w:tcBorders>
            <w:shd w:val="clear" w:color="auto" w:fill="E7E6E6" w:themeFill="background2"/>
            <w:vAlign w:val="center"/>
            <w:hideMark/>
          </w:tcPr>
          <w:p w14:paraId="7C2A823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Regulatory measures for the protection of energy poor households and provision of allowances for the short-term alleviation of the energy poverty (i.e. energy card or social tariff)</w:t>
            </w:r>
          </w:p>
        </w:tc>
      </w:tr>
      <w:tr w:rsidR="00614438" w:rsidRPr="00AA7A53" w14:paraId="447D4C57" w14:textId="77777777" w:rsidTr="00614438">
        <w:trPr>
          <w:gridAfter w:val="1"/>
          <w:wAfter w:w="1212" w:type="dxa"/>
          <w:trHeight w:val="318"/>
        </w:trPr>
        <w:tc>
          <w:tcPr>
            <w:tcW w:w="3295" w:type="dxa"/>
            <w:tcBorders>
              <w:top w:val="nil"/>
              <w:left w:val="single" w:sz="8" w:space="0" w:color="auto"/>
              <w:bottom w:val="single" w:sz="8" w:space="0" w:color="auto"/>
              <w:right w:val="nil"/>
            </w:tcBorders>
            <w:shd w:val="clear" w:color="auto" w:fill="244062"/>
            <w:vAlign w:val="center"/>
            <w:hideMark/>
          </w:tcPr>
          <w:p w14:paraId="5259D37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93" w:type="dxa"/>
            <w:gridSpan w:val="3"/>
            <w:tcBorders>
              <w:top w:val="single" w:sz="8" w:space="0" w:color="auto"/>
              <w:left w:val="nil"/>
              <w:bottom w:val="single" w:sz="8" w:space="0" w:color="auto"/>
              <w:right w:val="single" w:sz="8" w:space="0" w:color="000000"/>
            </w:tcBorders>
            <w:vAlign w:val="center"/>
            <w:hideMark/>
          </w:tcPr>
          <w:p w14:paraId="5B115F2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Alleviation of energy poverty</w:t>
            </w:r>
          </w:p>
        </w:tc>
      </w:tr>
      <w:tr w:rsidR="00614438" w:rsidRPr="00AA7A53" w14:paraId="05F9C88E" w14:textId="77777777" w:rsidTr="00614438">
        <w:trPr>
          <w:gridAfter w:val="1"/>
          <w:wAfter w:w="1212" w:type="dxa"/>
          <w:trHeight w:val="315"/>
        </w:trPr>
        <w:tc>
          <w:tcPr>
            <w:tcW w:w="3295" w:type="dxa"/>
            <w:tcBorders>
              <w:top w:val="nil"/>
              <w:left w:val="single" w:sz="8" w:space="0" w:color="auto"/>
              <w:bottom w:val="single" w:sz="8" w:space="0" w:color="auto"/>
              <w:right w:val="single" w:sz="8" w:space="0" w:color="auto"/>
            </w:tcBorders>
            <w:shd w:val="clear" w:color="auto" w:fill="244062"/>
            <w:vAlign w:val="center"/>
            <w:hideMark/>
          </w:tcPr>
          <w:p w14:paraId="15E67D4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93" w:type="dxa"/>
            <w:gridSpan w:val="3"/>
            <w:tcBorders>
              <w:top w:val="single" w:sz="8" w:space="0" w:color="auto"/>
              <w:left w:val="nil"/>
              <w:bottom w:val="single" w:sz="8" w:space="0" w:color="auto"/>
              <w:right w:val="single" w:sz="8" w:space="0" w:color="000000"/>
            </w:tcBorders>
            <w:vAlign w:val="center"/>
            <w:hideMark/>
          </w:tcPr>
          <w:p w14:paraId="4660ADD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Reduction of energy poverty</w:t>
            </w:r>
          </w:p>
        </w:tc>
      </w:tr>
      <w:tr w:rsidR="00614438" w:rsidRPr="00AA7A53" w14:paraId="473E1542" w14:textId="77777777" w:rsidTr="00614438">
        <w:trPr>
          <w:gridAfter w:val="1"/>
          <w:wAfter w:w="1212" w:type="dxa"/>
          <w:trHeight w:val="570"/>
        </w:trPr>
        <w:tc>
          <w:tcPr>
            <w:tcW w:w="3295" w:type="dxa"/>
            <w:tcBorders>
              <w:top w:val="nil"/>
              <w:left w:val="single" w:sz="8" w:space="0" w:color="auto"/>
              <w:bottom w:val="single" w:sz="8" w:space="0" w:color="auto"/>
              <w:right w:val="single" w:sz="8" w:space="0" w:color="auto"/>
            </w:tcBorders>
            <w:shd w:val="clear" w:color="auto" w:fill="244062"/>
            <w:vAlign w:val="center"/>
            <w:hideMark/>
          </w:tcPr>
          <w:p w14:paraId="5A8FB2F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93" w:type="dxa"/>
            <w:gridSpan w:val="3"/>
            <w:tcBorders>
              <w:top w:val="single" w:sz="8" w:space="0" w:color="auto"/>
              <w:left w:val="nil"/>
              <w:bottom w:val="single" w:sz="8" w:space="0" w:color="auto"/>
              <w:right w:val="single" w:sz="8" w:space="0" w:color="000000"/>
            </w:tcBorders>
            <w:vAlign w:val="center"/>
            <w:hideMark/>
          </w:tcPr>
          <w:p w14:paraId="55D0D31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PM_IEM33 will foresee the adoption of regulatory measures for protecting the energy poor households from potential disconnections from electricity and natural gas grids. Moreover, the reduction of the monthly obligation for certain quantities of electricity or natural gas will be examined in conjunction with additional financial incentives, such as the introduction of social tariff and the provision of energy cards providing the capability to energy poor households about the energy carriers which will be consumed in order to cover their actual energy needs. It should be noted that the provisions of Article 5, paragraph 4 of the Directive 944/2019/EU will be taken in into consideration in regards to the public interventions in the price setting for the supply of electricity during the design of the social tariff scheme. Finally, the deployment of smart meters can allow the consumption of predefined quantities of energy carriers.</w:t>
            </w:r>
          </w:p>
        </w:tc>
      </w:tr>
      <w:tr w:rsidR="00614438" w:rsidRPr="00AA7A53" w14:paraId="09A512FC" w14:textId="77777777" w:rsidTr="00614438">
        <w:trPr>
          <w:gridAfter w:val="1"/>
          <w:wAfter w:w="1212" w:type="dxa"/>
          <w:trHeight w:val="315"/>
        </w:trPr>
        <w:tc>
          <w:tcPr>
            <w:tcW w:w="3295" w:type="dxa"/>
            <w:tcBorders>
              <w:top w:val="nil"/>
              <w:left w:val="single" w:sz="8" w:space="0" w:color="auto"/>
              <w:bottom w:val="single" w:sz="8" w:space="0" w:color="auto"/>
              <w:right w:val="single" w:sz="8" w:space="0" w:color="auto"/>
            </w:tcBorders>
            <w:shd w:val="clear" w:color="auto" w:fill="244062"/>
            <w:vAlign w:val="center"/>
            <w:hideMark/>
          </w:tcPr>
          <w:p w14:paraId="33C255E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93" w:type="dxa"/>
            <w:gridSpan w:val="3"/>
            <w:tcBorders>
              <w:top w:val="single" w:sz="8" w:space="0" w:color="auto"/>
              <w:left w:val="nil"/>
              <w:bottom w:val="single" w:sz="8" w:space="0" w:color="auto"/>
              <w:right w:val="single" w:sz="8" w:space="0" w:color="000000"/>
            </w:tcBorders>
            <w:vAlign w:val="center"/>
            <w:hideMark/>
          </w:tcPr>
          <w:p w14:paraId="416638FD" w14:textId="7A38CB4F"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C20CD2"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61741EA0" w14:textId="77777777" w:rsidTr="00614438">
        <w:trPr>
          <w:gridAfter w:val="1"/>
          <w:wAfter w:w="1212" w:type="dxa"/>
          <w:trHeight w:val="315"/>
        </w:trPr>
        <w:tc>
          <w:tcPr>
            <w:tcW w:w="3295" w:type="dxa"/>
            <w:tcBorders>
              <w:top w:val="nil"/>
              <w:left w:val="single" w:sz="8" w:space="0" w:color="auto"/>
              <w:bottom w:val="single" w:sz="8" w:space="0" w:color="auto"/>
              <w:right w:val="single" w:sz="8" w:space="0" w:color="auto"/>
            </w:tcBorders>
            <w:shd w:val="clear" w:color="auto" w:fill="244062"/>
            <w:vAlign w:val="center"/>
            <w:hideMark/>
          </w:tcPr>
          <w:p w14:paraId="1CD6158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93" w:type="dxa"/>
            <w:gridSpan w:val="3"/>
            <w:tcBorders>
              <w:top w:val="single" w:sz="8" w:space="0" w:color="auto"/>
              <w:left w:val="nil"/>
              <w:bottom w:val="single" w:sz="8" w:space="0" w:color="auto"/>
              <w:right w:val="single" w:sz="8" w:space="0" w:color="000000"/>
            </w:tcBorders>
            <w:vAlign w:val="center"/>
            <w:hideMark/>
          </w:tcPr>
          <w:p w14:paraId="5C05B16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6DC2EBEC" w14:textId="77777777" w:rsidTr="00614438">
        <w:trPr>
          <w:gridAfter w:val="1"/>
          <w:wAfter w:w="1212" w:type="dxa"/>
          <w:trHeight w:val="315"/>
        </w:trPr>
        <w:tc>
          <w:tcPr>
            <w:tcW w:w="3295" w:type="dxa"/>
            <w:tcBorders>
              <w:top w:val="nil"/>
              <w:left w:val="single" w:sz="8" w:space="0" w:color="auto"/>
              <w:bottom w:val="single" w:sz="8" w:space="0" w:color="auto"/>
              <w:right w:val="single" w:sz="8" w:space="0" w:color="auto"/>
            </w:tcBorders>
            <w:shd w:val="clear" w:color="auto" w:fill="244062"/>
            <w:vAlign w:val="center"/>
            <w:hideMark/>
          </w:tcPr>
          <w:p w14:paraId="3EC7C84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93" w:type="dxa"/>
            <w:gridSpan w:val="3"/>
            <w:tcBorders>
              <w:top w:val="single" w:sz="8" w:space="0" w:color="auto"/>
              <w:left w:val="nil"/>
              <w:bottom w:val="single" w:sz="8" w:space="0" w:color="auto"/>
              <w:right w:val="single" w:sz="8" w:space="0" w:color="000000"/>
            </w:tcBorders>
            <w:vAlign w:val="center"/>
            <w:hideMark/>
          </w:tcPr>
          <w:p w14:paraId="115B11B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Residential</w:t>
            </w:r>
          </w:p>
        </w:tc>
      </w:tr>
      <w:tr w:rsidR="00614438" w:rsidRPr="00AA7A53" w14:paraId="4A054DAC" w14:textId="77777777" w:rsidTr="00614438">
        <w:trPr>
          <w:gridAfter w:val="1"/>
          <w:wAfter w:w="1212" w:type="dxa"/>
          <w:trHeight w:val="315"/>
        </w:trPr>
        <w:tc>
          <w:tcPr>
            <w:tcW w:w="3295" w:type="dxa"/>
            <w:tcBorders>
              <w:top w:val="nil"/>
              <w:left w:val="single" w:sz="8" w:space="0" w:color="auto"/>
              <w:bottom w:val="single" w:sz="8" w:space="0" w:color="auto"/>
              <w:right w:val="single" w:sz="8" w:space="0" w:color="auto"/>
            </w:tcBorders>
            <w:shd w:val="clear" w:color="auto" w:fill="244062"/>
            <w:vAlign w:val="center"/>
            <w:hideMark/>
          </w:tcPr>
          <w:p w14:paraId="69E1AC2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93" w:type="dxa"/>
            <w:gridSpan w:val="3"/>
            <w:tcBorders>
              <w:top w:val="single" w:sz="8" w:space="0" w:color="auto"/>
              <w:left w:val="nil"/>
              <w:bottom w:val="single" w:sz="8" w:space="0" w:color="auto"/>
              <w:right w:val="single" w:sz="8" w:space="0" w:color="000000"/>
            </w:tcBorders>
            <w:vAlign w:val="center"/>
            <w:hideMark/>
          </w:tcPr>
          <w:p w14:paraId="119631E8" w14:textId="77777777" w:rsidR="00614438" w:rsidRPr="00AA7A53" w:rsidRDefault="00614438" w:rsidP="00AA7A53">
            <w:pPr>
              <w:numPr>
                <w:ilvl w:val="0"/>
                <w:numId w:val="178"/>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325E6B85" w14:textId="77777777" w:rsidTr="00614438">
        <w:trPr>
          <w:gridAfter w:val="1"/>
          <w:wAfter w:w="1212" w:type="dxa"/>
          <w:trHeight w:val="315"/>
        </w:trPr>
        <w:tc>
          <w:tcPr>
            <w:tcW w:w="3295" w:type="dxa"/>
            <w:tcBorders>
              <w:top w:val="nil"/>
              <w:left w:val="single" w:sz="8" w:space="0" w:color="auto"/>
              <w:bottom w:val="single" w:sz="8" w:space="0" w:color="auto"/>
              <w:right w:val="nil"/>
            </w:tcBorders>
            <w:shd w:val="clear" w:color="auto" w:fill="244062"/>
            <w:vAlign w:val="center"/>
            <w:hideMark/>
          </w:tcPr>
          <w:p w14:paraId="4881A8C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93" w:type="dxa"/>
            <w:gridSpan w:val="3"/>
            <w:tcBorders>
              <w:top w:val="single" w:sz="8" w:space="0" w:color="auto"/>
              <w:left w:val="nil"/>
              <w:bottom w:val="single" w:sz="8" w:space="0" w:color="auto"/>
              <w:right w:val="single" w:sz="8" w:space="0" w:color="000000"/>
            </w:tcBorders>
            <w:vAlign w:val="center"/>
            <w:hideMark/>
          </w:tcPr>
          <w:p w14:paraId="3133FC2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w:t>
            </w:r>
          </w:p>
        </w:tc>
      </w:tr>
      <w:tr w:rsidR="00614438" w:rsidRPr="00AA7A53" w14:paraId="35A3B1A6" w14:textId="77777777" w:rsidTr="00614438">
        <w:trPr>
          <w:gridAfter w:val="1"/>
          <w:wAfter w:w="1212" w:type="dxa"/>
          <w:trHeight w:val="315"/>
        </w:trPr>
        <w:tc>
          <w:tcPr>
            <w:tcW w:w="3295" w:type="dxa"/>
            <w:tcBorders>
              <w:top w:val="nil"/>
              <w:left w:val="single" w:sz="8" w:space="0" w:color="auto"/>
              <w:bottom w:val="single" w:sz="8" w:space="0" w:color="auto"/>
              <w:right w:val="nil"/>
            </w:tcBorders>
            <w:shd w:val="clear" w:color="auto" w:fill="244062"/>
            <w:vAlign w:val="center"/>
            <w:hideMark/>
          </w:tcPr>
          <w:p w14:paraId="6B4F9BF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93" w:type="dxa"/>
            <w:gridSpan w:val="3"/>
            <w:tcBorders>
              <w:top w:val="single" w:sz="8" w:space="0" w:color="auto"/>
              <w:left w:val="nil"/>
              <w:bottom w:val="single" w:sz="8" w:space="0" w:color="auto"/>
              <w:right w:val="single" w:sz="8" w:space="0" w:color="000000"/>
            </w:tcBorders>
            <w:vAlign w:val="center"/>
            <w:hideMark/>
          </w:tcPr>
          <w:p w14:paraId="68202E7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Number of affected energy poor households</w:t>
            </w:r>
          </w:p>
        </w:tc>
      </w:tr>
      <w:tr w:rsidR="00614438" w:rsidRPr="00AA7A53" w14:paraId="59D2742D" w14:textId="77777777" w:rsidTr="00614438">
        <w:trPr>
          <w:gridAfter w:val="1"/>
          <w:wAfter w:w="1212" w:type="dxa"/>
          <w:trHeight w:val="429"/>
        </w:trPr>
        <w:tc>
          <w:tcPr>
            <w:tcW w:w="3295" w:type="dxa"/>
            <w:tcBorders>
              <w:top w:val="nil"/>
              <w:left w:val="single" w:sz="8" w:space="0" w:color="auto"/>
              <w:bottom w:val="single" w:sz="8" w:space="0" w:color="auto"/>
              <w:right w:val="single" w:sz="8" w:space="0" w:color="auto"/>
            </w:tcBorders>
            <w:shd w:val="clear" w:color="auto" w:fill="244062"/>
            <w:vAlign w:val="center"/>
            <w:hideMark/>
          </w:tcPr>
          <w:p w14:paraId="63E2F10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93" w:type="dxa"/>
            <w:gridSpan w:val="3"/>
            <w:tcBorders>
              <w:top w:val="single" w:sz="8" w:space="0" w:color="auto"/>
              <w:left w:val="nil"/>
              <w:bottom w:val="single" w:sz="8" w:space="0" w:color="auto"/>
              <w:right w:val="single" w:sz="8" w:space="0" w:color="000000"/>
            </w:tcBorders>
            <w:vAlign w:val="center"/>
          </w:tcPr>
          <w:p w14:paraId="1445EE4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01C5D4B" w14:textId="77777777" w:rsidTr="00614438">
        <w:trPr>
          <w:gridAfter w:val="1"/>
          <w:wAfter w:w="1212" w:type="dxa"/>
          <w:trHeight w:val="458"/>
        </w:trPr>
        <w:tc>
          <w:tcPr>
            <w:tcW w:w="3295" w:type="dxa"/>
            <w:vMerge w:val="restart"/>
            <w:tcBorders>
              <w:top w:val="nil"/>
              <w:left w:val="single" w:sz="8" w:space="0" w:color="auto"/>
              <w:bottom w:val="single" w:sz="8" w:space="0" w:color="000000"/>
              <w:right w:val="single" w:sz="8" w:space="0" w:color="auto"/>
            </w:tcBorders>
            <w:shd w:val="clear" w:color="auto" w:fill="244062"/>
            <w:vAlign w:val="center"/>
            <w:hideMark/>
          </w:tcPr>
          <w:p w14:paraId="79BFDB8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93"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054D90D" w14:textId="77777777" w:rsidR="00614438" w:rsidRPr="00AA7A53" w:rsidRDefault="00614438" w:rsidP="00AA7A53">
            <w:pPr>
              <w:numPr>
                <w:ilvl w:val="0"/>
                <w:numId w:val="177"/>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2019/944/EU</w:t>
            </w:r>
          </w:p>
          <w:p w14:paraId="6217A4DB" w14:textId="77777777" w:rsidR="00614438" w:rsidRPr="00AA7A53" w:rsidRDefault="00614438" w:rsidP="00AA7A53">
            <w:pPr>
              <w:numPr>
                <w:ilvl w:val="0"/>
                <w:numId w:val="177"/>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2019/692/EU</w:t>
            </w:r>
          </w:p>
        </w:tc>
      </w:tr>
      <w:tr w:rsidR="00614438" w:rsidRPr="00AA7A53" w14:paraId="5955C733"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1B33EA21"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1A9AC56"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5545297F"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28CDCFB"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4AC7D61B"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F6D96D5"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5A405F17"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1C0E3432" w14:textId="77777777" w:rsidTr="00614438">
        <w:trPr>
          <w:trHeight w:val="477"/>
        </w:trPr>
        <w:tc>
          <w:tcPr>
            <w:tcW w:w="3295" w:type="dxa"/>
            <w:tcBorders>
              <w:top w:val="nil"/>
              <w:left w:val="single" w:sz="8" w:space="0" w:color="auto"/>
              <w:bottom w:val="single" w:sz="8" w:space="0" w:color="auto"/>
              <w:right w:val="single" w:sz="8" w:space="0" w:color="auto"/>
            </w:tcBorders>
            <w:shd w:val="clear" w:color="auto" w:fill="244062"/>
            <w:vAlign w:val="center"/>
            <w:hideMark/>
          </w:tcPr>
          <w:p w14:paraId="21066B0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93" w:type="dxa"/>
            <w:gridSpan w:val="3"/>
            <w:tcBorders>
              <w:top w:val="single" w:sz="8" w:space="0" w:color="auto"/>
              <w:left w:val="nil"/>
              <w:bottom w:val="single" w:sz="8" w:space="0" w:color="auto"/>
              <w:right w:val="single" w:sz="8" w:space="0" w:color="000000"/>
            </w:tcBorders>
            <w:vAlign w:val="center"/>
            <w:hideMark/>
          </w:tcPr>
          <w:p w14:paraId="0E45412B" w14:textId="77777777" w:rsidR="00614438" w:rsidRPr="00AA7A53" w:rsidRDefault="00614438" w:rsidP="00AA7A53">
            <w:pPr>
              <w:numPr>
                <w:ilvl w:val="0"/>
                <w:numId w:val="177"/>
              </w:numPr>
              <w:spacing w:after="0"/>
              <w:jc w:val="both"/>
              <w:rPr>
                <w:rFonts w:ascii="Times New Roman" w:hAnsi="Times New Roman" w:cs="Times New Roman"/>
                <w:sz w:val="20"/>
                <w:szCs w:val="20"/>
              </w:rPr>
            </w:pPr>
            <w:r w:rsidRPr="00AA7A53">
              <w:rPr>
                <w:rFonts w:ascii="Times New Roman" w:hAnsi="Times New Roman" w:cs="Times New Roman"/>
                <w:sz w:val="20"/>
                <w:szCs w:val="20"/>
              </w:rPr>
              <w:t>Degree on energy vulnerable customer</w:t>
            </w:r>
          </w:p>
        </w:tc>
        <w:tc>
          <w:tcPr>
            <w:tcW w:w="1212" w:type="dxa"/>
            <w:vAlign w:val="center"/>
            <w:hideMark/>
          </w:tcPr>
          <w:p w14:paraId="11E1BCA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6BBEDFA" w14:textId="77777777" w:rsidTr="00614438">
        <w:trPr>
          <w:trHeight w:val="315"/>
        </w:trPr>
        <w:tc>
          <w:tcPr>
            <w:tcW w:w="3295" w:type="dxa"/>
            <w:tcBorders>
              <w:top w:val="nil"/>
              <w:left w:val="single" w:sz="8" w:space="0" w:color="auto"/>
              <w:bottom w:val="single" w:sz="8" w:space="0" w:color="auto"/>
              <w:right w:val="single" w:sz="8" w:space="0" w:color="auto"/>
            </w:tcBorders>
            <w:shd w:val="clear" w:color="auto" w:fill="244062"/>
            <w:vAlign w:val="center"/>
            <w:hideMark/>
          </w:tcPr>
          <w:p w14:paraId="67F5357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93" w:type="dxa"/>
            <w:gridSpan w:val="3"/>
            <w:tcBorders>
              <w:top w:val="single" w:sz="8" w:space="0" w:color="auto"/>
              <w:left w:val="nil"/>
              <w:bottom w:val="single" w:sz="8" w:space="0" w:color="auto"/>
              <w:right w:val="single" w:sz="8" w:space="0" w:color="000000"/>
            </w:tcBorders>
            <w:vAlign w:val="center"/>
            <w:hideMark/>
          </w:tcPr>
          <w:p w14:paraId="4511AF4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Under examination</w:t>
            </w:r>
          </w:p>
        </w:tc>
        <w:tc>
          <w:tcPr>
            <w:tcW w:w="1212" w:type="dxa"/>
            <w:vAlign w:val="center"/>
            <w:hideMark/>
          </w:tcPr>
          <w:p w14:paraId="527E6A2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5BEBB2F" w14:textId="77777777" w:rsidTr="00614438">
        <w:trPr>
          <w:trHeight w:val="315"/>
        </w:trPr>
        <w:tc>
          <w:tcPr>
            <w:tcW w:w="3295" w:type="dxa"/>
            <w:tcBorders>
              <w:top w:val="nil"/>
              <w:left w:val="single" w:sz="8" w:space="0" w:color="auto"/>
              <w:bottom w:val="single" w:sz="8" w:space="0" w:color="auto"/>
              <w:right w:val="single" w:sz="8" w:space="0" w:color="auto"/>
            </w:tcBorders>
            <w:shd w:val="clear" w:color="auto" w:fill="244062"/>
            <w:vAlign w:val="center"/>
            <w:hideMark/>
          </w:tcPr>
          <w:p w14:paraId="02A5816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93" w:type="dxa"/>
            <w:gridSpan w:val="3"/>
            <w:tcBorders>
              <w:top w:val="single" w:sz="8" w:space="0" w:color="auto"/>
              <w:left w:val="nil"/>
              <w:bottom w:val="single" w:sz="8" w:space="0" w:color="auto"/>
              <w:right w:val="single" w:sz="8" w:space="0" w:color="000000"/>
            </w:tcBorders>
            <w:vAlign w:val="center"/>
            <w:hideMark/>
          </w:tcPr>
          <w:p w14:paraId="2262811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Under examination</w:t>
            </w:r>
          </w:p>
        </w:tc>
        <w:tc>
          <w:tcPr>
            <w:tcW w:w="1212" w:type="dxa"/>
            <w:vAlign w:val="center"/>
            <w:hideMark/>
          </w:tcPr>
          <w:p w14:paraId="37FE66E9" w14:textId="77777777" w:rsidR="00614438" w:rsidRPr="00AA7A53" w:rsidRDefault="00614438" w:rsidP="00AA7A53">
            <w:pPr>
              <w:spacing w:after="0"/>
              <w:jc w:val="both"/>
              <w:rPr>
                <w:rFonts w:ascii="Times New Roman" w:hAnsi="Times New Roman" w:cs="Times New Roman"/>
                <w:sz w:val="20"/>
                <w:szCs w:val="20"/>
                <w:lang w:val="en-GB"/>
              </w:rPr>
            </w:pPr>
          </w:p>
        </w:tc>
      </w:tr>
    </w:tbl>
    <w:p w14:paraId="711FB8F0"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65"/>
        <w:gridCol w:w="1172"/>
        <w:gridCol w:w="934"/>
        <w:gridCol w:w="4117"/>
        <w:gridCol w:w="1212"/>
      </w:tblGrid>
      <w:tr w:rsidR="00614438" w:rsidRPr="00AA7A53" w14:paraId="214986BA" w14:textId="77777777" w:rsidTr="00614438">
        <w:trPr>
          <w:gridAfter w:val="1"/>
          <w:wAfter w:w="1212" w:type="dxa"/>
          <w:trHeight w:val="567"/>
        </w:trPr>
        <w:tc>
          <w:tcPr>
            <w:tcW w:w="3288"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6906B83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106" w:type="dxa"/>
            <w:tcBorders>
              <w:top w:val="single" w:sz="8" w:space="0" w:color="auto"/>
              <w:left w:val="nil"/>
              <w:bottom w:val="single" w:sz="8" w:space="0" w:color="auto"/>
              <w:right w:val="single" w:sz="8" w:space="0" w:color="auto"/>
            </w:tcBorders>
            <w:shd w:val="clear" w:color="auto" w:fill="E7E6E6" w:themeFill="background2"/>
            <w:vAlign w:val="center"/>
            <w:hideMark/>
          </w:tcPr>
          <w:p w14:paraId="41D6C91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PM_IEM34</w:t>
            </w:r>
          </w:p>
        </w:tc>
        <w:tc>
          <w:tcPr>
            <w:tcW w:w="938" w:type="dxa"/>
            <w:tcBorders>
              <w:top w:val="single" w:sz="8" w:space="0" w:color="auto"/>
              <w:left w:val="nil"/>
              <w:bottom w:val="single" w:sz="8" w:space="0" w:color="auto"/>
              <w:right w:val="single" w:sz="8" w:space="0" w:color="auto"/>
            </w:tcBorders>
            <w:shd w:val="clear" w:color="auto" w:fill="244062"/>
            <w:vAlign w:val="center"/>
            <w:hideMark/>
          </w:tcPr>
          <w:p w14:paraId="67EE25E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56" w:type="dxa"/>
            <w:tcBorders>
              <w:top w:val="single" w:sz="8" w:space="0" w:color="auto"/>
              <w:left w:val="nil"/>
              <w:bottom w:val="single" w:sz="8" w:space="0" w:color="auto"/>
              <w:right w:val="single" w:sz="8" w:space="0" w:color="auto"/>
            </w:tcBorders>
            <w:shd w:val="clear" w:color="auto" w:fill="E7E6E6" w:themeFill="background2"/>
            <w:vAlign w:val="center"/>
            <w:hideMark/>
          </w:tcPr>
          <w:p w14:paraId="36316DAE" w14:textId="6FDC827E"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Preparation of special programs for the application of energy efficiency measures and the promotion of RES among energy vulnerable customers for the long-term confrontation of energy poverty</w:t>
            </w:r>
          </w:p>
        </w:tc>
      </w:tr>
      <w:tr w:rsidR="00614438" w:rsidRPr="00AA7A53" w14:paraId="23BCD3AE" w14:textId="77777777" w:rsidTr="00614438">
        <w:trPr>
          <w:gridAfter w:val="1"/>
          <w:wAfter w:w="1212" w:type="dxa"/>
          <w:trHeight w:val="377"/>
        </w:trPr>
        <w:tc>
          <w:tcPr>
            <w:tcW w:w="3288" w:type="dxa"/>
            <w:tcBorders>
              <w:top w:val="nil"/>
              <w:left w:val="single" w:sz="8" w:space="0" w:color="auto"/>
              <w:bottom w:val="single" w:sz="8" w:space="0" w:color="auto"/>
              <w:right w:val="nil"/>
            </w:tcBorders>
            <w:shd w:val="clear" w:color="auto" w:fill="244062"/>
            <w:vAlign w:val="center"/>
            <w:hideMark/>
          </w:tcPr>
          <w:p w14:paraId="1CC2513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00" w:type="dxa"/>
            <w:gridSpan w:val="3"/>
            <w:tcBorders>
              <w:top w:val="single" w:sz="8" w:space="0" w:color="auto"/>
              <w:left w:val="nil"/>
              <w:bottom w:val="single" w:sz="8" w:space="0" w:color="auto"/>
              <w:right w:val="single" w:sz="8" w:space="0" w:color="000000"/>
            </w:tcBorders>
            <w:vAlign w:val="center"/>
            <w:hideMark/>
          </w:tcPr>
          <w:p w14:paraId="65B31F1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Alleviation of energy poverty</w:t>
            </w:r>
          </w:p>
        </w:tc>
      </w:tr>
      <w:tr w:rsidR="00614438" w:rsidRPr="00AA7A53" w14:paraId="7D6770E7" w14:textId="77777777" w:rsidTr="00614438">
        <w:trPr>
          <w:gridAfter w:val="1"/>
          <w:wAfter w:w="1212" w:type="dxa"/>
          <w:trHeight w:val="315"/>
        </w:trPr>
        <w:tc>
          <w:tcPr>
            <w:tcW w:w="3288" w:type="dxa"/>
            <w:tcBorders>
              <w:top w:val="nil"/>
              <w:left w:val="single" w:sz="8" w:space="0" w:color="auto"/>
              <w:bottom w:val="single" w:sz="8" w:space="0" w:color="auto"/>
              <w:right w:val="single" w:sz="8" w:space="0" w:color="auto"/>
            </w:tcBorders>
            <w:shd w:val="clear" w:color="auto" w:fill="244062"/>
            <w:vAlign w:val="center"/>
            <w:hideMark/>
          </w:tcPr>
          <w:p w14:paraId="1E118CA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00" w:type="dxa"/>
            <w:gridSpan w:val="3"/>
            <w:tcBorders>
              <w:top w:val="single" w:sz="8" w:space="0" w:color="auto"/>
              <w:left w:val="nil"/>
              <w:bottom w:val="single" w:sz="8" w:space="0" w:color="auto"/>
              <w:right w:val="single" w:sz="8" w:space="0" w:color="000000"/>
            </w:tcBorders>
            <w:vAlign w:val="center"/>
            <w:hideMark/>
          </w:tcPr>
          <w:p w14:paraId="224CF53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Reduction of energy poverty</w:t>
            </w:r>
          </w:p>
        </w:tc>
      </w:tr>
      <w:tr w:rsidR="00614438" w:rsidRPr="00AA7A53" w14:paraId="0AA8912D" w14:textId="77777777" w:rsidTr="00614438">
        <w:trPr>
          <w:gridAfter w:val="1"/>
          <w:wAfter w:w="1212" w:type="dxa"/>
          <w:trHeight w:val="596"/>
        </w:trPr>
        <w:tc>
          <w:tcPr>
            <w:tcW w:w="3288" w:type="dxa"/>
            <w:tcBorders>
              <w:top w:val="nil"/>
              <w:left w:val="single" w:sz="8" w:space="0" w:color="auto"/>
              <w:bottom w:val="single" w:sz="8" w:space="0" w:color="auto"/>
              <w:right w:val="single" w:sz="8" w:space="0" w:color="auto"/>
            </w:tcBorders>
            <w:shd w:val="clear" w:color="auto" w:fill="244062"/>
            <w:vAlign w:val="center"/>
            <w:hideMark/>
          </w:tcPr>
          <w:p w14:paraId="046343C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Description:</w:t>
            </w:r>
          </w:p>
        </w:tc>
        <w:tc>
          <w:tcPr>
            <w:tcW w:w="6200" w:type="dxa"/>
            <w:gridSpan w:val="3"/>
            <w:tcBorders>
              <w:top w:val="single" w:sz="8" w:space="0" w:color="auto"/>
              <w:left w:val="nil"/>
              <w:bottom w:val="single" w:sz="8" w:space="0" w:color="auto"/>
              <w:right w:val="single" w:sz="8" w:space="0" w:color="000000"/>
            </w:tcBorders>
            <w:vAlign w:val="center"/>
            <w:hideMark/>
          </w:tcPr>
          <w:p w14:paraId="6F2C1EDA" w14:textId="4B1B1B5F"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PM_IEM34 will provide subsides for improving the energy efficiency and fostering the installation of RES in the buildings of energy poor households so as to combat energy poverty on </w:t>
            </w:r>
            <w:r w:rsidR="00C20CD2" w:rsidRPr="00AA7A53">
              <w:rPr>
                <w:rFonts w:ascii="Times New Roman" w:hAnsi="Times New Roman" w:cs="Times New Roman"/>
                <w:sz w:val="20"/>
                <w:szCs w:val="20"/>
                <w:lang w:val="en-GB"/>
              </w:rPr>
              <w:t xml:space="preserve">a </w:t>
            </w:r>
            <w:r w:rsidRPr="00AA7A53">
              <w:rPr>
                <w:rFonts w:ascii="Times New Roman" w:hAnsi="Times New Roman" w:cs="Times New Roman"/>
                <w:sz w:val="20"/>
                <w:szCs w:val="20"/>
                <w:lang w:val="en-GB"/>
              </w:rPr>
              <w:t>long-term basis. The energy efficiency measures includes both interventions in the building envelop</w:t>
            </w:r>
            <w:r w:rsidR="00C20CD2" w:rsidRPr="00AA7A53">
              <w:rPr>
                <w:rFonts w:ascii="Times New Roman" w:hAnsi="Times New Roman" w:cs="Times New Roman"/>
                <w:sz w:val="20"/>
                <w:szCs w:val="20"/>
                <w:lang w:val="en-GB"/>
              </w:rPr>
              <w:t>e</w:t>
            </w:r>
            <w:r w:rsidRPr="00AA7A53">
              <w:rPr>
                <w:rFonts w:ascii="Times New Roman" w:hAnsi="Times New Roman" w:cs="Times New Roman"/>
                <w:sz w:val="20"/>
                <w:szCs w:val="20"/>
                <w:lang w:val="en-GB"/>
              </w:rPr>
              <w:t xml:space="preserve"> and the installation of energy efficient systems (heating, cooling and domestic hot water) and equipment (i.e. </w:t>
            </w:r>
            <w:r w:rsidR="00C20CD2" w:rsidRPr="00AA7A53">
              <w:rPr>
                <w:rFonts w:ascii="Times New Roman" w:hAnsi="Times New Roman" w:cs="Times New Roman"/>
                <w:sz w:val="20"/>
                <w:szCs w:val="20"/>
                <w:lang w:val="en-GB"/>
              </w:rPr>
              <w:t>lightbulbs</w:t>
            </w:r>
            <w:r w:rsidRPr="00AA7A53">
              <w:rPr>
                <w:rFonts w:ascii="Times New Roman" w:hAnsi="Times New Roman" w:cs="Times New Roman"/>
                <w:sz w:val="20"/>
                <w:szCs w:val="20"/>
                <w:lang w:val="en-GB"/>
              </w:rPr>
              <w:t>, electric appliances etc.). Regarding the selected types of RES, emphasis will be given in the installation of photovoltaic panels and solar thermal heaters. Finally, the measure will be designed appropriately in order to maximize the synergies with other policy measures in the field of energy efficiency and RES such as renewable and citizen energy communities.</w:t>
            </w:r>
          </w:p>
        </w:tc>
      </w:tr>
      <w:tr w:rsidR="00614438" w:rsidRPr="00AA7A53" w14:paraId="523CD222" w14:textId="77777777" w:rsidTr="00614438">
        <w:trPr>
          <w:gridAfter w:val="1"/>
          <w:wAfter w:w="1212" w:type="dxa"/>
          <w:trHeight w:val="315"/>
        </w:trPr>
        <w:tc>
          <w:tcPr>
            <w:tcW w:w="3288" w:type="dxa"/>
            <w:tcBorders>
              <w:top w:val="nil"/>
              <w:left w:val="single" w:sz="8" w:space="0" w:color="auto"/>
              <w:bottom w:val="single" w:sz="8" w:space="0" w:color="auto"/>
              <w:right w:val="single" w:sz="8" w:space="0" w:color="auto"/>
            </w:tcBorders>
            <w:shd w:val="clear" w:color="auto" w:fill="244062"/>
            <w:vAlign w:val="center"/>
            <w:hideMark/>
          </w:tcPr>
          <w:p w14:paraId="7FD6281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00" w:type="dxa"/>
            <w:gridSpan w:val="3"/>
            <w:tcBorders>
              <w:top w:val="single" w:sz="8" w:space="0" w:color="auto"/>
              <w:left w:val="nil"/>
              <w:bottom w:val="single" w:sz="8" w:space="0" w:color="auto"/>
              <w:right w:val="single" w:sz="8" w:space="0" w:color="000000"/>
            </w:tcBorders>
            <w:vAlign w:val="center"/>
            <w:hideMark/>
          </w:tcPr>
          <w:p w14:paraId="55CDC649" w14:textId="1A0D7821"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C20CD2"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13C47B27" w14:textId="77777777" w:rsidTr="00614438">
        <w:trPr>
          <w:gridAfter w:val="1"/>
          <w:wAfter w:w="1212" w:type="dxa"/>
          <w:trHeight w:val="315"/>
        </w:trPr>
        <w:tc>
          <w:tcPr>
            <w:tcW w:w="3288" w:type="dxa"/>
            <w:tcBorders>
              <w:top w:val="nil"/>
              <w:left w:val="single" w:sz="8" w:space="0" w:color="auto"/>
              <w:bottom w:val="single" w:sz="8" w:space="0" w:color="auto"/>
              <w:right w:val="single" w:sz="8" w:space="0" w:color="auto"/>
            </w:tcBorders>
            <w:shd w:val="clear" w:color="auto" w:fill="244062"/>
            <w:vAlign w:val="center"/>
            <w:hideMark/>
          </w:tcPr>
          <w:p w14:paraId="0256469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00" w:type="dxa"/>
            <w:gridSpan w:val="3"/>
            <w:tcBorders>
              <w:top w:val="single" w:sz="8" w:space="0" w:color="auto"/>
              <w:left w:val="nil"/>
              <w:bottom w:val="single" w:sz="8" w:space="0" w:color="auto"/>
              <w:right w:val="single" w:sz="8" w:space="0" w:color="000000"/>
            </w:tcBorders>
            <w:vAlign w:val="center"/>
            <w:hideMark/>
          </w:tcPr>
          <w:p w14:paraId="42DF837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43AAFADF" w14:textId="77777777" w:rsidTr="00614438">
        <w:trPr>
          <w:gridAfter w:val="1"/>
          <w:wAfter w:w="1212" w:type="dxa"/>
          <w:trHeight w:val="315"/>
        </w:trPr>
        <w:tc>
          <w:tcPr>
            <w:tcW w:w="3288" w:type="dxa"/>
            <w:tcBorders>
              <w:top w:val="nil"/>
              <w:left w:val="single" w:sz="8" w:space="0" w:color="auto"/>
              <w:bottom w:val="single" w:sz="8" w:space="0" w:color="auto"/>
              <w:right w:val="single" w:sz="8" w:space="0" w:color="auto"/>
            </w:tcBorders>
            <w:shd w:val="clear" w:color="auto" w:fill="244062"/>
            <w:vAlign w:val="center"/>
            <w:hideMark/>
          </w:tcPr>
          <w:p w14:paraId="73B553B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00" w:type="dxa"/>
            <w:gridSpan w:val="3"/>
            <w:tcBorders>
              <w:top w:val="single" w:sz="8" w:space="0" w:color="auto"/>
              <w:left w:val="nil"/>
              <w:bottom w:val="single" w:sz="8" w:space="0" w:color="auto"/>
              <w:right w:val="single" w:sz="8" w:space="0" w:color="000000"/>
            </w:tcBorders>
            <w:vAlign w:val="center"/>
            <w:hideMark/>
          </w:tcPr>
          <w:p w14:paraId="0E5A924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Residential</w:t>
            </w:r>
          </w:p>
        </w:tc>
      </w:tr>
      <w:tr w:rsidR="00614438" w:rsidRPr="00AA7A53" w14:paraId="3DF52F6E" w14:textId="77777777" w:rsidTr="00614438">
        <w:trPr>
          <w:gridAfter w:val="1"/>
          <w:wAfter w:w="1212" w:type="dxa"/>
          <w:trHeight w:val="315"/>
        </w:trPr>
        <w:tc>
          <w:tcPr>
            <w:tcW w:w="3288" w:type="dxa"/>
            <w:tcBorders>
              <w:top w:val="nil"/>
              <w:left w:val="single" w:sz="8" w:space="0" w:color="auto"/>
              <w:bottom w:val="single" w:sz="8" w:space="0" w:color="auto"/>
              <w:right w:val="single" w:sz="8" w:space="0" w:color="auto"/>
            </w:tcBorders>
            <w:shd w:val="clear" w:color="auto" w:fill="244062"/>
            <w:vAlign w:val="center"/>
            <w:hideMark/>
          </w:tcPr>
          <w:p w14:paraId="11671CA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00" w:type="dxa"/>
            <w:gridSpan w:val="3"/>
            <w:tcBorders>
              <w:top w:val="single" w:sz="8" w:space="0" w:color="auto"/>
              <w:left w:val="nil"/>
              <w:bottom w:val="single" w:sz="8" w:space="0" w:color="auto"/>
              <w:right w:val="single" w:sz="8" w:space="0" w:color="000000"/>
            </w:tcBorders>
            <w:vAlign w:val="center"/>
            <w:hideMark/>
          </w:tcPr>
          <w:p w14:paraId="3BC1D0E9" w14:textId="77777777" w:rsidR="00614438" w:rsidRPr="00AA7A53" w:rsidRDefault="00614438" w:rsidP="00AA7A53">
            <w:pPr>
              <w:numPr>
                <w:ilvl w:val="0"/>
                <w:numId w:val="17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1578499F" w14:textId="77777777" w:rsidR="00614438" w:rsidRPr="00AA7A53" w:rsidRDefault="00614438" w:rsidP="00AA7A53">
            <w:pPr>
              <w:numPr>
                <w:ilvl w:val="0"/>
                <w:numId w:val="17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p w14:paraId="42AD1D79" w14:textId="77777777" w:rsidR="00614438" w:rsidRPr="00AA7A53" w:rsidRDefault="00614438" w:rsidP="00AA7A53">
            <w:pPr>
              <w:numPr>
                <w:ilvl w:val="0"/>
                <w:numId w:val="17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Health</w:t>
            </w:r>
          </w:p>
          <w:p w14:paraId="06507417" w14:textId="77777777" w:rsidR="00614438" w:rsidRPr="00AA7A53" w:rsidRDefault="00614438" w:rsidP="00AA7A53">
            <w:pPr>
              <w:numPr>
                <w:ilvl w:val="0"/>
                <w:numId w:val="17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Labour, Employment, Veteran and Social Affairs</w:t>
            </w:r>
          </w:p>
          <w:p w14:paraId="5782549F" w14:textId="77777777" w:rsidR="00614438" w:rsidRPr="00AA7A53" w:rsidRDefault="00614438" w:rsidP="00AA7A53">
            <w:pPr>
              <w:numPr>
                <w:ilvl w:val="0"/>
                <w:numId w:val="177"/>
              </w:numPr>
              <w:spacing w:after="0"/>
              <w:jc w:val="both"/>
              <w:rPr>
                <w:rFonts w:ascii="Times New Roman" w:hAnsi="Times New Roman" w:cs="Times New Roman"/>
                <w:sz w:val="20"/>
                <w:szCs w:val="20"/>
              </w:rPr>
            </w:pPr>
            <w:r w:rsidRPr="00AA7A53">
              <w:rPr>
                <w:rFonts w:ascii="Times New Roman" w:hAnsi="Times New Roman" w:cs="Times New Roman"/>
                <w:sz w:val="20"/>
                <w:szCs w:val="20"/>
              </w:rPr>
              <w:t>National coalition for reduction of energy poverty</w:t>
            </w:r>
          </w:p>
        </w:tc>
      </w:tr>
      <w:tr w:rsidR="00614438" w:rsidRPr="00AA7A53" w14:paraId="55006DBB" w14:textId="77777777" w:rsidTr="00614438">
        <w:trPr>
          <w:gridAfter w:val="1"/>
          <w:wAfter w:w="1212" w:type="dxa"/>
          <w:trHeight w:val="315"/>
        </w:trPr>
        <w:tc>
          <w:tcPr>
            <w:tcW w:w="3288" w:type="dxa"/>
            <w:tcBorders>
              <w:top w:val="nil"/>
              <w:left w:val="single" w:sz="8" w:space="0" w:color="auto"/>
              <w:bottom w:val="single" w:sz="8" w:space="0" w:color="auto"/>
              <w:right w:val="nil"/>
            </w:tcBorders>
            <w:shd w:val="clear" w:color="auto" w:fill="244062"/>
            <w:vAlign w:val="center"/>
            <w:hideMark/>
          </w:tcPr>
          <w:p w14:paraId="0229565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00" w:type="dxa"/>
            <w:gridSpan w:val="3"/>
            <w:tcBorders>
              <w:top w:val="single" w:sz="8" w:space="0" w:color="auto"/>
              <w:left w:val="nil"/>
              <w:bottom w:val="single" w:sz="8" w:space="0" w:color="auto"/>
              <w:right w:val="single" w:sz="8" w:space="0" w:color="000000"/>
            </w:tcBorders>
            <w:vAlign w:val="center"/>
            <w:hideMark/>
          </w:tcPr>
          <w:p w14:paraId="06E331F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w:t>
            </w:r>
          </w:p>
        </w:tc>
      </w:tr>
      <w:tr w:rsidR="00614438" w:rsidRPr="00AA7A53" w14:paraId="2D61570D" w14:textId="77777777" w:rsidTr="00614438">
        <w:trPr>
          <w:gridAfter w:val="1"/>
          <w:wAfter w:w="1212" w:type="dxa"/>
          <w:trHeight w:val="315"/>
        </w:trPr>
        <w:tc>
          <w:tcPr>
            <w:tcW w:w="3288" w:type="dxa"/>
            <w:tcBorders>
              <w:top w:val="nil"/>
              <w:left w:val="single" w:sz="8" w:space="0" w:color="auto"/>
              <w:bottom w:val="single" w:sz="8" w:space="0" w:color="auto"/>
              <w:right w:val="nil"/>
            </w:tcBorders>
            <w:shd w:val="clear" w:color="auto" w:fill="244062"/>
            <w:vAlign w:val="center"/>
            <w:hideMark/>
          </w:tcPr>
          <w:p w14:paraId="0C7E74B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00" w:type="dxa"/>
            <w:gridSpan w:val="3"/>
            <w:tcBorders>
              <w:top w:val="single" w:sz="8" w:space="0" w:color="auto"/>
              <w:left w:val="nil"/>
              <w:bottom w:val="single" w:sz="8" w:space="0" w:color="auto"/>
              <w:right w:val="single" w:sz="8" w:space="0" w:color="000000"/>
            </w:tcBorders>
            <w:vAlign w:val="center"/>
            <w:hideMark/>
          </w:tcPr>
          <w:p w14:paraId="6A50809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Number of affected energy poor households </w:t>
            </w:r>
          </w:p>
        </w:tc>
      </w:tr>
      <w:tr w:rsidR="00614438" w:rsidRPr="00AA7A53" w14:paraId="6C423A21" w14:textId="77777777" w:rsidTr="00614438">
        <w:trPr>
          <w:gridAfter w:val="1"/>
          <w:wAfter w:w="1212" w:type="dxa"/>
          <w:trHeight w:val="305"/>
        </w:trPr>
        <w:tc>
          <w:tcPr>
            <w:tcW w:w="3288" w:type="dxa"/>
            <w:tcBorders>
              <w:top w:val="nil"/>
              <w:left w:val="single" w:sz="8" w:space="0" w:color="auto"/>
              <w:bottom w:val="single" w:sz="8" w:space="0" w:color="auto"/>
              <w:right w:val="single" w:sz="8" w:space="0" w:color="auto"/>
            </w:tcBorders>
            <w:shd w:val="clear" w:color="auto" w:fill="244062"/>
            <w:vAlign w:val="center"/>
            <w:hideMark/>
          </w:tcPr>
          <w:p w14:paraId="0A556AC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00" w:type="dxa"/>
            <w:gridSpan w:val="3"/>
            <w:tcBorders>
              <w:top w:val="single" w:sz="8" w:space="0" w:color="auto"/>
              <w:left w:val="nil"/>
              <w:bottom w:val="single" w:sz="8" w:space="0" w:color="auto"/>
              <w:right w:val="single" w:sz="8" w:space="0" w:color="000000"/>
            </w:tcBorders>
            <w:vAlign w:val="center"/>
            <w:hideMark/>
          </w:tcPr>
          <w:p w14:paraId="09EE6B6D" w14:textId="77777777" w:rsidR="00614438" w:rsidRPr="00AA7A53" w:rsidRDefault="00614438" w:rsidP="00AA7A53">
            <w:pPr>
              <w:numPr>
                <w:ilvl w:val="0"/>
                <w:numId w:val="177"/>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efficiency</w:t>
            </w:r>
          </w:p>
          <w:p w14:paraId="1A9BF63D" w14:textId="77777777" w:rsidR="00614438" w:rsidRPr="00AA7A53" w:rsidRDefault="00614438" w:rsidP="00AA7A53">
            <w:pPr>
              <w:numPr>
                <w:ilvl w:val="0"/>
                <w:numId w:val="177"/>
              </w:numPr>
              <w:spacing w:after="0"/>
              <w:jc w:val="both"/>
              <w:rPr>
                <w:rFonts w:ascii="Times New Roman" w:hAnsi="Times New Roman" w:cs="Times New Roman"/>
                <w:sz w:val="20"/>
                <w:szCs w:val="20"/>
              </w:rPr>
            </w:pPr>
            <w:r w:rsidRPr="00AA7A53">
              <w:rPr>
                <w:rFonts w:ascii="Times New Roman" w:hAnsi="Times New Roman" w:cs="Times New Roman"/>
                <w:sz w:val="20"/>
                <w:szCs w:val="20"/>
              </w:rPr>
              <w:t>Decarbonization</w:t>
            </w:r>
          </w:p>
        </w:tc>
      </w:tr>
      <w:tr w:rsidR="00614438" w:rsidRPr="00AA7A53" w14:paraId="31AC6D2C" w14:textId="77777777" w:rsidTr="00614438">
        <w:trPr>
          <w:gridAfter w:val="1"/>
          <w:wAfter w:w="1212" w:type="dxa"/>
          <w:trHeight w:val="458"/>
        </w:trPr>
        <w:tc>
          <w:tcPr>
            <w:tcW w:w="3288" w:type="dxa"/>
            <w:vMerge w:val="restart"/>
            <w:tcBorders>
              <w:top w:val="nil"/>
              <w:left w:val="single" w:sz="8" w:space="0" w:color="auto"/>
              <w:bottom w:val="single" w:sz="8" w:space="0" w:color="000000"/>
              <w:right w:val="single" w:sz="8" w:space="0" w:color="auto"/>
            </w:tcBorders>
            <w:shd w:val="clear" w:color="auto" w:fill="244062"/>
            <w:vAlign w:val="center"/>
            <w:hideMark/>
          </w:tcPr>
          <w:p w14:paraId="43BCF82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0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4387D272" w14:textId="77777777" w:rsidR="00614438" w:rsidRPr="00AA7A53" w:rsidRDefault="00614438" w:rsidP="00AA7A53">
            <w:pPr>
              <w:numPr>
                <w:ilvl w:val="0"/>
                <w:numId w:val="177"/>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2019/944/EU</w:t>
            </w:r>
          </w:p>
          <w:p w14:paraId="4CA12BB1" w14:textId="77777777" w:rsidR="00614438" w:rsidRPr="00AA7A53" w:rsidRDefault="00614438" w:rsidP="00AA7A53">
            <w:pPr>
              <w:numPr>
                <w:ilvl w:val="0"/>
                <w:numId w:val="177"/>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2012/27/ΕU</w:t>
            </w:r>
          </w:p>
          <w:p w14:paraId="5E15FBB1" w14:textId="77777777" w:rsidR="00614438" w:rsidRPr="00AA7A53" w:rsidRDefault="00614438" w:rsidP="00AA7A53">
            <w:pPr>
              <w:numPr>
                <w:ilvl w:val="0"/>
                <w:numId w:val="177"/>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2018/2002/ΕU</w:t>
            </w:r>
          </w:p>
          <w:p w14:paraId="0C659FB4" w14:textId="77777777" w:rsidR="00614438" w:rsidRPr="00AA7A53" w:rsidRDefault="00614438" w:rsidP="00AA7A53">
            <w:pPr>
              <w:numPr>
                <w:ilvl w:val="0"/>
                <w:numId w:val="177"/>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2018/2001/ΕU</w:t>
            </w:r>
          </w:p>
        </w:tc>
      </w:tr>
      <w:tr w:rsidR="00614438" w:rsidRPr="00AA7A53" w14:paraId="5B3FABA8"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3EE4EDFA"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F8A641D"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2B2F93A3"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2FE1E53" w14:textId="77777777" w:rsidTr="00614438">
        <w:trPr>
          <w:trHeight w:val="315"/>
        </w:trPr>
        <w:tc>
          <w:tcPr>
            <w:tcW w:w="0" w:type="auto"/>
            <w:vMerge/>
            <w:tcBorders>
              <w:top w:val="nil"/>
              <w:left w:val="single" w:sz="8" w:space="0" w:color="auto"/>
              <w:bottom w:val="single" w:sz="8" w:space="0" w:color="000000"/>
              <w:right w:val="single" w:sz="8" w:space="0" w:color="auto"/>
            </w:tcBorders>
            <w:vAlign w:val="center"/>
            <w:hideMark/>
          </w:tcPr>
          <w:p w14:paraId="34A924E6"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7F94F5D"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12668B63"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38A6C9FF" w14:textId="77777777" w:rsidTr="00614438">
        <w:trPr>
          <w:trHeight w:val="780"/>
        </w:trPr>
        <w:tc>
          <w:tcPr>
            <w:tcW w:w="3288" w:type="dxa"/>
            <w:tcBorders>
              <w:top w:val="nil"/>
              <w:left w:val="single" w:sz="8" w:space="0" w:color="auto"/>
              <w:bottom w:val="single" w:sz="8" w:space="0" w:color="auto"/>
              <w:right w:val="single" w:sz="8" w:space="0" w:color="auto"/>
            </w:tcBorders>
            <w:shd w:val="clear" w:color="auto" w:fill="244062"/>
            <w:vAlign w:val="center"/>
            <w:hideMark/>
          </w:tcPr>
          <w:p w14:paraId="69DE02F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00" w:type="dxa"/>
            <w:gridSpan w:val="3"/>
            <w:tcBorders>
              <w:top w:val="single" w:sz="8" w:space="0" w:color="auto"/>
              <w:left w:val="nil"/>
              <w:bottom w:val="single" w:sz="8" w:space="0" w:color="auto"/>
              <w:right w:val="single" w:sz="8" w:space="0" w:color="000000"/>
            </w:tcBorders>
            <w:vAlign w:val="center"/>
            <w:hideMark/>
          </w:tcPr>
          <w:p w14:paraId="052462AD"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vAlign w:val="center"/>
            <w:hideMark/>
          </w:tcPr>
          <w:p w14:paraId="5FEA4004"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61CEC4BB" w14:textId="77777777" w:rsidTr="00614438">
        <w:trPr>
          <w:trHeight w:val="457"/>
        </w:trPr>
        <w:tc>
          <w:tcPr>
            <w:tcW w:w="3288" w:type="dxa"/>
            <w:tcBorders>
              <w:top w:val="nil"/>
              <w:left w:val="single" w:sz="8" w:space="0" w:color="auto"/>
              <w:bottom w:val="single" w:sz="8" w:space="0" w:color="auto"/>
              <w:right w:val="single" w:sz="8" w:space="0" w:color="auto"/>
            </w:tcBorders>
            <w:shd w:val="clear" w:color="auto" w:fill="244062"/>
            <w:vAlign w:val="center"/>
            <w:hideMark/>
          </w:tcPr>
          <w:p w14:paraId="71A00EB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00" w:type="dxa"/>
            <w:gridSpan w:val="3"/>
            <w:tcBorders>
              <w:top w:val="single" w:sz="8" w:space="0" w:color="auto"/>
              <w:left w:val="nil"/>
              <w:bottom w:val="single" w:sz="8" w:space="0" w:color="auto"/>
              <w:right w:val="single" w:sz="8" w:space="0" w:color="000000"/>
            </w:tcBorders>
            <w:vAlign w:val="center"/>
            <w:hideMark/>
          </w:tcPr>
          <w:p w14:paraId="246206A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Under examination</w:t>
            </w:r>
          </w:p>
        </w:tc>
        <w:tc>
          <w:tcPr>
            <w:tcW w:w="1212" w:type="dxa"/>
            <w:vAlign w:val="center"/>
            <w:hideMark/>
          </w:tcPr>
          <w:p w14:paraId="5FA5418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62FCB55" w14:textId="77777777" w:rsidTr="00614438">
        <w:trPr>
          <w:trHeight w:val="315"/>
        </w:trPr>
        <w:tc>
          <w:tcPr>
            <w:tcW w:w="3288" w:type="dxa"/>
            <w:tcBorders>
              <w:top w:val="nil"/>
              <w:left w:val="single" w:sz="8" w:space="0" w:color="auto"/>
              <w:bottom w:val="single" w:sz="8" w:space="0" w:color="auto"/>
              <w:right w:val="single" w:sz="8" w:space="0" w:color="auto"/>
            </w:tcBorders>
            <w:shd w:val="clear" w:color="auto" w:fill="244062"/>
            <w:vAlign w:val="center"/>
            <w:hideMark/>
          </w:tcPr>
          <w:p w14:paraId="545E361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00" w:type="dxa"/>
            <w:gridSpan w:val="3"/>
            <w:tcBorders>
              <w:top w:val="single" w:sz="8" w:space="0" w:color="auto"/>
              <w:left w:val="nil"/>
              <w:bottom w:val="single" w:sz="8" w:space="0" w:color="auto"/>
              <w:right w:val="single" w:sz="8" w:space="0" w:color="000000"/>
            </w:tcBorders>
            <w:vAlign w:val="center"/>
            <w:hideMark/>
          </w:tcPr>
          <w:p w14:paraId="3D4DE95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Under examination</w:t>
            </w:r>
          </w:p>
        </w:tc>
        <w:tc>
          <w:tcPr>
            <w:tcW w:w="1212" w:type="dxa"/>
            <w:vAlign w:val="center"/>
            <w:hideMark/>
          </w:tcPr>
          <w:p w14:paraId="70FEB341" w14:textId="77777777" w:rsidR="00614438" w:rsidRPr="00AA7A53" w:rsidRDefault="00614438" w:rsidP="00AA7A53">
            <w:pPr>
              <w:spacing w:after="0"/>
              <w:jc w:val="both"/>
              <w:rPr>
                <w:rFonts w:ascii="Times New Roman" w:hAnsi="Times New Roman" w:cs="Times New Roman"/>
                <w:sz w:val="20"/>
                <w:szCs w:val="20"/>
                <w:lang w:val="en-GB"/>
              </w:rPr>
            </w:pPr>
          </w:p>
        </w:tc>
      </w:tr>
    </w:tbl>
    <w:p w14:paraId="22986C80"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74"/>
        <w:gridCol w:w="1172"/>
        <w:gridCol w:w="932"/>
        <w:gridCol w:w="4110"/>
        <w:gridCol w:w="1212"/>
      </w:tblGrid>
      <w:tr w:rsidR="00614438" w:rsidRPr="00AA7A53" w14:paraId="3E799B25" w14:textId="77777777" w:rsidTr="00614438">
        <w:trPr>
          <w:gridAfter w:val="1"/>
          <w:wAfter w:w="1212" w:type="dxa"/>
          <w:trHeight w:val="780"/>
        </w:trPr>
        <w:tc>
          <w:tcPr>
            <w:tcW w:w="3296"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4C871E4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106" w:type="dxa"/>
            <w:tcBorders>
              <w:top w:val="single" w:sz="8" w:space="0" w:color="auto"/>
              <w:left w:val="nil"/>
              <w:bottom w:val="single" w:sz="8" w:space="0" w:color="auto"/>
              <w:right w:val="single" w:sz="8" w:space="0" w:color="auto"/>
            </w:tcBorders>
            <w:shd w:val="clear" w:color="auto" w:fill="E7E6E6" w:themeFill="background2"/>
            <w:vAlign w:val="center"/>
            <w:hideMark/>
          </w:tcPr>
          <w:p w14:paraId="76A150F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PM_IEM35</w:t>
            </w:r>
          </w:p>
        </w:tc>
        <w:tc>
          <w:tcPr>
            <w:tcW w:w="936" w:type="dxa"/>
            <w:tcBorders>
              <w:top w:val="single" w:sz="8" w:space="0" w:color="auto"/>
              <w:left w:val="nil"/>
              <w:bottom w:val="single" w:sz="8" w:space="0" w:color="auto"/>
              <w:right w:val="single" w:sz="8" w:space="0" w:color="auto"/>
            </w:tcBorders>
            <w:shd w:val="clear" w:color="auto" w:fill="244062"/>
            <w:vAlign w:val="center"/>
            <w:hideMark/>
          </w:tcPr>
          <w:p w14:paraId="25AC4FB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50" w:type="dxa"/>
            <w:tcBorders>
              <w:top w:val="single" w:sz="8" w:space="0" w:color="auto"/>
              <w:left w:val="nil"/>
              <w:bottom w:val="single" w:sz="8" w:space="0" w:color="auto"/>
              <w:right w:val="single" w:sz="8" w:space="0" w:color="auto"/>
            </w:tcBorders>
            <w:shd w:val="clear" w:color="auto" w:fill="E7E6E6" w:themeFill="background2"/>
            <w:vAlign w:val="center"/>
            <w:hideMark/>
          </w:tcPr>
          <w:p w14:paraId="5E7B625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Facilitate access to alternative energy sources among energy vulnerable and other customers in order to reduce energy poverty</w:t>
            </w:r>
          </w:p>
        </w:tc>
      </w:tr>
      <w:tr w:rsidR="00614438" w:rsidRPr="00AA7A53" w14:paraId="0D2553FA" w14:textId="77777777" w:rsidTr="00614438">
        <w:trPr>
          <w:gridAfter w:val="1"/>
          <w:wAfter w:w="1212" w:type="dxa"/>
          <w:trHeight w:val="217"/>
        </w:trPr>
        <w:tc>
          <w:tcPr>
            <w:tcW w:w="3296" w:type="dxa"/>
            <w:tcBorders>
              <w:top w:val="nil"/>
              <w:left w:val="single" w:sz="8" w:space="0" w:color="auto"/>
              <w:bottom w:val="single" w:sz="8" w:space="0" w:color="auto"/>
              <w:right w:val="nil"/>
            </w:tcBorders>
            <w:shd w:val="clear" w:color="auto" w:fill="244062"/>
            <w:vAlign w:val="center"/>
            <w:hideMark/>
          </w:tcPr>
          <w:p w14:paraId="5A41C2F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92" w:type="dxa"/>
            <w:gridSpan w:val="3"/>
            <w:tcBorders>
              <w:top w:val="single" w:sz="8" w:space="0" w:color="auto"/>
              <w:left w:val="nil"/>
              <w:bottom w:val="single" w:sz="8" w:space="0" w:color="auto"/>
              <w:right w:val="single" w:sz="8" w:space="0" w:color="000000"/>
            </w:tcBorders>
            <w:vAlign w:val="center"/>
            <w:hideMark/>
          </w:tcPr>
          <w:p w14:paraId="27E1667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Alleviation of energy poverty</w:t>
            </w:r>
          </w:p>
        </w:tc>
      </w:tr>
      <w:tr w:rsidR="00614438" w:rsidRPr="00AA7A53" w14:paraId="6BCFF565" w14:textId="77777777" w:rsidTr="00614438">
        <w:trPr>
          <w:gridAfter w:val="1"/>
          <w:wAfter w:w="1212" w:type="dxa"/>
          <w:trHeight w:val="315"/>
        </w:trPr>
        <w:tc>
          <w:tcPr>
            <w:tcW w:w="3296" w:type="dxa"/>
            <w:tcBorders>
              <w:top w:val="nil"/>
              <w:left w:val="single" w:sz="8" w:space="0" w:color="auto"/>
              <w:bottom w:val="single" w:sz="8" w:space="0" w:color="auto"/>
              <w:right w:val="single" w:sz="8" w:space="0" w:color="auto"/>
            </w:tcBorders>
            <w:shd w:val="clear" w:color="auto" w:fill="244062"/>
            <w:vAlign w:val="center"/>
            <w:hideMark/>
          </w:tcPr>
          <w:p w14:paraId="6C1368B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92" w:type="dxa"/>
            <w:gridSpan w:val="3"/>
            <w:tcBorders>
              <w:top w:val="single" w:sz="8" w:space="0" w:color="auto"/>
              <w:left w:val="nil"/>
              <w:bottom w:val="single" w:sz="8" w:space="0" w:color="auto"/>
              <w:right w:val="single" w:sz="8" w:space="0" w:color="000000"/>
            </w:tcBorders>
            <w:vAlign w:val="center"/>
            <w:hideMark/>
          </w:tcPr>
          <w:p w14:paraId="3FA659C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Reduction of energy poverty</w:t>
            </w:r>
          </w:p>
        </w:tc>
      </w:tr>
      <w:tr w:rsidR="00614438" w:rsidRPr="00AA7A53" w14:paraId="30F3E606" w14:textId="77777777" w:rsidTr="00614438">
        <w:trPr>
          <w:gridAfter w:val="1"/>
          <w:wAfter w:w="1212" w:type="dxa"/>
          <w:trHeight w:val="1176"/>
        </w:trPr>
        <w:tc>
          <w:tcPr>
            <w:tcW w:w="3296" w:type="dxa"/>
            <w:tcBorders>
              <w:top w:val="nil"/>
              <w:left w:val="single" w:sz="8" w:space="0" w:color="auto"/>
              <w:bottom w:val="single" w:sz="8" w:space="0" w:color="auto"/>
              <w:right w:val="single" w:sz="8" w:space="0" w:color="auto"/>
            </w:tcBorders>
            <w:shd w:val="clear" w:color="auto" w:fill="244062"/>
            <w:vAlign w:val="center"/>
            <w:hideMark/>
          </w:tcPr>
          <w:p w14:paraId="2406216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92" w:type="dxa"/>
            <w:gridSpan w:val="3"/>
            <w:tcBorders>
              <w:top w:val="single" w:sz="8" w:space="0" w:color="auto"/>
              <w:left w:val="nil"/>
              <w:bottom w:val="single" w:sz="8" w:space="0" w:color="auto"/>
              <w:right w:val="single" w:sz="8" w:space="0" w:color="000000"/>
            </w:tcBorders>
            <w:vAlign w:val="center"/>
            <w:hideMark/>
          </w:tcPr>
          <w:p w14:paraId="1A3CFE49" w14:textId="051C86E9"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PM_IEM35 will facilitate the access of energy poor households to alternative energy sources so as to reduce considerably the related energy expenses and consequently to </w:t>
            </w:r>
            <w:r w:rsidR="00C20CD2" w:rsidRPr="00AA7A53">
              <w:rPr>
                <w:rFonts w:ascii="Times New Roman" w:hAnsi="Times New Roman" w:cs="Times New Roman"/>
                <w:sz w:val="20"/>
                <w:szCs w:val="20"/>
                <w:lang w:val="en-GB"/>
              </w:rPr>
              <w:t>fight against</w:t>
            </w:r>
            <w:r w:rsidRPr="00AA7A53">
              <w:rPr>
                <w:rFonts w:ascii="Times New Roman" w:hAnsi="Times New Roman" w:cs="Times New Roman"/>
                <w:sz w:val="20"/>
                <w:szCs w:val="20"/>
                <w:lang w:val="en-GB"/>
              </w:rPr>
              <w:t xml:space="preserve"> energy poverty. The existing district heating and natural gas networks can be expanded</w:t>
            </w:r>
            <w:r w:rsidR="00C20CD2"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providing the opportunity to energy poor households to consume cheaper energy carriers.</w:t>
            </w:r>
          </w:p>
        </w:tc>
      </w:tr>
      <w:tr w:rsidR="00614438" w:rsidRPr="00AA7A53" w14:paraId="7C206AD5" w14:textId="77777777" w:rsidTr="00614438">
        <w:trPr>
          <w:gridAfter w:val="1"/>
          <w:wAfter w:w="1212" w:type="dxa"/>
          <w:trHeight w:val="315"/>
        </w:trPr>
        <w:tc>
          <w:tcPr>
            <w:tcW w:w="3296" w:type="dxa"/>
            <w:tcBorders>
              <w:top w:val="nil"/>
              <w:left w:val="single" w:sz="8" w:space="0" w:color="auto"/>
              <w:bottom w:val="single" w:sz="8" w:space="0" w:color="auto"/>
              <w:right w:val="single" w:sz="8" w:space="0" w:color="auto"/>
            </w:tcBorders>
            <w:shd w:val="clear" w:color="auto" w:fill="244062"/>
            <w:vAlign w:val="center"/>
            <w:hideMark/>
          </w:tcPr>
          <w:p w14:paraId="17CC542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92" w:type="dxa"/>
            <w:gridSpan w:val="3"/>
            <w:tcBorders>
              <w:top w:val="single" w:sz="8" w:space="0" w:color="auto"/>
              <w:left w:val="nil"/>
              <w:bottom w:val="single" w:sz="8" w:space="0" w:color="auto"/>
              <w:right w:val="single" w:sz="8" w:space="0" w:color="000000"/>
            </w:tcBorders>
            <w:vAlign w:val="center"/>
            <w:hideMark/>
          </w:tcPr>
          <w:p w14:paraId="14C59CE3" w14:textId="1A448601"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C20CD2"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6BF909B4" w14:textId="77777777" w:rsidTr="00614438">
        <w:trPr>
          <w:gridAfter w:val="1"/>
          <w:wAfter w:w="1212" w:type="dxa"/>
          <w:trHeight w:val="315"/>
        </w:trPr>
        <w:tc>
          <w:tcPr>
            <w:tcW w:w="3296" w:type="dxa"/>
            <w:tcBorders>
              <w:top w:val="nil"/>
              <w:left w:val="single" w:sz="8" w:space="0" w:color="auto"/>
              <w:bottom w:val="single" w:sz="8" w:space="0" w:color="auto"/>
              <w:right w:val="single" w:sz="8" w:space="0" w:color="auto"/>
            </w:tcBorders>
            <w:shd w:val="clear" w:color="auto" w:fill="244062"/>
            <w:vAlign w:val="center"/>
            <w:hideMark/>
          </w:tcPr>
          <w:p w14:paraId="02AF5A5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92" w:type="dxa"/>
            <w:gridSpan w:val="3"/>
            <w:tcBorders>
              <w:top w:val="single" w:sz="8" w:space="0" w:color="auto"/>
              <w:left w:val="nil"/>
              <w:bottom w:val="single" w:sz="8" w:space="0" w:color="auto"/>
              <w:right w:val="single" w:sz="8" w:space="0" w:color="000000"/>
            </w:tcBorders>
            <w:vAlign w:val="center"/>
            <w:hideMark/>
          </w:tcPr>
          <w:p w14:paraId="1C29003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1B8D542A" w14:textId="77777777" w:rsidTr="00614438">
        <w:trPr>
          <w:gridAfter w:val="1"/>
          <w:wAfter w:w="1212" w:type="dxa"/>
          <w:trHeight w:val="315"/>
        </w:trPr>
        <w:tc>
          <w:tcPr>
            <w:tcW w:w="3296" w:type="dxa"/>
            <w:tcBorders>
              <w:top w:val="nil"/>
              <w:left w:val="single" w:sz="8" w:space="0" w:color="auto"/>
              <w:bottom w:val="single" w:sz="8" w:space="0" w:color="auto"/>
              <w:right w:val="single" w:sz="8" w:space="0" w:color="auto"/>
            </w:tcBorders>
            <w:shd w:val="clear" w:color="auto" w:fill="244062"/>
            <w:vAlign w:val="center"/>
            <w:hideMark/>
          </w:tcPr>
          <w:p w14:paraId="4BF62E2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92" w:type="dxa"/>
            <w:gridSpan w:val="3"/>
            <w:tcBorders>
              <w:top w:val="single" w:sz="8" w:space="0" w:color="auto"/>
              <w:left w:val="nil"/>
              <w:bottom w:val="single" w:sz="8" w:space="0" w:color="auto"/>
              <w:right w:val="single" w:sz="8" w:space="0" w:color="000000"/>
            </w:tcBorders>
            <w:vAlign w:val="center"/>
            <w:hideMark/>
          </w:tcPr>
          <w:p w14:paraId="3E569B3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Residential</w:t>
            </w:r>
          </w:p>
        </w:tc>
      </w:tr>
      <w:tr w:rsidR="00614438" w:rsidRPr="00AA7A53" w14:paraId="3A204B37" w14:textId="77777777" w:rsidTr="00614438">
        <w:trPr>
          <w:gridAfter w:val="1"/>
          <w:wAfter w:w="1212" w:type="dxa"/>
          <w:trHeight w:val="315"/>
        </w:trPr>
        <w:tc>
          <w:tcPr>
            <w:tcW w:w="3296" w:type="dxa"/>
            <w:tcBorders>
              <w:top w:val="nil"/>
              <w:left w:val="single" w:sz="8" w:space="0" w:color="auto"/>
              <w:bottom w:val="single" w:sz="8" w:space="0" w:color="auto"/>
              <w:right w:val="single" w:sz="8" w:space="0" w:color="auto"/>
            </w:tcBorders>
            <w:shd w:val="clear" w:color="auto" w:fill="244062"/>
            <w:vAlign w:val="center"/>
            <w:hideMark/>
          </w:tcPr>
          <w:p w14:paraId="17E2982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92" w:type="dxa"/>
            <w:gridSpan w:val="3"/>
            <w:tcBorders>
              <w:top w:val="single" w:sz="8" w:space="0" w:color="auto"/>
              <w:left w:val="nil"/>
              <w:bottom w:val="single" w:sz="8" w:space="0" w:color="auto"/>
              <w:right w:val="single" w:sz="8" w:space="0" w:color="000000"/>
            </w:tcBorders>
            <w:vAlign w:val="center"/>
            <w:hideMark/>
          </w:tcPr>
          <w:p w14:paraId="6AF452FB" w14:textId="51D5914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the Ministry of Mining and Energy</w:t>
            </w:r>
          </w:p>
        </w:tc>
      </w:tr>
      <w:tr w:rsidR="00614438" w:rsidRPr="00AA7A53" w14:paraId="3A5E362F" w14:textId="77777777" w:rsidTr="00614438">
        <w:trPr>
          <w:gridAfter w:val="1"/>
          <w:wAfter w:w="1212" w:type="dxa"/>
          <w:trHeight w:val="315"/>
        </w:trPr>
        <w:tc>
          <w:tcPr>
            <w:tcW w:w="3296" w:type="dxa"/>
            <w:tcBorders>
              <w:top w:val="nil"/>
              <w:left w:val="single" w:sz="8" w:space="0" w:color="auto"/>
              <w:bottom w:val="single" w:sz="8" w:space="0" w:color="auto"/>
              <w:right w:val="nil"/>
            </w:tcBorders>
            <w:shd w:val="clear" w:color="auto" w:fill="244062"/>
            <w:vAlign w:val="center"/>
            <w:hideMark/>
          </w:tcPr>
          <w:p w14:paraId="03F2435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92" w:type="dxa"/>
            <w:gridSpan w:val="3"/>
            <w:tcBorders>
              <w:top w:val="single" w:sz="8" w:space="0" w:color="auto"/>
              <w:left w:val="nil"/>
              <w:bottom w:val="single" w:sz="8" w:space="0" w:color="auto"/>
              <w:right w:val="single" w:sz="8" w:space="0" w:color="000000"/>
            </w:tcBorders>
            <w:vAlign w:val="center"/>
            <w:hideMark/>
          </w:tcPr>
          <w:p w14:paraId="000E299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w:t>
            </w:r>
          </w:p>
        </w:tc>
      </w:tr>
      <w:tr w:rsidR="00614438" w:rsidRPr="00AA7A53" w14:paraId="4B63C235" w14:textId="77777777" w:rsidTr="00614438">
        <w:trPr>
          <w:gridAfter w:val="1"/>
          <w:wAfter w:w="1212" w:type="dxa"/>
          <w:trHeight w:val="315"/>
        </w:trPr>
        <w:tc>
          <w:tcPr>
            <w:tcW w:w="3296" w:type="dxa"/>
            <w:tcBorders>
              <w:top w:val="nil"/>
              <w:left w:val="single" w:sz="8" w:space="0" w:color="auto"/>
              <w:bottom w:val="single" w:sz="8" w:space="0" w:color="auto"/>
              <w:right w:val="nil"/>
            </w:tcBorders>
            <w:shd w:val="clear" w:color="auto" w:fill="244062"/>
            <w:vAlign w:val="center"/>
            <w:hideMark/>
          </w:tcPr>
          <w:p w14:paraId="4B5188F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92" w:type="dxa"/>
            <w:gridSpan w:val="3"/>
            <w:tcBorders>
              <w:top w:val="single" w:sz="8" w:space="0" w:color="auto"/>
              <w:left w:val="nil"/>
              <w:bottom w:val="single" w:sz="8" w:space="0" w:color="auto"/>
              <w:right w:val="single" w:sz="8" w:space="0" w:color="000000"/>
            </w:tcBorders>
            <w:vAlign w:val="center"/>
            <w:hideMark/>
          </w:tcPr>
          <w:p w14:paraId="1200FFD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Number of affected energy poor households</w:t>
            </w:r>
          </w:p>
        </w:tc>
      </w:tr>
      <w:tr w:rsidR="00614438" w:rsidRPr="00AA7A53" w14:paraId="77B64837" w14:textId="77777777" w:rsidTr="00614438">
        <w:trPr>
          <w:gridAfter w:val="1"/>
          <w:wAfter w:w="1212" w:type="dxa"/>
          <w:trHeight w:val="415"/>
        </w:trPr>
        <w:tc>
          <w:tcPr>
            <w:tcW w:w="3296" w:type="dxa"/>
            <w:tcBorders>
              <w:top w:val="nil"/>
              <w:left w:val="single" w:sz="8" w:space="0" w:color="auto"/>
              <w:bottom w:val="single" w:sz="8" w:space="0" w:color="auto"/>
              <w:right w:val="single" w:sz="8" w:space="0" w:color="auto"/>
            </w:tcBorders>
            <w:shd w:val="clear" w:color="auto" w:fill="244062"/>
            <w:vAlign w:val="center"/>
            <w:hideMark/>
          </w:tcPr>
          <w:p w14:paraId="4D1E42B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92" w:type="dxa"/>
            <w:gridSpan w:val="3"/>
            <w:tcBorders>
              <w:top w:val="single" w:sz="8" w:space="0" w:color="auto"/>
              <w:left w:val="nil"/>
              <w:bottom w:val="single" w:sz="8" w:space="0" w:color="auto"/>
              <w:right w:val="single" w:sz="8" w:space="0" w:color="000000"/>
            </w:tcBorders>
            <w:vAlign w:val="center"/>
          </w:tcPr>
          <w:p w14:paraId="1CF17F88"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ECB42A5" w14:textId="77777777" w:rsidTr="00614438">
        <w:trPr>
          <w:gridAfter w:val="1"/>
          <w:wAfter w:w="1212" w:type="dxa"/>
          <w:trHeight w:val="458"/>
        </w:trPr>
        <w:tc>
          <w:tcPr>
            <w:tcW w:w="3296" w:type="dxa"/>
            <w:vMerge w:val="restart"/>
            <w:tcBorders>
              <w:top w:val="nil"/>
              <w:left w:val="single" w:sz="8" w:space="0" w:color="auto"/>
              <w:bottom w:val="single" w:sz="8" w:space="0" w:color="000000"/>
              <w:right w:val="single" w:sz="8" w:space="0" w:color="auto"/>
            </w:tcBorders>
            <w:shd w:val="clear" w:color="auto" w:fill="244062"/>
            <w:vAlign w:val="center"/>
            <w:hideMark/>
          </w:tcPr>
          <w:p w14:paraId="26FD4E9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Union policy which resulted in the implementation of the PaM</w:t>
            </w:r>
          </w:p>
        </w:tc>
        <w:tc>
          <w:tcPr>
            <w:tcW w:w="6192"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EBC737B" w14:textId="77777777" w:rsidR="00614438" w:rsidRPr="00AA7A53" w:rsidRDefault="00614438" w:rsidP="00AA7A53">
            <w:pPr>
              <w:numPr>
                <w:ilvl w:val="0"/>
                <w:numId w:val="179"/>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2019/944/EU</w:t>
            </w:r>
          </w:p>
          <w:p w14:paraId="7EA72F37" w14:textId="77777777" w:rsidR="00614438" w:rsidRPr="00AA7A53" w:rsidRDefault="00614438" w:rsidP="00AA7A53">
            <w:pPr>
              <w:numPr>
                <w:ilvl w:val="0"/>
                <w:numId w:val="179"/>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2019/692/EU</w:t>
            </w:r>
          </w:p>
        </w:tc>
      </w:tr>
      <w:tr w:rsidR="00614438" w:rsidRPr="00AA7A53" w14:paraId="730B0393"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06C8A2EA"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A1E9EEF"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63C40BF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F0A9710"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0895153E"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A5CA24B"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2ECB0EFC"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029F960C" w14:textId="77777777" w:rsidTr="00614438">
        <w:trPr>
          <w:trHeight w:val="165"/>
        </w:trPr>
        <w:tc>
          <w:tcPr>
            <w:tcW w:w="3296" w:type="dxa"/>
            <w:tcBorders>
              <w:top w:val="nil"/>
              <w:left w:val="single" w:sz="8" w:space="0" w:color="auto"/>
              <w:bottom w:val="single" w:sz="8" w:space="0" w:color="auto"/>
              <w:right w:val="single" w:sz="8" w:space="0" w:color="auto"/>
            </w:tcBorders>
            <w:shd w:val="clear" w:color="auto" w:fill="244062"/>
            <w:vAlign w:val="center"/>
            <w:hideMark/>
          </w:tcPr>
          <w:p w14:paraId="14521F8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92" w:type="dxa"/>
            <w:gridSpan w:val="3"/>
            <w:tcBorders>
              <w:top w:val="single" w:sz="8" w:space="0" w:color="auto"/>
              <w:left w:val="nil"/>
              <w:bottom w:val="single" w:sz="8" w:space="0" w:color="auto"/>
              <w:right w:val="single" w:sz="8" w:space="0" w:color="000000"/>
            </w:tcBorders>
            <w:vAlign w:val="center"/>
          </w:tcPr>
          <w:p w14:paraId="2D9021EF"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vAlign w:val="center"/>
            <w:hideMark/>
          </w:tcPr>
          <w:p w14:paraId="0D72A7E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FD34666" w14:textId="77777777" w:rsidTr="00614438">
        <w:trPr>
          <w:trHeight w:val="315"/>
        </w:trPr>
        <w:tc>
          <w:tcPr>
            <w:tcW w:w="3296" w:type="dxa"/>
            <w:tcBorders>
              <w:top w:val="nil"/>
              <w:left w:val="single" w:sz="8" w:space="0" w:color="auto"/>
              <w:bottom w:val="single" w:sz="8" w:space="0" w:color="auto"/>
              <w:right w:val="single" w:sz="8" w:space="0" w:color="auto"/>
            </w:tcBorders>
            <w:shd w:val="clear" w:color="auto" w:fill="244062"/>
            <w:vAlign w:val="center"/>
            <w:hideMark/>
          </w:tcPr>
          <w:p w14:paraId="3F4BF10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92" w:type="dxa"/>
            <w:gridSpan w:val="3"/>
            <w:tcBorders>
              <w:top w:val="single" w:sz="8" w:space="0" w:color="auto"/>
              <w:left w:val="nil"/>
              <w:bottom w:val="single" w:sz="8" w:space="0" w:color="auto"/>
              <w:right w:val="single" w:sz="8" w:space="0" w:color="000000"/>
            </w:tcBorders>
            <w:vAlign w:val="center"/>
            <w:hideMark/>
          </w:tcPr>
          <w:p w14:paraId="5F6A428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Under examination</w:t>
            </w:r>
          </w:p>
        </w:tc>
        <w:tc>
          <w:tcPr>
            <w:tcW w:w="1212" w:type="dxa"/>
            <w:vAlign w:val="center"/>
            <w:hideMark/>
          </w:tcPr>
          <w:p w14:paraId="0A87339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CF12E47" w14:textId="77777777" w:rsidTr="00614438">
        <w:trPr>
          <w:trHeight w:val="315"/>
        </w:trPr>
        <w:tc>
          <w:tcPr>
            <w:tcW w:w="3296" w:type="dxa"/>
            <w:tcBorders>
              <w:top w:val="nil"/>
              <w:left w:val="single" w:sz="8" w:space="0" w:color="auto"/>
              <w:bottom w:val="single" w:sz="8" w:space="0" w:color="auto"/>
              <w:right w:val="single" w:sz="8" w:space="0" w:color="auto"/>
            </w:tcBorders>
            <w:shd w:val="clear" w:color="auto" w:fill="244062"/>
            <w:vAlign w:val="center"/>
            <w:hideMark/>
          </w:tcPr>
          <w:p w14:paraId="6740C4B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92" w:type="dxa"/>
            <w:gridSpan w:val="3"/>
            <w:tcBorders>
              <w:top w:val="single" w:sz="8" w:space="0" w:color="auto"/>
              <w:left w:val="nil"/>
              <w:bottom w:val="single" w:sz="8" w:space="0" w:color="auto"/>
              <w:right w:val="single" w:sz="8" w:space="0" w:color="000000"/>
            </w:tcBorders>
            <w:vAlign w:val="center"/>
          </w:tcPr>
          <w:p w14:paraId="3AC89972"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vAlign w:val="center"/>
            <w:hideMark/>
          </w:tcPr>
          <w:p w14:paraId="3CB37DE2" w14:textId="77777777" w:rsidR="00614438" w:rsidRPr="00AA7A53" w:rsidRDefault="00614438" w:rsidP="00AA7A53">
            <w:pPr>
              <w:spacing w:after="0"/>
              <w:jc w:val="both"/>
              <w:rPr>
                <w:rFonts w:ascii="Times New Roman" w:hAnsi="Times New Roman" w:cs="Times New Roman"/>
                <w:sz w:val="20"/>
                <w:szCs w:val="20"/>
                <w:lang w:val="en-GB"/>
              </w:rPr>
            </w:pPr>
          </w:p>
        </w:tc>
      </w:tr>
    </w:tbl>
    <w:p w14:paraId="5B893834"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70"/>
        <w:gridCol w:w="1172"/>
        <w:gridCol w:w="930"/>
        <w:gridCol w:w="4116"/>
        <w:gridCol w:w="1212"/>
      </w:tblGrid>
      <w:tr w:rsidR="00614438" w:rsidRPr="00AA7A53" w14:paraId="57C88B25" w14:textId="77777777" w:rsidTr="00614438">
        <w:trPr>
          <w:gridAfter w:val="1"/>
          <w:wAfter w:w="1212" w:type="dxa"/>
          <w:trHeight w:val="780"/>
        </w:trPr>
        <w:tc>
          <w:tcPr>
            <w:tcW w:w="3293"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A3DF7A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106" w:type="dxa"/>
            <w:tcBorders>
              <w:top w:val="single" w:sz="8" w:space="0" w:color="auto"/>
              <w:left w:val="nil"/>
              <w:bottom w:val="single" w:sz="8" w:space="0" w:color="auto"/>
              <w:right w:val="single" w:sz="8" w:space="0" w:color="auto"/>
            </w:tcBorders>
            <w:shd w:val="clear" w:color="auto" w:fill="E7E6E6" w:themeFill="background2"/>
            <w:vAlign w:val="center"/>
            <w:hideMark/>
          </w:tcPr>
          <w:p w14:paraId="7651EC6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PM_IEM36</w:t>
            </w:r>
          </w:p>
        </w:tc>
        <w:tc>
          <w:tcPr>
            <w:tcW w:w="934" w:type="dxa"/>
            <w:tcBorders>
              <w:top w:val="single" w:sz="8" w:space="0" w:color="auto"/>
              <w:left w:val="nil"/>
              <w:bottom w:val="single" w:sz="8" w:space="0" w:color="auto"/>
              <w:right w:val="single" w:sz="8" w:space="0" w:color="auto"/>
            </w:tcBorders>
            <w:shd w:val="clear" w:color="auto" w:fill="244062"/>
            <w:vAlign w:val="center"/>
            <w:hideMark/>
          </w:tcPr>
          <w:p w14:paraId="3FE6EA2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55" w:type="dxa"/>
            <w:tcBorders>
              <w:top w:val="single" w:sz="8" w:space="0" w:color="auto"/>
              <w:left w:val="nil"/>
              <w:bottom w:val="single" w:sz="8" w:space="0" w:color="auto"/>
              <w:right w:val="single" w:sz="8" w:space="0" w:color="auto"/>
            </w:tcBorders>
            <w:shd w:val="clear" w:color="auto" w:fill="E7E6E6" w:themeFill="background2"/>
            <w:vAlign w:val="center"/>
            <w:hideMark/>
          </w:tcPr>
          <w:p w14:paraId="18B0F58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Improvement of the tools and methodology for collecting data relevant to monitoring of energy poverty</w:t>
            </w:r>
          </w:p>
        </w:tc>
      </w:tr>
      <w:tr w:rsidR="00614438" w:rsidRPr="00AA7A53" w14:paraId="28FA8658" w14:textId="77777777" w:rsidTr="00614438">
        <w:trPr>
          <w:gridAfter w:val="1"/>
          <w:wAfter w:w="1212" w:type="dxa"/>
          <w:trHeight w:val="261"/>
        </w:trPr>
        <w:tc>
          <w:tcPr>
            <w:tcW w:w="3293" w:type="dxa"/>
            <w:tcBorders>
              <w:top w:val="nil"/>
              <w:left w:val="single" w:sz="8" w:space="0" w:color="auto"/>
              <w:bottom w:val="single" w:sz="8" w:space="0" w:color="auto"/>
              <w:right w:val="nil"/>
            </w:tcBorders>
            <w:shd w:val="clear" w:color="auto" w:fill="244062"/>
            <w:vAlign w:val="center"/>
            <w:hideMark/>
          </w:tcPr>
          <w:p w14:paraId="438EE66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95" w:type="dxa"/>
            <w:gridSpan w:val="3"/>
            <w:tcBorders>
              <w:top w:val="single" w:sz="8" w:space="0" w:color="auto"/>
              <w:left w:val="nil"/>
              <w:bottom w:val="single" w:sz="8" w:space="0" w:color="auto"/>
              <w:right w:val="single" w:sz="8" w:space="0" w:color="000000"/>
            </w:tcBorders>
            <w:vAlign w:val="center"/>
            <w:hideMark/>
          </w:tcPr>
          <w:p w14:paraId="5C28EC3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Alleviation of energy poverty</w:t>
            </w:r>
          </w:p>
        </w:tc>
      </w:tr>
      <w:tr w:rsidR="00614438" w:rsidRPr="00AA7A53" w14:paraId="34697D0B" w14:textId="77777777" w:rsidTr="00614438">
        <w:trPr>
          <w:gridAfter w:val="1"/>
          <w:wAfter w:w="1212" w:type="dxa"/>
          <w:trHeight w:val="315"/>
        </w:trPr>
        <w:tc>
          <w:tcPr>
            <w:tcW w:w="3293" w:type="dxa"/>
            <w:tcBorders>
              <w:top w:val="nil"/>
              <w:left w:val="single" w:sz="8" w:space="0" w:color="auto"/>
              <w:bottom w:val="single" w:sz="8" w:space="0" w:color="auto"/>
              <w:right w:val="single" w:sz="8" w:space="0" w:color="auto"/>
            </w:tcBorders>
            <w:shd w:val="clear" w:color="auto" w:fill="244062"/>
            <w:vAlign w:val="center"/>
            <w:hideMark/>
          </w:tcPr>
          <w:p w14:paraId="2E00B6A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95" w:type="dxa"/>
            <w:gridSpan w:val="3"/>
            <w:tcBorders>
              <w:top w:val="single" w:sz="8" w:space="0" w:color="auto"/>
              <w:left w:val="nil"/>
              <w:bottom w:val="single" w:sz="8" w:space="0" w:color="auto"/>
              <w:right w:val="single" w:sz="8" w:space="0" w:color="000000"/>
            </w:tcBorders>
            <w:vAlign w:val="center"/>
            <w:hideMark/>
          </w:tcPr>
          <w:p w14:paraId="6C6D33C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of energy poverty</w:t>
            </w:r>
          </w:p>
        </w:tc>
      </w:tr>
      <w:tr w:rsidR="00614438" w:rsidRPr="00AA7A53" w14:paraId="17430BD4" w14:textId="77777777" w:rsidTr="00614438">
        <w:trPr>
          <w:gridAfter w:val="1"/>
          <w:wAfter w:w="1212" w:type="dxa"/>
          <w:trHeight w:val="301"/>
        </w:trPr>
        <w:tc>
          <w:tcPr>
            <w:tcW w:w="3293" w:type="dxa"/>
            <w:tcBorders>
              <w:top w:val="nil"/>
              <w:left w:val="single" w:sz="8" w:space="0" w:color="auto"/>
              <w:bottom w:val="single" w:sz="8" w:space="0" w:color="auto"/>
              <w:right w:val="single" w:sz="8" w:space="0" w:color="auto"/>
            </w:tcBorders>
            <w:shd w:val="clear" w:color="auto" w:fill="244062"/>
            <w:vAlign w:val="center"/>
            <w:hideMark/>
          </w:tcPr>
          <w:p w14:paraId="4DEED7C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95" w:type="dxa"/>
            <w:gridSpan w:val="3"/>
            <w:tcBorders>
              <w:top w:val="single" w:sz="8" w:space="0" w:color="auto"/>
              <w:left w:val="nil"/>
              <w:bottom w:val="single" w:sz="8" w:space="0" w:color="auto"/>
              <w:right w:val="single" w:sz="8" w:space="0" w:color="000000"/>
            </w:tcBorders>
            <w:vAlign w:val="center"/>
            <w:hideMark/>
          </w:tcPr>
          <w:p w14:paraId="5ED7C8E6" w14:textId="2AD9B6B8"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PM_IEM36 foresee</w:t>
            </w:r>
            <w:r w:rsidR="00C20CD2" w:rsidRPr="00AA7A53">
              <w:rPr>
                <w:rFonts w:ascii="Times New Roman" w:hAnsi="Times New Roman" w:cs="Times New Roman"/>
                <w:sz w:val="20"/>
                <w:szCs w:val="20"/>
                <w:lang w:val="en-GB"/>
              </w:rPr>
              <w:t>s</w:t>
            </w:r>
            <w:r w:rsidRPr="00AA7A53">
              <w:rPr>
                <w:rFonts w:ascii="Times New Roman" w:hAnsi="Times New Roman" w:cs="Times New Roman"/>
                <w:sz w:val="20"/>
                <w:szCs w:val="20"/>
                <w:lang w:val="en-GB"/>
              </w:rPr>
              <w:t xml:space="preserve"> the specification of the required data collection procedure in order to apply the developed monitoring procedure. Furthermore, specialized tool will be developed facilitating the monitoring of energy poverty and the evaluation of the implemented policies and measures. Finally, progress reports will be prepared providing valuable insights to all interested stakeholders in regards to the progress towards the alleviation of energy poverty.</w:t>
            </w:r>
          </w:p>
        </w:tc>
      </w:tr>
      <w:tr w:rsidR="00614438" w:rsidRPr="00AA7A53" w14:paraId="12E71475" w14:textId="77777777" w:rsidTr="00614438">
        <w:trPr>
          <w:gridAfter w:val="1"/>
          <w:wAfter w:w="1212" w:type="dxa"/>
          <w:trHeight w:val="315"/>
        </w:trPr>
        <w:tc>
          <w:tcPr>
            <w:tcW w:w="3293" w:type="dxa"/>
            <w:tcBorders>
              <w:top w:val="nil"/>
              <w:left w:val="single" w:sz="8" w:space="0" w:color="auto"/>
              <w:bottom w:val="single" w:sz="8" w:space="0" w:color="auto"/>
              <w:right w:val="single" w:sz="8" w:space="0" w:color="auto"/>
            </w:tcBorders>
            <w:shd w:val="clear" w:color="auto" w:fill="244062"/>
            <w:vAlign w:val="center"/>
            <w:hideMark/>
          </w:tcPr>
          <w:p w14:paraId="0229898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95" w:type="dxa"/>
            <w:gridSpan w:val="3"/>
            <w:tcBorders>
              <w:top w:val="single" w:sz="8" w:space="0" w:color="auto"/>
              <w:left w:val="nil"/>
              <w:bottom w:val="single" w:sz="8" w:space="0" w:color="auto"/>
              <w:right w:val="single" w:sz="8" w:space="0" w:color="000000"/>
            </w:tcBorders>
            <w:vAlign w:val="center"/>
            <w:hideMark/>
          </w:tcPr>
          <w:p w14:paraId="0E8EAF48" w14:textId="22F86F93"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C20CD2"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6DDA1589" w14:textId="77777777" w:rsidTr="00614438">
        <w:trPr>
          <w:gridAfter w:val="1"/>
          <w:wAfter w:w="1212" w:type="dxa"/>
          <w:trHeight w:val="315"/>
        </w:trPr>
        <w:tc>
          <w:tcPr>
            <w:tcW w:w="3293" w:type="dxa"/>
            <w:tcBorders>
              <w:top w:val="nil"/>
              <w:left w:val="single" w:sz="8" w:space="0" w:color="auto"/>
              <w:bottom w:val="single" w:sz="8" w:space="0" w:color="auto"/>
              <w:right w:val="single" w:sz="8" w:space="0" w:color="auto"/>
            </w:tcBorders>
            <w:shd w:val="clear" w:color="auto" w:fill="244062"/>
            <w:vAlign w:val="center"/>
            <w:hideMark/>
          </w:tcPr>
          <w:p w14:paraId="460898E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95" w:type="dxa"/>
            <w:gridSpan w:val="3"/>
            <w:tcBorders>
              <w:top w:val="single" w:sz="8" w:space="0" w:color="auto"/>
              <w:left w:val="nil"/>
              <w:bottom w:val="single" w:sz="8" w:space="0" w:color="auto"/>
              <w:right w:val="single" w:sz="8" w:space="0" w:color="000000"/>
            </w:tcBorders>
            <w:vAlign w:val="center"/>
            <w:hideMark/>
          </w:tcPr>
          <w:p w14:paraId="52DFC6C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55D8AC17" w14:textId="77777777" w:rsidTr="00614438">
        <w:trPr>
          <w:gridAfter w:val="1"/>
          <w:wAfter w:w="1212" w:type="dxa"/>
          <w:trHeight w:val="315"/>
        </w:trPr>
        <w:tc>
          <w:tcPr>
            <w:tcW w:w="3293" w:type="dxa"/>
            <w:tcBorders>
              <w:top w:val="nil"/>
              <w:left w:val="single" w:sz="8" w:space="0" w:color="auto"/>
              <w:bottom w:val="single" w:sz="8" w:space="0" w:color="auto"/>
              <w:right w:val="single" w:sz="8" w:space="0" w:color="auto"/>
            </w:tcBorders>
            <w:shd w:val="clear" w:color="auto" w:fill="244062"/>
            <w:vAlign w:val="center"/>
            <w:hideMark/>
          </w:tcPr>
          <w:p w14:paraId="6279270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95" w:type="dxa"/>
            <w:gridSpan w:val="3"/>
            <w:tcBorders>
              <w:top w:val="single" w:sz="8" w:space="0" w:color="auto"/>
              <w:left w:val="nil"/>
              <w:bottom w:val="single" w:sz="8" w:space="0" w:color="auto"/>
              <w:right w:val="single" w:sz="8" w:space="0" w:color="000000"/>
            </w:tcBorders>
            <w:vAlign w:val="center"/>
            <w:hideMark/>
          </w:tcPr>
          <w:p w14:paraId="5CDAED9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Residential</w:t>
            </w:r>
          </w:p>
        </w:tc>
      </w:tr>
      <w:tr w:rsidR="00614438" w:rsidRPr="00AA7A53" w14:paraId="4019CB7A" w14:textId="77777777" w:rsidTr="00614438">
        <w:trPr>
          <w:gridAfter w:val="1"/>
          <w:wAfter w:w="1212" w:type="dxa"/>
          <w:trHeight w:val="315"/>
        </w:trPr>
        <w:tc>
          <w:tcPr>
            <w:tcW w:w="3293" w:type="dxa"/>
            <w:tcBorders>
              <w:top w:val="nil"/>
              <w:left w:val="single" w:sz="8" w:space="0" w:color="auto"/>
              <w:bottom w:val="single" w:sz="8" w:space="0" w:color="auto"/>
              <w:right w:val="single" w:sz="8" w:space="0" w:color="auto"/>
            </w:tcBorders>
            <w:shd w:val="clear" w:color="auto" w:fill="244062"/>
            <w:vAlign w:val="center"/>
            <w:hideMark/>
          </w:tcPr>
          <w:p w14:paraId="744ED51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95" w:type="dxa"/>
            <w:gridSpan w:val="3"/>
            <w:tcBorders>
              <w:top w:val="single" w:sz="8" w:space="0" w:color="auto"/>
              <w:left w:val="nil"/>
              <w:bottom w:val="single" w:sz="8" w:space="0" w:color="auto"/>
              <w:right w:val="single" w:sz="8" w:space="0" w:color="000000"/>
            </w:tcBorders>
            <w:vAlign w:val="center"/>
            <w:hideMark/>
          </w:tcPr>
          <w:p w14:paraId="0F516198" w14:textId="53B7055E"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the Ministry of Mining and Energy</w:t>
            </w:r>
          </w:p>
        </w:tc>
      </w:tr>
      <w:tr w:rsidR="00614438" w:rsidRPr="00AA7A53" w14:paraId="5499979B" w14:textId="77777777" w:rsidTr="00614438">
        <w:trPr>
          <w:gridAfter w:val="1"/>
          <w:wAfter w:w="1212" w:type="dxa"/>
          <w:trHeight w:val="315"/>
        </w:trPr>
        <w:tc>
          <w:tcPr>
            <w:tcW w:w="3293" w:type="dxa"/>
            <w:tcBorders>
              <w:top w:val="nil"/>
              <w:left w:val="single" w:sz="8" w:space="0" w:color="auto"/>
              <w:bottom w:val="single" w:sz="8" w:space="0" w:color="auto"/>
              <w:right w:val="nil"/>
            </w:tcBorders>
            <w:shd w:val="clear" w:color="auto" w:fill="244062"/>
            <w:vAlign w:val="center"/>
            <w:hideMark/>
          </w:tcPr>
          <w:p w14:paraId="389FD73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95" w:type="dxa"/>
            <w:gridSpan w:val="3"/>
            <w:tcBorders>
              <w:top w:val="single" w:sz="8" w:space="0" w:color="auto"/>
              <w:left w:val="nil"/>
              <w:bottom w:val="single" w:sz="8" w:space="0" w:color="auto"/>
              <w:right w:val="single" w:sz="8" w:space="0" w:color="000000"/>
            </w:tcBorders>
            <w:vAlign w:val="center"/>
            <w:hideMark/>
          </w:tcPr>
          <w:p w14:paraId="670F64C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w:t>
            </w:r>
          </w:p>
        </w:tc>
      </w:tr>
      <w:tr w:rsidR="00614438" w:rsidRPr="00AA7A53" w14:paraId="0876C169" w14:textId="77777777" w:rsidTr="00614438">
        <w:trPr>
          <w:gridAfter w:val="1"/>
          <w:wAfter w:w="1212" w:type="dxa"/>
          <w:trHeight w:val="315"/>
        </w:trPr>
        <w:tc>
          <w:tcPr>
            <w:tcW w:w="3293" w:type="dxa"/>
            <w:tcBorders>
              <w:top w:val="nil"/>
              <w:left w:val="single" w:sz="8" w:space="0" w:color="auto"/>
              <w:bottom w:val="single" w:sz="8" w:space="0" w:color="auto"/>
              <w:right w:val="nil"/>
            </w:tcBorders>
            <w:shd w:val="clear" w:color="auto" w:fill="244062"/>
            <w:vAlign w:val="center"/>
            <w:hideMark/>
          </w:tcPr>
          <w:p w14:paraId="2359FE6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95" w:type="dxa"/>
            <w:gridSpan w:val="3"/>
            <w:tcBorders>
              <w:top w:val="single" w:sz="8" w:space="0" w:color="auto"/>
              <w:left w:val="nil"/>
              <w:bottom w:val="single" w:sz="8" w:space="0" w:color="auto"/>
              <w:right w:val="single" w:sz="8" w:space="0" w:color="000000"/>
            </w:tcBorders>
            <w:vAlign w:val="center"/>
            <w:hideMark/>
          </w:tcPr>
          <w:p w14:paraId="4E82BC1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Developed tools and monitoring methodology</w:t>
            </w:r>
          </w:p>
        </w:tc>
      </w:tr>
      <w:tr w:rsidR="00614438" w:rsidRPr="00AA7A53" w14:paraId="068F941A" w14:textId="77777777" w:rsidTr="00614438">
        <w:trPr>
          <w:gridAfter w:val="1"/>
          <w:wAfter w:w="1212" w:type="dxa"/>
          <w:trHeight w:val="405"/>
        </w:trPr>
        <w:tc>
          <w:tcPr>
            <w:tcW w:w="3293" w:type="dxa"/>
            <w:tcBorders>
              <w:top w:val="nil"/>
              <w:left w:val="single" w:sz="8" w:space="0" w:color="auto"/>
              <w:bottom w:val="single" w:sz="8" w:space="0" w:color="auto"/>
              <w:right w:val="single" w:sz="8" w:space="0" w:color="auto"/>
            </w:tcBorders>
            <w:shd w:val="clear" w:color="auto" w:fill="244062"/>
            <w:vAlign w:val="center"/>
            <w:hideMark/>
          </w:tcPr>
          <w:p w14:paraId="4EE680B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95" w:type="dxa"/>
            <w:gridSpan w:val="3"/>
            <w:tcBorders>
              <w:top w:val="single" w:sz="8" w:space="0" w:color="auto"/>
              <w:left w:val="nil"/>
              <w:bottom w:val="single" w:sz="8" w:space="0" w:color="auto"/>
              <w:right w:val="single" w:sz="8" w:space="0" w:color="000000"/>
            </w:tcBorders>
            <w:vAlign w:val="center"/>
          </w:tcPr>
          <w:p w14:paraId="7BE475FE"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02C2DDD" w14:textId="77777777" w:rsidTr="00614438">
        <w:trPr>
          <w:gridAfter w:val="1"/>
          <w:wAfter w:w="1212" w:type="dxa"/>
          <w:trHeight w:val="458"/>
        </w:trPr>
        <w:tc>
          <w:tcPr>
            <w:tcW w:w="3293" w:type="dxa"/>
            <w:vMerge w:val="restart"/>
            <w:tcBorders>
              <w:top w:val="nil"/>
              <w:left w:val="single" w:sz="8" w:space="0" w:color="auto"/>
              <w:bottom w:val="single" w:sz="8" w:space="0" w:color="000000"/>
              <w:right w:val="single" w:sz="8" w:space="0" w:color="auto"/>
            </w:tcBorders>
            <w:shd w:val="clear" w:color="auto" w:fill="244062"/>
            <w:vAlign w:val="center"/>
            <w:hideMark/>
          </w:tcPr>
          <w:p w14:paraId="4D31629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95"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AA11193" w14:textId="77777777" w:rsidR="00614438" w:rsidRPr="00AA7A53" w:rsidRDefault="00614438" w:rsidP="00AA7A53">
            <w:pPr>
              <w:numPr>
                <w:ilvl w:val="0"/>
                <w:numId w:val="179"/>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2019/944/EU</w:t>
            </w:r>
          </w:p>
        </w:tc>
      </w:tr>
      <w:tr w:rsidR="00614438" w:rsidRPr="00AA7A53" w14:paraId="3536373C"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09E83BB3"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D46EF49"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15569246"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F848506"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7BF1CE49"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683D064"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09DE4833"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0FB9943D" w14:textId="77777777" w:rsidTr="00614438">
        <w:trPr>
          <w:trHeight w:val="271"/>
        </w:trPr>
        <w:tc>
          <w:tcPr>
            <w:tcW w:w="3293" w:type="dxa"/>
            <w:tcBorders>
              <w:top w:val="nil"/>
              <w:left w:val="single" w:sz="8" w:space="0" w:color="auto"/>
              <w:bottom w:val="single" w:sz="8" w:space="0" w:color="auto"/>
              <w:right w:val="single" w:sz="8" w:space="0" w:color="auto"/>
            </w:tcBorders>
            <w:shd w:val="clear" w:color="auto" w:fill="244062"/>
            <w:vAlign w:val="center"/>
            <w:hideMark/>
          </w:tcPr>
          <w:p w14:paraId="09F00F6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95" w:type="dxa"/>
            <w:gridSpan w:val="3"/>
            <w:tcBorders>
              <w:top w:val="single" w:sz="8" w:space="0" w:color="auto"/>
              <w:left w:val="nil"/>
              <w:bottom w:val="single" w:sz="8" w:space="0" w:color="auto"/>
              <w:right w:val="single" w:sz="8" w:space="0" w:color="000000"/>
            </w:tcBorders>
            <w:vAlign w:val="center"/>
          </w:tcPr>
          <w:p w14:paraId="598A8155"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vAlign w:val="center"/>
            <w:hideMark/>
          </w:tcPr>
          <w:p w14:paraId="3190813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C094196" w14:textId="77777777" w:rsidTr="00614438">
        <w:trPr>
          <w:trHeight w:val="315"/>
        </w:trPr>
        <w:tc>
          <w:tcPr>
            <w:tcW w:w="3293" w:type="dxa"/>
            <w:tcBorders>
              <w:top w:val="nil"/>
              <w:left w:val="single" w:sz="8" w:space="0" w:color="auto"/>
              <w:bottom w:val="single" w:sz="8" w:space="0" w:color="auto"/>
              <w:right w:val="single" w:sz="8" w:space="0" w:color="auto"/>
            </w:tcBorders>
            <w:shd w:val="clear" w:color="auto" w:fill="244062"/>
            <w:vAlign w:val="center"/>
            <w:hideMark/>
          </w:tcPr>
          <w:p w14:paraId="5D78B4A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95" w:type="dxa"/>
            <w:gridSpan w:val="3"/>
            <w:tcBorders>
              <w:top w:val="single" w:sz="8" w:space="0" w:color="auto"/>
              <w:left w:val="nil"/>
              <w:bottom w:val="single" w:sz="8" w:space="0" w:color="auto"/>
              <w:right w:val="single" w:sz="8" w:space="0" w:color="000000"/>
            </w:tcBorders>
            <w:vAlign w:val="center"/>
            <w:hideMark/>
          </w:tcPr>
          <w:p w14:paraId="7AB7A2B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1.5 M€</w:t>
            </w:r>
          </w:p>
        </w:tc>
        <w:tc>
          <w:tcPr>
            <w:tcW w:w="1212" w:type="dxa"/>
            <w:vAlign w:val="center"/>
            <w:hideMark/>
          </w:tcPr>
          <w:p w14:paraId="71E93E5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1BD02AB" w14:textId="77777777" w:rsidTr="00614438">
        <w:trPr>
          <w:trHeight w:val="315"/>
        </w:trPr>
        <w:tc>
          <w:tcPr>
            <w:tcW w:w="3293" w:type="dxa"/>
            <w:tcBorders>
              <w:top w:val="nil"/>
              <w:left w:val="single" w:sz="8" w:space="0" w:color="auto"/>
              <w:bottom w:val="single" w:sz="8" w:space="0" w:color="auto"/>
              <w:right w:val="single" w:sz="8" w:space="0" w:color="auto"/>
            </w:tcBorders>
            <w:shd w:val="clear" w:color="auto" w:fill="244062"/>
            <w:vAlign w:val="center"/>
            <w:hideMark/>
          </w:tcPr>
          <w:p w14:paraId="2A25D0F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95" w:type="dxa"/>
            <w:gridSpan w:val="3"/>
            <w:tcBorders>
              <w:top w:val="single" w:sz="8" w:space="0" w:color="auto"/>
              <w:left w:val="nil"/>
              <w:bottom w:val="single" w:sz="8" w:space="0" w:color="auto"/>
              <w:right w:val="single" w:sz="8" w:space="0" w:color="000000"/>
            </w:tcBorders>
            <w:vAlign w:val="center"/>
            <w:hideMark/>
          </w:tcPr>
          <w:p w14:paraId="07CE536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1212" w:type="dxa"/>
            <w:vAlign w:val="center"/>
            <w:hideMark/>
          </w:tcPr>
          <w:p w14:paraId="116318D9" w14:textId="77777777" w:rsidR="00614438" w:rsidRPr="00AA7A53" w:rsidRDefault="00614438" w:rsidP="00AA7A53">
            <w:pPr>
              <w:spacing w:after="0"/>
              <w:jc w:val="both"/>
              <w:rPr>
                <w:rFonts w:ascii="Times New Roman" w:hAnsi="Times New Roman" w:cs="Times New Roman"/>
                <w:sz w:val="20"/>
                <w:szCs w:val="20"/>
                <w:lang w:val="en-GB"/>
              </w:rPr>
            </w:pPr>
          </w:p>
        </w:tc>
      </w:tr>
    </w:tbl>
    <w:p w14:paraId="6B1C18AF"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72"/>
        <w:gridCol w:w="1172"/>
        <w:gridCol w:w="932"/>
        <w:gridCol w:w="4112"/>
        <w:gridCol w:w="1212"/>
      </w:tblGrid>
      <w:tr w:rsidR="00614438" w:rsidRPr="00AA7A53" w14:paraId="19063636" w14:textId="77777777" w:rsidTr="00614438">
        <w:trPr>
          <w:gridAfter w:val="1"/>
          <w:wAfter w:w="1212" w:type="dxa"/>
          <w:trHeight w:val="780"/>
        </w:trPr>
        <w:tc>
          <w:tcPr>
            <w:tcW w:w="3295"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FEBE51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106" w:type="dxa"/>
            <w:tcBorders>
              <w:top w:val="single" w:sz="8" w:space="0" w:color="auto"/>
              <w:left w:val="nil"/>
              <w:bottom w:val="single" w:sz="8" w:space="0" w:color="auto"/>
              <w:right w:val="single" w:sz="8" w:space="0" w:color="auto"/>
            </w:tcBorders>
            <w:shd w:val="clear" w:color="auto" w:fill="E7E6E6" w:themeFill="background2"/>
            <w:vAlign w:val="center"/>
            <w:hideMark/>
          </w:tcPr>
          <w:p w14:paraId="07C166F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PM_IEM37</w:t>
            </w:r>
          </w:p>
        </w:tc>
        <w:tc>
          <w:tcPr>
            <w:tcW w:w="936" w:type="dxa"/>
            <w:tcBorders>
              <w:top w:val="single" w:sz="8" w:space="0" w:color="auto"/>
              <w:left w:val="nil"/>
              <w:bottom w:val="single" w:sz="8" w:space="0" w:color="auto"/>
              <w:right w:val="single" w:sz="8" w:space="0" w:color="auto"/>
            </w:tcBorders>
            <w:shd w:val="clear" w:color="auto" w:fill="244062"/>
            <w:vAlign w:val="center"/>
            <w:hideMark/>
          </w:tcPr>
          <w:p w14:paraId="2198255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51" w:type="dxa"/>
            <w:tcBorders>
              <w:top w:val="single" w:sz="8" w:space="0" w:color="auto"/>
              <w:left w:val="nil"/>
              <w:bottom w:val="single" w:sz="8" w:space="0" w:color="auto"/>
              <w:right w:val="single" w:sz="8" w:space="0" w:color="auto"/>
            </w:tcBorders>
            <w:shd w:val="clear" w:color="auto" w:fill="E7E6E6" w:themeFill="background2"/>
            <w:vAlign w:val="center"/>
            <w:hideMark/>
          </w:tcPr>
          <w:p w14:paraId="64DD4E0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Awareness and information measures for the alleviation of energy poverty</w:t>
            </w:r>
          </w:p>
        </w:tc>
      </w:tr>
      <w:tr w:rsidR="00614438" w:rsidRPr="00AA7A53" w14:paraId="4337C409" w14:textId="77777777" w:rsidTr="00614438">
        <w:trPr>
          <w:gridAfter w:val="1"/>
          <w:wAfter w:w="1212" w:type="dxa"/>
          <w:trHeight w:val="289"/>
        </w:trPr>
        <w:tc>
          <w:tcPr>
            <w:tcW w:w="3295" w:type="dxa"/>
            <w:tcBorders>
              <w:top w:val="nil"/>
              <w:left w:val="single" w:sz="8" w:space="0" w:color="auto"/>
              <w:bottom w:val="single" w:sz="8" w:space="0" w:color="auto"/>
              <w:right w:val="nil"/>
            </w:tcBorders>
            <w:shd w:val="clear" w:color="auto" w:fill="244062"/>
            <w:vAlign w:val="center"/>
            <w:hideMark/>
          </w:tcPr>
          <w:p w14:paraId="1E5A71C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93" w:type="dxa"/>
            <w:gridSpan w:val="3"/>
            <w:tcBorders>
              <w:top w:val="single" w:sz="8" w:space="0" w:color="auto"/>
              <w:left w:val="nil"/>
              <w:bottom w:val="single" w:sz="8" w:space="0" w:color="auto"/>
              <w:right w:val="single" w:sz="8" w:space="0" w:color="000000"/>
            </w:tcBorders>
            <w:vAlign w:val="center"/>
            <w:hideMark/>
          </w:tcPr>
          <w:p w14:paraId="0ECC006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Alleviation of energy poverty</w:t>
            </w:r>
          </w:p>
        </w:tc>
      </w:tr>
      <w:tr w:rsidR="00614438" w:rsidRPr="00AA7A53" w14:paraId="30E3315F" w14:textId="77777777" w:rsidTr="00614438">
        <w:trPr>
          <w:gridAfter w:val="1"/>
          <w:wAfter w:w="1212" w:type="dxa"/>
          <w:trHeight w:val="315"/>
        </w:trPr>
        <w:tc>
          <w:tcPr>
            <w:tcW w:w="3295" w:type="dxa"/>
            <w:tcBorders>
              <w:top w:val="nil"/>
              <w:left w:val="single" w:sz="8" w:space="0" w:color="auto"/>
              <w:bottom w:val="single" w:sz="8" w:space="0" w:color="auto"/>
              <w:right w:val="single" w:sz="8" w:space="0" w:color="auto"/>
            </w:tcBorders>
            <w:shd w:val="clear" w:color="auto" w:fill="244062"/>
            <w:vAlign w:val="center"/>
            <w:hideMark/>
          </w:tcPr>
          <w:p w14:paraId="4D68609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93" w:type="dxa"/>
            <w:gridSpan w:val="3"/>
            <w:tcBorders>
              <w:top w:val="single" w:sz="8" w:space="0" w:color="auto"/>
              <w:left w:val="nil"/>
              <w:bottom w:val="single" w:sz="8" w:space="0" w:color="auto"/>
              <w:right w:val="single" w:sz="8" w:space="0" w:color="000000"/>
            </w:tcBorders>
            <w:vAlign w:val="center"/>
            <w:hideMark/>
          </w:tcPr>
          <w:p w14:paraId="384E5A1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Reduction of energy poverty</w:t>
            </w:r>
          </w:p>
        </w:tc>
      </w:tr>
      <w:tr w:rsidR="00614438" w:rsidRPr="00AA7A53" w14:paraId="49033D11" w14:textId="77777777" w:rsidTr="00614438">
        <w:trPr>
          <w:gridAfter w:val="1"/>
          <w:wAfter w:w="1212" w:type="dxa"/>
          <w:trHeight w:val="726"/>
        </w:trPr>
        <w:tc>
          <w:tcPr>
            <w:tcW w:w="3295" w:type="dxa"/>
            <w:tcBorders>
              <w:top w:val="nil"/>
              <w:left w:val="single" w:sz="8" w:space="0" w:color="auto"/>
              <w:bottom w:val="single" w:sz="8" w:space="0" w:color="auto"/>
              <w:right w:val="single" w:sz="8" w:space="0" w:color="auto"/>
            </w:tcBorders>
            <w:shd w:val="clear" w:color="auto" w:fill="244062"/>
            <w:vAlign w:val="center"/>
            <w:hideMark/>
          </w:tcPr>
          <w:p w14:paraId="16E9DD8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93" w:type="dxa"/>
            <w:gridSpan w:val="3"/>
            <w:tcBorders>
              <w:top w:val="single" w:sz="8" w:space="0" w:color="auto"/>
              <w:left w:val="nil"/>
              <w:bottom w:val="single" w:sz="8" w:space="0" w:color="auto"/>
              <w:right w:val="single" w:sz="8" w:space="0" w:color="000000"/>
            </w:tcBorders>
            <w:vAlign w:val="center"/>
            <w:hideMark/>
          </w:tcPr>
          <w:p w14:paraId="24E38F75" w14:textId="322AF268"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PM_IEM37 will foster the conduction of information, awareness-raising, guidance or training programmes in order to facilitate the implementation of the planned policies and measures and to contribute to the effective alleviation of energy poverty. The designed measures will not focus only on energy poor households </w:t>
            </w:r>
            <w:r w:rsidR="00C20CD2" w:rsidRPr="00AA7A53">
              <w:rPr>
                <w:rFonts w:ascii="Times New Roman" w:hAnsi="Times New Roman" w:cs="Times New Roman"/>
                <w:sz w:val="20"/>
                <w:szCs w:val="20"/>
                <w:lang w:val="en-GB"/>
              </w:rPr>
              <w:t xml:space="preserve">but will </w:t>
            </w:r>
            <w:r w:rsidRPr="00AA7A53">
              <w:rPr>
                <w:rFonts w:ascii="Times New Roman" w:hAnsi="Times New Roman" w:cs="Times New Roman"/>
                <w:sz w:val="20"/>
                <w:szCs w:val="20"/>
                <w:lang w:val="en-GB"/>
              </w:rPr>
              <w:t>allow the participation of all the interested stakeholders. The conduction of simplifie</w:t>
            </w:r>
            <w:r w:rsidR="00C20CD2" w:rsidRPr="00AA7A53">
              <w:rPr>
                <w:rFonts w:ascii="Times New Roman" w:hAnsi="Times New Roman" w:cs="Times New Roman"/>
                <w:sz w:val="20"/>
                <w:szCs w:val="20"/>
                <w:lang w:val="en-GB"/>
              </w:rPr>
              <w:t xml:space="preserve">d energy audits will constitute </w:t>
            </w:r>
            <w:r w:rsidRPr="00AA7A53">
              <w:rPr>
                <w:rFonts w:ascii="Times New Roman" w:hAnsi="Times New Roman" w:cs="Times New Roman"/>
                <w:sz w:val="20"/>
                <w:szCs w:val="20"/>
                <w:lang w:val="en-GB"/>
              </w:rPr>
              <w:t xml:space="preserve">the main instrument for dissemination </w:t>
            </w:r>
            <w:r w:rsidR="00C20CD2" w:rsidRPr="00AA7A53">
              <w:rPr>
                <w:rFonts w:ascii="Times New Roman" w:hAnsi="Times New Roman" w:cs="Times New Roman"/>
                <w:sz w:val="20"/>
                <w:szCs w:val="20"/>
                <w:lang w:val="en-GB"/>
              </w:rPr>
              <w:t xml:space="preserve">which will </w:t>
            </w:r>
            <w:r w:rsidRPr="00AA7A53">
              <w:rPr>
                <w:rFonts w:ascii="Times New Roman" w:hAnsi="Times New Roman" w:cs="Times New Roman"/>
                <w:sz w:val="20"/>
                <w:szCs w:val="20"/>
                <w:lang w:val="en-GB"/>
              </w:rPr>
              <w:t>result</w:t>
            </w:r>
            <w:r w:rsidR="00C20CD2" w:rsidRPr="00AA7A53">
              <w:rPr>
                <w:rFonts w:ascii="Times New Roman" w:hAnsi="Times New Roman" w:cs="Times New Roman"/>
                <w:sz w:val="20"/>
                <w:szCs w:val="20"/>
                <w:lang w:val="en-GB"/>
              </w:rPr>
              <w:t xml:space="preserve"> i</w:t>
            </w:r>
            <w:r w:rsidRPr="00AA7A53">
              <w:rPr>
                <w:rFonts w:ascii="Times New Roman" w:hAnsi="Times New Roman" w:cs="Times New Roman"/>
                <w:sz w:val="20"/>
                <w:szCs w:val="20"/>
                <w:lang w:val="en-GB"/>
              </w:rPr>
              <w:t>n</w:t>
            </w:r>
            <w:r w:rsidR="00C20CD2" w:rsidRPr="00AA7A53">
              <w:rPr>
                <w:rFonts w:ascii="Times New Roman" w:hAnsi="Times New Roman" w:cs="Times New Roman"/>
                <w:sz w:val="20"/>
                <w:szCs w:val="20"/>
                <w:lang w:val="en-GB"/>
              </w:rPr>
              <w:t xml:space="preserve"> </w:t>
            </w:r>
            <w:r w:rsidRPr="00AA7A53">
              <w:rPr>
                <w:rFonts w:ascii="Times New Roman" w:hAnsi="Times New Roman" w:cs="Times New Roman"/>
                <w:sz w:val="20"/>
                <w:szCs w:val="20"/>
                <w:lang w:val="en-GB"/>
              </w:rPr>
              <w:t xml:space="preserve">specialized energy advices, while the most effective low-cost interventions can be financed by a targeted financial instrument. The deployment of smart meters will </w:t>
            </w:r>
            <w:r w:rsidRPr="00AA7A53">
              <w:rPr>
                <w:rFonts w:ascii="Times New Roman" w:hAnsi="Times New Roman" w:cs="Times New Roman"/>
                <w:sz w:val="20"/>
                <w:szCs w:val="20"/>
                <w:lang w:val="en-GB"/>
              </w:rPr>
              <w:lastRenderedPageBreak/>
              <w:t xml:space="preserve">facilitate the provision of guidance and targeted energy advices to energy poor households. Finally, emphasis will be </w:t>
            </w:r>
            <w:r w:rsidR="00C20CD2" w:rsidRPr="00AA7A53">
              <w:rPr>
                <w:rFonts w:ascii="Times New Roman" w:hAnsi="Times New Roman" w:cs="Times New Roman"/>
                <w:sz w:val="20"/>
                <w:szCs w:val="20"/>
                <w:lang w:val="en-GB"/>
              </w:rPr>
              <w:t>placed</w:t>
            </w:r>
            <w:r w:rsidRPr="00AA7A53">
              <w:rPr>
                <w:rFonts w:ascii="Times New Roman" w:hAnsi="Times New Roman" w:cs="Times New Roman"/>
                <w:sz w:val="20"/>
                <w:szCs w:val="20"/>
                <w:lang w:val="en-GB"/>
              </w:rPr>
              <w:t xml:space="preserve"> on the training of the energy professionals about several issues</w:t>
            </w:r>
            <w:r w:rsidR="00C20CD2"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such as the identification of energy poor households, the avoidance of phenomena such as stigmatization, gender equality etc.</w:t>
            </w:r>
          </w:p>
        </w:tc>
      </w:tr>
      <w:tr w:rsidR="00614438" w:rsidRPr="00AA7A53" w14:paraId="28DD24A0" w14:textId="77777777" w:rsidTr="00614438">
        <w:trPr>
          <w:gridAfter w:val="1"/>
          <w:wAfter w:w="1212" w:type="dxa"/>
          <w:trHeight w:val="315"/>
        </w:trPr>
        <w:tc>
          <w:tcPr>
            <w:tcW w:w="3295" w:type="dxa"/>
            <w:tcBorders>
              <w:top w:val="nil"/>
              <w:left w:val="single" w:sz="8" w:space="0" w:color="auto"/>
              <w:bottom w:val="single" w:sz="8" w:space="0" w:color="auto"/>
              <w:right w:val="single" w:sz="8" w:space="0" w:color="auto"/>
            </w:tcBorders>
            <w:shd w:val="clear" w:color="auto" w:fill="244062"/>
            <w:vAlign w:val="center"/>
            <w:hideMark/>
          </w:tcPr>
          <w:p w14:paraId="1C4A8C8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Implementation Timeframe</w:t>
            </w:r>
          </w:p>
        </w:tc>
        <w:tc>
          <w:tcPr>
            <w:tcW w:w="6193" w:type="dxa"/>
            <w:gridSpan w:val="3"/>
            <w:tcBorders>
              <w:top w:val="single" w:sz="8" w:space="0" w:color="auto"/>
              <w:left w:val="nil"/>
              <w:bottom w:val="single" w:sz="8" w:space="0" w:color="auto"/>
              <w:right w:val="single" w:sz="8" w:space="0" w:color="000000"/>
            </w:tcBorders>
            <w:vAlign w:val="center"/>
            <w:hideMark/>
          </w:tcPr>
          <w:p w14:paraId="72FE8264" w14:textId="4CB8A85A"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A152B3"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32F2ABCC" w14:textId="77777777" w:rsidTr="00614438">
        <w:trPr>
          <w:gridAfter w:val="1"/>
          <w:wAfter w:w="1212" w:type="dxa"/>
          <w:trHeight w:val="315"/>
        </w:trPr>
        <w:tc>
          <w:tcPr>
            <w:tcW w:w="3295" w:type="dxa"/>
            <w:tcBorders>
              <w:top w:val="nil"/>
              <w:left w:val="single" w:sz="8" w:space="0" w:color="auto"/>
              <w:bottom w:val="single" w:sz="8" w:space="0" w:color="auto"/>
              <w:right w:val="single" w:sz="8" w:space="0" w:color="auto"/>
            </w:tcBorders>
            <w:shd w:val="clear" w:color="auto" w:fill="244062"/>
            <w:vAlign w:val="center"/>
            <w:hideMark/>
          </w:tcPr>
          <w:p w14:paraId="46D2CFF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93" w:type="dxa"/>
            <w:gridSpan w:val="3"/>
            <w:tcBorders>
              <w:top w:val="single" w:sz="8" w:space="0" w:color="auto"/>
              <w:left w:val="nil"/>
              <w:bottom w:val="single" w:sz="8" w:space="0" w:color="auto"/>
              <w:right w:val="single" w:sz="8" w:space="0" w:color="000000"/>
            </w:tcBorders>
            <w:vAlign w:val="center"/>
            <w:hideMark/>
          </w:tcPr>
          <w:p w14:paraId="2081E9C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3204769D" w14:textId="77777777" w:rsidTr="00614438">
        <w:trPr>
          <w:gridAfter w:val="1"/>
          <w:wAfter w:w="1212" w:type="dxa"/>
          <w:trHeight w:val="315"/>
        </w:trPr>
        <w:tc>
          <w:tcPr>
            <w:tcW w:w="3295" w:type="dxa"/>
            <w:tcBorders>
              <w:top w:val="nil"/>
              <w:left w:val="single" w:sz="8" w:space="0" w:color="auto"/>
              <w:bottom w:val="single" w:sz="8" w:space="0" w:color="auto"/>
              <w:right w:val="single" w:sz="8" w:space="0" w:color="auto"/>
            </w:tcBorders>
            <w:shd w:val="clear" w:color="auto" w:fill="244062"/>
            <w:vAlign w:val="center"/>
            <w:hideMark/>
          </w:tcPr>
          <w:p w14:paraId="22B57A8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93" w:type="dxa"/>
            <w:gridSpan w:val="3"/>
            <w:tcBorders>
              <w:top w:val="single" w:sz="8" w:space="0" w:color="auto"/>
              <w:left w:val="nil"/>
              <w:bottom w:val="single" w:sz="8" w:space="0" w:color="auto"/>
              <w:right w:val="single" w:sz="8" w:space="0" w:color="000000"/>
            </w:tcBorders>
            <w:vAlign w:val="center"/>
            <w:hideMark/>
          </w:tcPr>
          <w:p w14:paraId="272ADA4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Residential</w:t>
            </w:r>
          </w:p>
        </w:tc>
      </w:tr>
      <w:tr w:rsidR="00614438" w:rsidRPr="00AA7A53" w14:paraId="0626CF76" w14:textId="77777777" w:rsidTr="00614438">
        <w:trPr>
          <w:gridAfter w:val="1"/>
          <w:wAfter w:w="1212" w:type="dxa"/>
          <w:trHeight w:val="315"/>
        </w:trPr>
        <w:tc>
          <w:tcPr>
            <w:tcW w:w="3295" w:type="dxa"/>
            <w:tcBorders>
              <w:top w:val="nil"/>
              <w:left w:val="single" w:sz="8" w:space="0" w:color="auto"/>
              <w:bottom w:val="single" w:sz="8" w:space="0" w:color="auto"/>
              <w:right w:val="single" w:sz="8" w:space="0" w:color="auto"/>
            </w:tcBorders>
            <w:shd w:val="clear" w:color="auto" w:fill="244062"/>
            <w:vAlign w:val="center"/>
            <w:hideMark/>
          </w:tcPr>
          <w:p w14:paraId="70472DF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93" w:type="dxa"/>
            <w:gridSpan w:val="3"/>
            <w:tcBorders>
              <w:top w:val="single" w:sz="8" w:space="0" w:color="auto"/>
              <w:left w:val="nil"/>
              <w:bottom w:val="single" w:sz="8" w:space="0" w:color="auto"/>
              <w:right w:val="single" w:sz="8" w:space="0" w:color="000000"/>
            </w:tcBorders>
            <w:vAlign w:val="center"/>
            <w:hideMark/>
          </w:tcPr>
          <w:p w14:paraId="75BA4646" w14:textId="40967742"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the Ministry of Mining and Energy</w:t>
            </w:r>
          </w:p>
        </w:tc>
      </w:tr>
      <w:tr w:rsidR="00614438" w:rsidRPr="00AA7A53" w14:paraId="41BD036A" w14:textId="77777777" w:rsidTr="00614438">
        <w:trPr>
          <w:gridAfter w:val="1"/>
          <w:wAfter w:w="1212" w:type="dxa"/>
          <w:trHeight w:val="315"/>
        </w:trPr>
        <w:tc>
          <w:tcPr>
            <w:tcW w:w="3295" w:type="dxa"/>
            <w:tcBorders>
              <w:top w:val="nil"/>
              <w:left w:val="single" w:sz="8" w:space="0" w:color="auto"/>
              <w:bottom w:val="single" w:sz="8" w:space="0" w:color="auto"/>
              <w:right w:val="nil"/>
            </w:tcBorders>
            <w:shd w:val="clear" w:color="auto" w:fill="244062"/>
            <w:vAlign w:val="center"/>
            <w:hideMark/>
          </w:tcPr>
          <w:p w14:paraId="19F1A83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93" w:type="dxa"/>
            <w:gridSpan w:val="3"/>
            <w:tcBorders>
              <w:top w:val="single" w:sz="8" w:space="0" w:color="auto"/>
              <w:left w:val="nil"/>
              <w:bottom w:val="single" w:sz="8" w:space="0" w:color="auto"/>
              <w:right w:val="single" w:sz="8" w:space="0" w:color="000000"/>
            </w:tcBorders>
            <w:vAlign w:val="center"/>
          </w:tcPr>
          <w:p w14:paraId="66CF820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A29B3E5" w14:textId="77777777" w:rsidTr="00614438">
        <w:trPr>
          <w:gridAfter w:val="1"/>
          <w:wAfter w:w="1212" w:type="dxa"/>
          <w:trHeight w:val="315"/>
        </w:trPr>
        <w:tc>
          <w:tcPr>
            <w:tcW w:w="3295" w:type="dxa"/>
            <w:tcBorders>
              <w:top w:val="nil"/>
              <w:left w:val="single" w:sz="8" w:space="0" w:color="auto"/>
              <w:bottom w:val="single" w:sz="8" w:space="0" w:color="auto"/>
              <w:right w:val="nil"/>
            </w:tcBorders>
            <w:shd w:val="clear" w:color="auto" w:fill="244062"/>
            <w:vAlign w:val="center"/>
            <w:hideMark/>
          </w:tcPr>
          <w:p w14:paraId="0B38D96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93" w:type="dxa"/>
            <w:gridSpan w:val="3"/>
            <w:tcBorders>
              <w:top w:val="single" w:sz="8" w:space="0" w:color="auto"/>
              <w:left w:val="nil"/>
              <w:bottom w:val="single" w:sz="8" w:space="0" w:color="auto"/>
              <w:right w:val="single" w:sz="8" w:space="0" w:color="000000"/>
            </w:tcBorders>
            <w:vAlign w:val="center"/>
            <w:hideMark/>
          </w:tcPr>
          <w:p w14:paraId="1EF9A48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Number of affected energy poor households</w:t>
            </w:r>
          </w:p>
        </w:tc>
      </w:tr>
      <w:tr w:rsidR="00614438" w:rsidRPr="00AA7A53" w14:paraId="240625D3" w14:textId="77777777" w:rsidTr="00614438">
        <w:trPr>
          <w:gridAfter w:val="1"/>
          <w:wAfter w:w="1212" w:type="dxa"/>
          <w:trHeight w:val="341"/>
        </w:trPr>
        <w:tc>
          <w:tcPr>
            <w:tcW w:w="3295" w:type="dxa"/>
            <w:tcBorders>
              <w:top w:val="nil"/>
              <w:left w:val="single" w:sz="8" w:space="0" w:color="auto"/>
              <w:bottom w:val="single" w:sz="8" w:space="0" w:color="auto"/>
              <w:right w:val="single" w:sz="8" w:space="0" w:color="auto"/>
            </w:tcBorders>
            <w:shd w:val="clear" w:color="auto" w:fill="244062"/>
            <w:vAlign w:val="center"/>
            <w:hideMark/>
          </w:tcPr>
          <w:p w14:paraId="5CE744C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93" w:type="dxa"/>
            <w:gridSpan w:val="3"/>
            <w:tcBorders>
              <w:top w:val="single" w:sz="8" w:space="0" w:color="auto"/>
              <w:left w:val="nil"/>
              <w:bottom w:val="single" w:sz="8" w:space="0" w:color="auto"/>
              <w:right w:val="single" w:sz="8" w:space="0" w:color="000000"/>
            </w:tcBorders>
            <w:vAlign w:val="center"/>
          </w:tcPr>
          <w:p w14:paraId="2F45CE3F"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5707D05" w14:textId="77777777" w:rsidTr="00614438">
        <w:trPr>
          <w:gridAfter w:val="1"/>
          <w:wAfter w:w="1212" w:type="dxa"/>
          <w:trHeight w:val="458"/>
        </w:trPr>
        <w:tc>
          <w:tcPr>
            <w:tcW w:w="3295" w:type="dxa"/>
            <w:vMerge w:val="restart"/>
            <w:tcBorders>
              <w:top w:val="nil"/>
              <w:left w:val="single" w:sz="8" w:space="0" w:color="auto"/>
              <w:bottom w:val="single" w:sz="8" w:space="0" w:color="000000"/>
              <w:right w:val="single" w:sz="8" w:space="0" w:color="auto"/>
            </w:tcBorders>
            <w:shd w:val="clear" w:color="auto" w:fill="244062"/>
            <w:vAlign w:val="center"/>
            <w:hideMark/>
          </w:tcPr>
          <w:p w14:paraId="1AE5C87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93"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C47B17A" w14:textId="77777777" w:rsidR="00614438" w:rsidRPr="00AA7A53" w:rsidRDefault="00614438" w:rsidP="00AA7A53">
            <w:pPr>
              <w:numPr>
                <w:ilvl w:val="0"/>
                <w:numId w:val="179"/>
              </w:numPr>
              <w:spacing w:after="0"/>
              <w:jc w:val="both"/>
              <w:rPr>
                <w:rFonts w:ascii="Times New Roman" w:hAnsi="Times New Roman" w:cs="Times New Roman"/>
                <w:sz w:val="20"/>
                <w:szCs w:val="20"/>
              </w:rPr>
            </w:pPr>
            <w:r w:rsidRPr="00AA7A53">
              <w:rPr>
                <w:rFonts w:ascii="Times New Roman" w:hAnsi="Times New Roman" w:cs="Times New Roman"/>
                <w:sz w:val="20"/>
                <w:szCs w:val="20"/>
              </w:rPr>
              <w:t>Directive 2019/944/EU</w:t>
            </w:r>
          </w:p>
        </w:tc>
      </w:tr>
      <w:tr w:rsidR="00614438" w:rsidRPr="00AA7A53" w14:paraId="49B4316F"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277911A5"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AA69ED6"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152864E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EEE55CF"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20D953A8"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C6B0FD3"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424AE98B"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74E9B515" w14:textId="77777777" w:rsidTr="00614438">
        <w:trPr>
          <w:trHeight w:val="388"/>
        </w:trPr>
        <w:tc>
          <w:tcPr>
            <w:tcW w:w="3295" w:type="dxa"/>
            <w:tcBorders>
              <w:top w:val="nil"/>
              <w:left w:val="single" w:sz="8" w:space="0" w:color="auto"/>
              <w:bottom w:val="single" w:sz="8" w:space="0" w:color="auto"/>
              <w:right w:val="single" w:sz="8" w:space="0" w:color="auto"/>
            </w:tcBorders>
            <w:shd w:val="clear" w:color="auto" w:fill="244062"/>
            <w:vAlign w:val="center"/>
            <w:hideMark/>
          </w:tcPr>
          <w:p w14:paraId="285EB7A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93" w:type="dxa"/>
            <w:gridSpan w:val="3"/>
            <w:tcBorders>
              <w:top w:val="single" w:sz="8" w:space="0" w:color="auto"/>
              <w:left w:val="nil"/>
              <w:bottom w:val="single" w:sz="8" w:space="0" w:color="auto"/>
              <w:right w:val="single" w:sz="8" w:space="0" w:color="000000"/>
            </w:tcBorders>
            <w:vAlign w:val="center"/>
            <w:hideMark/>
          </w:tcPr>
          <w:p w14:paraId="54B81FCA" w14:textId="77777777" w:rsidR="00614438" w:rsidRPr="00AA7A53" w:rsidRDefault="00614438" w:rsidP="00AA7A53">
            <w:pPr>
              <w:numPr>
                <w:ilvl w:val="0"/>
                <w:numId w:val="179"/>
              </w:numPr>
              <w:spacing w:after="0"/>
              <w:jc w:val="both"/>
              <w:rPr>
                <w:rFonts w:ascii="Times New Roman" w:hAnsi="Times New Roman" w:cs="Times New Roman"/>
                <w:sz w:val="20"/>
                <w:szCs w:val="20"/>
              </w:rPr>
            </w:pPr>
            <w:r w:rsidRPr="00AA7A53">
              <w:rPr>
                <w:rFonts w:ascii="Times New Roman" w:hAnsi="Times New Roman" w:cs="Times New Roman"/>
                <w:sz w:val="20"/>
                <w:szCs w:val="20"/>
              </w:rPr>
              <w:t>National Coalition for Energy Poverty Reduction</w:t>
            </w:r>
          </w:p>
        </w:tc>
        <w:tc>
          <w:tcPr>
            <w:tcW w:w="1212" w:type="dxa"/>
            <w:vAlign w:val="center"/>
            <w:hideMark/>
          </w:tcPr>
          <w:p w14:paraId="36A862F9"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D63C6BB" w14:textId="77777777" w:rsidTr="00614438">
        <w:trPr>
          <w:trHeight w:val="315"/>
        </w:trPr>
        <w:tc>
          <w:tcPr>
            <w:tcW w:w="3295" w:type="dxa"/>
            <w:tcBorders>
              <w:top w:val="nil"/>
              <w:left w:val="single" w:sz="8" w:space="0" w:color="auto"/>
              <w:bottom w:val="single" w:sz="8" w:space="0" w:color="auto"/>
              <w:right w:val="single" w:sz="8" w:space="0" w:color="auto"/>
            </w:tcBorders>
            <w:shd w:val="clear" w:color="auto" w:fill="244062"/>
            <w:vAlign w:val="center"/>
            <w:hideMark/>
          </w:tcPr>
          <w:p w14:paraId="44D4E38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93" w:type="dxa"/>
            <w:gridSpan w:val="3"/>
            <w:tcBorders>
              <w:top w:val="single" w:sz="8" w:space="0" w:color="auto"/>
              <w:left w:val="nil"/>
              <w:bottom w:val="single" w:sz="8" w:space="0" w:color="auto"/>
              <w:right w:val="single" w:sz="8" w:space="0" w:color="000000"/>
            </w:tcBorders>
            <w:vAlign w:val="center"/>
            <w:hideMark/>
          </w:tcPr>
          <w:p w14:paraId="3629D0D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0.7 M€</w:t>
            </w:r>
          </w:p>
        </w:tc>
        <w:tc>
          <w:tcPr>
            <w:tcW w:w="1212" w:type="dxa"/>
            <w:vAlign w:val="center"/>
            <w:hideMark/>
          </w:tcPr>
          <w:p w14:paraId="7D3CB7C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1D22FB1" w14:textId="77777777" w:rsidTr="00614438">
        <w:trPr>
          <w:trHeight w:val="315"/>
        </w:trPr>
        <w:tc>
          <w:tcPr>
            <w:tcW w:w="3295" w:type="dxa"/>
            <w:tcBorders>
              <w:top w:val="nil"/>
              <w:left w:val="single" w:sz="8" w:space="0" w:color="auto"/>
              <w:bottom w:val="single" w:sz="8" w:space="0" w:color="auto"/>
              <w:right w:val="single" w:sz="8" w:space="0" w:color="auto"/>
            </w:tcBorders>
            <w:shd w:val="clear" w:color="auto" w:fill="244062"/>
            <w:vAlign w:val="center"/>
            <w:hideMark/>
          </w:tcPr>
          <w:p w14:paraId="17CBC1A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93" w:type="dxa"/>
            <w:gridSpan w:val="3"/>
            <w:tcBorders>
              <w:top w:val="single" w:sz="8" w:space="0" w:color="auto"/>
              <w:left w:val="nil"/>
              <w:bottom w:val="single" w:sz="8" w:space="0" w:color="auto"/>
              <w:right w:val="single" w:sz="8" w:space="0" w:color="000000"/>
            </w:tcBorders>
            <w:vAlign w:val="center"/>
            <w:hideMark/>
          </w:tcPr>
          <w:p w14:paraId="7ED04B8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and other funds, public funds</w:t>
            </w:r>
          </w:p>
        </w:tc>
        <w:tc>
          <w:tcPr>
            <w:tcW w:w="1212" w:type="dxa"/>
            <w:vAlign w:val="center"/>
            <w:hideMark/>
          </w:tcPr>
          <w:p w14:paraId="17EF490D" w14:textId="77777777" w:rsidR="00614438" w:rsidRPr="00AA7A53" w:rsidRDefault="00614438" w:rsidP="00AA7A53">
            <w:pPr>
              <w:spacing w:after="0"/>
              <w:jc w:val="both"/>
              <w:rPr>
                <w:rFonts w:ascii="Times New Roman" w:hAnsi="Times New Roman" w:cs="Times New Roman"/>
                <w:sz w:val="20"/>
                <w:szCs w:val="20"/>
                <w:lang w:val="en-GB"/>
              </w:rPr>
            </w:pPr>
          </w:p>
        </w:tc>
      </w:tr>
    </w:tbl>
    <w:p w14:paraId="077C8D72" w14:textId="77777777" w:rsidR="00614438" w:rsidRPr="00AA7A53" w:rsidRDefault="00614438" w:rsidP="00AA7A53">
      <w:pPr>
        <w:spacing w:after="0"/>
        <w:jc w:val="both"/>
        <w:rPr>
          <w:rFonts w:ascii="Times New Roman" w:hAnsi="Times New Roman" w:cs="Times New Roman"/>
          <w:sz w:val="20"/>
          <w:szCs w:val="20"/>
          <w:lang w:val="en-GB"/>
        </w:rPr>
      </w:pPr>
    </w:p>
    <w:p w14:paraId="504AF05B" w14:textId="72B24D78" w:rsidR="00614438" w:rsidRPr="00614438" w:rsidRDefault="00EA3B24" w:rsidP="00EA3B24">
      <w:pPr>
        <w:ind w:firstLine="720"/>
        <w:jc w:val="both"/>
        <w:rPr>
          <w:rFonts w:ascii="Times New Roman" w:hAnsi="Times New Roman" w:cs="Times New Roman"/>
          <w:sz w:val="24"/>
          <w:szCs w:val="24"/>
          <w:lang w:val="en-GB"/>
        </w:rPr>
      </w:pPr>
      <w:r>
        <w:rPr>
          <w:rFonts w:ascii="Times New Roman" w:hAnsi="Times New Roman" w:cs="Times New Roman"/>
          <w:sz w:val="24"/>
          <w:szCs w:val="24"/>
          <w:lang w:val="en-GB"/>
        </w:rPr>
        <w:t>Except for t</w:t>
      </w:r>
      <w:r w:rsidR="00614438" w:rsidRPr="00614438">
        <w:rPr>
          <w:rFonts w:ascii="Times New Roman" w:hAnsi="Times New Roman" w:cs="Times New Roman"/>
          <w:sz w:val="24"/>
          <w:szCs w:val="24"/>
          <w:lang w:val="en-GB"/>
        </w:rPr>
        <w:t>he measures presented in the previous tables, the following measures related to the other dimensions also affect the internal energy market dimension and contribute to the achievement of the internal energy market targets:</w:t>
      </w:r>
    </w:p>
    <w:p w14:paraId="65F3B7C3" w14:textId="140CD075"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rPr>
        <w:t xml:space="preserve">Dimension </w:t>
      </w:r>
      <w:r w:rsidR="00EA3B24">
        <w:rPr>
          <w:rFonts w:ascii="Times New Roman" w:hAnsi="Times New Roman" w:cs="Times New Roman"/>
          <w:sz w:val="24"/>
          <w:szCs w:val="24"/>
        </w:rPr>
        <w:t xml:space="preserve">of </w:t>
      </w:r>
      <w:r w:rsidRPr="00614438">
        <w:rPr>
          <w:rFonts w:ascii="Times New Roman" w:hAnsi="Times New Roman" w:cs="Times New Roman"/>
          <w:sz w:val="24"/>
          <w:szCs w:val="24"/>
        </w:rPr>
        <w:t>decarbonisation: PM_D20, PM_D23, PM_D36 and PM_D37</w:t>
      </w:r>
      <w:r w:rsidR="00EA3B24">
        <w:rPr>
          <w:rFonts w:ascii="Times New Roman" w:hAnsi="Times New Roman" w:cs="Times New Roman"/>
          <w:sz w:val="24"/>
          <w:szCs w:val="24"/>
        </w:rPr>
        <w:t>.</w:t>
      </w:r>
    </w:p>
    <w:p w14:paraId="51DD9279" w14:textId="55B48C2C" w:rsidR="00614438" w:rsidRPr="00614438" w:rsidRDefault="00614438" w:rsidP="00614438">
      <w:pPr>
        <w:jc w:val="both"/>
        <w:rPr>
          <w:rFonts w:ascii="Times New Roman" w:hAnsi="Times New Roman" w:cs="Times New Roman"/>
          <w:sz w:val="24"/>
          <w:szCs w:val="24"/>
        </w:rPr>
      </w:pPr>
      <w:r w:rsidRPr="00614438">
        <w:rPr>
          <w:rFonts w:ascii="Times New Roman" w:hAnsi="Times New Roman" w:cs="Times New Roman"/>
          <w:sz w:val="24"/>
          <w:szCs w:val="24"/>
        </w:rPr>
        <w:t xml:space="preserve">Dimension </w:t>
      </w:r>
      <w:r w:rsidR="00EA3B24">
        <w:rPr>
          <w:rFonts w:ascii="Times New Roman" w:hAnsi="Times New Roman" w:cs="Times New Roman"/>
          <w:sz w:val="24"/>
          <w:szCs w:val="24"/>
        </w:rPr>
        <w:t xml:space="preserve">of </w:t>
      </w:r>
      <w:r w:rsidRPr="00614438">
        <w:rPr>
          <w:rFonts w:ascii="Times New Roman" w:hAnsi="Times New Roman" w:cs="Times New Roman"/>
          <w:sz w:val="24"/>
          <w:szCs w:val="24"/>
        </w:rPr>
        <w:t>energy security: PM_ES2 – PM_ES3, PM_ES3.1</w:t>
      </w:r>
      <w:r w:rsidR="00EA3B24">
        <w:rPr>
          <w:rFonts w:ascii="Times New Roman" w:hAnsi="Times New Roman" w:cs="Times New Roman"/>
          <w:sz w:val="24"/>
          <w:szCs w:val="24"/>
        </w:rPr>
        <w:t xml:space="preserve"> </w:t>
      </w:r>
      <w:r w:rsidRPr="00614438">
        <w:rPr>
          <w:rFonts w:ascii="Times New Roman" w:hAnsi="Times New Roman" w:cs="Times New Roman"/>
          <w:sz w:val="24"/>
          <w:szCs w:val="24"/>
        </w:rPr>
        <w:t>and PM_ES6</w:t>
      </w:r>
      <w:r w:rsidR="00EA3B24">
        <w:rPr>
          <w:rFonts w:ascii="Times New Roman" w:hAnsi="Times New Roman" w:cs="Times New Roman"/>
          <w:sz w:val="24"/>
          <w:szCs w:val="24"/>
        </w:rPr>
        <w:t>.</w:t>
      </w:r>
    </w:p>
    <w:p w14:paraId="3C49159B" w14:textId="0A726488" w:rsidR="00614438" w:rsidRPr="00614438" w:rsidRDefault="00614438" w:rsidP="00614438">
      <w:pPr>
        <w:jc w:val="both"/>
        <w:rPr>
          <w:rFonts w:ascii="Times New Roman" w:hAnsi="Times New Roman" w:cs="Times New Roman"/>
          <w:sz w:val="24"/>
          <w:szCs w:val="24"/>
        </w:rPr>
      </w:pPr>
      <w:r w:rsidRPr="00614438">
        <w:rPr>
          <w:rFonts w:ascii="Times New Roman" w:hAnsi="Times New Roman" w:cs="Times New Roman"/>
          <w:sz w:val="24"/>
          <w:szCs w:val="24"/>
        </w:rPr>
        <w:t xml:space="preserve">Dimension </w:t>
      </w:r>
      <w:r w:rsidR="00EA3B24">
        <w:rPr>
          <w:rFonts w:ascii="Times New Roman" w:hAnsi="Times New Roman" w:cs="Times New Roman"/>
          <w:sz w:val="24"/>
          <w:szCs w:val="24"/>
        </w:rPr>
        <w:t xml:space="preserve">of </w:t>
      </w:r>
      <w:r w:rsidRPr="00614438">
        <w:rPr>
          <w:rFonts w:ascii="Times New Roman" w:hAnsi="Times New Roman" w:cs="Times New Roman"/>
          <w:sz w:val="24"/>
          <w:szCs w:val="24"/>
        </w:rPr>
        <w:t>research, innovation and competitiveness: PM_RIC1 – PM_RIC20</w:t>
      </w:r>
      <w:r w:rsidR="00EA3B24">
        <w:rPr>
          <w:rFonts w:ascii="Times New Roman" w:hAnsi="Times New Roman" w:cs="Times New Roman"/>
          <w:sz w:val="24"/>
          <w:szCs w:val="24"/>
        </w:rPr>
        <w:t>.</w:t>
      </w:r>
    </w:p>
    <w:p w14:paraId="5ACEB97E" w14:textId="77777777" w:rsidR="00614438" w:rsidRPr="00614438" w:rsidRDefault="00614438" w:rsidP="00614438">
      <w:pPr>
        <w:jc w:val="both"/>
        <w:rPr>
          <w:rFonts w:ascii="Times New Roman" w:hAnsi="Times New Roman" w:cs="Times New Roman"/>
          <w:sz w:val="24"/>
          <w:szCs w:val="24"/>
          <w:lang w:val="en-GB"/>
        </w:rPr>
      </w:pPr>
    </w:p>
    <w:p w14:paraId="47AEFCFA" w14:textId="61876223" w:rsidR="00614438" w:rsidRPr="00614438" w:rsidRDefault="00EA3B24" w:rsidP="00EA3B24">
      <w:pPr>
        <w:jc w:val="center"/>
        <w:rPr>
          <w:rFonts w:ascii="Times New Roman" w:hAnsi="Times New Roman" w:cs="Times New Roman"/>
          <w:sz w:val="24"/>
          <w:szCs w:val="24"/>
          <w:lang w:val="en-GB"/>
        </w:rPr>
      </w:pPr>
      <w:bookmarkStart w:id="167" w:name="_Toc79772557"/>
      <w:bookmarkStart w:id="168" w:name="_Toc118991777"/>
      <w:bookmarkStart w:id="169" w:name="_Toc153545049"/>
      <w:r>
        <w:rPr>
          <w:rFonts w:ascii="Times New Roman" w:hAnsi="Times New Roman" w:cs="Times New Roman"/>
          <w:sz w:val="24"/>
          <w:szCs w:val="24"/>
          <w:lang w:val="en-GB"/>
        </w:rPr>
        <w:t xml:space="preserve">3.5 </w:t>
      </w:r>
      <w:r w:rsidR="00614438" w:rsidRPr="00614438">
        <w:rPr>
          <w:rFonts w:ascii="Times New Roman" w:hAnsi="Times New Roman" w:cs="Times New Roman"/>
          <w:sz w:val="24"/>
          <w:szCs w:val="24"/>
          <w:lang w:val="en-GB"/>
        </w:rPr>
        <w:t>Dimension Research, Innovation and Competitiveness</w:t>
      </w:r>
      <w:bookmarkEnd w:id="167"/>
      <w:bookmarkEnd w:id="168"/>
      <w:bookmarkEnd w:id="169"/>
    </w:p>
    <w:p w14:paraId="1F2BD35F" w14:textId="506680A7" w:rsidR="00614438" w:rsidRPr="00614438" w:rsidRDefault="00614438" w:rsidP="00EA3B24">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It must be noted that, based on the forecasts for the GDP of the years 2020, 2025 and 2030 referred to in the 4</w:t>
      </w:r>
      <w:r w:rsidRPr="00614438">
        <w:rPr>
          <w:rFonts w:ascii="Times New Roman" w:hAnsi="Times New Roman" w:cs="Times New Roman"/>
          <w:sz w:val="24"/>
          <w:szCs w:val="24"/>
          <w:vertAlign w:val="superscript"/>
          <w:lang w:val="en-GB"/>
        </w:rPr>
        <w:t xml:space="preserve">th </w:t>
      </w:r>
      <w:r w:rsidRPr="00614438">
        <w:rPr>
          <w:rFonts w:ascii="Times New Roman" w:hAnsi="Times New Roman" w:cs="Times New Roman"/>
          <w:sz w:val="24"/>
          <w:szCs w:val="24"/>
          <w:lang w:val="en-GB"/>
        </w:rPr>
        <w:t>Chapter of the INECP, after relevant calculations for the Gross Domestic Expenditure for Research and Technological Development (GDERTD) in the field "Energy - Environment" for the years 2020, 2025 and 2030, and the assumption that GDERTD in the "Energy - Environment" sector in 2030 will remain stable at 2020 levels, i.e. will be of the order of 0.53% of GDP (source: Statistical Office of the Republic of Serbia), a total amount of 111.4 million Euros will be allocated for R&amp;</w:t>
      </w:r>
      <w:r w:rsidR="00EA3B24">
        <w:rPr>
          <w:rFonts w:ascii="Times New Roman" w:hAnsi="Times New Roman" w:cs="Times New Roman"/>
          <w:sz w:val="24"/>
          <w:szCs w:val="24"/>
          <w:lang w:val="en-GB"/>
        </w:rPr>
        <w:t>I</w:t>
      </w:r>
      <w:r w:rsidRPr="00614438">
        <w:rPr>
          <w:rFonts w:ascii="Times New Roman" w:hAnsi="Times New Roman" w:cs="Times New Roman"/>
          <w:sz w:val="24"/>
          <w:szCs w:val="24"/>
          <w:lang w:val="en-GB"/>
        </w:rPr>
        <w:t xml:space="preserve"> activities / measures in the period 202</w:t>
      </w:r>
      <w:r w:rsidR="00EA3B24">
        <w:rPr>
          <w:rFonts w:ascii="Times New Roman" w:hAnsi="Times New Roman" w:cs="Times New Roman"/>
          <w:sz w:val="24"/>
          <w:szCs w:val="24"/>
          <w:lang w:val="en-GB"/>
        </w:rPr>
        <w:t>4</w:t>
      </w:r>
      <w:r w:rsidRPr="00614438">
        <w:rPr>
          <w:rFonts w:ascii="Times New Roman" w:hAnsi="Times New Roman" w:cs="Times New Roman"/>
          <w:sz w:val="24"/>
          <w:szCs w:val="24"/>
          <w:lang w:val="en-GB"/>
        </w:rPr>
        <w:t>-2030.</w:t>
      </w:r>
    </w:p>
    <w:p w14:paraId="6F58A11A" w14:textId="23392656" w:rsidR="00614438" w:rsidRPr="00614438" w:rsidRDefault="00EA3B24" w:rsidP="00EA3B24">
      <w:pPr>
        <w:ind w:left="720"/>
        <w:jc w:val="center"/>
        <w:rPr>
          <w:rFonts w:ascii="Times New Roman" w:hAnsi="Times New Roman" w:cs="Times New Roman"/>
          <w:sz w:val="24"/>
          <w:szCs w:val="24"/>
          <w:lang w:val="en-GB"/>
        </w:rPr>
      </w:pPr>
      <w:r>
        <w:rPr>
          <w:rFonts w:ascii="Times New Roman" w:hAnsi="Times New Roman" w:cs="Times New Roman"/>
          <w:sz w:val="24"/>
          <w:szCs w:val="24"/>
          <w:lang w:val="en-GB"/>
        </w:rPr>
        <w:t>3.5.1 Policies and measures</w:t>
      </w:r>
    </w:p>
    <w:p w14:paraId="36294820" w14:textId="62807952" w:rsidR="00614438" w:rsidRPr="00614438" w:rsidRDefault="00EA3B24" w:rsidP="00EA3B24">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3.5.1.1 </w:t>
      </w:r>
      <w:r w:rsidR="00614438" w:rsidRPr="00614438">
        <w:rPr>
          <w:rFonts w:ascii="Times New Roman" w:hAnsi="Times New Roman" w:cs="Times New Roman"/>
          <w:sz w:val="24"/>
          <w:szCs w:val="24"/>
          <w:lang w:val="en-GB"/>
        </w:rPr>
        <w:t>Policies and measures to promote research and innovation</w:t>
      </w:r>
    </w:p>
    <w:p w14:paraId="68C0B9D5" w14:textId="2D88368C" w:rsidR="00614438" w:rsidRPr="00614438" w:rsidRDefault="00614438" w:rsidP="00EA3B24">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current policy of the Republic of Serbia in the area of research and innovation aims to create incentives and support the ado</w:t>
      </w:r>
      <w:r w:rsidR="00EA3B24">
        <w:rPr>
          <w:rFonts w:ascii="Times New Roman" w:hAnsi="Times New Roman" w:cs="Times New Roman"/>
          <w:sz w:val="24"/>
          <w:szCs w:val="24"/>
          <w:lang w:val="en-GB"/>
        </w:rPr>
        <w:t>ption of new technologies with the aim</w:t>
      </w:r>
      <w:r w:rsidRPr="00614438">
        <w:rPr>
          <w:rFonts w:ascii="Times New Roman" w:hAnsi="Times New Roman" w:cs="Times New Roman"/>
          <w:sz w:val="24"/>
          <w:szCs w:val="24"/>
          <w:lang w:val="en-GB"/>
        </w:rPr>
        <w:t xml:space="preserve"> to achieving overall energy cost savings, </w:t>
      </w:r>
      <w:r w:rsidR="00EA3B24">
        <w:rPr>
          <w:rFonts w:ascii="Times New Roman" w:hAnsi="Times New Roman" w:cs="Times New Roman"/>
          <w:sz w:val="24"/>
          <w:szCs w:val="24"/>
          <w:lang w:val="en-GB"/>
        </w:rPr>
        <w:t xml:space="preserve">by </w:t>
      </w:r>
      <w:r w:rsidRPr="00614438">
        <w:rPr>
          <w:rFonts w:ascii="Times New Roman" w:hAnsi="Times New Roman" w:cs="Times New Roman"/>
          <w:sz w:val="24"/>
          <w:szCs w:val="24"/>
          <w:lang w:val="en-GB"/>
        </w:rPr>
        <w:t>introducing new energy efficiency standards and enabling the transition to lower and more sustainable energy consumption in the country.</w:t>
      </w:r>
    </w:p>
    <w:p w14:paraId="44A601C9" w14:textId="77777777" w:rsidR="00614438" w:rsidRPr="00614438" w:rsidRDefault="00614438" w:rsidP="00EA3B24">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The Republic of Serbia considers research and innovation as an opportunity to enhance the competitiveness of its national economy, transforming it into a driver for economic growth and job creation. The proposed policy on research and innovation in the field of energy aims to promote, among others, the deployment of highly efficient energy technologies, the deployment of smart grids and energy storage technologies as well as the research into the possibilities to deploy rechargeable batteries, hydrogen and fuel cell technologies.</w:t>
      </w:r>
    </w:p>
    <w:p w14:paraId="2F9F5AF4" w14:textId="77777777" w:rsidR="00614438" w:rsidRPr="00614438" w:rsidRDefault="00614438" w:rsidP="00EA3B24">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Regarding research and innovation, an indicative number of proposed policy measures is provided below in order to:</w:t>
      </w:r>
    </w:p>
    <w:p w14:paraId="0F7121CE" w14:textId="3ADE3DCA" w:rsidR="00614438" w:rsidRPr="00614438" w:rsidRDefault="00614438" w:rsidP="00485CA7">
      <w:pPr>
        <w:numPr>
          <w:ilvl w:val="0"/>
          <w:numId w:val="180"/>
        </w:numPr>
        <w:jc w:val="both"/>
        <w:rPr>
          <w:rFonts w:ascii="Times New Roman" w:hAnsi="Times New Roman" w:cs="Times New Roman"/>
          <w:sz w:val="24"/>
          <w:szCs w:val="24"/>
        </w:rPr>
      </w:pPr>
      <w:r w:rsidRPr="00614438">
        <w:rPr>
          <w:rFonts w:ascii="Times New Roman" w:hAnsi="Times New Roman" w:cs="Times New Roman"/>
          <w:sz w:val="24"/>
          <w:szCs w:val="24"/>
        </w:rPr>
        <w:t>increase the number of innovative start-ups, spin-offs/spin-outs, etc. in high-tech and intensive sectors in line with the Strategy for Smart Specialisation</w:t>
      </w:r>
      <w:r w:rsidR="00EA3B24">
        <w:rPr>
          <w:rFonts w:ascii="Times New Roman" w:hAnsi="Times New Roman" w:cs="Times New Roman"/>
          <w:sz w:val="24"/>
          <w:szCs w:val="24"/>
          <w:lang w:val="en-GB"/>
        </w:rPr>
        <w:t>;</w:t>
      </w:r>
    </w:p>
    <w:p w14:paraId="022A832D" w14:textId="6E2C9BCF" w:rsidR="00614438" w:rsidRPr="00614438" w:rsidRDefault="00614438" w:rsidP="00485CA7">
      <w:pPr>
        <w:numPr>
          <w:ilvl w:val="0"/>
          <w:numId w:val="180"/>
        </w:numPr>
        <w:jc w:val="both"/>
        <w:rPr>
          <w:rFonts w:ascii="Times New Roman" w:hAnsi="Times New Roman" w:cs="Times New Roman"/>
          <w:sz w:val="24"/>
          <w:szCs w:val="24"/>
        </w:rPr>
      </w:pPr>
      <w:r w:rsidRPr="00614438">
        <w:rPr>
          <w:rFonts w:ascii="Times New Roman" w:hAnsi="Times New Roman" w:cs="Times New Roman"/>
          <w:sz w:val="24"/>
          <w:szCs w:val="24"/>
        </w:rPr>
        <w:t xml:space="preserve">increase the effectiveness of research by placing an emphasis on results and providing incentives (such as international cooperation and mobility, cooperation with businesses, etc.) with </w:t>
      </w:r>
      <w:r w:rsidR="00EA3B24">
        <w:rPr>
          <w:rFonts w:ascii="Times New Roman" w:hAnsi="Times New Roman" w:cs="Times New Roman"/>
          <w:sz w:val="24"/>
          <w:szCs w:val="24"/>
        </w:rPr>
        <w:t>the aim</w:t>
      </w:r>
      <w:r w:rsidRPr="00614438">
        <w:rPr>
          <w:rFonts w:ascii="Times New Roman" w:hAnsi="Times New Roman" w:cs="Times New Roman"/>
          <w:sz w:val="24"/>
          <w:szCs w:val="24"/>
        </w:rPr>
        <w:t xml:space="preserve"> to attract high-skilled research teams</w:t>
      </w:r>
      <w:r w:rsidR="00EA3B24">
        <w:rPr>
          <w:rFonts w:ascii="Times New Roman" w:hAnsi="Times New Roman" w:cs="Times New Roman"/>
          <w:sz w:val="24"/>
          <w:szCs w:val="24"/>
        </w:rPr>
        <w:t>;</w:t>
      </w:r>
    </w:p>
    <w:p w14:paraId="33F716B0" w14:textId="40624D0F" w:rsidR="00614438" w:rsidRPr="00614438" w:rsidRDefault="00614438" w:rsidP="00485CA7">
      <w:pPr>
        <w:numPr>
          <w:ilvl w:val="0"/>
          <w:numId w:val="180"/>
        </w:numPr>
        <w:jc w:val="both"/>
        <w:rPr>
          <w:rFonts w:ascii="Times New Roman" w:hAnsi="Times New Roman" w:cs="Times New Roman"/>
          <w:sz w:val="24"/>
          <w:szCs w:val="24"/>
        </w:rPr>
      </w:pPr>
      <w:r w:rsidRPr="00614438">
        <w:rPr>
          <w:rFonts w:ascii="Times New Roman" w:hAnsi="Times New Roman" w:cs="Times New Roman"/>
          <w:sz w:val="24"/>
          <w:szCs w:val="24"/>
        </w:rPr>
        <w:t>develop skills at the level of universities and research institutions that boost the commercial viability and market importance of their research projects and ability to participate in research consortiums</w:t>
      </w:r>
      <w:r w:rsidR="00EA3B24">
        <w:rPr>
          <w:rFonts w:ascii="Times New Roman" w:hAnsi="Times New Roman" w:cs="Times New Roman"/>
          <w:sz w:val="24"/>
          <w:szCs w:val="24"/>
        </w:rPr>
        <w:t>;</w:t>
      </w:r>
    </w:p>
    <w:p w14:paraId="292E2067" w14:textId="163311D7" w:rsidR="00614438" w:rsidRPr="00614438" w:rsidRDefault="00614438" w:rsidP="00485CA7">
      <w:pPr>
        <w:numPr>
          <w:ilvl w:val="0"/>
          <w:numId w:val="180"/>
        </w:numPr>
        <w:jc w:val="both"/>
        <w:rPr>
          <w:rFonts w:ascii="Times New Roman" w:hAnsi="Times New Roman" w:cs="Times New Roman"/>
          <w:sz w:val="24"/>
          <w:szCs w:val="24"/>
        </w:rPr>
      </w:pPr>
      <w:r w:rsidRPr="00614438">
        <w:rPr>
          <w:rFonts w:ascii="Times New Roman" w:hAnsi="Times New Roman" w:cs="Times New Roman"/>
          <w:sz w:val="24"/>
          <w:szCs w:val="24"/>
        </w:rPr>
        <w:t>support the cooperation between research institutes and businesses in the technology transfer and exploitation of research results</w:t>
      </w:r>
      <w:r w:rsidR="00EA3B24">
        <w:rPr>
          <w:rFonts w:ascii="Times New Roman" w:hAnsi="Times New Roman" w:cs="Times New Roman"/>
          <w:sz w:val="24"/>
          <w:szCs w:val="24"/>
        </w:rPr>
        <w:t>.</w:t>
      </w:r>
    </w:p>
    <w:p w14:paraId="699DDE51" w14:textId="4AAEEA34" w:rsidR="00614438" w:rsidRPr="00614438" w:rsidRDefault="00614438" w:rsidP="00EA3B24">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the coming years, the Republic of Serbia is expected to focus on the implementation of new energy saving technologies with a significant contribution to lowering carbon emissions in the air, combating the greenhouse effect and preventing buildings from overheating. The aim is to significantly reduce energy costs ensuring a relatively rapid return on investment with </w:t>
      </w:r>
      <w:r w:rsidR="00EA3B24">
        <w:rPr>
          <w:rFonts w:ascii="Times New Roman" w:hAnsi="Times New Roman" w:cs="Times New Roman"/>
          <w:sz w:val="24"/>
          <w:szCs w:val="24"/>
          <w:lang w:val="en-GB"/>
        </w:rPr>
        <w:t>the aim</w:t>
      </w:r>
      <w:r w:rsidRPr="00614438">
        <w:rPr>
          <w:rFonts w:ascii="Times New Roman" w:hAnsi="Times New Roman" w:cs="Times New Roman"/>
          <w:sz w:val="24"/>
          <w:szCs w:val="24"/>
          <w:lang w:val="en-GB"/>
        </w:rPr>
        <w:t xml:space="preserve"> to improv</w:t>
      </w:r>
      <w:r w:rsidR="00EA3B24">
        <w:rPr>
          <w:rFonts w:ascii="Times New Roman" w:hAnsi="Times New Roman" w:cs="Times New Roman"/>
          <w:sz w:val="24"/>
          <w:szCs w:val="24"/>
          <w:lang w:val="en-GB"/>
        </w:rPr>
        <w:t>e</w:t>
      </w:r>
      <w:r w:rsidRPr="00614438">
        <w:rPr>
          <w:rFonts w:ascii="Times New Roman" w:hAnsi="Times New Roman" w:cs="Times New Roman"/>
          <w:sz w:val="24"/>
          <w:szCs w:val="24"/>
          <w:lang w:val="en-GB"/>
        </w:rPr>
        <w:t xml:space="preserve"> the living and working environment for Serbian citizens.</w:t>
      </w:r>
    </w:p>
    <w:p w14:paraId="6866AD87" w14:textId="77777777" w:rsidR="00614438" w:rsidRPr="00614438" w:rsidRDefault="00614438" w:rsidP="00EA3B24">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One of the key priorities of research and innovation for the coming period in the field of energy networks are the challenges of digitalisation and smart grids. In addition, innovative actions relating to electric vehicles and to the strategies for their recharging will be supported and emphasis will be placed on the fact that the electricity consumed should come from RES and hydrogen produced by various forms of energy.</w:t>
      </w:r>
    </w:p>
    <w:p w14:paraId="461C07A8" w14:textId="77777777" w:rsidR="00614438" w:rsidRPr="00614438" w:rsidRDefault="00614438" w:rsidP="00EA3B24">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Regarding energy storage, measures should be taken in order to strengthen the development of new or improved electricity or thermal energy storage technologies with higher efficiency, availability, durability and security, and at the lowest cost. Innovative applications will also contribute to mitigating the environmental impact of businesses and the impact of climate change on the urban environment, as well as promoting the circular economy, with an emphasis on the recycling of materials and the recovery and reuse of energy, and the innovative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 capture and/or reuse techniques.</w:t>
      </w:r>
    </w:p>
    <w:p w14:paraId="3C5E9C49" w14:textId="77777777" w:rsidR="00614438" w:rsidRPr="00AA7A53" w:rsidRDefault="00614438" w:rsidP="00AA7A53">
      <w:pPr>
        <w:spacing w:after="0"/>
        <w:jc w:val="both"/>
        <w:rPr>
          <w:rFonts w:ascii="Times New Roman" w:hAnsi="Times New Roman" w:cs="Times New Roman"/>
          <w:sz w:val="20"/>
          <w:szCs w:val="20"/>
          <w:lang w:val="en-GB"/>
        </w:rPr>
      </w:pPr>
      <w:r w:rsidRPr="00614438">
        <w:rPr>
          <w:rFonts w:ascii="Times New Roman" w:hAnsi="Times New Roman" w:cs="Times New Roman"/>
          <w:sz w:val="24"/>
          <w:szCs w:val="24"/>
          <w:u w:val="single"/>
          <w:lang w:val="en-GB"/>
        </w:rPr>
        <w:t>Tables for PM_RIC1 – PM_RIC16</w:t>
      </w:r>
    </w:p>
    <w:tbl>
      <w:tblPr>
        <w:tblW w:w="10700" w:type="dxa"/>
        <w:tblLook w:val="04A0" w:firstRow="1" w:lastRow="0" w:firstColumn="1" w:lastColumn="0" w:noHBand="0" w:noVBand="1"/>
      </w:tblPr>
      <w:tblGrid>
        <w:gridCol w:w="3305"/>
        <w:gridCol w:w="1039"/>
        <w:gridCol w:w="939"/>
        <w:gridCol w:w="4205"/>
        <w:gridCol w:w="1212"/>
      </w:tblGrid>
      <w:tr w:rsidR="00614438" w:rsidRPr="00AA7A53" w14:paraId="48211873" w14:textId="77777777" w:rsidTr="00614438">
        <w:trPr>
          <w:gridAfter w:val="1"/>
          <w:wAfter w:w="1212" w:type="dxa"/>
          <w:trHeight w:val="780"/>
        </w:trPr>
        <w:tc>
          <w:tcPr>
            <w:tcW w:w="333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149E77B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51" w:type="dxa"/>
            <w:tcBorders>
              <w:top w:val="single" w:sz="8" w:space="0" w:color="auto"/>
              <w:left w:val="nil"/>
              <w:bottom w:val="single" w:sz="8" w:space="0" w:color="auto"/>
              <w:right w:val="single" w:sz="8" w:space="0" w:color="auto"/>
            </w:tcBorders>
            <w:shd w:val="clear" w:color="auto" w:fill="E7E6E6" w:themeFill="background2"/>
            <w:vAlign w:val="center"/>
            <w:hideMark/>
          </w:tcPr>
          <w:p w14:paraId="1E6336C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PM_RIC1</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5F38D92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56" w:type="dxa"/>
            <w:tcBorders>
              <w:top w:val="single" w:sz="8" w:space="0" w:color="auto"/>
              <w:left w:val="nil"/>
              <w:bottom w:val="single" w:sz="8" w:space="0" w:color="auto"/>
              <w:right w:val="single" w:sz="8" w:space="0" w:color="auto"/>
            </w:tcBorders>
            <w:shd w:val="clear" w:color="auto" w:fill="E7E6E6" w:themeFill="background2"/>
            <w:vAlign w:val="center"/>
            <w:hideMark/>
          </w:tcPr>
          <w:p w14:paraId="22EF0F0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Enhancement of the legal framework to encourage Research and Innovation</w:t>
            </w:r>
          </w:p>
        </w:tc>
      </w:tr>
      <w:tr w:rsidR="00614438" w:rsidRPr="00AA7A53" w14:paraId="22906F92" w14:textId="77777777" w:rsidTr="00614438">
        <w:trPr>
          <w:gridAfter w:val="1"/>
          <w:wAfter w:w="1212" w:type="dxa"/>
          <w:trHeight w:val="321"/>
        </w:trPr>
        <w:tc>
          <w:tcPr>
            <w:tcW w:w="3337" w:type="dxa"/>
            <w:tcBorders>
              <w:top w:val="nil"/>
              <w:left w:val="single" w:sz="8" w:space="0" w:color="auto"/>
              <w:bottom w:val="single" w:sz="8" w:space="0" w:color="auto"/>
              <w:right w:val="nil"/>
            </w:tcBorders>
            <w:shd w:val="clear" w:color="auto" w:fill="244062"/>
            <w:vAlign w:val="center"/>
            <w:hideMark/>
          </w:tcPr>
          <w:p w14:paraId="38B3CC7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51" w:type="dxa"/>
            <w:gridSpan w:val="3"/>
            <w:tcBorders>
              <w:top w:val="single" w:sz="8" w:space="0" w:color="auto"/>
              <w:left w:val="nil"/>
              <w:bottom w:val="single" w:sz="8" w:space="0" w:color="auto"/>
              <w:right w:val="single" w:sz="8" w:space="0" w:color="000000"/>
            </w:tcBorders>
            <w:vAlign w:val="center"/>
            <w:hideMark/>
          </w:tcPr>
          <w:p w14:paraId="64B8DA0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Regulatory amendment, promotion of research and innovation</w:t>
            </w:r>
          </w:p>
        </w:tc>
      </w:tr>
      <w:tr w:rsidR="00614438" w:rsidRPr="00AA7A53" w14:paraId="08376CAF" w14:textId="77777777" w:rsidTr="00614438">
        <w:trPr>
          <w:gridAfter w:val="1"/>
          <w:wAfter w:w="1212" w:type="dxa"/>
          <w:trHeight w:val="315"/>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1A14FCA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51" w:type="dxa"/>
            <w:gridSpan w:val="3"/>
            <w:tcBorders>
              <w:top w:val="single" w:sz="8" w:space="0" w:color="auto"/>
              <w:left w:val="nil"/>
              <w:bottom w:val="single" w:sz="8" w:space="0" w:color="auto"/>
              <w:right w:val="single" w:sz="8" w:space="0" w:color="000000"/>
            </w:tcBorders>
            <w:vAlign w:val="center"/>
            <w:hideMark/>
          </w:tcPr>
          <w:p w14:paraId="322D202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 the level of technological readiness in the field of energy (Qualitative objective)</w:t>
            </w:r>
          </w:p>
        </w:tc>
      </w:tr>
      <w:tr w:rsidR="00614438" w:rsidRPr="00AA7A53" w14:paraId="7D18EDD2" w14:textId="77777777" w:rsidTr="00614438">
        <w:trPr>
          <w:gridAfter w:val="1"/>
          <w:wAfter w:w="1212" w:type="dxa"/>
          <w:trHeight w:val="708"/>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51513A5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Description:</w:t>
            </w:r>
          </w:p>
        </w:tc>
        <w:tc>
          <w:tcPr>
            <w:tcW w:w="6151" w:type="dxa"/>
            <w:gridSpan w:val="3"/>
            <w:tcBorders>
              <w:top w:val="single" w:sz="8" w:space="0" w:color="auto"/>
              <w:left w:val="nil"/>
              <w:bottom w:val="single" w:sz="8" w:space="0" w:color="auto"/>
              <w:right w:val="single" w:sz="8" w:space="0" w:color="000000"/>
            </w:tcBorders>
            <w:vAlign w:val="center"/>
            <w:hideMark/>
          </w:tcPr>
          <w:p w14:paraId="3438AB8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PM_RIC1 will improve legal framework in order to further promote Research and Innovation by ensuring that the new legislation is designed in a way that creates the best possible conditions for research and innovation to flourish. </w:t>
            </w:r>
          </w:p>
        </w:tc>
      </w:tr>
      <w:tr w:rsidR="00614438" w:rsidRPr="00AA7A53" w14:paraId="47C3C14C" w14:textId="77777777" w:rsidTr="00614438">
        <w:trPr>
          <w:gridAfter w:val="1"/>
          <w:wAfter w:w="1212" w:type="dxa"/>
          <w:trHeight w:val="315"/>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40688FB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51" w:type="dxa"/>
            <w:gridSpan w:val="3"/>
            <w:tcBorders>
              <w:top w:val="single" w:sz="8" w:space="0" w:color="auto"/>
              <w:left w:val="nil"/>
              <w:bottom w:val="single" w:sz="8" w:space="0" w:color="auto"/>
              <w:right w:val="single" w:sz="8" w:space="0" w:color="000000"/>
            </w:tcBorders>
            <w:vAlign w:val="center"/>
            <w:hideMark/>
          </w:tcPr>
          <w:p w14:paraId="065D63A1" w14:textId="13FFF98A"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5E24A0" w:rsidRPr="00AA7A53">
              <w:rPr>
                <w:rFonts w:ascii="Times New Roman" w:hAnsi="Times New Roman" w:cs="Times New Roman"/>
                <w:sz w:val="20"/>
                <w:szCs w:val="20"/>
                <w:lang w:val="en-GB"/>
              </w:rPr>
              <w:t>5</w:t>
            </w:r>
            <w:r w:rsidRPr="00AA7A53">
              <w:rPr>
                <w:rFonts w:ascii="Times New Roman" w:hAnsi="Times New Roman" w:cs="Times New Roman"/>
                <w:sz w:val="20"/>
                <w:szCs w:val="20"/>
                <w:lang w:val="en-GB"/>
              </w:rPr>
              <w:t>-2030</w:t>
            </w:r>
          </w:p>
        </w:tc>
      </w:tr>
      <w:tr w:rsidR="00614438" w:rsidRPr="00AA7A53" w14:paraId="67B1C044" w14:textId="77777777" w:rsidTr="00614438">
        <w:trPr>
          <w:gridAfter w:val="1"/>
          <w:wAfter w:w="1212" w:type="dxa"/>
          <w:trHeight w:val="315"/>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3BDB681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51" w:type="dxa"/>
            <w:gridSpan w:val="3"/>
            <w:tcBorders>
              <w:top w:val="single" w:sz="8" w:space="0" w:color="auto"/>
              <w:left w:val="nil"/>
              <w:bottom w:val="single" w:sz="8" w:space="0" w:color="auto"/>
              <w:right w:val="single" w:sz="8" w:space="0" w:color="000000"/>
            </w:tcBorders>
            <w:vAlign w:val="center"/>
            <w:hideMark/>
          </w:tcPr>
          <w:p w14:paraId="6B34E7E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71FF2054" w14:textId="77777777" w:rsidTr="00614438">
        <w:trPr>
          <w:gridAfter w:val="1"/>
          <w:wAfter w:w="1212" w:type="dxa"/>
          <w:trHeight w:val="315"/>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2929DCD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51" w:type="dxa"/>
            <w:gridSpan w:val="3"/>
            <w:tcBorders>
              <w:top w:val="single" w:sz="8" w:space="0" w:color="auto"/>
              <w:left w:val="nil"/>
              <w:bottom w:val="single" w:sz="8" w:space="0" w:color="auto"/>
              <w:right w:val="single" w:sz="8" w:space="0" w:color="000000"/>
            </w:tcBorders>
            <w:vAlign w:val="center"/>
            <w:hideMark/>
          </w:tcPr>
          <w:p w14:paraId="4609689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INECP subject fields</w:t>
            </w:r>
          </w:p>
        </w:tc>
      </w:tr>
      <w:tr w:rsidR="00614438" w:rsidRPr="00AA7A53" w14:paraId="7376E5A8" w14:textId="77777777" w:rsidTr="00614438">
        <w:trPr>
          <w:gridAfter w:val="1"/>
          <w:wAfter w:w="1212" w:type="dxa"/>
          <w:trHeight w:val="315"/>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638839C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51" w:type="dxa"/>
            <w:gridSpan w:val="3"/>
            <w:tcBorders>
              <w:top w:val="single" w:sz="8" w:space="0" w:color="auto"/>
              <w:left w:val="nil"/>
              <w:bottom w:val="single" w:sz="8" w:space="0" w:color="auto"/>
              <w:right w:val="single" w:sz="8" w:space="0" w:color="000000"/>
            </w:tcBorders>
            <w:vAlign w:val="center"/>
            <w:hideMark/>
          </w:tcPr>
          <w:p w14:paraId="7C1DDD36" w14:textId="077EA655" w:rsidR="00614438" w:rsidRPr="00AA7A53" w:rsidRDefault="00614438" w:rsidP="00AA7A53">
            <w:pPr>
              <w:numPr>
                <w:ilvl w:val="0"/>
                <w:numId w:val="179"/>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w:t>
            </w:r>
            <w:r w:rsidR="00B21B70" w:rsidRPr="00AA7A53">
              <w:rPr>
                <w:rFonts w:ascii="Times New Roman" w:hAnsi="Times New Roman" w:cs="Times New Roman"/>
                <w:sz w:val="20"/>
                <w:szCs w:val="20"/>
              </w:rPr>
              <w:t xml:space="preserve"> Science,</w:t>
            </w:r>
            <w:r w:rsidRPr="00AA7A53">
              <w:rPr>
                <w:rFonts w:ascii="Times New Roman" w:hAnsi="Times New Roman" w:cs="Times New Roman"/>
                <w:sz w:val="20"/>
                <w:szCs w:val="20"/>
              </w:rPr>
              <w:t xml:space="preserve"> Technological Development</w:t>
            </w:r>
            <w:r w:rsidR="00B21B70" w:rsidRPr="00AA7A53">
              <w:rPr>
                <w:rFonts w:ascii="Times New Roman" w:hAnsi="Times New Roman" w:cs="Times New Roman"/>
                <w:sz w:val="20"/>
                <w:szCs w:val="20"/>
              </w:rPr>
              <w:t xml:space="preserve"> and Innovation</w:t>
            </w:r>
          </w:p>
          <w:p w14:paraId="20BC50DD" w14:textId="77777777" w:rsidR="00614438" w:rsidRPr="00AA7A53" w:rsidRDefault="00614438" w:rsidP="00AA7A53">
            <w:pPr>
              <w:numPr>
                <w:ilvl w:val="0"/>
                <w:numId w:val="179"/>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5B1F06B1" w14:textId="77777777" w:rsidTr="00614438">
        <w:trPr>
          <w:gridAfter w:val="1"/>
          <w:wAfter w:w="1212" w:type="dxa"/>
          <w:trHeight w:val="315"/>
        </w:trPr>
        <w:tc>
          <w:tcPr>
            <w:tcW w:w="3337" w:type="dxa"/>
            <w:tcBorders>
              <w:top w:val="nil"/>
              <w:left w:val="single" w:sz="8" w:space="0" w:color="auto"/>
              <w:bottom w:val="single" w:sz="8" w:space="0" w:color="auto"/>
              <w:right w:val="nil"/>
            </w:tcBorders>
            <w:shd w:val="clear" w:color="auto" w:fill="244062"/>
            <w:vAlign w:val="center"/>
            <w:hideMark/>
          </w:tcPr>
          <w:p w14:paraId="335540C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51" w:type="dxa"/>
            <w:gridSpan w:val="3"/>
            <w:tcBorders>
              <w:top w:val="single" w:sz="8" w:space="0" w:color="auto"/>
              <w:left w:val="nil"/>
              <w:bottom w:val="single" w:sz="8" w:space="0" w:color="auto"/>
              <w:right w:val="single" w:sz="8" w:space="0" w:color="000000"/>
            </w:tcBorders>
            <w:vAlign w:val="center"/>
            <w:hideMark/>
          </w:tcPr>
          <w:p w14:paraId="68A34871" w14:textId="21A9DE9C" w:rsidR="00614438" w:rsidRPr="00AA7A53" w:rsidRDefault="00614438" w:rsidP="00AA7A53">
            <w:pPr>
              <w:numPr>
                <w:ilvl w:val="0"/>
                <w:numId w:val="181"/>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w:t>
            </w:r>
            <w:r w:rsidR="00B21B70" w:rsidRPr="00AA7A53">
              <w:rPr>
                <w:rFonts w:ascii="Times New Roman" w:hAnsi="Times New Roman" w:cs="Times New Roman"/>
                <w:sz w:val="20"/>
                <w:szCs w:val="20"/>
              </w:rPr>
              <w:t xml:space="preserve"> Science, </w:t>
            </w:r>
            <w:r w:rsidRPr="00AA7A53">
              <w:rPr>
                <w:rFonts w:ascii="Times New Roman" w:hAnsi="Times New Roman" w:cs="Times New Roman"/>
                <w:sz w:val="20"/>
                <w:szCs w:val="20"/>
              </w:rPr>
              <w:t>Technological Development</w:t>
            </w:r>
            <w:r w:rsidR="00B21B70" w:rsidRPr="00AA7A53">
              <w:rPr>
                <w:rFonts w:ascii="Times New Roman" w:hAnsi="Times New Roman" w:cs="Times New Roman"/>
                <w:sz w:val="20"/>
                <w:szCs w:val="20"/>
              </w:rPr>
              <w:t xml:space="preserve"> and Innovation</w:t>
            </w:r>
          </w:p>
        </w:tc>
      </w:tr>
      <w:tr w:rsidR="00614438" w:rsidRPr="00AA7A53" w14:paraId="45A53B0F" w14:textId="77777777" w:rsidTr="00614438">
        <w:trPr>
          <w:gridAfter w:val="1"/>
          <w:wAfter w:w="1212" w:type="dxa"/>
          <w:trHeight w:val="315"/>
        </w:trPr>
        <w:tc>
          <w:tcPr>
            <w:tcW w:w="3337" w:type="dxa"/>
            <w:tcBorders>
              <w:top w:val="nil"/>
              <w:left w:val="single" w:sz="8" w:space="0" w:color="auto"/>
              <w:bottom w:val="single" w:sz="8" w:space="0" w:color="auto"/>
              <w:right w:val="nil"/>
            </w:tcBorders>
            <w:shd w:val="clear" w:color="auto" w:fill="244062"/>
            <w:vAlign w:val="center"/>
            <w:hideMark/>
          </w:tcPr>
          <w:p w14:paraId="5050A6D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51" w:type="dxa"/>
            <w:gridSpan w:val="3"/>
            <w:tcBorders>
              <w:top w:val="single" w:sz="8" w:space="0" w:color="auto"/>
              <w:left w:val="nil"/>
              <w:bottom w:val="single" w:sz="8" w:space="0" w:color="auto"/>
              <w:right w:val="single" w:sz="8" w:space="0" w:color="000000"/>
            </w:tcBorders>
            <w:vAlign w:val="center"/>
            <w:hideMark/>
          </w:tcPr>
          <w:p w14:paraId="411E621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New laws and amendments of existing</w:t>
            </w:r>
          </w:p>
        </w:tc>
      </w:tr>
      <w:tr w:rsidR="00614438" w:rsidRPr="00AA7A53" w14:paraId="749C3B88" w14:textId="77777777" w:rsidTr="00614438">
        <w:trPr>
          <w:gridAfter w:val="1"/>
          <w:wAfter w:w="1212" w:type="dxa"/>
          <w:trHeight w:val="427"/>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6ED7853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51" w:type="dxa"/>
            <w:gridSpan w:val="3"/>
            <w:tcBorders>
              <w:top w:val="single" w:sz="8" w:space="0" w:color="auto"/>
              <w:left w:val="nil"/>
              <w:bottom w:val="single" w:sz="8" w:space="0" w:color="auto"/>
              <w:right w:val="single" w:sz="8" w:space="0" w:color="000000"/>
            </w:tcBorders>
            <w:vAlign w:val="center"/>
            <w:hideMark/>
          </w:tcPr>
          <w:p w14:paraId="5D1E75DB" w14:textId="77777777" w:rsidR="00614438" w:rsidRPr="00AA7A53" w:rsidRDefault="00614438" w:rsidP="00AA7A53">
            <w:pPr>
              <w:numPr>
                <w:ilvl w:val="0"/>
                <w:numId w:val="179"/>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tc>
      </w:tr>
      <w:tr w:rsidR="00614438" w:rsidRPr="00AA7A53" w14:paraId="345B8882" w14:textId="77777777" w:rsidTr="00614438">
        <w:trPr>
          <w:gridAfter w:val="1"/>
          <w:wAfter w:w="1212" w:type="dxa"/>
          <w:trHeight w:val="458"/>
        </w:trPr>
        <w:tc>
          <w:tcPr>
            <w:tcW w:w="3337" w:type="dxa"/>
            <w:vMerge w:val="restart"/>
            <w:tcBorders>
              <w:top w:val="nil"/>
              <w:left w:val="single" w:sz="8" w:space="0" w:color="auto"/>
              <w:bottom w:val="single" w:sz="8" w:space="0" w:color="000000"/>
              <w:right w:val="single" w:sz="8" w:space="0" w:color="auto"/>
            </w:tcBorders>
            <w:shd w:val="clear" w:color="auto" w:fill="244062"/>
            <w:vAlign w:val="center"/>
            <w:hideMark/>
          </w:tcPr>
          <w:p w14:paraId="28A4BC9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5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2E444DF" w14:textId="77777777" w:rsidR="00614438" w:rsidRPr="00AA7A53" w:rsidRDefault="00614438" w:rsidP="00AA7A53">
            <w:pPr>
              <w:numPr>
                <w:ilvl w:val="0"/>
                <w:numId w:val="179"/>
              </w:numPr>
              <w:spacing w:after="0"/>
              <w:jc w:val="both"/>
              <w:rPr>
                <w:rFonts w:ascii="Times New Roman" w:hAnsi="Times New Roman" w:cs="Times New Roman"/>
                <w:sz w:val="20"/>
                <w:szCs w:val="20"/>
              </w:rPr>
            </w:pPr>
            <w:r w:rsidRPr="00AA7A53">
              <w:rPr>
                <w:rFonts w:ascii="Times New Roman" w:hAnsi="Times New Roman" w:cs="Times New Roman"/>
                <w:sz w:val="20"/>
                <w:szCs w:val="20"/>
              </w:rPr>
              <w:t>EU acquis Communautaire</w:t>
            </w:r>
          </w:p>
          <w:p w14:paraId="1A33128E" w14:textId="77777777" w:rsidR="00614438" w:rsidRPr="00AA7A53" w:rsidRDefault="00614438" w:rsidP="00AA7A53">
            <w:pPr>
              <w:numPr>
                <w:ilvl w:val="0"/>
                <w:numId w:val="179"/>
              </w:numPr>
              <w:spacing w:after="0"/>
              <w:jc w:val="both"/>
              <w:rPr>
                <w:rFonts w:ascii="Times New Roman" w:hAnsi="Times New Roman" w:cs="Times New Roman"/>
                <w:sz w:val="20"/>
                <w:szCs w:val="20"/>
              </w:rPr>
            </w:pPr>
            <w:r w:rsidRPr="00AA7A53">
              <w:rPr>
                <w:rFonts w:ascii="Times New Roman" w:hAnsi="Times New Roman" w:cs="Times New Roman"/>
                <w:sz w:val="20"/>
                <w:szCs w:val="20"/>
              </w:rPr>
              <w:t>European Strategic Energy Technology Plan (SET Plan)</w:t>
            </w:r>
          </w:p>
        </w:tc>
      </w:tr>
      <w:tr w:rsidR="00614438" w:rsidRPr="00AA7A53" w14:paraId="0C7C13BD"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3690C289"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A83DD68"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5FD1BE3D"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7203E30"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0F0DEA84"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3EA8DEA"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78531A2E"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4360513A" w14:textId="77777777" w:rsidTr="00614438">
        <w:trPr>
          <w:trHeight w:val="474"/>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1AFE8B6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51" w:type="dxa"/>
            <w:gridSpan w:val="3"/>
            <w:tcBorders>
              <w:top w:val="single" w:sz="8" w:space="0" w:color="auto"/>
              <w:left w:val="nil"/>
              <w:bottom w:val="single" w:sz="8" w:space="0" w:color="auto"/>
              <w:right w:val="single" w:sz="8" w:space="0" w:color="000000"/>
            </w:tcBorders>
            <w:vAlign w:val="center"/>
            <w:hideMark/>
          </w:tcPr>
          <w:p w14:paraId="3237EC8E" w14:textId="77777777" w:rsidR="00614438" w:rsidRPr="00AA7A53" w:rsidRDefault="00614438" w:rsidP="00AA7A53">
            <w:pPr>
              <w:numPr>
                <w:ilvl w:val="0"/>
                <w:numId w:val="182"/>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the Science Fund</w:t>
            </w:r>
          </w:p>
          <w:p w14:paraId="267AC526" w14:textId="77777777" w:rsidR="00614438" w:rsidRPr="00AA7A53" w:rsidRDefault="00614438" w:rsidP="00AA7A53">
            <w:pPr>
              <w:numPr>
                <w:ilvl w:val="0"/>
                <w:numId w:val="182"/>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Science and Research</w:t>
            </w:r>
          </w:p>
          <w:p w14:paraId="4EEA1A2C" w14:textId="77777777" w:rsidR="00614438" w:rsidRPr="00AA7A53" w:rsidRDefault="00614438" w:rsidP="00AA7A53">
            <w:pPr>
              <w:numPr>
                <w:ilvl w:val="0"/>
                <w:numId w:val="182"/>
              </w:numPr>
              <w:spacing w:after="0"/>
              <w:jc w:val="both"/>
              <w:rPr>
                <w:rFonts w:ascii="Times New Roman" w:hAnsi="Times New Roman" w:cs="Times New Roman"/>
                <w:sz w:val="20"/>
                <w:szCs w:val="20"/>
              </w:rPr>
            </w:pPr>
            <w:r w:rsidRPr="00AA7A53">
              <w:rPr>
                <w:rFonts w:ascii="Times New Roman" w:hAnsi="Times New Roman" w:cs="Times New Roman"/>
                <w:sz w:val="20"/>
                <w:szCs w:val="20"/>
              </w:rPr>
              <w:t>Strategy of Scientific and Technological Development of the Republic of Serbia for the period from 2021 to 2025 "The power of knowledge"</w:t>
            </w:r>
          </w:p>
          <w:p w14:paraId="05FADBE3" w14:textId="77777777" w:rsidR="00614438" w:rsidRPr="00AA7A53" w:rsidRDefault="00614438" w:rsidP="00AA7A53">
            <w:pPr>
              <w:numPr>
                <w:ilvl w:val="0"/>
                <w:numId w:val="182"/>
              </w:numPr>
              <w:spacing w:after="0"/>
              <w:jc w:val="both"/>
              <w:rPr>
                <w:rFonts w:ascii="Times New Roman" w:hAnsi="Times New Roman" w:cs="Times New Roman"/>
                <w:sz w:val="20"/>
                <w:szCs w:val="20"/>
              </w:rPr>
            </w:pPr>
            <w:r w:rsidRPr="00AA7A53">
              <w:rPr>
                <w:rFonts w:ascii="Times New Roman" w:hAnsi="Times New Roman" w:cs="Times New Roman"/>
                <w:sz w:val="20"/>
                <w:szCs w:val="20"/>
              </w:rPr>
              <w:t>Smart Specialization Strategy of the Republic of Serbia (4S) for the period 2020-2027</w:t>
            </w:r>
          </w:p>
          <w:p w14:paraId="03D23509" w14:textId="77777777" w:rsidR="00614438" w:rsidRPr="00AA7A53" w:rsidRDefault="00614438" w:rsidP="00AA7A53">
            <w:pPr>
              <w:numPr>
                <w:ilvl w:val="0"/>
                <w:numId w:val="182"/>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Industrial Policy Strategy from 2021 to 2030 </w:t>
            </w:r>
          </w:p>
        </w:tc>
        <w:tc>
          <w:tcPr>
            <w:tcW w:w="1212" w:type="dxa"/>
            <w:vAlign w:val="center"/>
            <w:hideMark/>
          </w:tcPr>
          <w:p w14:paraId="32495C22"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3D560DD" w14:textId="77777777" w:rsidTr="00614438">
        <w:trPr>
          <w:trHeight w:val="315"/>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611905D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51" w:type="dxa"/>
            <w:gridSpan w:val="3"/>
            <w:tcBorders>
              <w:top w:val="single" w:sz="8" w:space="0" w:color="auto"/>
              <w:left w:val="nil"/>
              <w:bottom w:val="single" w:sz="8" w:space="0" w:color="auto"/>
              <w:right w:val="single" w:sz="8" w:space="0" w:color="000000"/>
            </w:tcBorders>
            <w:vAlign w:val="center"/>
            <w:hideMark/>
          </w:tcPr>
          <w:p w14:paraId="18021F4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0.1 M€</w:t>
            </w:r>
          </w:p>
        </w:tc>
        <w:tc>
          <w:tcPr>
            <w:tcW w:w="1212" w:type="dxa"/>
            <w:vAlign w:val="center"/>
            <w:hideMark/>
          </w:tcPr>
          <w:p w14:paraId="2476277B"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4610E37" w14:textId="77777777" w:rsidTr="00614438">
        <w:trPr>
          <w:trHeight w:val="315"/>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0BF1ED8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51" w:type="dxa"/>
            <w:gridSpan w:val="3"/>
            <w:tcBorders>
              <w:top w:val="single" w:sz="8" w:space="0" w:color="auto"/>
              <w:left w:val="nil"/>
              <w:bottom w:val="single" w:sz="8" w:space="0" w:color="auto"/>
              <w:right w:val="single" w:sz="8" w:space="0" w:color="000000"/>
            </w:tcBorders>
            <w:vAlign w:val="center"/>
            <w:hideMark/>
          </w:tcPr>
          <w:p w14:paraId="5B33304F" w14:textId="0DD3796B" w:rsidR="00614438" w:rsidRPr="00AA7A53" w:rsidRDefault="005E24A0"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public</w:t>
            </w:r>
            <w:r w:rsidR="00614438" w:rsidRPr="00AA7A53">
              <w:rPr>
                <w:rFonts w:ascii="Times New Roman" w:hAnsi="Times New Roman" w:cs="Times New Roman"/>
                <w:sz w:val="20"/>
                <w:szCs w:val="20"/>
                <w:lang w:val="en-GB"/>
              </w:rPr>
              <w:t xml:space="preserve"> funds</w:t>
            </w:r>
          </w:p>
        </w:tc>
        <w:tc>
          <w:tcPr>
            <w:tcW w:w="1212" w:type="dxa"/>
            <w:vAlign w:val="center"/>
            <w:hideMark/>
          </w:tcPr>
          <w:p w14:paraId="55D12ABA" w14:textId="77777777" w:rsidR="00614438" w:rsidRPr="00AA7A53" w:rsidRDefault="00614438" w:rsidP="00AA7A53">
            <w:pPr>
              <w:spacing w:after="0"/>
              <w:jc w:val="both"/>
              <w:rPr>
                <w:rFonts w:ascii="Times New Roman" w:hAnsi="Times New Roman" w:cs="Times New Roman"/>
                <w:sz w:val="20"/>
                <w:szCs w:val="20"/>
                <w:lang w:val="en-GB"/>
              </w:rPr>
            </w:pPr>
          </w:p>
        </w:tc>
      </w:tr>
    </w:tbl>
    <w:p w14:paraId="2A6B3C5B"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304"/>
        <w:gridCol w:w="1039"/>
        <w:gridCol w:w="939"/>
        <w:gridCol w:w="4206"/>
        <w:gridCol w:w="1212"/>
      </w:tblGrid>
      <w:tr w:rsidR="00614438" w:rsidRPr="00AA7A53" w14:paraId="1ABCB62A" w14:textId="77777777" w:rsidTr="00614438">
        <w:trPr>
          <w:gridAfter w:val="1"/>
          <w:wAfter w:w="1212" w:type="dxa"/>
          <w:trHeight w:val="780"/>
        </w:trPr>
        <w:tc>
          <w:tcPr>
            <w:tcW w:w="3336"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6EF749D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51" w:type="dxa"/>
            <w:tcBorders>
              <w:top w:val="single" w:sz="8" w:space="0" w:color="auto"/>
              <w:left w:val="nil"/>
              <w:bottom w:val="single" w:sz="8" w:space="0" w:color="auto"/>
              <w:right w:val="single" w:sz="8" w:space="0" w:color="auto"/>
            </w:tcBorders>
            <w:shd w:val="clear" w:color="auto" w:fill="E7E6E6" w:themeFill="background2"/>
            <w:vAlign w:val="center"/>
            <w:hideMark/>
          </w:tcPr>
          <w:p w14:paraId="1FD9CF8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PM_RIC2</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01FBF81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57" w:type="dxa"/>
            <w:tcBorders>
              <w:top w:val="single" w:sz="8" w:space="0" w:color="auto"/>
              <w:left w:val="nil"/>
              <w:bottom w:val="single" w:sz="8" w:space="0" w:color="auto"/>
              <w:right w:val="single" w:sz="8" w:space="0" w:color="auto"/>
            </w:tcBorders>
            <w:shd w:val="clear" w:color="auto" w:fill="E7E6E6" w:themeFill="background2"/>
            <w:vAlign w:val="center"/>
            <w:hideMark/>
          </w:tcPr>
          <w:p w14:paraId="3A6A4A9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Establishment of a Joint State Aid Action on Research and Innovation in the field of Energy</w:t>
            </w:r>
          </w:p>
        </w:tc>
      </w:tr>
      <w:tr w:rsidR="00614438" w:rsidRPr="00AA7A53" w14:paraId="635B299D" w14:textId="77777777" w:rsidTr="00614438">
        <w:trPr>
          <w:gridAfter w:val="1"/>
          <w:wAfter w:w="1212" w:type="dxa"/>
          <w:trHeight w:val="339"/>
        </w:trPr>
        <w:tc>
          <w:tcPr>
            <w:tcW w:w="3336" w:type="dxa"/>
            <w:tcBorders>
              <w:top w:val="nil"/>
              <w:left w:val="single" w:sz="8" w:space="0" w:color="auto"/>
              <w:bottom w:val="single" w:sz="8" w:space="0" w:color="auto"/>
              <w:right w:val="nil"/>
            </w:tcBorders>
            <w:shd w:val="clear" w:color="auto" w:fill="244062"/>
            <w:vAlign w:val="center"/>
            <w:hideMark/>
          </w:tcPr>
          <w:p w14:paraId="54A526E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52" w:type="dxa"/>
            <w:gridSpan w:val="3"/>
            <w:tcBorders>
              <w:top w:val="single" w:sz="8" w:space="0" w:color="auto"/>
              <w:left w:val="nil"/>
              <w:bottom w:val="single" w:sz="8" w:space="0" w:color="auto"/>
              <w:right w:val="single" w:sz="8" w:space="0" w:color="000000"/>
            </w:tcBorders>
            <w:vAlign w:val="center"/>
            <w:hideMark/>
          </w:tcPr>
          <w:p w14:paraId="5ED3186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Regulatory amendment, promotion of research and innovation</w:t>
            </w:r>
          </w:p>
        </w:tc>
      </w:tr>
      <w:tr w:rsidR="00614438" w:rsidRPr="00AA7A53" w14:paraId="356D2A54" w14:textId="77777777" w:rsidTr="00614438">
        <w:trPr>
          <w:gridAfter w:val="1"/>
          <w:wAfter w:w="1212" w:type="dxa"/>
          <w:trHeight w:val="315"/>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3B5846D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52" w:type="dxa"/>
            <w:gridSpan w:val="3"/>
            <w:tcBorders>
              <w:top w:val="single" w:sz="8" w:space="0" w:color="auto"/>
              <w:left w:val="nil"/>
              <w:bottom w:val="single" w:sz="8" w:space="0" w:color="auto"/>
              <w:right w:val="single" w:sz="8" w:space="0" w:color="000000"/>
            </w:tcBorders>
            <w:vAlign w:val="center"/>
            <w:hideMark/>
          </w:tcPr>
          <w:p w14:paraId="44A2D25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 the level of technological readiness in the field of energy (Qualitative objective)</w:t>
            </w:r>
          </w:p>
        </w:tc>
      </w:tr>
      <w:tr w:rsidR="00614438" w:rsidRPr="00AA7A53" w14:paraId="2CD68B2A" w14:textId="77777777" w:rsidTr="00614438">
        <w:trPr>
          <w:gridAfter w:val="1"/>
          <w:wAfter w:w="1212" w:type="dxa"/>
          <w:trHeight w:val="2295"/>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37FDAB9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52" w:type="dxa"/>
            <w:gridSpan w:val="3"/>
            <w:tcBorders>
              <w:top w:val="single" w:sz="8" w:space="0" w:color="auto"/>
              <w:left w:val="nil"/>
              <w:bottom w:val="single" w:sz="8" w:space="0" w:color="auto"/>
              <w:right w:val="single" w:sz="8" w:space="0" w:color="000000"/>
            </w:tcBorders>
            <w:vAlign w:val="center"/>
            <w:hideMark/>
          </w:tcPr>
          <w:p w14:paraId="19AD6A5F" w14:textId="144FDEFF"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PM_RIC2 will promote the establishment of a Joint State Aid Action on Research and Innovation that aims at connecting R&amp;I with entrepreneurship and strengthening the competitiveness, productivity and openness of enterprises towards international markets, with a view to transitioning to quality innovative entrepreneurship and increasing domestic added value. The more specific interventions of the Action include: (a) R&amp;</w:t>
            </w:r>
            <w:r w:rsidR="00EA3B24" w:rsidRPr="00AA7A53">
              <w:rPr>
                <w:rFonts w:ascii="Times New Roman" w:hAnsi="Times New Roman" w:cs="Times New Roman"/>
                <w:sz w:val="20"/>
                <w:szCs w:val="20"/>
                <w:lang w:val="en-GB"/>
              </w:rPr>
              <w:t>I</w:t>
            </w:r>
            <w:r w:rsidRPr="00AA7A53">
              <w:rPr>
                <w:rFonts w:ascii="Times New Roman" w:hAnsi="Times New Roman" w:cs="Times New Roman"/>
                <w:sz w:val="20"/>
                <w:szCs w:val="20"/>
                <w:lang w:val="en-GB"/>
              </w:rPr>
              <w:t xml:space="preserve"> by SMEs, which support broad-based industrial research, innovation promotion and business networking, (b) Business partnerships with research organisations where collaboration on R&amp;I projects between businesses and research institutions is promoted and (c) Exploiting research results produced from previous research projects.</w:t>
            </w:r>
          </w:p>
        </w:tc>
      </w:tr>
      <w:tr w:rsidR="00614438" w:rsidRPr="00AA7A53" w14:paraId="631B61AB" w14:textId="77777777" w:rsidTr="00614438">
        <w:trPr>
          <w:gridAfter w:val="1"/>
          <w:wAfter w:w="1212" w:type="dxa"/>
          <w:trHeight w:val="315"/>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3DA59D2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52" w:type="dxa"/>
            <w:gridSpan w:val="3"/>
            <w:tcBorders>
              <w:top w:val="single" w:sz="8" w:space="0" w:color="auto"/>
              <w:left w:val="nil"/>
              <w:bottom w:val="single" w:sz="8" w:space="0" w:color="auto"/>
              <w:right w:val="single" w:sz="8" w:space="0" w:color="000000"/>
            </w:tcBorders>
            <w:vAlign w:val="center"/>
            <w:hideMark/>
          </w:tcPr>
          <w:p w14:paraId="1589D0C9" w14:textId="648A818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5E24A0" w:rsidRPr="00AA7A53">
              <w:rPr>
                <w:rFonts w:ascii="Times New Roman" w:hAnsi="Times New Roman" w:cs="Times New Roman"/>
                <w:sz w:val="20"/>
                <w:szCs w:val="20"/>
                <w:lang w:val="en-GB"/>
              </w:rPr>
              <w:t>5</w:t>
            </w:r>
            <w:r w:rsidRPr="00AA7A53">
              <w:rPr>
                <w:rFonts w:ascii="Times New Roman" w:hAnsi="Times New Roman" w:cs="Times New Roman"/>
                <w:sz w:val="20"/>
                <w:szCs w:val="20"/>
                <w:lang w:val="en-GB"/>
              </w:rPr>
              <w:t>-2030</w:t>
            </w:r>
          </w:p>
        </w:tc>
      </w:tr>
      <w:tr w:rsidR="00614438" w:rsidRPr="00AA7A53" w14:paraId="290EEDDA" w14:textId="77777777" w:rsidTr="00614438">
        <w:trPr>
          <w:gridAfter w:val="1"/>
          <w:wAfter w:w="1212" w:type="dxa"/>
          <w:trHeight w:val="315"/>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2C7ED53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52" w:type="dxa"/>
            <w:gridSpan w:val="3"/>
            <w:tcBorders>
              <w:top w:val="single" w:sz="8" w:space="0" w:color="auto"/>
              <w:left w:val="nil"/>
              <w:bottom w:val="single" w:sz="8" w:space="0" w:color="auto"/>
              <w:right w:val="single" w:sz="8" w:space="0" w:color="000000"/>
            </w:tcBorders>
            <w:vAlign w:val="center"/>
            <w:hideMark/>
          </w:tcPr>
          <w:p w14:paraId="18C718C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2F9D94F3" w14:textId="77777777" w:rsidTr="00614438">
        <w:trPr>
          <w:gridAfter w:val="1"/>
          <w:wAfter w:w="1212" w:type="dxa"/>
          <w:trHeight w:val="315"/>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3CC7905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52" w:type="dxa"/>
            <w:gridSpan w:val="3"/>
            <w:tcBorders>
              <w:top w:val="single" w:sz="8" w:space="0" w:color="auto"/>
              <w:left w:val="nil"/>
              <w:bottom w:val="single" w:sz="8" w:space="0" w:color="auto"/>
              <w:right w:val="single" w:sz="8" w:space="0" w:color="000000"/>
            </w:tcBorders>
            <w:vAlign w:val="center"/>
            <w:hideMark/>
          </w:tcPr>
          <w:p w14:paraId="4EF8889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INECP subject fields</w:t>
            </w:r>
          </w:p>
        </w:tc>
      </w:tr>
      <w:tr w:rsidR="00614438" w:rsidRPr="00AA7A53" w14:paraId="3D632E16" w14:textId="77777777" w:rsidTr="00614438">
        <w:trPr>
          <w:gridAfter w:val="1"/>
          <w:wAfter w:w="1212" w:type="dxa"/>
          <w:trHeight w:val="315"/>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4B6804A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52" w:type="dxa"/>
            <w:gridSpan w:val="3"/>
            <w:tcBorders>
              <w:top w:val="single" w:sz="8" w:space="0" w:color="auto"/>
              <w:left w:val="nil"/>
              <w:bottom w:val="single" w:sz="8" w:space="0" w:color="auto"/>
              <w:right w:val="single" w:sz="8" w:space="0" w:color="000000"/>
            </w:tcBorders>
            <w:vAlign w:val="center"/>
            <w:hideMark/>
          </w:tcPr>
          <w:p w14:paraId="7087FE84" w14:textId="77777777" w:rsidR="00614438" w:rsidRPr="00AA7A53" w:rsidRDefault="00614438" w:rsidP="00AA7A53">
            <w:pPr>
              <w:numPr>
                <w:ilvl w:val="0"/>
                <w:numId w:val="183"/>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2C3C0B76" w14:textId="77777777" w:rsidR="00614438" w:rsidRPr="00AA7A53" w:rsidRDefault="00614438" w:rsidP="00AA7A53">
            <w:pPr>
              <w:numPr>
                <w:ilvl w:val="0"/>
                <w:numId w:val="183"/>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p w14:paraId="16906AF0" w14:textId="0FD9C53B" w:rsidR="00614438" w:rsidRPr="00AA7A53" w:rsidRDefault="00614438" w:rsidP="00AA7A53">
            <w:pPr>
              <w:numPr>
                <w:ilvl w:val="0"/>
                <w:numId w:val="183"/>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Science</w:t>
            </w:r>
            <w:r w:rsidR="001F2B5C" w:rsidRPr="00AA7A53">
              <w:rPr>
                <w:rFonts w:ascii="Times New Roman" w:hAnsi="Times New Roman" w:cs="Times New Roman"/>
                <w:sz w:val="20"/>
                <w:szCs w:val="20"/>
              </w:rPr>
              <w:t>,</w:t>
            </w:r>
            <w:r w:rsidRPr="00AA7A53">
              <w:rPr>
                <w:rFonts w:ascii="Times New Roman" w:hAnsi="Times New Roman" w:cs="Times New Roman"/>
                <w:sz w:val="20"/>
                <w:szCs w:val="20"/>
              </w:rPr>
              <w:t xml:space="preserve"> Technological Development</w:t>
            </w:r>
            <w:r w:rsidR="001F2B5C" w:rsidRPr="00AA7A53">
              <w:rPr>
                <w:rFonts w:ascii="Times New Roman" w:hAnsi="Times New Roman" w:cs="Times New Roman"/>
                <w:sz w:val="20"/>
                <w:szCs w:val="20"/>
              </w:rPr>
              <w:t xml:space="preserve"> and Innovation</w:t>
            </w:r>
          </w:p>
        </w:tc>
      </w:tr>
      <w:tr w:rsidR="00614438" w:rsidRPr="00AA7A53" w14:paraId="0AC9DEC7" w14:textId="77777777" w:rsidTr="00614438">
        <w:trPr>
          <w:gridAfter w:val="1"/>
          <w:wAfter w:w="1212" w:type="dxa"/>
          <w:trHeight w:val="315"/>
        </w:trPr>
        <w:tc>
          <w:tcPr>
            <w:tcW w:w="3336" w:type="dxa"/>
            <w:tcBorders>
              <w:top w:val="nil"/>
              <w:left w:val="single" w:sz="8" w:space="0" w:color="auto"/>
              <w:bottom w:val="single" w:sz="8" w:space="0" w:color="auto"/>
              <w:right w:val="nil"/>
            </w:tcBorders>
            <w:shd w:val="clear" w:color="auto" w:fill="244062"/>
            <w:vAlign w:val="center"/>
            <w:hideMark/>
          </w:tcPr>
          <w:p w14:paraId="20EBE4F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52" w:type="dxa"/>
            <w:gridSpan w:val="3"/>
            <w:tcBorders>
              <w:top w:val="single" w:sz="8" w:space="0" w:color="auto"/>
              <w:left w:val="nil"/>
              <w:bottom w:val="single" w:sz="8" w:space="0" w:color="auto"/>
              <w:right w:val="single" w:sz="8" w:space="0" w:color="000000"/>
            </w:tcBorders>
            <w:vAlign w:val="center"/>
            <w:hideMark/>
          </w:tcPr>
          <w:p w14:paraId="14BBFC47" w14:textId="7C63692D" w:rsidR="00614438" w:rsidRPr="00AA7A53" w:rsidRDefault="00614438" w:rsidP="00AA7A53">
            <w:pPr>
              <w:numPr>
                <w:ilvl w:val="0"/>
                <w:numId w:val="184"/>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Science</w:t>
            </w:r>
            <w:r w:rsidR="001F2B5C" w:rsidRPr="00AA7A53">
              <w:rPr>
                <w:rFonts w:ascii="Times New Roman" w:hAnsi="Times New Roman" w:cs="Times New Roman"/>
                <w:sz w:val="20"/>
                <w:szCs w:val="20"/>
              </w:rPr>
              <w:t xml:space="preserve">, </w:t>
            </w:r>
            <w:r w:rsidRPr="00AA7A53">
              <w:rPr>
                <w:rFonts w:ascii="Times New Roman" w:hAnsi="Times New Roman" w:cs="Times New Roman"/>
                <w:sz w:val="20"/>
                <w:szCs w:val="20"/>
              </w:rPr>
              <w:t>Technological Development</w:t>
            </w:r>
            <w:r w:rsidR="001F2B5C" w:rsidRPr="00AA7A53">
              <w:rPr>
                <w:rFonts w:ascii="Times New Roman" w:hAnsi="Times New Roman" w:cs="Times New Roman"/>
                <w:sz w:val="20"/>
                <w:szCs w:val="20"/>
              </w:rPr>
              <w:t xml:space="preserve"> and Innovation</w:t>
            </w:r>
          </w:p>
        </w:tc>
      </w:tr>
      <w:tr w:rsidR="00614438" w:rsidRPr="00AA7A53" w14:paraId="0DA8C7DC" w14:textId="77777777" w:rsidTr="00614438">
        <w:trPr>
          <w:gridAfter w:val="1"/>
          <w:wAfter w:w="1212" w:type="dxa"/>
          <w:trHeight w:val="315"/>
        </w:trPr>
        <w:tc>
          <w:tcPr>
            <w:tcW w:w="3336" w:type="dxa"/>
            <w:tcBorders>
              <w:top w:val="nil"/>
              <w:left w:val="single" w:sz="8" w:space="0" w:color="auto"/>
              <w:bottom w:val="single" w:sz="8" w:space="0" w:color="auto"/>
              <w:right w:val="nil"/>
            </w:tcBorders>
            <w:shd w:val="clear" w:color="auto" w:fill="244062"/>
            <w:vAlign w:val="center"/>
            <w:hideMark/>
          </w:tcPr>
          <w:p w14:paraId="7D74277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Progress indicators</w:t>
            </w:r>
          </w:p>
        </w:tc>
        <w:tc>
          <w:tcPr>
            <w:tcW w:w="6152" w:type="dxa"/>
            <w:gridSpan w:val="3"/>
            <w:tcBorders>
              <w:top w:val="single" w:sz="8" w:space="0" w:color="auto"/>
              <w:left w:val="nil"/>
              <w:bottom w:val="single" w:sz="8" w:space="0" w:color="auto"/>
              <w:right w:val="single" w:sz="8" w:space="0" w:color="000000"/>
            </w:tcBorders>
            <w:vAlign w:val="center"/>
            <w:hideMark/>
          </w:tcPr>
          <w:p w14:paraId="6C1C1D9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New regulations and/or Normative Acts, establishment of the Joint State Aid Action, operation over the years</w:t>
            </w:r>
          </w:p>
        </w:tc>
      </w:tr>
      <w:tr w:rsidR="00614438" w:rsidRPr="00AA7A53" w14:paraId="69C0FACF" w14:textId="77777777" w:rsidTr="00614438">
        <w:trPr>
          <w:gridAfter w:val="1"/>
          <w:wAfter w:w="1212" w:type="dxa"/>
          <w:trHeight w:val="377"/>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1F0802D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52" w:type="dxa"/>
            <w:gridSpan w:val="3"/>
            <w:tcBorders>
              <w:top w:val="single" w:sz="8" w:space="0" w:color="auto"/>
              <w:left w:val="nil"/>
              <w:bottom w:val="single" w:sz="8" w:space="0" w:color="auto"/>
              <w:right w:val="single" w:sz="8" w:space="0" w:color="000000"/>
            </w:tcBorders>
            <w:vAlign w:val="center"/>
            <w:hideMark/>
          </w:tcPr>
          <w:p w14:paraId="1161A343" w14:textId="77777777" w:rsidR="00614438" w:rsidRPr="00AA7A53" w:rsidRDefault="00614438" w:rsidP="00AA7A53">
            <w:pPr>
              <w:numPr>
                <w:ilvl w:val="0"/>
                <w:numId w:val="185"/>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tc>
      </w:tr>
      <w:tr w:rsidR="00614438" w:rsidRPr="00AA7A53" w14:paraId="463F91D9" w14:textId="77777777" w:rsidTr="00614438">
        <w:trPr>
          <w:gridAfter w:val="1"/>
          <w:wAfter w:w="1212" w:type="dxa"/>
          <w:trHeight w:val="458"/>
        </w:trPr>
        <w:tc>
          <w:tcPr>
            <w:tcW w:w="3336" w:type="dxa"/>
            <w:vMerge w:val="restart"/>
            <w:tcBorders>
              <w:top w:val="nil"/>
              <w:left w:val="single" w:sz="8" w:space="0" w:color="auto"/>
              <w:bottom w:val="single" w:sz="8" w:space="0" w:color="000000"/>
              <w:right w:val="single" w:sz="8" w:space="0" w:color="auto"/>
            </w:tcBorders>
            <w:shd w:val="clear" w:color="auto" w:fill="244062"/>
            <w:vAlign w:val="center"/>
            <w:hideMark/>
          </w:tcPr>
          <w:p w14:paraId="2B62BD4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52"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0603293A" w14:textId="77777777" w:rsidR="00614438" w:rsidRPr="00AA7A53" w:rsidRDefault="00614438" w:rsidP="00AA7A53">
            <w:pPr>
              <w:numPr>
                <w:ilvl w:val="0"/>
                <w:numId w:val="186"/>
              </w:numPr>
              <w:spacing w:after="0"/>
              <w:jc w:val="both"/>
              <w:rPr>
                <w:rFonts w:ascii="Times New Roman" w:hAnsi="Times New Roman" w:cs="Times New Roman"/>
                <w:sz w:val="20"/>
                <w:szCs w:val="20"/>
              </w:rPr>
            </w:pPr>
            <w:r w:rsidRPr="00AA7A53">
              <w:rPr>
                <w:rFonts w:ascii="Times New Roman" w:hAnsi="Times New Roman" w:cs="Times New Roman"/>
                <w:sz w:val="20"/>
                <w:szCs w:val="20"/>
              </w:rPr>
              <w:t>EU acquis Communautaire</w:t>
            </w:r>
          </w:p>
          <w:p w14:paraId="42515BE7" w14:textId="77777777" w:rsidR="00614438" w:rsidRPr="00AA7A53" w:rsidRDefault="00614438" w:rsidP="00AA7A53">
            <w:pPr>
              <w:numPr>
                <w:ilvl w:val="0"/>
                <w:numId w:val="186"/>
              </w:numPr>
              <w:spacing w:after="0"/>
              <w:jc w:val="both"/>
              <w:rPr>
                <w:rFonts w:ascii="Times New Roman" w:hAnsi="Times New Roman" w:cs="Times New Roman"/>
                <w:sz w:val="20"/>
                <w:szCs w:val="20"/>
              </w:rPr>
            </w:pPr>
            <w:r w:rsidRPr="00AA7A53">
              <w:rPr>
                <w:rFonts w:ascii="Times New Roman" w:hAnsi="Times New Roman" w:cs="Times New Roman"/>
                <w:sz w:val="20"/>
                <w:szCs w:val="20"/>
              </w:rPr>
              <w:t>European Strategic Energy Technology Plan (SET Plan)</w:t>
            </w:r>
          </w:p>
        </w:tc>
      </w:tr>
      <w:tr w:rsidR="00614438" w:rsidRPr="00AA7A53" w14:paraId="47A5E3B1"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0FCAFF03"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9A5CD02"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68B6CB6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2D90E83"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421CDCC2"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84DE80C"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0FCC11F1"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10B62ECC" w14:textId="77777777" w:rsidTr="00614438">
        <w:trPr>
          <w:trHeight w:val="445"/>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7C0E87C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52" w:type="dxa"/>
            <w:gridSpan w:val="3"/>
            <w:tcBorders>
              <w:top w:val="single" w:sz="8" w:space="0" w:color="auto"/>
              <w:left w:val="nil"/>
              <w:bottom w:val="single" w:sz="8" w:space="0" w:color="auto"/>
              <w:right w:val="single" w:sz="8" w:space="0" w:color="000000"/>
            </w:tcBorders>
            <w:vAlign w:val="center"/>
            <w:hideMark/>
          </w:tcPr>
          <w:p w14:paraId="547B2B51" w14:textId="77777777" w:rsidR="00614438" w:rsidRPr="00AA7A53" w:rsidRDefault="00614438" w:rsidP="00AA7A53">
            <w:pPr>
              <w:numPr>
                <w:ilvl w:val="0"/>
                <w:numId w:val="187"/>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the Science Fund</w:t>
            </w:r>
          </w:p>
          <w:p w14:paraId="1439966C" w14:textId="77777777" w:rsidR="00614438" w:rsidRPr="00AA7A53" w:rsidRDefault="00614438" w:rsidP="00AA7A53">
            <w:pPr>
              <w:numPr>
                <w:ilvl w:val="0"/>
                <w:numId w:val="187"/>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Science and Research</w:t>
            </w:r>
          </w:p>
        </w:tc>
        <w:tc>
          <w:tcPr>
            <w:tcW w:w="1212" w:type="dxa"/>
            <w:vAlign w:val="center"/>
            <w:hideMark/>
          </w:tcPr>
          <w:p w14:paraId="004C7877"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CAA8757" w14:textId="77777777" w:rsidTr="00614438">
        <w:trPr>
          <w:trHeight w:val="315"/>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382DF91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52" w:type="dxa"/>
            <w:gridSpan w:val="3"/>
            <w:tcBorders>
              <w:top w:val="single" w:sz="8" w:space="0" w:color="auto"/>
              <w:left w:val="nil"/>
              <w:bottom w:val="single" w:sz="8" w:space="0" w:color="auto"/>
              <w:right w:val="single" w:sz="8" w:space="0" w:color="000000"/>
            </w:tcBorders>
            <w:vAlign w:val="center"/>
            <w:hideMark/>
          </w:tcPr>
          <w:p w14:paraId="56BAADC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2.7 M€</w:t>
            </w:r>
          </w:p>
        </w:tc>
        <w:tc>
          <w:tcPr>
            <w:tcW w:w="1212" w:type="dxa"/>
            <w:vAlign w:val="center"/>
            <w:hideMark/>
          </w:tcPr>
          <w:p w14:paraId="52AA5C7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989C391" w14:textId="77777777" w:rsidTr="00614438">
        <w:trPr>
          <w:trHeight w:val="315"/>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6516F85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52" w:type="dxa"/>
            <w:gridSpan w:val="3"/>
            <w:tcBorders>
              <w:top w:val="single" w:sz="8" w:space="0" w:color="auto"/>
              <w:left w:val="nil"/>
              <w:bottom w:val="single" w:sz="8" w:space="0" w:color="auto"/>
              <w:right w:val="single" w:sz="8" w:space="0" w:color="000000"/>
            </w:tcBorders>
            <w:vAlign w:val="center"/>
            <w:hideMark/>
          </w:tcPr>
          <w:p w14:paraId="3B7EB87C" w14:textId="5DD9AC91" w:rsidR="00614438" w:rsidRPr="00AA7A53" w:rsidRDefault="005E24A0" w:rsidP="00AA7A53">
            <w:pPr>
              <w:spacing w:after="0"/>
              <w:jc w:val="both"/>
              <w:rPr>
                <w:rFonts w:ascii="Times New Roman" w:hAnsi="Times New Roman" w:cs="Times New Roman"/>
                <w:sz w:val="20"/>
                <w:szCs w:val="20"/>
              </w:rPr>
            </w:pPr>
            <w:r w:rsidRPr="00AA7A53">
              <w:rPr>
                <w:rFonts w:ascii="Times New Roman" w:hAnsi="Times New Roman" w:cs="Times New Roman"/>
                <w:sz w:val="20"/>
                <w:szCs w:val="20"/>
              </w:rPr>
              <w:t>public</w:t>
            </w:r>
            <w:r w:rsidR="00614438" w:rsidRPr="00AA7A53">
              <w:rPr>
                <w:rFonts w:ascii="Times New Roman" w:hAnsi="Times New Roman" w:cs="Times New Roman"/>
                <w:sz w:val="20"/>
                <w:szCs w:val="20"/>
              </w:rPr>
              <w:t xml:space="preserve"> funds</w:t>
            </w:r>
            <w:r w:rsidRPr="00AA7A53">
              <w:rPr>
                <w:rFonts w:ascii="Times New Roman" w:hAnsi="Times New Roman" w:cs="Times New Roman"/>
                <w:sz w:val="20"/>
                <w:szCs w:val="20"/>
              </w:rPr>
              <w:t xml:space="preserve">, </w:t>
            </w:r>
            <w:r w:rsidR="00614438" w:rsidRPr="00AA7A53">
              <w:rPr>
                <w:rFonts w:ascii="Times New Roman" w:hAnsi="Times New Roman" w:cs="Times New Roman"/>
                <w:sz w:val="20"/>
                <w:szCs w:val="20"/>
              </w:rPr>
              <w:t>EU funds</w:t>
            </w:r>
            <w:r w:rsidRPr="00AA7A53">
              <w:rPr>
                <w:rFonts w:ascii="Times New Roman" w:hAnsi="Times New Roman" w:cs="Times New Roman"/>
                <w:sz w:val="20"/>
                <w:szCs w:val="20"/>
              </w:rPr>
              <w:t xml:space="preserve">, </w:t>
            </w:r>
            <w:r w:rsidR="00614438" w:rsidRPr="00AA7A53">
              <w:rPr>
                <w:rFonts w:ascii="Times New Roman" w:hAnsi="Times New Roman" w:cs="Times New Roman"/>
                <w:sz w:val="20"/>
                <w:szCs w:val="20"/>
              </w:rPr>
              <w:t>Private and public funds</w:t>
            </w:r>
          </w:p>
        </w:tc>
        <w:tc>
          <w:tcPr>
            <w:tcW w:w="1212" w:type="dxa"/>
            <w:vAlign w:val="center"/>
            <w:hideMark/>
          </w:tcPr>
          <w:p w14:paraId="077834AF" w14:textId="77777777" w:rsidR="00614438" w:rsidRPr="00AA7A53" w:rsidRDefault="00614438" w:rsidP="00AA7A53">
            <w:pPr>
              <w:spacing w:after="0"/>
              <w:jc w:val="both"/>
              <w:rPr>
                <w:rFonts w:ascii="Times New Roman" w:hAnsi="Times New Roman" w:cs="Times New Roman"/>
                <w:sz w:val="20"/>
                <w:szCs w:val="20"/>
                <w:lang w:val="en-GB"/>
              </w:rPr>
            </w:pPr>
          </w:p>
        </w:tc>
      </w:tr>
    </w:tbl>
    <w:p w14:paraId="252048AD" w14:textId="0D890D8E"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304"/>
        <w:gridCol w:w="1039"/>
        <w:gridCol w:w="939"/>
        <w:gridCol w:w="4206"/>
        <w:gridCol w:w="1212"/>
      </w:tblGrid>
      <w:tr w:rsidR="00614438" w:rsidRPr="00AA7A53" w14:paraId="214CE6B7" w14:textId="77777777" w:rsidTr="00614438">
        <w:trPr>
          <w:gridAfter w:val="1"/>
          <w:wAfter w:w="1212" w:type="dxa"/>
          <w:trHeight w:val="780"/>
        </w:trPr>
        <w:tc>
          <w:tcPr>
            <w:tcW w:w="3336"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6290D4C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51" w:type="dxa"/>
            <w:tcBorders>
              <w:top w:val="single" w:sz="8" w:space="0" w:color="auto"/>
              <w:left w:val="nil"/>
              <w:bottom w:val="single" w:sz="8" w:space="0" w:color="auto"/>
              <w:right w:val="single" w:sz="8" w:space="0" w:color="auto"/>
            </w:tcBorders>
            <w:shd w:val="clear" w:color="auto" w:fill="E7E6E6" w:themeFill="background2"/>
            <w:vAlign w:val="center"/>
            <w:hideMark/>
          </w:tcPr>
          <w:p w14:paraId="693F145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PM_RIC3</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33FCC6E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57" w:type="dxa"/>
            <w:tcBorders>
              <w:top w:val="single" w:sz="8" w:space="0" w:color="auto"/>
              <w:left w:val="nil"/>
              <w:bottom w:val="single" w:sz="8" w:space="0" w:color="auto"/>
              <w:right w:val="single" w:sz="8" w:space="0" w:color="auto"/>
            </w:tcBorders>
            <w:shd w:val="clear" w:color="auto" w:fill="E7E6E6" w:themeFill="background2"/>
            <w:vAlign w:val="center"/>
            <w:hideMark/>
          </w:tcPr>
          <w:p w14:paraId="0366FEE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Establishment of a Multiannual Investment Plan for the strengthening of R&amp;I infrastructures</w:t>
            </w:r>
          </w:p>
        </w:tc>
      </w:tr>
      <w:tr w:rsidR="00614438" w:rsidRPr="00AA7A53" w14:paraId="3E4C5A73" w14:textId="77777777" w:rsidTr="00614438">
        <w:trPr>
          <w:gridAfter w:val="1"/>
          <w:wAfter w:w="1212" w:type="dxa"/>
          <w:trHeight w:val="353"/>
        </w:trPr>
        <w:tc>
          <w:tcPr>
            <w:tcW w:w="3336" w:type="dxa"/>
            <w:tcBorders>
              <w:top w:val="nil"/>
              <w:left w:val="single" w:sz="8" w:space="0" w:color="auto"/>
              <w:bottom w:val="single" w:sz="8" w:space="0" w:color="auto"/>
              <w:right w:val="nil"/>
            </w:tcBorders>
            <w:shd w:val="clear" w:color="auto" w:fill="244062"/>
            <w:vAlign w:val="center"/>
            <w:hideMark/>
          </w:tcPr>
          <w:p w14:paraId="1E3BC05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52" w:type="dxa"/>
            <w:gridSpan w:val="3"/>
            <w:tcBorders>
              <w:top w:val="single" w:sz="8" w:space="0" w:color="auto"/>
              <w:left w:val="nil"/>
              <w:bottom w:val="single" w:sz="8" w:space="0" w:color="auto"/>
              <w:right w:val="single" w:sz="8" w:space="0" w:color="000000"/>
            </w:tcBorders>
            <w:vAlign w:val="center"/>
            <w:hideMark/>
          </w:tcPr>
          <w:p w14:paraId="754DA1F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Regulatory amendment, promotion of research and innovation</w:t>
            </w:r>
          </w:p>
        </w:tc>
      </w:tr>
      <w:tr w:rsidR="00614438" w:rsidRPr="00AA7A53" w14:paraId="464CC8AE" w14:textId="77777777" w:rsidTr="00614438">
        <w:trPr>
          <w:gridAfter w:val="1"/>
          <w:wAfter w:w="1212" w:type="dxa"/>
          <w:trHeight w:val="315"/>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1236CB3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52" w:type="dxa"/>
            <w:gridSpan w:val="3"/>
            <w:tcBorders>
              <w:top w:val="single" w:sz="8" w:space="0" w:color="auto"/>
              <w:left w:val="nil"/>
              <w:bottom w:val="single" w:sz="8" w:space="0" w:color="auto"/>
              <w:right w:val="single" w:sz="8" w:space="0" w:color="000000"/>
            </w:tcBorders>
            <w:vAlign w:val="center"/>
            <w:hideMark/>
          </w:tcPr>
          <w:p w14:paraId="5B1EC3D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 the level of technological readiness in the field of energy (Qualitative objective)</w:t>
            </w:r>
          </w:p>
        </w:tc>
      </w:tr>
      <w:tr w:rsidR="00614438" w:rsidRPr="00AA7A53" w14:paraId="533B55C9" w14:textId="77777777" w:rsidTr="00614438">
        <w:trPr>
          <w:gridAfter w:val="1"/>
          <w:wAfter w:w="1212" w:type="dxa"/>
          <w:trHeight w:val="429"/>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0ABB9B6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52" w:type="dxa"/>
            <w:gridSpan w:val="3"/>
            <w:tcBorders>
              <w:top w:val="single" w:sz="8" w:space="0" w:color="auto"/>
              <w:left w:val="nil"/>
              <w:bottom w:val="single" w:sz="8" w:space="0" w:color="auto"/>
              <w:right w:val="single" w:sz="8" w:space="0" w:color="000000"/>
            </w:tcBorders>
            <w:vAlign w:val="center"/>
            <w:hideMark/>
          </w:tcPr>
          <w:p w14:paraId="5A463A6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PM_RIC3 will promote the creation of a Multiannual Investment Plan to support R&amp;I infrastructures, which aims at strengthening the strategic infrastructure in the field of energy R&amp;I.</w:t>
            </w:r>
          </w:p>
        </w:tc>
      </w:tr>
      <w:tr w:rsidR="00614438" w:rsidRPr="00AA7A53" w14:paraId="3444B517" w14:textId="77777777" w:rsidTr="00614438">
        <w:trPr>
          <w:gridAfter w:val="1"/>
          <w:wAfter w:w="1212" w:type="dxa"/>
          <w:trHeight w:val="315"/>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2656EE1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52" w:type="dxa"/>
            <w:gridSpan w:val="3"/>
            <w:tcBorders>
              <w:top w:val="single" w:sz="8" w:space="0" w:color="auto"/>
              <w:left w:val="nil"/>
              <w:bottom w:val="single" w:sz="8" w:space="0" w:color="auto"/>
              <w:right w:val="single" w:sz="8" w:space="0" w:color="000000"/>
            </w:tcBorders>
            <w:vAlign w:val="center"/>
            <w:hideMark/>
          </w:tcPr>
          <w:p w14:paraId="6FF8BBAC" w14:textId="6E0A725D"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5E24A0" w:rsidRPr="00AA7A53">
              <w:rPr>
                <w:rFonts w:ascii="Times New Roman" w:hAnsi="Times New Roman" w:cs="Times New Roman"/>
                <w:sz w:val="20"/>
                <w:szCs w:val="20"/>
                <w:lang w:val="en-GB"/>
              </w:rPr>
              <w:t>5</w:t>
            </w:r>
            <w:r w:rsidRPr="00AA7A53">
              <w:rPr>
                <w:rFonts w:ascii="Times New Roman" w:hAnsi="Times New Roman" w:cs="Times New Roman"/>
                <w:sz w:val="20"/>
                <w:szCs w:val="20"/>
                <w:lang w:val="en-GB"/>
              </w:rPr>
              <w:t>-2030</w:t>
            </w:r>
          </w:p>
        </w:tc>
      </w:tr>
      <w:tr w:rsidR="00614438" w:rsidRPr="00AA7A53" w14:paraId="5D6A304E" w14:textId="77777777" w:rsidTr="00614438">
        <w:trPr>
          <w:gridAfter w:val="1"/>
          <w:wAfter w:w="1212" w:type="dxa"/>
          <w:trHeight w:val="315"/>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4AE3F3B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52" w:type="dxa"/>
            <w:gridSpan w:val="3"/>
            <w:tcBorders>
              <w:top w:val="single" w:sz="8" w:space="0" w:color="auto"/>
              <w:left w:val="nil"/>
              <w:bottom w:val="single" w:sz="8" w:space="0" w:color="auto"/>
              <w:right w:val="single" w:sz="8" w:space="0" w:color="000000"/>
            </w:tcBorders>
            <w:vAlign w:val="center"/>
            <w:hideMark/>
          </w:tcPr>
          <w:p w14:paraId="2609B4C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2E58081B" w14:textId="77777777" w:rsidTr="00614438">
        <w:trPr>
          <w:gridAfter w:val="1"/>
          <w:wAfter w:w="1212" w:type="dxa"/>
          <w:trHeight w:val="315"/>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4DCC08A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52" w:type="dxa"/>
            <w:gridSpan w:val="3"/>
            <w:tcBorders>
              <w:top w:val="single" w:sz="8" w:space="0" w:color="auto"/>
              <w:left w:val="nil"/>
              <w:bottom w:val="single" w:sz="8" w:space="0" w:color="auto"/>
              <w:right w:val="single" w:sz="8" w:space="0" w:color="000000"/>
            </w:tcBorders>
            <w:vAlign w:val="center"/>
            <w:hideMark/>
          </w:tcPr>
          <w:p w14:paraId="2774291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INECP subject fields</w:t>
            </w:r>
          </w:p>
        </w:tc>
      </w:tr>
      <w:tr w:rsidR="00614438" w:rsidRPr="00AA7A53" w14:paraId="13A36C8E" w14:textId="77777777" w:rsidTr="00614438">
        <w:trPr>
          <w:gridAfter w:val="1"/>
          <w:wAfter w:w="1212" w:type="dxa"/>
          <w:trHeight w:val="315"/>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023BBD9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52" w:type="dxa"/>
            <w:gridSpan w:val="3"/>
            <w:tcBorders>
              <w:top w:val="single" w:sz="8" w:space="0" w:color="auto"/>
              <w:left w:val="nil"/>
              <w:bottom w:val="single" w:sz="8" w:space="0" w:color="auto"/>
              <w:right w:val="single" w:sz="8" w:space="0" w:color="000000"/>
            </w:tcBorders>
            <w:vAlign w:val="center"/>
            <w:hideMark/>
          </w:tcPr>
          <w:p w14:paraId="48E606A7" w14:textId="77777777" w:rsidR="00614438" w:rsidRPr="00AA7A53" w:rsidRDefault="00614438" w:rsidP="00AA7A53">
            <w:pPr>
              <w:numPr>
                <w:ilvl w:val="0"/>
                <w:numId w:val="188"/>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3B9A0D9C" w14:textId="77777777" w:rsidR="00614438" w:rsidRPr="00AA7A53" w:rsidRDefault="00614438" w:rsidP="00AA7A53">
            <w:pPr>
              <w:numPr>
                <w:ilvl w:val="0"/>
                <w:numId w:val="188"/>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p w14:paraId="2008FB75" w14:textId="3852AA28" w:rsidR="00614438" w:rsidRPr="00AA7A53" w:rsidRDefault="001F2B5C" w:rsidP="00AA7A53">
            <w:pPr>
              <w:numPr>
                <w:ilvl w:val="0"/>
                <w:numId w:val="188"/>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Science, Technological Development and Innovation</w:t>
            </w:r>
          </w:p>
        </w:tc>
      </w:tr>
      <w:tr w:rsidR="00614438" w:rsidRPr="00AA7A53" w14:paraId="1A15FEEA" w14:textId="77777777" w:rsidTr="00614438">
        <w:trPr>
          <w:gridAfter w:val="1"/>
          <w:wAfter w:w="1212" w:type="dxa"/>
          <w:trHeight w:val="315"/>
        </w:trPr>
        <w:tc>
          <w:tcPr>
            <w:tcW w:w="3336" w:type="dxa"/>
            <w:tcBorders>
              <w:top w:val="nil"/>
              <w:left w:val="single" w:sz="8" w:space="0" w:color="auto"/>
              <w:bottom w:val="single" w:sz="8" w:space="0" w:color="auto"/>
              <w:right w:val="nil"/>
            </w:tcBorders>
            <w:shd w:val="clear" w:color="auto" w:fill="244062"/>
            <w:vAlign w:val="center"/>
            <w:hideMark/>
          </w:tcPr>
          <w:p w14:paraId="7F884E2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52" w:type="dxa"/>
            <w:gridSpan w:val="3"/>
            <w:tcBorders>
              <w:top w:val="single" w:sz="8" w:space="0" w:color="auto"/>
              <w:left w:val="nil"/>
              <w:bottom w:val="single" w:sz="8" w:space="0" w:color="auto"/>
              <w:right w:val="single" w:sz="8" w:space="0" w:color="000000"/>
            </w:tcBorders>
            <w:vAlign w:val="center"/>
            <w:hideMark/>
          </w:tcPr>
          <w:p w14:paraId="2B2A8AA7" w14:textId="5486B382" w:rsidR="00614438" w:rsidRPr="00AA7A53" w:rsidRDefault="001F2B5C"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rPr>
              <w:t>Ministry of Science, Technological Development and Innovation</w:t>
            </w:r>
          </w:p>
        </w:tc>
      </w:tr>
      <w:tr w:rsidR="00614438" w:rsidRPr="00AA7A53" w14:paraId="1567CE69" w14:textId="77777777" w:rsidTr="00614438">
        <w:trPr>
          <w:gridAfter w:val="1"/>
          <w:wAfter w:w="1212" w:type="dxa"/>
          <w:trHeight w:val="315"/>
        </w:trPr>
        <w:tc>
          <w:tcPr>
            <w:tcW w:w="3336" w:type="dxa"/>
            <w:tcBorders>
              <w:top w:val="nil"/>
              <w:left w:val="single" w:sz="8" w:space="0" w:color="auto"/>
              <w:bottom w:val="single" w:sz="8" w:space="0" w:color="auto"/>
              <w:right w:val="nil"/>
            </w:tcBorders>
            <w:shd w:val="clear" w:color="auto" w:fill="244062"/>
            <w:vAlign w:val="center"/>
            <w:hideMark/>
          </w:tcPr>
          <w:p w14:paraId="58E10D1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52" w:type="dxa"/>
            <w:gridSpan w:val="3"/>
            <w:tcBorders>
              <w:top w:val="single" w:sz="8" w:space="0" w:color="auto"/>
              <w:left w:val="nil"/>
              <w:bottom w:val="single" w:sz="8" w:space="0" w:color="auto"/>
              <w:right w:val="single" w:sz="8" w:space="0" w:color="000000"/>
            </w:tcBorders>
            <w:vAlign w:val="center"/>
            <w:hideMark/>
          </w:tcPr>
          <w:p w14:paraId="4CC0A43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New regulations and/or Normative Acts</w:t>
            </w:r>
          </w:p>
        </w:tc>
      </w:tr>
      <w:tr w:rsidR="00614438" w:rsidRPr="00AA7A53" w14:paraId="6BA8DF86" w14:textId="77777777" w:rsidTr="00614438">
        <w:trPr>
          <w:gridAfter w:val="1"/>
          <w:wAfter w:w="1212" w:type="dxa"/>
          <w:trHeight w:val="195"/>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4A66471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52" w:type="dxa"/>
            <w:gridSpan w:val="3"/>
            <w:tcBorders>
              <w:top w:val="single" w:sz="8" w:space="0" w:color="auto"/>
              <w:left w:val="nil"/>
              <w:bottom w:val="single" w:sz="8" w:space="0" w:color="auto"/>
              <w:right w:val="single" w:sz="8" w:space="0" w:color="000000"/>
            </w:tcBorders>
            <w:vAlign w:val="center"/>
            <w:hideMark/>
          </w:tcPr>
          <w:p w14:paraId="50C333D9" w14:textId="77777777" w:rsidR="00614438" w:rsidRPr="00AA7A53" w:rsidRDefault="00614438" w:rsidP="00AA7A53">
            <w:pPr>
              <w:numPr>
                <w:ilvl w:val="0"/>
                <w:numId w:val="189"/>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tc>
      </w:tr>
      <w:tr w:rsidR="00614438" w:rsidRPr="00AA7A53" w14:paraId="059B0804" w14:textId="77777777" w:rsidTr="00614438">
        <w:trPr>
          <w:gridAfter w:val="1"/>
          <w:wAfter w:w="1212" w:type="dxa"/>
          <w:trHeight w:val="458"/>
        </w:trPr>
        <w:tc>
          <w:tcPr>
            <w:tcW w:w="3336" w:type="dxa"/>
            <w:vMerge w:val="restart"/>
            <w:tcBorders>
              <w:top w:val="nil"/>
              <w:left w:val="single" w:sz="8" w:space="0" w:color="auto"/>
              <w:bottom w:val="single" w:sz="8" w:space="0" w:color="000000"/>
              <w:right w:val="single" w:sz="8" w:space="0" w:color="auto"/>
            </w:tcBorders>
            <w:shd w:val="clear" w:color="auto" w:fill="244062"/>
            <w:vAlign w:val="center"/>
            <w:hideMark/>
          </w:tcPr>
          <w:p w14:paraId="489413C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52"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3C6F1E2" w14:textId="77777777" w:rsidR="00614438" w:rsidRPr="00AA7A53" w:rsidRDefault="00614438" w:rsidP="00AA7A53">
            <w:pPr>
              <w:numPr>
                <w:ilvl w:val="0"/>
                <w:numId w:val="190"/>
              </w:numPr>
              <w:spacing w:after="0"/>
              <w:jc w:val="both"/>
              <w:rPr>
                <w:rFonts w:ascii="Times New Roman" w:hAnsi="Times New Roman" w:cs="Times New Roman"/>
                <w:sz w:val="20"/>
                <w:szCs w:val="20"/>
              </w:rPr>
            </w:pPr>
            <w:r w:rsidRPr="00AA7A53">
              <w:rPr>
                <w:rFonts w:ascii="Times New Roman" w:hAnsi="Times New Roman" w:cs="Times New Roman"/>
                <w:sz w:val="20"/>
                <w:szCs w:val="20"/>
              </w:rPr>
              <w:t>EU acquis Communautaire</w:t>
            </w:r>
          </w:p>
          <w:p w14:paraId="323A6755" w14:textId="77777777" w:rsidR="00614438" w:rsidRPr="00AA7A53" w:rsidRDefault="00614438" w:rsidP="00AA7A53">
            <w:pPr>
              <w:numPr>
                <w:ilvl w:val="0"/>
                <w:numId w:val="190"/>
              </w:numPr>
              <w:spacing w:after="0"/>
              <w:jc w:val="both"/>
              <w:rPr>
                <w:rFonts w:ascii="Times New Roman" w:hAnsi="Times New Roman" w:cs="Times New Roman"/>
                <w:sz w:val="20"/>
                <w:szCs w:val="20"/>
              </w:rPr>
            </w:pPr>
            <w:r w:rsidRPr="00AA7A53">
              <w:rPr>
                <w:rFonts w:ascii="Times New Roman" w:hAnsi="Times New Roman" w:cs="Times New Roman"/>
                <w:sz w:val="20"/>
                <w:szCs w:val="20"/>
              </w:rPr>
              <w:t>European Strategic Energy Technology Plan (SET Plan)</w:t>
            </w:r>
          </w:p>
        </w:tc>
      </w:tr>
      <w:tr w:rsidR="00614438" w:rsidRPr="00AA7A53" w14:paraId="115868EA"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278F36A7"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C307D29"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2B3E553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D6D802A"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07BDA07E"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0C2C031"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1A53D70B"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7EC86A6D" w14:textId="77777777" w:rsidTr="00614438">
        <w:trPr>
          <w:trHeight w:val="301"/>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0CDA837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52" w:type="dxa"/>
            <w:gridSpan w:val="3"/>
            <w:tcBorders>
              <w:top w:val="single" w:sz="8" w:space="0" w:color="auto"/>
              <w:left w:val="nil"/>
              <w:bottom w:val="single" w:sz="8" w:space="0" w:color="auto"/>
              <w:right w:val="single" w:sz="8" w:space="0" w:color="000000"/>
            </w:tcBorders>
            <w:vAlign w:val="center"/>
            <w:hideMark/>
          </w:tcPr>
          <w:p w14:paraId="35F1DBD2" w14:textId="77777777" w:rsidR="00614438" w:rsidRPr="00AA7A53" w:rsidRDefault="00614438" w:rsidP="00AA7A53">
            <w:pPr>
              <w:numPr>
                <w:ilvl w:val="0"/>
                <w:numId w:val="190"/>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the Science Fund</w:t>
            </w:r>
          </w:p>
          <w:p w14:paraId="1A8AE999" w14:textId="77777777" w:rsidR="00614438" w:rsidRPr="00AA7A53" w:rsidRDefault="00614438" w:rsidP="00AA7A53">
            <w:pPr>
              <w:numPr>
                <w:ilvl w:val="0"/>
                <w:numId w:val="190"/>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Science and Research</w:t>
            </w:r>
          </w:p>
        </w:tc>
        <w:tc>
          <w:tcPr>
            <w:tcW w:w="1212" w:type="dxa"/>
            <w:vAlign w:val="center"/>
            <w:hideMark/>
          </w:tcPr>
          <w:p w14:paraId="5E30520B"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EE20FD1" w14:textId="77777777" w:rsidTr="00614438">
        <w:trPr>
          <w:trHeight w:val="315"/>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69A7D02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52" w:type="dxa"/>
            <w:gridSpan w:val="3"/>
            <w:tcBorders>
              <w:top w:val="single" w:sz="8" w:space="0" w:color="auto"/>
              <w:left w:val="nil"/>
              <w:bottom w:val="single" w:sz="8" w:space="0" w:color="auto"/>
              <w:right w:val="single" w:sz="8" w:space="0" w:color="000000"/>
            </w:tcBorders>
            <w:vAlign w:val="center"/>
            <w:hideMark/>
          </w:tcPr>
          <w:p w14:paraId="65E9726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0.1 M€</w:t>
            </w:r>
          </w:p>
        </w:tc>
        <w:tc>
          <w:tcPr>
            <w:tcW w:w="1212" w:type="dxa"/>
            <w:vAlign w:val="center"/>
            <w:hideMark/>
          </w:tcPr>
          <w:p w14:paraId="47D704DB"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DFF91E4" w14:textId="77777777" w:rsidTr="00614438">
        <w:trPr>
          <w:trHeight w:val="315"/>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618578A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52" w:type="dxa"/>
            <w:gridSpan w:val="3"/>
            <w:tcBorders>
              <w:top w:val="single" w:sz="8" w:space="0" w:color="auto"/>
              <w:left w:val="nil"/>
              <w:bottom w:val="single" w:sz="8" w:space="0" w:color="auto"/>
              <w:right w:val="single" w:sz="8" w:space="0" w:color="000000"/>
            </w:tcBorders>
            <w:vAlign w:val="center"/>
            <w:hideMark/>
          </w:tcPr>
          <w:p w14:paraId="14305E6B" w14:textId="49AEB5DD" w:rsidR="00614438" w:rsidRPr="00AA7A53" w:rsidRDefault="005E24A0" w:rsidP="00AA7A53">
            <w:pPr>
              <w:spacing w:after="0"/>
              <w:ind w:left="1080"/>
              <w:jc w:val="both"/>
              <w:rPr>
                <w:rFonts w:ascii="Times New Roman" w:hAnsi="Times New Roman" w:cs="Times New Roman"/>
                <w:sz w:val="20"/>
                <w:szCs w:val="20"/>
              </w:rPr>
            </w:pPr>
            <w:r w:rsidRPr="00AA7A53">
              <w:rPr>
                <w:rFonts w:ascii="Times New Roman" w:hAnsi="Times New Roman" w:cs="Times New Roman"/>
                <w:sz w:val="20"/>
                <w:szCs w:val="20"/>
              </w:rPr>
              <w:t>EU funds, public</w:t>
            </w:r>
            <w:r w:rsidR="00614438" w:rsidRPr="00AA7A53">
              <w:rPr>
                <w:rFonts w:ascii="Times New Roman" w:hAnsi="Times New Roman" w:cs="Times New Roman"/>
                <w:sz w:val="20"/>
                <w:szCs w:val="20"/>
              </w:rPr>
              <w:t xml:space="preserve"> funds</w:t>
            </w:r>
          </w:p>
        </w:tc>
        <w:tc>
          <w:tcPr>
            <w:tcW w:w="1212" w:type="dxa"/>
            <w:vAlign w:val="center"/>
            <w:hideMark/>
          </w:tcPr>
          <w:p w14:paraId="1EA2FE39" w14:textId="77777777" w:rsidR="00614438" w:rsidRPr="00AA7A53" w:rsidRDefault="00614438" w:rsidP="00AA7A53">
            <w:pPr>
              <w:spacing w:after="0"/>
              <w:jc w:val="both"/>
              <w:rPr>
                <w:rFonts w:ascii="Times New Roman" w:hAnsi="Times New Roman" w:cs="Times New Roman"/>
                <w:sz w:val="20"/>
                <w:szCs w:val="20"/>
                <w:lang w:val="en-GB"/>
              </w:rPr>
            </w:pPr>
          </w:p>
        </w:tc>
      </w:tr>
    </w:tbl>
    <w:p w14:paraId="008CD915" w14:textId="1F7AEBA4"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307"/>
        <w:gridCol w:w="1039"/>
        <w:gridCol w:w="939"/>
        <w:gridCol w:w="4203"/>
        <w:gridCol w:w="1212"/>
      </w:tblGrid>
      <w:tr w:rsidR="00614438" w:rsidRPr="00AA7A53" w14:paraId="10239DD2" w14:textId="77777777" w:rsidTr="00614438">
        <w:trPr>
          <w:gridAfter w:val="1"/>
          <w:wAfter w:w="1212" w:type="dxa"/>
          <w:trHeight w:val="780"/>
        </w:trPr>
        <w:tc>
          <w:tcPr>
            <w:tcW w:w="3338"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670BAD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51" w:type="dxa"/>
            <w:tcBorders>
              <w:top w:val="single" w:sz="8" w:space="0" w:color="auto"/>
              <w:left w:val="nil"/>
              <w:bottom w:val="single" w:sz="8" w:space="0" w:color="auto"/>
              <w:right w:val="single" w:sz="8" w:space="0" w:color="auto"/>
            </w:tcBorders>
            <w:shd w:val="clear" w:color="auto" w:fill="E7E6E6" w:themeFill="background2"/>
            <w:vAlign w:val="center"/>
            <w:hideMark/>
          </w:tcPr>
          <w:p w14:paraId="1DBCBD8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PM_RIC4</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6CBE8BF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55" w:type="dxa"/>
            <w:tcBorders>
              <w:top w:val="single" w:sz="8" w:space="0" w:color="auto"/>
              <w:left w:val="nil"/>
              <w:bottom w:val="single" w:sz="8" w:space="0" w:color="auto"/>
              <w:right w:val="single" w:sz="8" w:space="0" w:color="auto"/>
            </w:tcBorders>
            <w:shd w:val="clear" w:color="auto" w:fill="E7E6E6" w:themeFill="background2"/>
            <w:vAlign w:val="center"/>
            <w:hideMark/>
          </w:tcPr>
          <w:p w14:paraId="650BC8C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Integration of Serbia into the European Research Area and enhanced participation in EU’s funded Energy R&amp;I Programs </w:t>
            </w:r>
          </w:p>
        </w:tc>
      </w:tr>
      <w:tr w:rsidR="00614438" w:rsidRPr="00AA7A53" w14:paraId="183BEC70" w14:textId="77777777" w:rsidTr="00614438">
        <w:trPr>
          <w:gridAfter w:val="1"/>
          <w:wAfter w:w="1212" w:type="dxa"/>
          <w:trHeight w:val="245"/>
        </w:trPr>
        <w:tc>
          <w:tcPr>
            <w:tcW w:w="3338" w:type="dxa"/>
            <w:tcBorders>
              <w:top w:val="nil"/>
              <w:left w:val="single" w:sz="8" w:space="0" w:color="auto"/>
              <w:bottom w:val="single" w:sz="8" w:space="0" w:color="auto"/>
              <w:right w:val="nil"/>
            </w:tcBorders>
            <w:shd w:val="clear" w:color="auto" w:fill="244062"/>
            <w:vAlign w:val="center"/>
            <w:hideMark/>
          </w:tcPr>
          <w:p w14:paraId="416A34F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50" w:type="dxa"/>
            <w:gridSpan w:val="3"/>
            <w:tcBorders>
              <w:top w:val="single" w:sz="8" w:space="0" w:color="auto"/>
              <w:left w:val="nil"/>
              <w:bottom w:val="single" w:sz="8" w:space="0" w:color="auto"/>
              <w:right w:val="single" w:sz="8" w:space="0" w:color="000000"/>
            </w:tcBorders>
            <w:vAlign w:val="center"/>
            <w:hideMark/>
          </w:tcPr>
          <w:p w14:paraId="227FB47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Research and Innovation</w:t>
            </w:r>
          </w:p>
        </w:tc>
      </w:tr>
      <w:tr w:rsidR="00614438" w:rsidRPr="00AA7A53" w14:paraId="65D9872D" w14:textId="77777777" w:rsidTr="00614438">
        <w:trPr>
          <w:gridAfter w:val="1"/>
          <w:wAfter w:w="1212" w:type="dxa"/>
          <w:trHeight w:val="315"/>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4DEA540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50" w:type="dxa"/>
            <w:gridSpan w:val="3"/>
            <w:tcBorders>
              <w:top w:val="single" w:sz="8" w:space="0" w:color="auto"/>
              <w:left w:val="nil"/>
              <w:bottom w:val="single" w:sz="8" w:space="0" w:color="auto"/>
              <w:right w:val="single" w:sz="8" w:space="0" w:color="000000"/>
            </w:tcBorders>
            <w:vAlign w:val="center"/>
            <w:hideMark/>
          </w:tcPr>
          <w:p w14:paraId="31A6C4D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 the level of technological readiness in the field of energy (Qualitative objective)</w:t>
            </w:r>
          </w:p>
        </w:tc>
      </w:tr>
      <w:tr w:rsidR="00614438" w:rsidRPr="00AA7A53" w14:paraId="0B960516" w14:textId="77777777" w:rsidTr="00614438">
        <w:trPr>
          <w:gridAfter w:val="1"/>
          <w:wAfter w:w="1212" w:type="dxa"/>
          <w:trHeight w:val="1487"/>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6523AFD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50" w:type="dxa"/>
            <w:gridSpan w:val="3"/>
            <w:tcBorders>
              <w:top w:val="single" w:sz="8" w:space="0" w:color="auto"/>
              <w:left w:val="nil"/>
              <w:bottom w:val="single" w:sz="8" w:space="0" w:color="auto"/>
              <w:right w:val="single" w:sz="8" w:space="0" w:color="000000"/>
            </w:tcBorders>
            <w:vAlign w:val="center"/>
            <w:hideMark/>
          </w:tcPr>
          <w:p w14:paraId="251E0441" w14:textId="3556A9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PM_RIC4 will ensure Serbia's better position in the area of European R&amp;I (e.g. in European Energy Research Alliance). For instance, in order to prepare for the country’s participation in the Horizon Europe Framework Research and Innovation Programme, a number of working groups have to set up, involving the authorities and research operators, among others. The aim of these working groups is to improve the participation of Serbia in the </w:t>
            </w:r>
            <w:r w:rsidRPr="00AA7A53">
              <w:rPr>
                <w:rFonts w:ascii="Times New Roman" w:hAnsi="Times New Roman" w:cs="Times New Roman"/>
                <w:sz w:val="20"/>
                <w:szCs w:val="20"/>
                <w:lang w:val="en-GB"/>
              </w:rPr>
              <w:lastRenderedPageBreak/>
              <w:t>European framework research programmes so that</w:t>
            </w:r>
            <w:r w:rsidR="005E24A0" w:rsidRPr="00AA7A53">
              <w:rPr>
                <w:rFonts w:ascii="Times New Roman" w:hAnsi="Times New Roman" w:cs="Times New Roman"/>
                <w:sz w:val="20"/>
                <w:szCs w:val="20"/>
                <w:lang w:val="en-GB"/>
              </w:rPr>
              <w:t xml:space="preserve"> the Republic of Serbia</w:t>
            </w:r>
            <w:r w:rsidRPr="00AA7A53">
              <w:rPr>
                <w:rFonts w:ascii="Times New Roman" w:hAnsi="Times New Roman" w:cs="Times New Roman"/>
                <w:sz w:val="20"/>
                <w:szCs w:val="20"/>
                <w:lang w:val="en-GB"/>
              </w:rPr>
              <w:t xml:space="preserve"> will be better integrated within the European dynamic and can improve its expertise and competitiveness, create synergies and gain access to wider markets.</w:t>
            </w:r>
          </w:p>
        </w:tc>
      </w:tr>
      <w:tr w:rsidR="00614438" w:rsidRPr="00AA7A53" w14:paraId="115373A2" w14:textId="77777777" w:rsidTr="00614438">
        <w:trPr>
          <w:gridAfter w:val="1"/>
          <w:wAfter w:w="1212" w:type="dxa"/>
          <w:trHeight w:val="315"/>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154DDDC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Implementation Timeframe</w:t>
            </w:r>
          </w:p>
        </w:tc>
        <w:tc>
          <w:tcPr>
            <w:tcW w:w="6150" w:type="dxa"/>
            <w:gridSpan w:val="3"/>
            <w:tcBorders>
              <w:top w:val="single" w:sz="8" w:space="0" w:color="auto"/>
              <w:left w:val="nil"/>
              <w:bottom w:val="single" w:sz="8" w:space="0" w:color="auto"/>
              <w:right w:val="single" w:sz="8" w:space="0" w:color="000000"/>
            </w:tcBorders>
            <w:vAlign w:val="center"/>
            <w:hideMark/>
          </w:tcPr>
          <w:p w14:paraId="6743063E" w14:textId="74DF5524"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5E24A0"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3C289972" w14:textId="77777777" w:rsidTr="00614438">
        <w:trPr>
          <w:gridAfter w:val="1"/>
          <w:wAfter w:w="1212" w:type="dxa"/>
          <w:trHeight w:val="315"/>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4987D20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50" w:type="dxa"/>
            <w:gridSpan w:val="3"/>
            <w:tcBorders>
              <w:top w:val="single" w:sz="8" w:space="0" w:color="auto"/>
              <w:left w:val="nil"/>
              <w:bottom w:val="single" w:sz="8" w:space="0" w:color="auto"/>
              <w:right w:val="single" w:sz="8" w:space="0" w:color="000000"/>
            </w:tcBorders>
            <w:vAlign w:val="center"/>
            <w:hideMark/>
          </w:tcPr>
          <w:p w14:paraId="7A91885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6E2FE80E" w14:textId="77777777" w:rsidTr="00614438">
        <w:trPr>
          <w:gridAfter w:val="1"/>
          <w:wAfter w:w="1212" w:type="dxa"/>
          <w:trHeight w:val="315"/>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7C937F7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50" w:type="dxa"/>
            <w:gridSpan w:val="3"/>
            <w:tcBorders>
              <w:top w:val="single" w:sz="8" w:space="0" w:color="auto"/>
              <w:left w:val="nil"/>
              <w:bottom w:val="single" w:sz="8" w:space="0" w:color="auto"/>
              <w:right w:val="single" w:sz="8" w:space="0" w:color="000000"/>
            </w:tcBorders>
            <w:vAlign w:val="center"/>
            <w:hideMark/>
          </w:tcPr>
          <w:p w14:paraId="418D8B9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INECP subject fields</w:t>
            </w:r>
          </w:p>
        </w:tc>
      </w:tr>
      <w:tr w:rsidR="00614438" w:rsidRPr="00AA7A53" w14:paraId="213041B9" w14:textId="77777777" w:rsidTr="00614438">
        <w:trPr>
          <w:gridAfter w:val="1"/>
          <w:wAfter w:w="1212" w:type="dxa"/>
          <w:trHeight w:val="315"/>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3EE64BA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50" w:type="dxa"/>
            <w:gridSpan w:val="3"/>
            <w:tcBorders>
              <w:top w:val="single" w:sz="8" w:space="0" w:color="auto"/>
              <w:left w:val="nil"/>
              <w:bottom w:val="single" w:sz="8" w:space="0" w:color="auto"/>
              <w:right w:val="single" w:sz="8" w:space="0" w:color="000000"/>
            </w:tcBorders>
            <w:vAlign w:val="center"/>
            <w:hideMark/>
          </w:tcPr>
          <w:p w14:paraId="23F06B15" w14:textId="77777777" w:rsidR="00614438" w:rsidRPr="00AA7A53" w:rsidRDefault="00614438" w:rsidP="00AA7A53">
            <w:pPr>
              <w:numPr>
                <w:ilvl w:val="0"/>
                <w:numId w:val="191"/>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5948C750" w14:textId="77777777" w:rsidR="00614438" w:rsidRPr="00AA7A53" w:rsidRDefault="00614438" w:rsidP="00AA7A53">
            <w:pPr>
              <w:numPr>
                <w:ilvl w:val="0"/>
                <w:numId w:val="191"/>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p w14:paraId="6217016B" w14:textId="77777777" w:rsidR="001F2B5C" w:rsidRPr="00AA7A53" w:rsidRDefault="001F2B5C" w:rsidP="00AA7A53">
            <w:pPr>
              <w:numPr>
                <w:ilvl w:val="0"/>
                <w:numId w:val="191"/>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Ministry of Science, Technological Development and Innovation </w:t>
            </w:r>
          </w:p>
          <w:p w14:paraId="74D400E0" w14:textId="279E3FC9" w:rsidR="00614438" w:rsidRPr="00AA7A53" w:rsidRDefault="00614438" w:rsidP="00AA7A53">
            <w:pPr>
              <w:numPr>
                <w:ilvl w:val="0"/>
                <w:numId w:val="191"/>
              </w:numPr>
              <w:spacing w:after="0"/>
              <w:jc w:val="both"/>
              <w:rPr>
                <w:rFonts w:ascii="Times New Roman" w:hAnsi="Times New Roman" w:cs="Times New Roman"/>
                <w:sz w:val="20"/>
                <w:szCs w:val="20"/>
              </w:rPr>
            </w:pPr>
            <w:r w:rsidRPr="00AA7A53">
              <w:rPr>
                <w:rFonts w:ascii="Times New Roman" w:hAnsi="Times New Roman" w:cs="Times New Roman"/>
                <w:sz w:val="20"/>
                <w:szCs w:val="20"/>
              </w:rPr>
              <w:t>Chamber of Commerce and Industry of Serbia</w:t>
            </w:r>
          </w:p>
          <w:p w14:paraId="0432854B" w14:textId="77777777" w:rsidR="00614438" w:rsidRPr="00AA7A53" w:rsidRDefault="00614438" w:rsidP="00AA7A53">
            <w:pPr>
              <w:numPr>
                <w:ilvl w:val="0"/>
                <w:numId w:val="191"/>
              </w:numPr>
              <w:spacing w:after="0"/>
              <w:jc w:val="both"/>
              <w:rPr>
                <w:rFonts w:ascii="Times New Roman" w:hAnsi="Times New Roman" w:cs="Times New Roman"/>
                <w:sz w:val="20"/>
                <w:szCs w:val="20"/>
              </w:rPr>
            </w:pPr>
            <w:r w:rsidRPr="00AA7A53">
              <w:rPr>
                <w:rFonts w:ascii="Times New Roman" w:hAnsi="Times New Roman" w:cs="Times New Roman"/>
                <w:sz w:val="20"/>
                <w:szCs w:val="20"/>
              </w:rPr>
              <w:t>Center for Promotion of Science</w:t>
            </w:r>
          </w:p>
        </w:tc>
      </w:tr>
      <w:tr w:rsidR="00614438" w:rsidRPr="00AA7A53" w14:paraId="06F20C38" w14:textId="77777777" w:rsidTr="00614438">
        <w:trPr>
          <w:gridAfter w:val="1"/>
          <w:wAfter w:w="1212" w:type="dxa"/>
          <w:trHeight w:val="315"/>
        </w:trPr>
        <w:tc>
          <w:tcPr>
            <w:tcW w:w="3338" w:type="dxa"/>
            <w:tcBorders>
              <w:top w:val="nil"/>
              <w:left w:val="single" w:sz="8" w:space="0" w:color="auto"/>
              <w:bottom w:val="single" w:sz="8" w:space="0" w:color="auto"/>
              <w:right w:val="nil"/>
            </w:tcBorders>
            <w:shd w:val="clear" w:color="auto" w:fill="244062"/>
            <w:vAlign w:val="center"/>
            <w:hideMark/>
          </w:tcPr>
          <w:p w14:paraId="535627E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50" w:type="dxa"/>
            <w:gridSpan w:val="3"/>
            <w:tcBorders>
              <w:top w:val="single" w:sz="8" w:space="0" w:color="auto"/>
              <w:left w:val="nil"/>
              <w:bottom w:val="single" w:sz="8" w:space="0" w:color="auto"/>
              <w:right w:val="single" w:sz="8" w:space="0" w:color="000000"/>
            </w:tcBorders>
            <w:vAlign w:val="center"/>
            <w:hideMark/>
          </w:tcPr>
          <w:p w14:paraId="2B44BC21" w14:textId="4B2E5AAA" w:rsidR="00614438" w:rsidRPr="00AA7A53" w:rsidRDefault="001F2B5C" w:rsidP="00AA7A53">
            <w:pPr>
              <w:numPr>
                <w:ilvl w:val="0"/>
                <w:numId w:val="192"/>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Science, Technological Development and Innovation</w:t>
            </w:r>
          </w:p>
        </w:tc>
      </w:tr>
      <w:tr w:rsidR="00614438" w:rsidRPr="00AA7A53" w14:paraId="300CC350" w14:textId="77777777" w:rsidTr="00614438">
        <w:trPr>
          <w:gridAfter w:val="1"/>
          <w:wAfter w:w="1212" w:type="dxa"/>
          <w:trHeight w:val="315"/>
        </w:trPr>
        <w:tc>
          <w:tcPr>
            <w:tcW w:w="3338" w:type="dxa"/>
            <w:tcBorders>
              <w:top w:val="nil"/>
              <w:left w:val="single" w:sz="8" w:space="0" w:color="auto"/>
              <w:bottom w:val="single" w:sz="8" w:space="0" w:color="auto"/>
              <w:right w:val="nil"/>
            </w:tcBorders>
            <w:shd w:val="clear" w:color="auto" w:fill="244062"/>
            <w:vAlign w:val="center"/>
            <w:hideMark/>
          </w:tcPr>
          <w:p w14:paraId="0ECB65B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50" w:type="dxa"/>
            <w:gridSpan w:val="3"/>
            <w:tcBorders>
              <w:top w:val="single" w:sz="8" w:space="0" w:color="auto"/>
              <w:left w:val="nil"/>
              <w:bottom w:val="single" w:sz="8" w:space="0" w:color="auto"/>
              <w:right w:val="single" w:sz="8" w:space="0" w:color="000000"/>
            </w:tcBorders>
            <w:vAlign w:val="center"/>
            <w:hideMark/>
          </w:tcPr>
          <w:p w14:paraId="2C0AA94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Number of applications, projects, companies, consortia in Horizon Europe Program, involving teams from the Republic of Serbia on an annual basis</w:t>
            </w:r>
          </w:p>
        </w:tc>
      </w:tr>
      <w:tr w:rsidR="00614438" w:rsidRPr="00AA7A53" w14:paraId="58674415" w14:textId="77777777" w:rsidTr="00614438">
        <w:trPr>
          <w:gridAfter w:val="1"/>
          <w:wAfter w:w="1212" w:type="dxa"/>
          <w:trHeight w:val="375"/>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74ADA89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50" w:type="dxa"/>
            <w:gridSpan w:val="3"/>
            <w:tcBorders>
              <w:top w:val="single" w:sz="8" w:space="0" w:color="auto"/>
              <w:left w:val="nil"/>
              <w:bottom w:val="single" w:sz="8" w:space="0" w:color="auto"/>
              <w:right w:val="single" w:sz="8" w:space="0" w:color="000000"/>
            </w:tcBorders>
            <w:vAlign w:val="center"/>
            <w:hideMark/>
          </w:tcPr>
          <w:p w14:paraId="452931C6" w14:textId="77777777" w:rsidR="00614438" w:rsidRPr="00AA7A53" w:rsidRDefault="00614438" w:rsidP="00AA7A53">
            <w:pPr>
              <w:numPr>
                <w:ilvl w:val="0"/>
                <w:numId w:val="193"/>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tc>
      </w:tr>
      <w:tr w:rsidR="00614438" w:rsidRPr="00AA7A53" w14:paraId="36CD59B5" w14:textId="77777777" w:rsidTr="00614438">
        <w:trPr>
          <w:gridAfter w:val="1"/>
          <w:wAfter w:w="1212" w:type="dxa"/>
          <w:trHeight w:val="458"/>
        </w:trPr>
        <w:tc>
          <w:tcPr>
            <w:tcW w:w="3338" w:type="dxa"/>
            <w:vMerge w:val="restart"/>
            <w:tcBorders>
              <w:top w:val="nil"/>
              <w:left w:val="single" w:sz="8" w:space="0" w:color="auto"/>
              <w:bottom w:val="single" w:sz="8" w:space="0" w:color="000000"/>
              <w:right w:val="single" w:sz="8" w:space="0" w:color="auto"/>
            </w:tcBorders>
            <w:shd w:val="clear" w:color="auto" w:fill="244062"/>
            <w:vAlign w:val="center"/>
            <w:hideMark/>
          </w:tcPr>
          <w:p w14:paraId="0CABBA9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5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321E7FB" w14:textId="77777777" w:rsidR="00614438" w:rsidRPr="00AA7A53" w:rsidRDefault="00614438" w:rsidP="00AA7A53">
            <w:pPr>
              <w:numPr>
                <w:ilvl w:val="0"/>
                <w:numId w:val="194"/>
              </w:numPr>
              <w:spacing w:after="0"/>
              <w:jc w:val="both"/>
              <w:rPr>
                <w:rFonts w:ascii="Times New Roman" w:hAnsi="Times New Roman" w:cs="Times New Roman"/>
                <w:sz w:val="20"/>
                <w:szCs w:val="20"/>
              </w:rPr>
            </w:pPr>
            <w:r w:rsidRPr="00AA7A53">
              <w:rPr>
                <w:rFonts w:ascii="Times New Roman" w:hAnsi="Times New Roman" w:cs="Times New Roman"/>
                <w:sz w:val="20"/>
                <w:szCs w:val="20"/>
              </w:rPr>
              <w:t>European Strategic Energy Technology Plan (SET Plan)</w:t>
            </w:r>
          </w:p>
        </w:tc>
      </w:tr>
      <w:tr w:rsidR="00614438" w:rsidRPr="00AA7A53" w14:paraId="747A1D73"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7EF74034"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E6707B8"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01A00F5D"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B81E6FB"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0BC8CD9A"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1843F86"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3985C275"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36EEAF30" w14:textId="77777777" w:rsidTr="00614438">
        <w:trPr>
          <w:trHeight w:val="306"/>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21871B4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50" w:type="dxa"/>
            <w:gridSpan w:val="3"/>
            <w:tcBorders>
              <w:top w:val="single" w:sz="8" w:space="0" w:color="auto"/>
              <w:left w:val="nil"/>
              <w:bottom w:val="single" w:sz="8" w:space="0" w:color="auto"/>
              <w:right w:val="single" w:sz="8" w:space="0" w:color="000000"/>
            </w:tcBorders>
            <w:vAlign w:val="center"/>
            <w:hideMark/>
          </w:tcPr>
          <w:p w14:paraId="572E4271" w14:textId="77777777" w:rsidR="00614438" w:rsidRPr="00AA7A53" w:rsidRDefault="00614438" w:rsidP="00AA7A53">
            <w:pPr>
              <w:numPr>
                <w:ilvl w:val="0"/>
                <w:numId w:val="194"/>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the Science Fund</w:t>
            </w:r>
          </w:p>
          <w:p w14:paraId="24B7C61D" w14:textId="77777777" w:rsidR="00614438" w:rsidRPr="00AA7A53" w:rsidRDefault="00614438" w:rsidP="00AA7A53">
            <w:pPr>
              <w:numPr>
                <w:ilvl w:val="0"/>
                <w:numId w:val="194"/>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Science and Research</w:t>
            </w:r>
          </w:p>
        </w:tc>
        <w:tc>
          <w:tcPr>
            <w:tcW w:w="1212" w:type="dxa"/>
            <w:vAlign w:val="center"/>
            <w:hideMark/>
          </w:tcPr>
          <w:p w14:paraId="393810F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D1456E5" w14:textId="77777777" w:rsidTr="00614438">
        <w:trPr>
          <w:trHeight w:val="315"/>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7DC3A2C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50" w:type="dxa"/>
            <w:gridSpan w:val="3"/>
            <w:tcBorders>
              <w:top w:val="single" w:sz="8" w:space="0" w:color="auto"/>
              <w:left w:val="nil"/>
              <w:bottom w:val="single" w:sz="8" w:space="0" w:color="auto"/>
              <w:right w:val="single" w:sz="8" w:space="0" w:color="000000"/>
            </w:tcBorders>
            <w:vAlign w:val="center"/>
            <w:hideMark/>
          </w:tcPr>
          <w:p w14:paraId="554853B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0.1 M€</w:t>
            </w:r>
          </w:p>
        </w:tc>
        <w:tc>
          <w:tcPr>
            <w:tcW w:w="1212" w:type="dxa"/>
            <w:vAlign w:val="center"/>
            <w:hideMark/>
          </w:tcPr>
          <w:p w14:paraId="52C00F3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162C275" w14:textId="77777777" w:rsidTr="00614438">
        <w:trPr>
          <w:trHeight w:val="315"/>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0056659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50" w:type="dxa"/>
            <w:gridSpan w:val="3"/>
            <w:tcBorders>
              <w:top w:val="single" w:sz="8" w:space="0" w:color="auto"/>
              <w:left w:val="nil"/>
              <w:bottom w:val="single" w:sz="8" w:space="0" w:color="auto"/>
              <w:right w:val="single" w:sz="8" w:space="0" w:color="000000"/>
            </w:tcBorders>
            <w:vAlign w:val="center"/>
            <w:hideMark/>
          </w:tcPr>
          <w:p w14:paraId="1988E530" w14:textId="1C0B04FD" w:rsidR="00614438" w:rsidRPr="00AA7A53" w:rsidRDefault="005E24A0"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funds, public funds</w:t>
            </w:r>
          </w:p>
        </w:tc>
        <w:tc>
          <w:tcPr>
            <w:tcW w:w="1212" w:type="dxa"/>
            <w:vAlign w:val="center"/>
            <w:hideMark/>
          </w:tcPr>
          <w:p w14:paraId="33CD2DCC" w14:textId="77777777" w:rsidR="00614438" w:rsidRPr="00AA7A53" w:rsidRDefault="00614438" w:rsidP="00AA7A53">
            <w:pPr>
              <w:spacing w:after="0"/>
              <w:jc w:val="both"/>
              <w:rPr>
                <w:rFonts w:ascii="Times New Roman" w:hAnsi="Times New Roman" w:cs="Times New Roman"/>
                <w:sz w:val="20"/>
                <w:szCs w:val="20"/>
                <w:lang w:val="en-GB"/>
              </w:rPr>
            </w:pPr>
          </w:p>
        </w:tc>
      </w:tr>
    </w:tbl>
    <w:p w14:paraId="24CADC45"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306"/>
        <w:gridCol w:w="1039"/>
        <w:gridCol w:w="939"/>
        <w:gridCol w:w="4204"/>
        <w:gridCol w:w="1212"/>
      </w:tblGrid>
      <w:tr w:rsidR="00614438" w:rsidRPr="00AA7A53" w14:paraId="3A644F91" w14:textId="77777777" w:rsidTr="00614438">
        <w:trPr>
          <w:gridAfter w:val="1"/>
          <w:wAfter w:w="1212" w:type="dxa"/>
          <w:trHeight w:val="780"/>
        </w:trPr>
        <w:tc>
          <w:tcPr>
            <w:tcW w:w="333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15710DC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51" w:type="dxa"/>
            <w:tcBorders>
              <w:top w:val="single" w:sz="8" w:space="0" w:color="auto"/>
              <w:left w:val="nil"/>
              <w:bottom w:val="single" w:sz="8" w:space="0" w:color="auto"/>
              <w:right w:val="single" w:sz="8" w:space="0" w:color="auto"/>
            </w:tcBorders>
            <w:shd w:val="clear" w:color="auto" w:fill="E7E6E6" w:themeFill="background2"/>
            <w:vAlign w:val="center"/>
            <w:hideMark/>
          </w:tcPr>
          <w:p w14:paraId="2D2A1C1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PM_RIC5</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4383F91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56" w:type="dxa"/>
            <w:tcBorders>
              <w:top w:val="single" w:sz="8" w:space="0" w:color="auto"/>
              <w:left w:val="nil"/>
              <w:bottom w:val="single" w:sz="8" w:space="0" w:color="auto"/>
              <w:right w:val="single" w:sz="8" w:space="0" w:color="auto"/>
            </w:tcBorders>
            <w:shd w:val="clear" w:color="auto" w:fill="E7E6E6" w:themeFill="background2"/>
            <w:vAlign w:val="center"/>
            <w:hideMark/>
          </w:tcPr>
          <w:p w14:paraId="38F8C32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Development of Innovation Hubs / Clusters, Start-ups, Spin-offs/Spin-outs</w:t>
            </w:r>
          </w:p>
        </w:tc>
      </w:tr>
      <w:tr w:rsidR="00614438" w:rsidRPr="00AA7A53" w14:paraId="65C4B1F8" w14:textId="77777777" w:rsidTr="00614438">
        <w:trPr>
          <w:gridAfter w:val="1"/>
          <w:wAfter w:w="1212" w:type="dxa"/>
          <w:trHeight w:val="377"/>
        </w:trPr>
        <w:tc>
          <w:tcPr>
            <w:tcW w:w="3337" w:type="dxa"/>
            <w:tcBorders>
              <w:top w:val="nil"/>
              <w:left w:val="single" w:sz="8" w:space="0" w:color="auto"/>
              <w:bottom w:val="single" w:sz="8" w:space="0" w:color="auto"/>
              <w:right w:val="nil"/>
            </w:tcBorders>
            <w:shd w:val="clear" w:color="auto" w:fill="244062"/>
            <w:vAlign w:val="center"/>
            <w:hideMark/>
          </w:tcPr>
          <w:p w14:paraId="354D4CB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51" w:type="dxa"/>
            <w:gridSpan w:val="3"/>
            <w:tcBorders>
              <w:top w:val="single" w:sz="8" w:space="0" w:color="auto"/>
              <w:left w:val="nil"/>
              <w:bottom w:val="single" w:sz="8" w:space="0" w:color="auto"/>
              <w:right w:val="single" w:sz="8" w:space="0" w:color="000000"/>
            </w:tcBorders>
            <w:vAlign w:val="center"/>
            <w:hideMark/>
          </w:tcPr>
          <w:p w14:paraId="7183BBB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Research and Innovation</w:t>
            </w:r>
          </w:p>
        </w:tc>
      </w:tr>
      <w:tr w:rsidR="00614438" w:rsidRPr="00AA7A53" w14:paraId="7640F688" w14:textId="77777777" w:rsidTr="00614438">
        <w:trPr>
          <w:gridAfter w:val="1"/>
          <w:wAfter w:w="1212" w:type="dxa"/>
          <w:trHeight w:val="315"/>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45EC5F5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51" w:type="dxa"/>
            <w:gridSpan w:val="3"/>
            <w:tcBorders>
              <w:top w:val="single" w:sz="8" w:space="0" w:color="auto"/>
              <w:left w:val="nil"/>
              <w:bottom w:val="single" w:sz="8" w:space="0" w:color="auto"/>
              <w:right w:val="single" w:sz="8" w:space="0" w:color="000000"/>
            </w:tcBorders>
            <w:vAlign w:val="center"/>
            <w:hideMark/>
          </w:tcPr>
          <w:p w14:paraId="181199A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 the level of technological readiness in the field of energy (Qualitative objective)</w:t>
            </w:r>
          </w:p>
        </w:tc>
      </w:tr>
      <w:tr w:rsidR="00614438" w:rsidRPr="00AA7A53" w14:paraId="22B6944E" w14:textId="77777777" w:rsidTr="00614438">
        <w:trPr>
          <w:gridAfter w:val="1"/>
          <w:wAfter w:w="1212" w:type="dxa"/>
          <w:trHeight w:val="1189"/>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353EAF3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51" w:type="dxa"/>
            <w:gridSpan w:val="3"/>
            <w:tcBorders>
              <w:top w:val="single" w:sz="8" w:space="0" w:color="auto"/>
              <w:left w:val="nil"/>
              <w:bottom w:val="single" w:sz="8" w:space="0" w:color="auto"/>
              <w:right w:val="single" w:sz="8" w:space="0" w:color="000000"/>
            </w:tcBorders>
            <w:vAlign w:val="center"/>
            <w:hideMark/>
          </w:tcPr>
          <w:p w14:paraId="40D411A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PM_RIC5 will promote the establishment and development of knowledge-intensive start-ups from universities, technological educational institutes, research centres, enterprises and independent researchers, Spin-offs/Spin-outs, Innovation Hubs as well as Clusters for trading/commercialising mature research results and innovative ideas.</w:t>
            </w:r>
          </w:p>
        </w:tc>
      </w:tr>
      <w:tr w:rsidR="00614438" w:rsidRPr="00AA7A53" w14:paraId="25B6ABEB" w14:textId="77777777" w:rsidTr="00614438">
        <w:trPr>
          <w:gridAfter w:val="1"/>
          <w:wAfter w:w="1212" w:type="dxa"/>
          <w:trHeight w:val="315"/>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51643D3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51" w:type="dxa"/>
            <w:gridSpan w:val="3"/>
            <w:tcBorders>
              <w:top w:val="single" w:sz="8" w:space="0" w:color="auto"/>
              <w:left w:val="nil"/>
              <w:bottom w:val="single" w:sz="8" w:space="0" w:color="auto"/>
              <w:right w:val="single" w:sz="8" w:space="0" w:color="000000"/>
            </w:tcBorders>
            <w:vAlign w:val="center"/>
            <w:hideMark/>
          </w:tcPr>
          <w:p w14:paraId="0D8E4340" w14:textId="626CD92B"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5E24A0"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05F04FE3" w14:textId="77777777" w:rsidTr="00614438">
        <w:trPr>
          <w:gridAfter w:val="1"/>
          <w:wAfter w:w="1212" w:type="dxa"/>
          <w:trHeight w:val="315"/>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6BEE1CA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51" w:type="dxa"/>
            <w:gridSpan w:val="3"/>
            <w:tcBorders>
              <w:top w:val="single" w:sz="8" w:space="0" w:color="auto"/>
              <w:left w:val="nil"/>
              <w:bottom w:val="single" w:sz="8" w:space="0" w:color="auto"/>
              <w:right w:val="single" w:sz="8" w:space="0" w:color="000000"/>
            </w:tcBorders>
            <w:vAlign w:val="center"/>
            <w:hideMark/>
          </w:tcPr>
          <w:p w14:paraId="28CE1B0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620458B1" w14:textId="77777777" w:rsidTr="00614438">
        <w:trPr>
          <w:gridAfter w:val="1"/>
          <w:wAfter w:w="1212" w:type="dxa"/>
          <w:trHeight w:val="315"/>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6F35779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51" w:type="dxa"/>
            <w:gridSpan w:val="3"/>
            <w:tcBorders>
              <w:top w:val="single" w:sz="8" w:space="0" w:color="auto"/>
              <w:left w:val="nil"/>
              <w:bottom w:val="single" w:sz="8" w:space="0" w:color="auto"/>
              <w:right w:val="single" w:sz="8" w:space="0" w:color="000000"/>
            </w:tcBorders>
            <w:vAlign w:val="center"/>
            <w:hideMark/>
          </w:tcPr>
          <w:p w14:paraId="713A3B5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INECP subject fields</w:t>
            </w:r>
          </w:p>
        </w:tc>
      </w:tr>
      <w:tr w:rsidR="00614438" w:rsidRPr="00AA7A53" w14:paraId="267614E3" w14:textId="77777777" w:rsidTr="00614438">
        <w:trPr>
          <w:gridAfter w:val="1"/>
          <w:wAfter w:w="1212" w:type="dxa"/>
          <w:trHeight w:val="315"/>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5BCB6C8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51" w:type="dxa"/>
            <w:gridSpan w:val="3"/>
            <w:tcBorders>
              <w:top w:val="single" w:sz="8" w:space="0" w:color="auto"/>
              <w:left w:val="nil"/>
              <w:bottom w:val="single" w:sz="8" w:space="0" w:color="auto"/>
              <w:right w:val="single" w:sz="8" w:space="0" w:color="000000"/>
            </w:tcBorders>
            <w:vAlign w:val="center"/>
            <w:hideMark/>
          </w:tcPr>
          <w:p w14:paraId="260F0B93" w14:textId="77777777" w:rsidR="00614438" w:rsidRPr="00AA7A53" w:rsidRDefault="00614438" w:rsidP="00AA7A53">
            <w:pPr>
              <w:numPr>
                <w:ilvl w:val="0"/>
                <w:numId w:val="19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6A4DAF2F" w14:textId="77777777" w:rsidR="001F2B5C" w:rsidRPr="00AA7A53" w:rsidRDefault="001F2B5C" w:rsidP="00AA7A53">
            <w:pPr>
              <w:numPr>
                <w:ilvl w:val="0"/>
                <w:numId w:val="195"/>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Ministry of Science, Technological Development and Innovation </w:t>
            </w:r>
          </w:p>
          <w:p w14:paraId="54C34B74" w14:textId="41468194" w:rsidR="00614438" w:rsidRPr="00AA7A53" w:rsidRDefault="00614438" w:rsidP="00AA7A53">
            <w:pPr>
              <w:numPr>
                <w:ilvl w:val="0"/>
                <w:numId w:val="195"/>
              </w:numPr>
              <w:spacing w:after="0"/>
              <w:jc w:val="both"/>
              <w:rPr>
                <w:rFonts w:ascii="Times New Roman" w:hAnsi="Times New Roman" w:cs="Times New Roman"/>
                <w:sz w:val="20"/>
                <w:szCs w:val="20"/>
              </w:rPr>
            </w:pPr>
            <w:r w:rsidRPr="00AA7A53">
              <w:rPr>
                <w:rFonts w:ascii="Times New Roman" w:hAnsi="Times New Roman" w:cs="Times New Roman"/>
                <w:sz w:val="20"/>
                <w:szCs w:val="20"/>
              </w:rPr>
              <w:t>Chamber of Commerce and Industry of Serbia</w:t>
            </w:r>
          </w:p>
          <w:p w14:paraId="63329474" w14:textId="77777777" w:rsidR="00614438" w:rsidRPr="00AA7A53" w:rsidRDefault="00614438" w:rsidP="00AA7A53">
            <w:pPr>
              <w:numPr>
                <w:ilvl w:val="0"/>
                <w:numId w:val="195"/>
              </w:numPr>
              <w:spacing w:after="0"/>
              <w:jc w:val="both"/>
              <w:rPr>
                <w:rFonts w:ascii="Times New Roman" w:hAnsi="Times New Roman" w:cs="Times New Roman"/>
                <w:sz w:val="20"/>
                <w:szCs w:val="20"/>
              </w:rPr>
            </w:pPr>
            <w:r w:rsidRPr="00AA7A53">
              <w:rPr>
                <w:rFonts w:ascii="Times New Roman" w:hAnsi="Times New Roman" w:cs="Times New Roman"/>
                <w:sz w:val="20"/>
                <w:szCs w:val="20"/>
              </w:rPr>
              <w:t>Center for Promotion of Science</w:t>
            </w:r>
          </w:p>
        </w:tc>
      </w:tr>
      <w:tr w:rsidR="00614438" w:rsidRPr="00AA7A53" w14:paraId="1E83BC14" w14:textId="77777777" w:rsidTr="00614438">
        <w:trPr>
          <w:gridAfter w:val="1"/>
          <w:wAfter w:w="1212" w:type="dxa"/>
          <w:trHeight w:val="315"/>
        </w:trPr>
        <w:tc>
          <w:tcPr>
            <w:tcW w:w="3337" w:type="dxa"/>
            <w:tcBorders>
              <w:top w:val="nil"/>
              <w:left w:val="single" w:sz="8" w:space="0" w:color="auto"/>
              <w:bottom w:val="single" w:sz="8" w:space="0" w:color="auto"/>
              <w:right w:val="nil"/>
            </w:tcBorders>
            <w:shd w:val="clear" w:color="auto" w:fill="244062"/>
            <w:vAlign w:val="center"/>
            <w:hideMark/>
          </w:tcPr>
          <w:p w14:paraId="1B0C0DC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51" w:type="dxa"/>
            <w:gridSpan w:val="3"/>
            <w:tcBorders>
              <w:top w:val="single" w:sz="8" w:space="0" w:color="auto"/>
              <w:left w:val="nil"/>
              <w:bottom w:val="single" w:sz="8" w:space="0" w:color="auto"/>
              <w:right w:val="single" w:sz="8" w:space="0" w:color="000000"/>
            </w:tcBorders>
            <w:vAlign w:val="center"/>
            <w:hideMark/>
          </w:tcPr>
          <w:p w14:paraId="38793F72" w14:textId="37C1D17F" w:rsidR="00614438" w:rsidRPr="00AA7A53" w:rsidRDefault="001F2B5C" w:rsidP="00AA7A53">
            <w:pPr>
              <w:numPr>
                <w:ilvl w:val="0"/>
                <w:numId w:val="196"/>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Science, Technological Development and Innovation</w:t>
            </w:r>
          </w:p>
        </w:tc>
      </w:tr>
      <w:tr w:rsidR="00614438" w:rsidRPr="00AA7A53" w14:paraId="725962D9" w14:textId="77777777" w:rsidTr="00614438">
        <w:trPr>
          <w:gridAfter w:val="1"/>
          <w:wAfter w:w="1212" w:type="dxa"/>
          <w:trHeight w:val="315"/>
        </w:trPr>
        <w:tc>
          <w:tcPr>
            <w:tcW w:w="3337" w:type="dxa"/>
            <w:tcBorders>
              <w:top w:val="nil"/>
              <w:left w:val="single" w:sz="8" w:space="0" w:color="auto"/>
              <w:bottom w:val="single" w:sz="8" w:space="0" w:color="auto"/>
              <w:right w:val="nil"/>
            </w:tcBorders>
            <w:shd w:val="clear" w:color="auto" w:fill="244062"/>
            <w:vAlign w:val="center"/>
            <w:hideMark/>
          </w:tcPr>
          <w:p w14:paraId="3ED2FF9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51" w:type="dxa"/>
            <w:gridSpan w:val="3"/>
            <w:tcBorders>
              <w:top w:val="single" w:sz="8" w:space="0" w:color="auto"/>
              <w:left w:val="nil"/>
              <w:bottom w:val="single" w:sz="8" w:space="0" w:color="auto"/>
              <w:right w:val="single" w:sz="8" w:space="0" w:color="000000"/>
            </w:tcBorders>
            <w:vAlign w:val="center"/>
            <w:hideMark/>
          </w:tcPr>
          <w:p w14:paraId="3FA32F4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Number of Innovation Hubs / Clusters, Start-ups, Spin-offs/Spin-outs on an annual basis</w:t>
            </w:r>
          </w:p>
        </w:tc>
      </w:tr>
      <w:tr w:rsidR="00614438" w:rsidRPr="00AA7A53" w14:paraId="795112BE" w14:textId="77777777" w:rsidTr="00614438">
        <w:trPr>
          <w:gridAfter w:val="1"/>
          <w:wAfter w:w="1212" w:type="dxa"/>
          <w:trHeight w:val="443"/>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6A32178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51" w:type="dxa"/>
            <w:gridSpan w:val="3"/>
            <w:tcBorders>
              <w:top w:val="single" w:sz="8" w:space="0" w:color="auto"/>
              <w:left w:val="nil"/>
              <w:bottom w:val="single" w:sz="8" w:space="0" w:color="auto"/>
              <w:right w:val="single" w:sz="8" w:space="0" w:color="000000"/>
            </w:tcBorders>
            <w:vAlign w:val="center"/>
            <w:hideMark/>
          </w:tcPr>
          <w:p w14:paraId="1EBDFAF4" w14:textId="77777777" w:rsidR="00614438" w:rsidRPr="00AA7A53" w:rsidRDefault="00614438" w:rsidP="00AA7A53">
            <w:pPr>
              <w:numPr>
                <w:ilvl w:val="0"/>
                <w:numId w:val="197"/>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tc>
      </w:tr>
      <w:tr w:rsidR="00614438" w:rsidRPr="00AA7A53" w14:paraId="1C5CE0EF" w14:textId="77777777" w:rsidTr="00614438">
        <w:trPr>
          <w:gridAfter w:val="1"/>
          <w:wAfter w:w="1212" w:type="dxa"/>
          <w:trHeight w:val="458"/>
        </w:trPr>
        <w:tc>
          <w:tcPr>
            <w:tcW w:w="3337" w:type="dxa"/>
            <w:vMerge w:val="restart"/>
            <w:tcBorders>
              <w:top w:val="nil"/>
              <w:left w:val="single" w:sz="8" w:space="0" w:color="auto"/>
              <w:bottom w:val="single" w:sz="8" w:space="0" w:color="000000"/>
              <w:right w:val="single" w:sz="8" w:space="0" w:color="auto"/>
            </w:tcBorders>
            <w:shd w:val="clear" w:color="auto" w:fill="244062"/>
            <w:vAlign w:val="center"/>
            <w:hideMark/>
          </w:tcPr>
          <w:p w14:paraId="3648F46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5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27D4736D" w14:textId="77777777" w:rsidR="00614438" w:rsidRPr="00AA7A53" w:rsidRDefault="00614438" w:rsidP="00AA7A53">
            <w:pPr>
              <w:numPr>
                <w:ilvl w:val="0"/>
                <w:numId w:val="198"/>
              </w:numPr>
              <w:spacing w:after="0"/>
              <w:jc w:val="both"/>
              <w:rPr>
                <w:rFonts w:ascii="Times New Roman" w:hAnsi="Times New Roman" w:cs="Times New Roman"/>
                <w:sz w:val="20"/>
                <w:szCs w:val="20"/>
              </w:rPr>
            </w:pPr>
            <w:r w:rsidRPr="00AA7A53">
              <w:rPr>
                <w:rFonts w:ascii="Times New Roman" w:hAnsi="Times New Roman" w:cs="Times New Roman"/>
                <w:sz w:val="20"/>
                <w:szCs w:val="20"/>
              </w:rPr>
              <w:t>European Strategic Energy Technology Plan (SET Plan)</w:t>
            </w:r>
          </w:p>
        </w:tc>
      </w:tr>
      <w:tr w:rsidR="00614438" w:rsidRPr="00AA7A53" w14:paraId="470F1D3C"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322DFD7A"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9620431"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3047A198"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13AA0E3"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29E1588C"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50EACDB"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5F0A17A9"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7CCC20C4" w14:textId="77777777" w:rsidTr="00614438">
        <w:trPr>
          <w:trHeight w:val="413"/>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613AECE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51" w:type="dxa"/>
            <w:gridSpan w:val="3"/>
            <w:tcBorders>
              <w:top w:val="single" w:sz="8" w:space="0" w:color="auto"/>
              <w:left w:val="nil"/>
              <w:bottom w:val="single" w:sz="8" w:space="0" w:color="auto"/>
              <w:right w:val="single" w:sz="8" w:space="0" w:color="000000"/>
            </w:tcBorders>
            <w:vAlign w:val="center"/>
            <w:hideMark/>
          </w:tcPr>
          <w:p w14:paraId="2C9FE603" w14:textId="77777777" w:rsidR="00614438" w:rsidRPr="00AA7A53" w:rsidRDefault="00614438" w:rsidP="00AA7A53">
            <w:pPr>
              <w:numPr>
                <w:ilvl w:val="0"/>
                <w:numId w:val="198"/>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the Science Fund</w:t>
            </w:r>
          </w:p>
          <w:p w14:paraId="108502EA" w14:textId="77777777" w:rsidR="00614438" w:rsidRPr="00AA7A53" w:rsidRDefault="00614438" w:rsidP="00AA7A53">
            <w:pPr>
              <w:numPr>
                <w:ilvl w:val="0"/>
                <w:numId w:val="198"/>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Science and Research</w:t>
            </w:r>
          </w:p>
          <w:p w14:paraId="0D47D77C" w14:textId="067E3A85" w:rsidR="00631FE9" w:rsidRPr="00AA7A53" w:rsidRDefault="00631FE9" w:rsidP="00AA7A53">
            <w:pPr>
              <w:numPr>
                <w:ilvl w:val="0"/>
                <w:numId w:val="198"/>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Innovation Activity</w:t>
            </w:r>
          </w:p>
        </w:tc>
        <w:tc>
          <w:tcPr>
            <w:tcW w:w="1212" w:type="dxa"/>
            <w:vAlign w:val="center"/>
            <w:hideMark/>
          </w:tcPr>
          <w:p w14:paraId="18227416"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E311629" w14:textId="77777777" w:rsidTr="00614438">
        <w:trPr>
          <w:trHeight w:val="315"/>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3E1208E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51" w:type="dxa"/>
            <w:gridSpan w:val="3"/>
            <w:tcBorders>
              <w:top w:val="single" w:sz="8" w:space="0" w:color="auto"/>
              <w:left w:val="nil"/>
              <w:bottom w:val="single" w:sz="8" w:space="0" w:color="auto"/>
              <w:right w:val="single" w:sz="8" w:space="0" w:color="000000"/>
            </w:tcBorders>
            <w:vAlign w:val="center"/>
            <w:hideMark/>
          </w:tcPr>
          <w:p w14:paraId="54ED1A2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5.4 M€</w:t>
            </w:r>
          </w:p>
        </w:tc>
        <w:tc>
          <w:tcPr>
            <w:tcW w:w="1212" w:type="dxa"/>
            <w:vAlign w:val="center"/>
            <w:hideMark/>
          </w:tcPr>
          <w:p w14:paraId="27122563"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4B4BEB1" w14:textId="77777777" w:rsidTr="00614438">
        <w:trPr>
          <w:trHeight w:val="315"/>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3C2C22D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51" w:type="dxa"/>
            <w:gridSpan w:val="3"/>
            <w:tcBorders>
              <w:top w:val="single" w:sz="8" w:space="0" w:color="auto"/>
              <w:left w:val="nil"/>
              <w:bottom w:val="single" w:sz="8" w:space="0" w:color="auto"/>
              <w:right w:val="single" w:sz="8" w:space="0" w:color="000000"/>
            </w:tcBorders>
            <w:vAlign w:val="center"/>
            <w:hideMark/>
          </w:tcPr>
          <w:p w14:paraId="56CA066E" w14:textId="48F504B3" w:rsidR="00614438" w:rsidRPr="00AA7A53" w:rsidRDefault="00631FE9"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funds, g</w:t>
            </w:r>
            <w:r w:rsidR="00614438" w:rsidRPr="00AA7A53">
              <w:rPr>
                <w:rFonts w:ascii="Times New Roman" w:hAnsi="Times New Roman" w:cs="Times New Roman"/>
                <w:sz w:val="20"/>
                <w:szCs w:val="20"/>
                <w:lang w:val="en-GB"/>
              </w:rPr>
              <w:t>rants</w:t>
            </w:r>
            <w:r w:rsidRPr="00AA7A53">
              <w:rPr>
                <w:rFonts w:ascii="Times New Roman" w:hAnsi="Times New Roman" w:cs="Times New Roman"/>
                <w:sz w:val="20"/>
                <w:szCs w:val="20"/>
                <w:lang w:val="en-GB"/>
              </w:rPr>
              <w:t xml:space="preserve">, public and own </w:t>
            </w:r>
            <w:r w:rsidR="00614438" w:rsidRPr="00AA7A53">
              <w:rPr>
                <w:rFonts w:ascii="Times New Roman" w:hAnsi="Times New Roman" w:cs="Times New Roman"/>
                <w:sz w:val="20"/>
                <w:szCs w:val="20"/>
                <w:lang w:val="en-GB"/>
              </w:rPr>
              <w:t>funds</w:t>
            </w:r>
            <w:r w:rsidRPr="00AA7A53">
              <w:rPr>
                <w:rFonts w:ascii="Times New Roman" w:hAnsi="Times New Roman" w:cs="Times New Roman"/>
                <w:sz w:val="20"/>
                <w:szCs w:val="20"/>
                <w:lang w:val="en-GB"/>
              </w:rPr>
              <w:t>, f</w:t>
            </w:r>
            <w:r w:rsidR="00614438" w:rsidRPr="00AA7A53">
              <w:rPr>
                <w:rFonts w:ascii="Times New Roman" w:hAnsi="Times New Roman" w:cs="Times New Roman"/>
                <w:sz w:val="20"/>
                <w:szCs w:val="20"/>
                <w:lang w:val="en-GB"/>
              </w:rPr>
              <w:t>avo</w:t>
            </w:r>
            <w:r w:rsidRPr="00AA7A53">
              <w:rPr>
                <w:rFonts w:ascii="Times New Roman" w:hAnsi="Times New Roman" w:cs="Times New Roman"/>
                <w:sz w:val="20"/>
                <w:szCs w:val="20"/>
                <w:lang w:val="en-GB"/>
              </w:rPr>
              <w:t>u</w:t>
            </w:r>
            <w:r w:rsidR="00614438" w:rsidRPr="00AA7A53">
              <w:rPr>
                <w:rFonts w:ascii="Times New Roman" w:hAnsi="Times New Roman" w:cs="Times New Roman"/>
                <w:sz w:val="20"/>
                <w:szCs w:val="20"/>
                <w:lang w:val="en-GB"/>
              </w:rPr>
              <w:t>rable loans</w:t>
            </w:r>
            <w:r w:rsidRPr="00AA7A53">
              <w:rPr>
                <w:rFonts w:ascii="Times New Roman" w:hAnsi="Times New Roman" w:cs="Times New Roman"/>
                <w:sz w:val="20"/>
                <w:szCs w:val="20"/>
                <w:lang w:val="en-GB"/>
              </w:rPr>
              <w:t xml:space="preserve">, </w:t>
            </w:r>
            <w:r w:rsidR="00614438" w:rsidRPr="00AA7A53">
              <w:rPr>
                <w:rFonts w:ascii="Times New Roman" w:hAnsi="Times New Roman" w:cs="Times New Roman"/>
                <w:sz w:val="20"/>
                <w:szCs w:val="20"/>
                <w:lang w:val="en-GB"/>
              </w:rPr>
              <w:t>Programmes for research and development</w:t>
            </w:r>
          </w:p>
        </w:tc>
        <w:tc>
          <w:tcPr>
            <w:tcW w:w="1212" w:type="dxa"/>
            <w:vAlign w:val="center"/>
            <w:hideMark/>
          </w:tcPr>
          <w:p w14:paraId="1F65853A" w14:textId="77777777" w:rsidR="00614438" w:rsidRPr="00AA7A53" w:rsidRDefault="00614438" w:rsidP="00AA7A53">
            <w:pPr>
              <w:spacing w:after="0"/>
              <w:jc w:val="both"/>
              <w:rPr>
                <w:rFonts w:ascii="Times New Roman" w:hAnsi="Times New Roman" w:cs="Times New Roman"/>
                <w:sz w:val="20"/>
                <w:szCs w:val="20"/>
                <w:lang w:val="en-GB"/>
              </w:rPr>
            </w:pPr>
          </w:p>
        </w:tc>
      </w:tr>
    </w:tbl>
    <w:p w14:paraId="75043DC0"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306"/>
        <w:gridCol w:w="1039"/>
        <w:gridCol w:w="939"/>
        <w:gridCol w:w="4204"/>
        <w:gridCol w:w="1212"/>
      </w:tblGrid>
      <w:tr w:rsidR="00614438" w:rsidRPr="00AA7A53" w14:paraId="11E6660B" w14:textId="77777777" w:rsidTr="00614438">
        <w:trPr>
          <w:gridAfter w:val="1"/>
          <w:wAfter w:w="1212" w:type="dxa"/>
          <w:trHeight w:val="780"/>
        </w:trPr>
        <w:tc>
          <w:tcPr>
            <w:tcW w:w="3337"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EC1EA7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51" w:type="dxa"/>
            <w:tcBorders>
              <w:top w:val="single" w:sz="8" w:space="0" w:color="auto"/>
              <w:left w:val="nil"/>
              <w:bottom w:val="single" w:sz="8" w:space="0" w:color="auto"/>
              <w:right w:val="single" w:sz="8" w:space="0" w:color="auto"/>
            </w:tcBorders>
            <w:shd w:val="clear" w:color="auto" w:fill="E7E6E6" w:themeFill="background2"/>
            <w:vAlign w:val="center"/>
            <w:hideMark/>
          </w:tcPr>
          <w:p w14:paraId="304C602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PM_RIC6</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7D115CE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56" w:type="dxa"/>
            <w:tcBorders>
              <w:top w:val="single" w:sz="8" w:space="0" w:color="auto"/>
              <w:left w:val="nil"/>
              <w:bottom w:val="single" w:sz="8" w:space="0" w:color="auto"/>
              <w:right w:val="single" w:sz="8" w:space="0" w:color="auto"/>
            </w:tcBorders>
            <w:shd w:val="clear" w:color="auto" w:fill="E7E6E6" w:themeFill="background2"/>
            <w:vAlign w:val="center"/>
            <w:hideMark/>
          </w:tcPr>
          <w:p w14:paraId="1E25241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Development of specialised Competence Centres</w:t>
            </w:r>
          </w:p>
        </w:tc>
      </w:tr>
      <w:tr w:rsidR="00614438" w:rsidRPr="00AA7A53" w14:paraId="4D4A9C64" w14:textId="77777777" w:rsidTr="00614438">
        <w:trPr>
          <w:gridAfter w:val="1"/>
          <w:wAfter w:w="1212" w:type="dxa"/>
          <w:trHeight w:val="289"/>
        </w:trPr>
        <w:tc>
          <w:tcPr>
            <w:tcW w:w="3337" w:type="dxa"/>
            <w:tcBorders>
              <w:top w:val="nil"/>
              <w:left w:val="single" w:sz="8" w:space="0" w:color="auto"/>
              <w:bottom w:val="single" w:sz="8" w:space="0" w:color="auto"/>
              <w:right w:val="nil"/>
            </w:tcBorders>
            <w:shd w:val="clear" w:color="auto" w:fill="244062"/>
            <w:vAlign w:val="center"/>
            <w:hideMark/>
          </w:tcPr>
          <w:p w14:paraId="4EE565B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51" w:type="dxa"/>
            <w:gridSpan w:val="3"/>
            <w:tcBorders>
              <w:top w:val="single" w:sz="8" w:space="0" w:color="auto"/>
              <w:left w:val="nil"/>
              <w:bottom w:val="single" w:sz="8" w:space="0" w:color="auto"/>
              <w:right w:val="single" w:sz="8" w:space="0" w:color="000000"/>
            </w:tcBorders>
            <w:vAlign w:val="center"/>
            <w:hideMark/>
          </w:tcPr>
          <w:p w14:paraId="517D419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Research and Innovation</w:t>
            </w:r>
          </w:p>
        </w:tc>
      </w:tr>
      <w:tr w:rsidR="00614438" w:rsidRPr="00AA7A53" w14:paraId="6BC7992C" w14:textId="77777777" w:rsidTr="00614438">
        <w:trPr>
          <w:gridAfter w:val="1"/>
          <w:wAfter w:w="1212" w:type="dxa"/>
          <w:trHeight w:val="315"/>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425E944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51" w:type="dxa"/>
            <w:gridSpan w:val="3"/>
            <w:tcBorders>
              <w:top w:val="single" w:sz="8" w:space="0" w:color="auto"/>
              <w:left w:val="nil"/>
              <w:bottom w:val="single" w:sz="8" w:space="0" w:color="auto"/>
              <w:right w:val="single" w:sz="8" w:space="0" w:color="000000"/>
            </w:tcBorders>
            <w:vAlign w:val="center"/>
            <w:hideMark/>
          </w:tcPr>
          <w:p w14:paraId="416C1DF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 the level of technological readiness in the field of energy (Qualitative objective)</w:t>
            </w:r>
          </w:p>
        </w:tc>
      </w:tr>
      <w:tr w:rsidR="00614438" w:rsidRPr="00AA7A53" w14:paraId="0B5D09EB" w14:textId="77777777" w:rsidTr="00614438">
        <w:trPr>
          <w:gridAfter w:val="1"/>
          <w:wAfter w:w="1212" w:type="dxa"/>
          <w:trHeight w:val="1512"/>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634C2F8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51" w:type="dxa"/>
            <w:gridSpan w:val="3"/>
            <w:tcBorders>
              <w:top w:val="single" w:sz="8" w:space="0" w:color="auto"/>
              <w:left w:val="nil"/>
              <w:bottom w:val="single" w:sz="8" w:space="0" w:color="auto"/>
              <w:right w:val="single" w:sz="8" w:space="0" w:color="000000"/>
            </w:tcBorders>
            <w:vAlign w:val="center"/>
            <w:hideMark/>
          </w:tcPr>
          <w:p w14:paraId="7CC7783F" w14:textId="04E6B12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PM_RIC6 will promote the establishment of specialised Competence Centres with the aim to improve the analytical tools that can be applied to any policy area, including energy and environment, bringing together in one place extensive expertise in this field. The</w:t>
            </w:r>
            <w:r w:rsidR="00631FE9" w:rsidRPr="00AA7A53">
              <w:rPr>
                <w:rFonts w:ascii="Times New Roman" w:hAnsi="Times New Roman" w:cs="Times New Roman"/>
                <w:sz w:val="20"/>
                <w:szCs w:val="20"/>
                <w:lang w:val="en-GB"/>
              </w:rPr>
              <w:t>se centres</w:t>
            </w:r>
            <w:r w:rsidRPr="00AA7A53">
              <w:rPr>
                <w:rFonts w:ascii="Times New Roman" w:hAnsi="Times New Roman" w:cs="Times New Roman"/>
                <w:sz w:val="20"/>
                <w:szCs w:val="20"/>
                <w:lang w:val="en-GB"/>
              </w:rPr>
              <w:t xml:space="preserve"> will offer training courses in the use of the tools for policy-making as well as advice on the choice of tools. The Competence Centres offer future clients, project planners and other interested parties comprehensive information about techniques, products, support and trends in the sector of R&amp;I interest.</w:t>
            </w:r>
          </w:p>
        </w:tc>
      </w:tr>
      <w:tr w:rsidR="00614438" w:rsidRPr="00AA7A53" w14:paraId="50E1A70F" w14:textId="77777777" w:rsidTr="00614438">
        <w:trPr>
          <w:gridAfter w:val="1"/>
          <w:wAfter w:w="1212" w:type="dxa"/>
          <w:trHeight w:val="315"/>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0B5227C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51" w:type="dxa"/>
            <w:gridSpan w:val="3"/>
            <w:tcBorders>
              <w:top w:val="single" w:sz="8" w:space="0" w:color="auto"/>
              <w:left w:val="nil"/>
              <w:bottom w:val="single" w:sz="8" w:space="0" w:color="auto"/>
              <w:right w:val="single" w:sz="8" w:space="0" w:color="000000"/>
            </w:tcBorders>
            <w:vAlign w:val="center"/>
            <w:hideMark/>
          </w:tcPr>
          <w:p w14:paraId="69CBF778" w14:textId="1EAE7F32" w:rsidR="00614438" w:rsidRPr="00AA7A53" w:rsidRDefault="00631FE9"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until </w:t>
            </w:r>
            <w:r w:rsidR="00614438" w:rsidRPr="00AA7A53">
              <w:rPr>
                <w:rFonts w:ascii="Times New Roman" w:hAnsi="Times New Roman" w:cs="Times New Roman"/>
                <w:sz w:val="20"/>
                <w:szCs w:val="20"/>
                <w:lang w:val="en-GB"/>
              </w:rPr>
              <w:t>2030</w:t>
            </w:r>
          </w:p>
        </w:tc>
      </w:tr>
      <w:tr w:rsidR="00614438" w:rsidRPr="00AA7A53" w14:paraId="46EF6314" w14:textId="77777777" w:rsidTr="00614438">
        <w:trPr>
          <w:gridAfter w:val="1"/>
          <w:wAfter w:w="1212" w:type="dxa"/>
          <w:trHeight w:val="315"/>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7BD2DCF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51" w:type="dxa"/>
            <w:gridSpan w:val="3"/>
            <w:tcBorders>
              <w:top w:val="single" w:sz="8" w:space="0" w:color="auto"/>
              <w:left w:val="nil"/>
              <w:bottom w:val="single" w:sz="8" w:space="0" w:color="auto"/>
              <w:right w:val="single" w:sz="8" w:space="0" w:color="000000"/>
            </w:tcBorders>
            <w:vAlign w:val="center"/>
            <w:hideMark/>
          </w:tcPr>
          <w:p w14:paraId="6372D20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0AA651F0" w14:textId="77777777" w:rsidTr="00614438">
        <w:trPr>
          <w:gridAfter w:val="1"/>
          <w:wAfter w:w="1212" w:type="dxa"/>
          <w:trHeight w:val="315"/>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68B8D3A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51" w:type="dxa"/>
            <w:gridSpan w:val="3"/>
            <w:tcBorders>
              <w:top w:val="single" w:sz="8" w:space="0" w:color="auto"/>
              <w:left w:val="nil"/>
              <w:bottom w:val="single" w:sz="8" w:space="0" w:color="auto"/>
              <w:right w:val="single" w:sz="8" w:space="0" w:color="000000"/>
            </w:tcBorders>
            <w:vAlign w:val="center"/>
            <w:hideMark/>
          </w:tcPr>
          <w:p w14:paraId="159B876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INECP subject fields</w:t>
            </w:r>
          </w:p>
        </w:tc>
      </w:tr>
      <w:tr w:rsidR="00614438" w:rsidRPr="00AA7A53" w14:paraId="21B25402" w14:textId="77777777" w:rsidTr="00614438">
        <w:trPr>
          <w:gridAfter w:val="1"/>
          <w:wAfter w:w="1212" w:type="dxa"/>
          <w:trHeight w:val="315"/>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29A21DA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51" w:type="dxa"/>
            <w:gridSpan w:val="3"/>
            <w:tcBorders>
              <w:top w:val="single" w:sz="8" w:space="0" w:color="auto"/>
              <w:left w:val="nil"/>
              <w:bottom w:val="single" w:sz="8" w:space="0" w:color="auto"/>
              <w:right w:val="single" w:sz="8" w:space="0" w:color="000000"/>
            </w:tcBorders>
            <w:vAlign w:val="center"/>
            <w:hideMark/>
          </w:tcPr>
          <w:p w14:paraId="4B589C15" w14:textId="77777777" w:rsidR="00614438" w:rsidRPr="00AA7A53" w:rsidRDefault="00614438" w:rsidP="00AA7A53">
            <w:pPr>
              <w:numPr>
                <w:ilvl w:val="0"/>
                <w:numId w:val="199"/>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723C8791" w14:textId="77777777" w:rsidR="001F2B5C" w:rsidRPr="00AA7A53" w:rsidRDefault="001F2B5C" w:rsidP="00AA7A53">
            <w:pPr>
              <w:numPr>
                <w:ilvl w:val="0"/>
                <w:numId w:val="199"/>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Ministry of Science, Technological Development and Innovation </w:t>
            </w:r>
          </w:p>
          <w:p w14:paraId="49CB9224" w14:textId="1729B21A" w:rsidR="00614438" w:rsidRPr="00AA7A53" w:rsidRDefault="00614438" w:rsidP="00AA7A53">
            <w:pPr>
              <w:numPr>
                <w:ilvl w:val="0"/>
                <w:numId w:val="199"/>
              </w:numPr>
              <w:spacing w:after="0"/>
              <w:jc w:val="both"/>
              <w:rPr>
                <w:rFonts w:ascii="Times New Roman" w:hAnsi="Times New Roman" w:cs="Times New Roman"/>
                <w:sz w:val="20"/>
                <w:szCs w:val="20"/>
              </w:rPr>
            </w:pPr>
            <w:r w:rsidRPr="00AA7A53">
              <w:rPr>
                <w:rFonts w:ascii="Times New Roman" w:hAnsi="Times New Roman" w:cs="Times New Roman"/>
                <w:sz w:val="20"/>
                <w:szCs w:val="20"/>
              </w:rPr>
              <w:t>Chamber of Commerce and Industry of Serbia</w:t>
            </w:r>
          </w:p>
        </w:tc>
      </w:tr>
      <w:tr w:rsidR="00614438" w:rsidRPr="00AA7A53" w14:paraId="4D6F9E33" w14:textId="77777777" w:rsidTr="00614438">
        <w:trPr>
          <w:gridAfter w:val="1"/>
          <w:wAfter w:w="1212" w:type="dxa"/>
          <w:trHeight w:val="315"/>
        </w:trPr>
        <w:tc>
          <w:tcPr>
            <w:tcW w:w="3337" w:type="dxa"/>
            <w:tcBorders>
              <w:top w:val="nil"/>
              <w:left w:val="single" w:sz="8" w:space="0" w:color="auto"/>
              <w:bottom w:val="single" w:sz="8" w:space="0" w:color="auto"/>
              <w:right w:val="nil"/>
            </w:tcBorders>
            <w:shd w:val="clear" w:color="auto" w:fill="244062"/>
            <w:vAlign w:val="center"/>
            <w:hideMark/>
          </w:tcPr>
          <w:p w14:paraId="514D9DE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51" w:type="dxa"/>
            <w:gridSpan w:val="3"/>
            <w:tcBorders>
              <w:top w:val="single" w:sz="8" w:space="0" w:color="auto"/>
              <w:left w:val="nil"/>
              <w:bottom w:val="single" w:sz="8" w:space="0" w:color="auto"/>
              <w:right w:val="single" w:sz="8" w:space="0" w:color="000000"/>
            </w:tcBorders>
            <w:vAlign w:val="center"/>
            <w:hideMark/>
          </w:tcPr>
          <w:p w14:paraId="29AF8435" w14:textId="2BFCB445" w:rsidR="00614438" w:rsidRPr="00AA7A53" w:rsidRDefault="001F2B5C" w:rsidP="00AA7A53">
            <w:pPr>
              <w:numPr>
                <w:ilvl w:val="0"/>
                <w:numId w:val="200"/>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Science, Technological Development and Innovation</w:t>
            </w:r>
          </w:p>
        </w:tc>
      </w:tr>
      <w:tr w:rsidR="00614438" w:rsidRPr="00AA7A53" w14:paraId="1F912E0F" w14:textId="77777777" w:rsidTr="00614438">
        <w:trPr>
          <w:gridAfter w:val="1"/>
          <w:wAfter w:w="1212" w:type="dxa"/>
          <w:trHeight w:val="315"/>
        </w:trPr>
        <w:tc>
          <w:tcPr>
            <w:tcW w:w="3337" w:type="dxa"/>
            <w:tcBorders>
              <w:top w:val="nil"/>
              <w:left w:val="single" w:sz="8" w:space="0" w:color="auto"/>
              <w:bottom w:val="single" w:sz="8" w:space="0" w:color="auto"/>
              <w:right w:val="nil"/>
            </w:tcBorders>
            <w:shd w:val="clear" w:color="auto" w:fill="244062"/>
            <w:vAlign w:val="center"/>
            <w:hideMark/>
          </w:tcPr>
          <w:p w14:paraId="4E14E62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51" w:type="dxa"/>
            <w:gridSpan w:val="3"/>
            <w:tcBorders>
              <w:top w:val="single" w:sz="8" w:space="0" w:color="auto"/>
              <w:left w:val="nil"/>
              <w:bottom w:val="single" w:sz="8" w:space="0" w:color="auto"/>
              <w:right w:val="single" w:sz="8" w:space="0" w:color="000000"/>
            </w:tcBorders>
            <w:vAlign w:val="center"/>
            <w:hideMark/>
          </w:tcPr>
          <w:p w14:paraId="12CEB8B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Number of specialised Competence Centres on an annual basis</w:t>
            </w:r>
          </w:p>
        </w:tc>
      </w:tr>
      <w:tr w:rsidR="00614438" w:rsidRPr="00AA7A53" w14:paraId="5DE2ADC8" w14:textId="77777777" w:rsidTr="00614438">
        <w:trPr>
          <w:gridAfter w:val="1"/>
          <w:wAfter w:w="1212" w:type="dxa"/>
          <w:trHeight w:val="415"/>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1FA0A64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51" w:type="dxa"/>
            <w:gridSpan w:val="3"/>
            <w:tcBorders>
              <w:top w:val="single" w:sz="8" w:space="0" w:color="auto"/>
              <w:left w:val="nil"/>
              <w:bottom w:val="single" w:sz="8" w:space="0" w:color="auto"/>
              <w:right w:val="single" w:sz="8" w:space="0" w:color="000000"/>
            </w:tcBorders>
            <w:vAlign w:val="center"/>
            <w:hideMark/>
          </w:tcPr>
          <w:p w14:paraId="7118C24B" w14:textId="77777777" w:rsidR="00614438" w:rsidRPr="00AA7A53" w:rsidRDefault="00614438" w:rsidP="00AA7A53">
            <w:pPr>
              <w:numPr>
                <w:ilvl w:val="0"/>
                <w:numId w:val="201"/>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tc>
      </w:tr>
      <w:tr w:rsidR="00614438" w:rsidRPr="00AA7A53" w14:paraId="15CE1279" w14:textId="77777777" w:rsidTr="00614438">
        <w:trPr>
          <w:gridAfter w:val="1"/>
          <w:wAfter w:w="1212" w:type="dxa"/>
          <w:trHeight w:val="458"/>
        </w:trPr>
        <w:tc>
          <w:tcPr>
            <w:tcW w:w="3337" w:type="dxa"/>
            <w:vMerge w:val="restart"/>
            <w:tcBorders>
              <w:top w:val="nil"/>
              <w:left w:val="single" w:sz="8" w:space="0" w:color="auto"/>
              <w:bottom w:val="single" w:sz="8" w:space="0" w:color="000000"/>
              <w:right w:val="single" w:sz="8" w:space="0" w:color="auto"/>
            </w:tcBorders>
            <w:shd w:val="clear" w:color="auto" w:fill="244062"/>
            <w:vAlign w:val="center"/>
            <w:hideMark/>
          </w:tcPr>
          <w:p w14:paraId="5C31B94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5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A9DE102" w14:textId="77777777" w:rsidR="00614438" w:rsidRPr="00AA7A53" w:rsidRDefault="00614438" w:rsidP="00AA7A53">
            <w:pPr>
              <w:numPr>
                <w:ilvl w:val="0"/>
                <w:numId w:val="202"/>
              </w:numPr>
              <w:spacing w:after="0"/>
              <w:jc w:val="both"/>
              <w:rPr>
                <w:rFonts w:ascii="Times New Roman" w:hAnsi="Times New Roman" w:cs="Times New Roman"/>
                <w:sz w:val="20"/>
                <w:szCs w:val="20"/>
              </w:rPr>
            </w:pPr>
            <w:r w:rsidRPr="00AA7A53">
              <w:rPr>
                <w:rFonts w:ascii="Times New Roman" w:hAnsi="Times New Roman" w:cs="Times New Roman"/>
                <w:sz w:val="20"/>
                <w:szCs w:val="20"/>
              </w:rPr>
              <w:t>European Strategic Energy Technology Plan (SET Plan)</w:t>
            </w:r>
          </w:p>
        </w:tc>
      </w:tr>
      <w:tr w:rsidR="00614438" w:rsidRPr="00AA7A53" w14:paraId="4F356445"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1DA77278"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BDF1626"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78617E4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DC47562"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4E549131"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D52F4BF"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1284051A"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6CCDA160" w14:textId="77777777" w:rsidTr="00614438">
        <w:trPr>
          <w:trHeight w:val="605"/>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24D8209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51" w:type="dxa"/>
            <w:gridSpan w:val="3"/>
            <w:tcBorders>
              <w:top w:val="single" w:sz="8" w:space="0" w:color="auto"/>
              <w:left w:val="nil"/>
              <w:bottom w:val="single" w:sz="8" w:space="0" w:color="auto"/>
              <w:right w:val="single" w:sz="8" w:space="0" w:color="000000"/>
            </w:tcBorders>
            <w:vAlign w:val="center"/>
            <w:hideMark/>
          </w:tcPr>
          <w:p w14:paraId="12683C85" w14:textId="77777777" w:rsidR="00614438" w:rsidRPr="00AA7A53" w:rsidRDefault="00614438" w:rsidP="00AA7A53">
            <w:pPr>
              <w:numPr>
                <w:ilvl w:val="0"/>
                <w:numId w:val="202"/>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the Science Fund</w:t>
            </w:r>
          </w:p>
          <w:p w14:paraId="275252D8" w14:textId="77777777" w:rsidR="00614438" w:rsidRPr="00AA7A53" w:rsidRDefault="00614438" w:rsidP="00AA7A53">
            <w:pPr>
              <w:numPr>
                <w:ilvl w:val="0"/>
                <w:numId w:val="202"/>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Science and Research</w:t>
            </w:r>
          </w:p>
          <w:p w14:paraId="43E67C1B" w14:textId="0A5700DB" w:rsidR="00631FE9" w:rsidRPr="00AA7A53" w:rsidRDefault="00631FE9" w:rsidP="00AA7A53">
            <w:pPr>
              <w:numPr>
                <w:ilvl w:val="0"/>
                <w:numId w:val="202"/>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Innovation Activity</w:t>
            </w:r>
          </w:p>
        </w:tc>
        <w:tc>
          <w:tcPr>
            <w:tcW w:w="1212" w:type="dxa"/>
            <w:vAlign w:val="center"/>
            <w:hideMark/>
          </w:tcPr>
          <w:p w14:paraId="7C33DDB7"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7C17877" w14:textId="77777777" w:rsidTr="00614438">
        <w:trPr>
          <w:trHeight w:val="315"/>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27B4CF4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51" w:type="dxa"/>
            <w:gridSpan w:val="3"/>
            <w:tcBorders>
              <w:top w:val="single" w:sz="8" w:space="0" w:color="auto"/>
              <w:left w:val="nil"/>
              <w:bottom w:val="single" w:sz="8" w:space="0" w:color="auto"/>
              <w:right w:val="single" w:sz="8" w:space="0" w:color="000000"/>
            </w:tcBorders>
            <w:vAlign w:val="center"/>
            <w:hideMark/>
          </w:tcPr>
          <w:p w14:paraId="5E814DF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3.6 M€</w:t>
            </w:r>
          </w:p>
        </w:tc>
        <w:tc>
          <w:tcPr>
            <w:tcW w:w="1212" w:type="dxa"/>
            <w:vAlign w:val="center"/>
            <w:hideMark/>
          </w:tcPr>
          <w:p w14:paraId="219978F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4F8CF6E" w14:textId="77777777" w:rsidTr="00614438">
        <w:trPr>
          <w:trHeight w:val="315"/>
        </w:trPr>
        <w:tc>
          <w:tcPr>
            <w:tcW w:w="3337" w:type="dxa"/>
            <w:tcBorders>
              <w:top w:val="nil"/>
              <w:left w:val="single" w:sz="8" w:space="0" w:color="auto"/>
              <w:bottom w:val="single" w:sz="8" w:space="0" w:color="auto"/>
              <w:right w:val="single" w:sz="8" w:space="0" w:color="auto"/>
            </w:tcBorders>
            <w:shd w:val="clear" w:color="auto" w:fill="244062"/>
            <w:vAlign w:val="center"/>
            <w:hideMark/>
          </w:tcPr>
          <w:p w14:paraId="7437289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51" w:type="dxa"/>
            <w:gridSpan w:val="3"/>
            <w:tcBorders>
              <w:top w:val="single" w:sz="8" w:space="0" w:color="auto"/>
              <w:left w:val="nil"/>
              <w:bottom w:val="single" w:sz="8" w:space="0" w:color="auto"/>
              <w:right w:val="single" w:sz="8" w:space="0" w:color="000000"/>
            </w:tcBorders>
            <w:vAlign w:val="center"/>
            <w:hideMark/>
          </w:tcPr>
          <w:p w14:paraId="59234231" w14:textId="744BDA73" w:rsidR="00614438" w:rsidRPr="00AA7A53" w:rsidRDefault="00631FE9"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EU funds, </w:t>
            </w:r>
            <w:r w:rsidR="00614438" w:rsidRPr="00AA7A53">
              <w:rPr>
                <w:rFonts w:ascii="Times New Roman" w:hAnsi="Times New Roman" w:cs="Times New Roman"/>
                <w:sz w:val="20"/>
                <w:szCs w:val="20"/>
                <w:lang w:val="en-GB"/>
              </w:rPr>
              <w:t>Grants</w:t>
            </w:r>
            <w:r w:rsidRPr="00AA7A53">
              <w:rPr>
                <w:rFonts w:ascii="Times New Roman" w:hAnsi="Times New Roman" w:cs="Times New Roman"/>
                <w:sz w:val="20"/>
                <w:szCs w:val="20"/>
                <w:lang w:val="en-GB"/>
              </w:rPr>
              <w:t>, own</w:t>
            </w:r>
            <w:r w:rsidR="00614438" w:rsidRPr="00AA7A53">
              <w:rPr>
                <w:rFonts w:ascii="Times New Roman" w:hAnsi="Times New Roman" w:cs="Times New Roman"/>
                <w:sz w:val="20"/>
                <w:szCs w:val="20"/>
                <w:lang w:val="en-GB"/>
              </w:rPr>
              <w:t xml:space="preserve"> and public funds</w:t>
            </w:r>
            <w:r w:rsidRPr="00AA7A53">
              <w:rPr>
                <w:rFonts w:ascii="Times New Roman" w:hAnsi="Times New Roman" w:cs="Times New Roman"/>
                <w:sz w:val="20"/>
                <w:szCs w:val="20"/>
                <w:lang w:val="en-GB"/>
              </w:rPr>
              <w:t xml:space="preserve">, </w:t>
            </w:r>
            <w:r w:rsidR="00614438" w:rsidRPr="00AA7A53">
              <w:rPr>
                <w:rFonts w:ascii="Times New Roman" w:hAnsi="Times New Roman" w:cs="Times New Roman"/>
                <w:sz w:val="20"/>
                <w:szCs w:val="20"/>
                <w:lang w:val="en-GB"/>
              </w:rPr>
              <w:t>Programmes for research and development</w:t>
            </w:r>
            <w:r w:rsidRPr="00AA7A53">
              <w:rPr>
                <w:rFonts w:ascii="Times New Roman" w:hAnsi="Times New Roman" w:cs="Times New Roman"/>
                <w:sz w:val="20"/>
                <w:szCs w:val="20"/>
                <w:lang w:val="en-GB"/>
              </w:rPr>
              <w:t xml:space="preserve">, </w:t>
            </w:r>
            <w:r w:rsidR="00614438" w:rsidRPr="00AA7A53">
              <w:rPr>
                <w:rFonts w:ascii="Times New Roman" w:hAnsi="Times New Roman" w:cs="Times New Roman"/>
                <w:sz w:val="20"/>
                <w:szCs w:val="20"/>
                <w:lang w:val="en-GB"/>
              </w:rPr>
              <w:t>Donors</w:t>
            </w:r>
          </w:p>
        </w:tc>
        <w:tc>
          <w:tcPr>
            <w:tcW w:w="1212" w:type="dxa"/>
            <w:vAlign w:val="center"/>
            <w:hideMark/>
          </w:tcPr>
          <w:p w14:paraId="38AF37B4" w14:textId="77777777" w:rsidR="00614438" w:rsidRPr="00AA7A53" w:rsidRDefault="00614438" w:rsidP="00AA7A53">
            <w:pPr>
              <w:spacing w:after="0"/>
              <w:jc w:val="both"/>
              <w:rPr>
                <w:rFonts w:ascii="Times New Roman" w:hAnsi="Times New Roman" w:cs="Times New Roman"/>
                <w:sz w:val="20"/>
                <w:szCs w:val="20"/>
                <w:lang w:val="en-GB"/>
              </w:rPr>
            </w:pPr>
          </w:p>
        </w:tc>
      </w:tr>
    </w:tbl>
    <w:p w14:paraId="483A7D09"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50"/>
        <w:gridCol w:w="1203"/>
        <w:gridCol w:w="932"/>
        <w:gridCol w:w="4103"/>
        <w:gridCol w:w="1212"/>
      </w:tblGrid>
      <w:tr w:rsidR="00614438" w:rsidRPr="00AA7A53" w14:paraId="59A21E7A" w14:textId="77777777" w:rsidTr="00631FE9">
        <w:trPr>
          <w:gridAfter w:val="1"/>
          <w:wAfter w:w="1212" w:type="dxa"/>
          <w:trHeight w:val="780"/>
        </w:trPr>
        <w:tc>
          <w:tcPr>
            <w:tcW w:w="3250"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06DBA67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203" w:type="dxa"/>
            <w:tcBorders>
              <w:top w:val="single" w:sz="8" w:space="0" w:color="auto"/>
              <w:left w:val="nil"/>
              <w:bottom w:val="single" w:sz="8" w:space="0" w:color="auto"/>
              <w:right w:val="single" w:sz="8" w:space="0" w:color="auto"/>
            </w:tcBorders>
            <w:shd w:val="clear" w:color="auto" w:fill="E7E6E6" w:themeFill="background2"/>
            <w:vAlign w:val="center"/>
            <w:hideMark/>
          </w:tcPr>
          <w:p w14:paraId="338D5DF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PM_RIC7</w:t>
            </w:r>
          </w:p>
        </w:tc>
        <w:tc>
          <w:tcPr>
            <w:tcW w:w="932" w:type="dxa"/>
            <w:tcBorders>
              <w:top w:val="single" w:sz="8" w:space="0" w:color="auto"/>
              <w:left w:val="nil"/>
              <w:bottom w:val="single" w:sz="8" w:space="0" w:color="auto"/>
              <w:right w:val="single" w:sz="8" w:space="0" w:color="auto"/>
            </w:tcBorders>
            <w:shd w:val="clear" w:color="auto" w:fill="244062"/>
            <w:vAlign w:val="center"/>
            <w:hideMark/>
          </w:tcPr>
          <w:p w14:paraId="515BDFC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03" w:type="dxa"/>
            <w:tcBorders>
              <w:top w:val="single" w:sz="8" w:space="0" w:color="auto"/>
              <w:left w:val="nil"/>
              <w:bottom w:val="single" w:sz="8" w:space="0" w:color="auto"/>
              <w:right w:val="single" w:sz="8" w:space="0" w:color="auto"/>
            </w:tcBorders>
            <w:shd w:val="clear" w:color="auto" w:fill="E7E6E6" w:themeFill="background2"/>
            <w:vAlign w:val="center"/>
            <w:hideMark/>
          </w:tcPr>
          <w:p w14:paraId="4CA4642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Facilitation of the establishment of regional centres of research excellence</w:t>
            </w:r>
          </w:p>
        </w:tc>
      </w:tr>
      <w:tr w:rsidR="00614438" w:rsidRPr="00AA7A53" w14:paraId="2F93D718" w14:textId="77777777" w:rsidTr="00631FE9">
        <w:trPr>
          <w:gridAfter w:val="1"/>
          <w:wAfter w:w="1212" w:type="dxa"/>
          <w:trHeight w:val="185"/>
        </w:trPr>
        <w:tc>
          <w:tcPr>
            <w:tcW w:w="3250" w:type="dxa"/>
            <w:tcBorders>
              <w:top w:val="nil"/>
              <w:left w:val="single" w:sz="8" w:space="0" w:color="auto"/>
              <w:bottom w:val="single" w:sz="8" w:space="0" w:color="auto"/>
              <w:right w:val="nil"/>
            </w:tcBorders>
            <w:shd w:val="clear" w:color="auto" w:fill="244062"/>
            <w:vAlign w:val="center"/>
            <w:hideMark/>
          </w:tcPr>
          <w:p w14:paraId="3B781C0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38" w:type="dxa"/>
            <w:gridSpan w:val="3"/>
            <w:tcBorders>
              <w:top w:val="single" w:sz="8" w:space="0" w:color="auto"/>
              <w:left w:val="nil"/>
              <w:bottom w:val="single" w:sz="8" w:space="0" w:color="auto"/>
              <w:right w:val="single" w:sz="8" w:space="0" w:color="000000"/>
            </w:tcBorders>
            <w:vAlign w:val="center"/>
            <w:hideMark/>
          </w:tcPr>
          <w:p w14:paraId="09D79C4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Research and Innovation</w:t>
            </w:r>
          </w:p>
        </w:tc>
      </w:tr>
      <w:tr w:rsidR="00614438" w:rsidRPr="00AA7A53" w14:paraId="7832E12A" w14:textId="77777777" w:rsidTr="00631FE9">
        <w:trPr>
          <w:gridAfter w:val="1"/>
          <w:wAfter w:w="1212" w:type="dxa"/>
          <w:trHeight w:val="315"/>
        </w:trPr>
        <w:tc>
          <w:tcPr>
            <w:tcW w:w="3250" w:type="dxa"/>
            <w:tcBorders>
              <w:top w:val="nil"/>
              <w:left w:val="single" w:sz="8" w:space="0" w:color="auto"/>
              <w:bottom w:val="single" w:sz="8" w:space="0" w:color="auto"/>
              <w:right w:val="single" w:sz="8" w:space="0" w:color="auto"/>
            </w:tcBorders>
            <w:shd w:val="clear" w:color="auto" w:fill="244062"/>
            <w:vAlign w:val="center"/>
            <w:hideMark/>
          </w:tcPr>
          <w:p w14:paraId="55AF722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38" w:type="dxa"/>
            <w:gridSpan w:val="3"/>
            <w:tcBorders>
              <w:top w:val="single" w:sz="8" w:space="0" w:color="auto"/>
              <w:left w:val="nil"/>
              <w:bottom w:val="single" w:sz="8" w:space="0" w:color="auto"/>
              <w:right w:val="single" w:sz="8" w:space="0" w:color="000000"/>
            </w:tcBorders>
            <w:vAlign w:val="center"/>
            <w:hideMark/>
          </w:tcPr>
          <w:p w14:paraId="46BA67F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 the level of technological readiness in the field of energy (Qualitative objective)</w:t>
            </w:r>
          </w:p>
        </w:tc>
      </w:tr>
      <w:tr w:rsidR="00614438" w:rsidRPr="00AA7A53" w14:paraId="20DB1E61" w14:textId="77777777" w:rsidTr="00631FE9">
        <w:trPr>
          <w:gridAfter w:val="1"/>
          <w:wAfter w:w="1212" w:type="dxa"/>
          <w:trHeight w:val="443"/>
        </w:trPr>
        <w:tc>
          <w:tcPr>
            <w:tcW w:w="3250" w:type="dxa"/>
            <w:tcBorders>
              <w:top w:val="nil"/>
              <w:left w:val="single" w:sz="8" w:space="0" w:color="auto"/>
              <w:bottom w:val="single" w:sz="8" w:space="0" w:color="auto"/>
              <w:right w:val="single" w:sz="8" w:space="0" w:color="auto"/>
            </w:tcBorders>
            <w:shd w:val="clear" w:color="auto" w:fill="244062"/>
            <w:vAlign w:val="center"/>
            <w:hideMark/>
          </w:tcPr>
          <w:p w14:paraId="52F50D2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38" w:type="dxa"/>
            <w:gridSpan w:val="3"/>
            <w:tcBorders>
              <w:top w:val="single" w:sz="8" w:space="0" w:color="auto"/>
              <w:left w:val="nil"/>
              <w:bottom w:val="single" w:sz="8" w:space="0" w:color="auto"/>
              <w:right w:val="single" w:sz="8" w:space="0" w:color="000000"/>
            </w:tcBorders>
            <w:vAlign w:val="center"/>
            <w:hideMark/>
          </w:tcPr>
          <w:p w14:paraId="1E07808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PM_RIC7 will facilitate the establishment of research excellence centres. These centres are designed to encourage outstanding research by providing large-scale, long-term funding to designated research units. They provide funds for research and related measures, such as the improvement or </w:t>
            </w:r>
            <w:r w:rsidRPr="00AA7A53">
              <w:rPr>
                <w:rFonts w:ascii="Times New Roman" w:hAnsi="Times New Roman" w:cs="Times New Roman"/>
                <w:sz w:val="20"/>
                <w:szCs w:val="20"/>
                <w:lang w:val="en-GB"/>
              </w:rPr>
              <w:lastRenderedPageBreak/>
              <w:t>extension of physical infrastructure, the recruitment of outstanding researchers from abroad, and researcher training.</w:t>
            </w:r>
          </w:p>
        </w:tc>
      </w:tr>
      <w:tr w:rsidR="00614438" w:rsidRPr="00AA7A53" w14:paraId="310B9818" w14:textId="77777777" w:rsidTr="00631FE9">
        <w:trPr>
          <w:gridAfter w:val="1"/>
          <w:wAfter w:w="1212" w:type="dxa"/>
          <w:trHeight w:val="315"/>
        </w:trPr>
        <w:tc>
          <w:tcPr>
            <w:tcW w:w="3250" w:type="dxa"/>
            <w:tcBorders>
              <w:top w:val="nil"/>
              <w:left w:val="single" w:sz="8" w:space="0" w:color="auto"/>
              <w:bottom w:val="single" w:sz="8" w:space="0" w:color="auto"/>
              <w:right w:val="single" w:sz="8" w:space="0" w:color="auto"/>
            </w:tcBorders>
            <w:shd w:val="clear" w:color="auto" w:fill="244062"/>
            <w:vAlign w:val="center"/>
            <w:hideMark/>
          </w:tcPr>
          <w:p w14:paraId="1129267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Implementation Timeframe</w:t>
            </w:r>
          </w:p>
        </w:tc>
        <w:tc>
          <w:tcPr>
            <w:tcW w:w="6238" w:type="dxa"/>
            <w:gridSpan w:val="3"/>
            <w:tcBorders>
              <w:top w:val="single" w:sz="8" w:space="0" w:color="auto"/>
              <w:left w:val="nil"/>
              <w:bottom w:val="single" w:sz="8" w:space="0" w:color="auto"/>
              <w:right w:val="single" w:sz="8" w:space="0" w:color="000000"/>
            </w:tcBorders>
            <w:vAlign w:val="center"/>
            <w:hideMark/>
          </w:tcPr>
          <w:p w14:paraId="72B551AF" w14:textId="6619F73E"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631FE9" w:rsidRPr="00AA7A53">
              <w:rPr>
                <w:rFonts w:ascii="Times New Roman" w:hAnsi="Times New Roman" w:cs="Times New Roman"/>
                <w:sz w:val="20"/>
                <w:szCs w:val="20"/>
                <w:lang w:val="en-GB"/>
              </w:rPr>
              <w:t>5</w:t>
            </w:r>
            <w:r w:rsidRPr="00AA7A53">
              <w:rPr>
                <w:rFonts w:ascii="Times New Roman" w:hAnsi="Times New Roman" w:cs="Times New Roman"/>
                <w:sz w:val="20"/>
                <w:szCs w:val="20"/>
                <w:lang w:val="en-GB"/>
              </w:rPr>
              <w:t>-2030</w:t>
            </w:r>
          </w:p>
        </w:tc>
      </w:tr>
      <w:tr w:rsidR="00614438" w:rsidRPr="00AA7A53" w14:paraId="1790F7A3" w14:textId="77777777" w:rsidTr="00631FE9">
        <w:trPr>
          <w:gridAfter w:val="1"/>
          <w:wAfter w:w="1212" w:type="dxa"/>
          <w:trHeight w:val="315"/>
        </w:trPr>
        <w:tc>
          <w:tcPr>
            <w:tcW w:w="3250" w:type="dxa"/>
            <w:tcBorders>
              <w:top w:val="nil"/>
              <w:left w:val="single" w:sz="8" w:space="0" w:color="auto"/>
              <w:bottom w:val="single" w:sz="8" w:space="0" w:color="auto"/>
              <w:right w:val="single" w:sz="8" w:space="0" w:color="auto"/>
            </w:tcBorders>
            <w:shd w:val="clear" w:color="auto" w:fill="244062"/>
            <w:vAlign w:val="center"/>
            <w:hideMark/>
          </w:tcPr>
          <w:p w14:paraId="24D68B6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38" w:type="dxa"/>
            <w:gridSpan w:val="3"/>
            <w:tcBorders>
              <w:top w:val="single" w:sz="8" w:space="0" w:color="auto"/>
              <w:left w:val="nil"/>
              <w:bottom w:val="single" w:sz="8" w:space="0" w:color="auto"/>
              <w:right w:val="single" w:sz="8" w:space="0" w:color="000000"/>
            </w:tcBorders>
            <w:vAlign w:val="center"/>
            <w:hideMark/>
          </w:tcPr>
          <w:p w14:paraId="55AE376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335E2650" w14:textId="77777777" w:rsidTr="00631FE9">
        <w:trPr>
          <w:gridAfter w:val="1"/>
          <w:wAfter w:w="1212" w:type="dxa"/>
          <w:trHeight w:val="315"/>
        </w:trPr>
        <w:tc>
          <w:tcPr>
            <w:tcW w:w="3250" w:type="dxa"/>
            <w:tcBorders>
              <w:top w:val="nil"/>
              <w:left w:val="single" w:sz="8" w:space="0" w:color="auto"/>
              <w:bottom w:val="single" w:sz="8" w:space="0" w:color="auto"/>
              <w:right w:val="single" w:sz="8" w:space="0" w:color="auto"/>
            </w:tcBorders>
            <w:shd w:val="clear" w:color="auto" w:fill="244062"/>
            <w:vAlign w:val="center"/>
            <w:hideMark/>
          </w:tcPr>
          <w:p w14:paraId="2F78F40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38" w:type="dxa"/>
            <w:gridSpan w:val="3"/>
            <w:tcBorders>
              <w:top w:val="single" w:sz="8" w:space="0" w:color="auto"/>
              <w:left w:val="nil"/>
              <w:bottom w:val="single" w:sz="8" w:space="0" w:color="auto"/>
              <w:right w:val="single" w:sz="8" w:space="0" w:color="000000"/>
            </w:tcBorders>
            <w:vAlign w:val="center"/>
            <w:hideMark/>
          </w:tcPr>
          <w:p w14:paraId="4E371CF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INECP subject fields</w:t>
            </w:r>
          </w:p>
        </w:tc>
      </w:tr>
      <w:tr w:rsidR="00614438" w:rsidRPr="00AA7A53" w14:paraId="7FE3031B" w14:textId="77777777" w:rsidTr="00631FE9">
        <w:trPr>
          <w:gridAfter w:val="1"/>
          <w:wAfter w:w="1212" w:type="dxa"/>
          <w:trHeight w:val="315"/>
        </w:trPr>
        <w:tc>
          <w:tcPr>
            <w:tcW w:w="3250" w:type="dxa"/>
            <w:tcBorders>
              <w:top w:val="nil"/>
              <w:left w:val="single" w:sz="8" w:space="0" w:color="auto"/>
              <w:bottom w:val="single" w:sz="8" w:space="0" w:color="auto"/>
              <w:right w:val="single" w:sz="8" w:space="0" w:color="auto"/>
            </w:tcBorders>
            <w:shd w:val="clear" w:color="auto" w:fill="244062"/>
            <w:vAlign w:val="center"/>
            <w:hideMark/>
          </w:tcPr>
          <w:p w14:paraId="3DF09FF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38" w:type="dxa"/>
            <w:gridSpan w:val="3"/>
            <w:tcBorders>
              <w:top w:val="single" w:sz="8" w:space="0" w:color="auto"/>
              <w:left w:val="nil"/>
              <w:bottom w:val="single" w:sz="8" w:space="0" w:color="auto"/>
              <w:right w:val="single" w:sz="8" w:space="0" w:color="000000"/>
            </w:tcBorders>
            <w:vAlign w:val="center"/>
            <w:hideMark/>
          </w:tcPr>
          <w:p w14:paraId="53354C20" w14:textId="77777777" w:rsidR="00614438" w:rsidRPr="00AA7A53" w:rsidRDefault="00614438" w:rsidP="00AA7A53">
            <w:pPr>
              <w:numPr>
                <w:ilvl w:val="0"/>
                <w:numId w:val="204"/>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3EB64476" w14:textId="4A1A992D" w:rsidR="00614438" w:rsidRPr="00AA7A53" w:rsidRDefault="001F2B5C" w:rsidP="00AA7A53">
            <w:pPr>
              <w:numPr>
                <w:ilvl w:val="0"/>
                <w:numId w:val="204"/>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Science, Technological Development and Innovation</w:t>
            </w:r>
          </w:p>
          <w:p w14:paraId="716D3EBA" w14:textId="77777777" w:rsidR="00614438" w:rsidRPr="00AA7A53" w:rsidRDefault="00614438" w:rsidP="00AA7A53">
            <w:pPr>
              <w:numPr>
                <w:ilvl w:val="0"/>
                <w:numId w:val="204"/>
              </w:numPr>
              <w:spacing w:after="0"/>
              <w:jc w:val="both"/>
              <w:rPr>
                <w:rFonts w:ascii="Times New Roman" w:hAnsi="Times New Roman" w:cs="Times New Roman"/>
                <w:sz w:val="20"/>
                <w:szCs w:val="20"/>
              </w:rPr>
            </w:pPr>
            <w:r w:rsidRPr="00AA7A53">
              <w:rPr>
                <w:rFonts w:ascii="Times New Roman" w:hAnsi="Times New Roman" w:cs="Times New Roman"/>
                <w:sz w:val="20"/>
                <w:szCs w:val="20"/>
              </w:rPr>
              <w:t>Chamber of Commerce and Industry of Serbia</w:t>
            </w:r>
          </w:p>
          <w:p w14:paraId="070C59F0" w14:textId="77777777" w:rsidR="00614438" w:rsidRPr="00AA7A53" w:rsidRDefault="00614438" w:rsidP="00AA7A53">
            <w:pPr>
              <w:numPr>
                <w:ilvl w:val="0"/>
                <w:numId w:val="204"/>
              </w:numPr>
              <w:spacing w:after="0"/>
              <w:jc w:val="both"/>
              <w:rPr>
                <w:rFonts w:ascii="Times New Roman" w:hAnsi="Times New Roman" w:cs="Times New Roman"/>
                <w:sz w:val="20"/>
                <w:szCs w:val="20"/>
              </w:rPr>
            </w:pPr>
            <w:r w:rsidRPr="00AA7A53">
              <w:rPr>
                <w:rFonts w:ascii="Times New Roman" w:hAnsi="Times New Roman" w:cs="Times New Roman"/>
                <w:sz w:val="20"/>
                <w:szCs w:val="20"/>
              </w:rPr>
              <w:t>Center for Promotion of Science</w:t>
            </w:r>
          </w:p>
        </w:tc>
      </w:tr>
      <w:tr w:rsidR="00614438" w:rsidRPr="00AA7A53" w14:paraId="762D733F" w14:textId="77777777" w:rsidTr="00631FE9">
        <w:trPr>
          <w:gridAfter w:val="1"/>
          <w:wAfter w:w="1212" w:type="dxa"/>
          <w:trHeight w:val="315"/>
        </w:trPr>
        <w:tc>
          <w:tcPr>
            <w:tcW w:w="3250" w:type="dxa"/>
            <w:tcBorders>
              <w:top w:val="nil"/>
              <w:left w:val="single" w:sz="8" w:space="0" w:color="auto"/>
              <w:bottom w:val="single" w:sz="8" w:space="0" w:color="auto"/>
              <w:right w:val="nil"/>
            </w:tcBorders>
            <w:shd w:val="clear" w:color="auto" w:fill="244062"/>
            <w:vAlign w:val="center"/>
            <w:hideMark/>
          </w:tcPr>
          <w:p w14:paraId="42FB287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238" w:type="dxa"/>
            <w:gridSpan w:val="3"/>
            <w:tcBorders>
              <w:top w:val="single" w:sz="8" w:space="0" w:color="auto"/>
              <w:left w:val="nil"/>
              <w:bottom w:val="single" w:sz="8" w:space="0" w:color="auto"/>
              <w:right w:val="single" w:sz="8" w:space="0" w:color="000000"/>
            </w:tcBorders>
            <w:vAlign w:val="center"/>
            <w:hideMark/>
          </w:tcPr>
          <w:p w14:paraId="384CD252" w14:textId="54934559" w:rsidR="00614438" w:rsidRPr="00AA7A53" w:rsidRDefault="001F2B5C" w:rsidP="00AA7A53">
            <w:pPr>
              <w:numPr>
                <w:ilvl w:val="0"/>
                <w:numId w:val="204"/>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Science, Technological Development and Innovation</w:t>
            </w:r>
          </w:p>
        </w:tc>
      </w:tr>
      <w:tr w:rsidR="00614438" w:rsidRPr="00AA7A53" w14:paraId="01C786D4" w14:textId="77777777" w:rsidTr="00631FE9">
        <w:trPr>
          <w:gridAfter w:val="1"/>
          <w:wAfter w:w="1212" w:type="dxa"/>
          <w:trHeight w:val="315"/>
        </w:trPr>
        <w:tc>
          <w:tcPr>
            <w:tcW w:w="3250" w:type="dxa"/>
            <w:tcBorders>
              <w:top w:val="nil"/>
              <w:left w:val="single" w:sz="8" w:space="0" w:color="auto"/>
              <w:bottom w:val="single" w:sz="8" w:space="0" w:color="auto"/>
              <w:right w:val="nil"/>
            </w:tcBorders>
            <w:shd w:val="clear" w:color="auto" w:fill="244062"/>
            <w:vAlign w:val="center"/>
            <w:hideMark/>
          </w:tcPr>
          <w:p w14:paraId="48AB217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38" w:type="dxa"/>
            <w:gridSpan w:val="3"/>
            <w:tcBorders>
              <w:top w:val="single" w:sz="8" w:space="0" w:color="auto"/>
              <w:left w:val="nil"/>
              <w:bottom w:val="single" w:sz="8" w:space="0" w:color="auto"/>
              <w:right w:val="single" w:sz="8" w:space="0" w:color="000000"/>
            </w:tcBorders>
            <w:vAlign w:val="center"/>
            <w:hideMark/>
          </w:tcPr>
          <w:p w14:paraId="682F832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Number of regional centres of research excellence on an annual basis</w:t>
            </w:r>
          </w:p>
        </w:tc>
      </w:tr>
      <w:tr w:rsidR="00614438" w:rsidRPr="00AA7A53" w14:paraId="75AFC6EC" w14:textId="77777777" w:rsidTr="00631FE9">
        <w:trPr>
          <w:gridAfter w:val="1"/>
          <w:wAfter w:w="1212" w:type="dxa"/>
          <w:trHeight w:val="467"/>
        </w:trPr>
        <w:tc>
          <w:tcPr>
            <w:tcW w:w="3250" w:type="dxa"/>
            <w:tcBorders>
              <w:top w:val="nil"/>
              <w:left w:val="single" w:sz="8" w:space="0" w:color="auto"/>
              <w:bottom w:val="single" w:sz="8" w:space="0" w:color="auto"/>
              <w:right w:val="single" w:sz="8" w:space="0" w:color="auto"/>
            </w:tcBorders>
            <w:shd w:val="clear" w:color="auto" w:fill="244062"/>
            <w:vAlign w:val="center"/>
            <w:hideMark/>
          </w:tcPr>
          <w:p w14:paraId="5E8C18B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38" w:type="dxa"/>
            <w:gridSpan w:val="3"/>
            <w:tcBorders>
              <w:top w:val="single" w:sz="8" w:space="0" w:color="auto"/>
              <w:left w:val="nil"/>
              <w:bottom w:val="single" w:sz="8" w:space="0" w:color="auto"/>
              <w:right w:val="single" w:sz="8" w:space="0" w:color="000000"/>
            </w:tcBorders>
            <w:vAlign w:val="center"/>
            <w:hideMark/>
          </w:tcPr>
          <w:p w14:paraId="3F9C993E" w14:textId="77777777" w:rsidR="00614438" w:rsidRPr="00AA7A53" w:rsidRDefault="00614438" w:rsidP="00AA7A53">
            <w:pPr>
              <w:numPr>
                <w:ilvl w:val="0"/>
                <w:numId w:val="205"/>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tc>
      </w:tr>
      <w:tr w:rsidR="00614438" w:rsidRPr="00AA7A53" w14:paraId="640B1710" w14:textId="77777777" w:rsidTr="00631FE9">
        <w:trPr>
          <w:gridAfter w:val="1"/>
          <w:wAfter w:w="1212" w:type="dxa"/>
          <w:trHeight w:val="458"/>
        </w:trPr>
        <w:tc>
          <w:tcPr>
            <w:tcW w:w="3250" w:type="dxa"/>
            <w:vMerge w:val="restart"/>
            <w:tcBorders>
              <w:top w:val="nil"/>
              <w:left w:val="single" w:sz="8" w:space="0" w:color="auto"/>
              <w:bottom w:val="single" w:sz="8" w:space="0" w:color="000000"/>
              <w:right w:val="single" w:sz="8" w:space="0" w:color="auto"/>
            </w:tcBorders>
            <w:shd w:val="clear" w:color="auto" w:fill="244062"/>
            <w:vAlign w:val="center"/>
            <w:hideMark/>
          </w:tcPr>
          <w:p w14:paraId="736F3F0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38"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0DD29E2F" w14:textId="77777777" w:rsidR="00614438" w:rsidRPr="00AA7A53" w:rsidRDefault="00614438" w:rsidP="00AA7A53">
            <w:pPr>
              <w:numPr>
                <w:ilvl w:val="0"/>
                <w:numId w:val="206"/>
              </w:numPr>
              <w:spacing w:after="0"/>
              <w:jc w:val="both"/>
              <w:rPr>
                <w:rFonts w:ascii="Times New Roman" w:hAnsi="Times New Roman" w:cs="Times New Roman"/>
                <w:sz w:val="20"/>
                <w:szCs w:val="20"/>
              </w:rPr>
            </w:pPr>
            <w:r w:rsidRPr="00AA7A53">
              <w:rPr>
                <w:rFonts w:ascii="Times New Roman" w:hAnsi="Times New Roman" w:cs="Times New Roman"/>
                <w:sz w:val="20"/>
                <w:szCs w:val="20"/>
              </w:rPr>
              <w:t>European Strategic Energy Technology Plan (SET Plan)</w:t>
            </w:r>
          </w:p>
        </w:tc>
      </w:tr>
      <w:tr w:rsidR="00614438" w:rsidRPr="00AA7A53" w14:paraId="302A7265"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18809E2D"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940E444"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6981B5DB"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697257D"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67734C61"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D460E36"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139C19D1" w14:textId="77777777" w:rsidR="00614438" w:rsidRPr="00AA7A53" w:rsidRDefault="00614438" w:rsidP="00AA7A53">
            <w:pPr>
              <w:spacing w:after="0"/>
              <w:jc w:val="both"/>
              <w:rPr>
                <w:rFonts w:ascii="Times New Roman" w:hAnsi="Times New Roman" w:cs="Times New Roman"/>
                <w:sz w:val="20"/>
                <w:szCs w:val="20"/>
              </w:rPr>
            </w:pPr>
          </w:p>
        </w:tc>
      </w:tr>
      <w:tr w:rsidR="00631FE9" w:rsidRPr="00AA7A53" w14:paraId="42C3B883" w14:textId="77777777" w:rsidTr="00631FE9">
        <w:trPr>
          <w:trHeight w:val="556"/>
        </w:trPr>
        <w:tc>
          <w:tcPr>
            <w:tcW w:w="3250" w:type="dxa"/>
            <w:tcBorders>
              <w:top w:val="nil"/>
              <w:left w:val="single" w:sz="8" w:space="0" w:color="auto"/>
              <w:bottom w:val="single" w:sz="8" w:space="0" w:color="auto"/>
              <w:right w:val="single" w:sz="8" w:space="0" w:color="auto"/>
            </w:tcBorders>
            <w:shd w:val="clear" w:color="auto" w:fill="244062"/>
            <w:vAlign w:val="center"/>
            <w:hideMark/>
          </w:tcPr>
          <w:p w14:paraId="4F861FF3" w14:textId="77777777" w:rsidR="00631FE9" w:rsidRPr="00AA7A53" w:rsidRDefault="00631FE9"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38" w:type="dxa"/>
            <w:gridSpan w:val="3"/>
            <w:tcBorders>
              <w:top w:val="single" w:sz="8" w:space="0" w:color="auto"/>
              <w:left w:val="nil"/>
              <w:bottom w:val="single" w:sz="8" w:space="0" w:color="auto"/>
              <w:right w:val="single" w:sz="8" w:space="0" w:color="000000"/>
            </w:tcBorders>
            <w:vAlign w:val="center"/>
            <w:hideMark/>
          </w:tcPr>
          <w:p w14:paraId="32E20F81" w14:textId="77777777" w:rsidR="00631FE9" w:rsidRPr="00AA7A53" w:rsidRDefault="00631FE9" w:rsidP="00AA7A53">
            <w:pPr>
              <w:numPr>
                <w:ilvl w:val="0"/>
                <w:numId w:val="202"/>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the Science Fund</w:t>
            </w:r>
          </w:p>
          <w:p w14:paraId="257984C8" w14:textId="77777777" w:rsidR="00631FE9" w:rsidRPr="00AA7A53" w:rsidRDefault="00631FE9" w:rsidP="00AA7A53">
            <w:pPr>
              <w:numPr>
                <w:ilvl w:val="0"/>
                <w:numId w:val="202"/>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Science and Research</w:t>
            </w:r>
          </w:p>
          <w:p w14:paraId="62C4959F" w14:textId="41E7B9FC" w:rsidR="00631FE9" w:rsidRPr="00AA7A53" w:rsidRDefault="00631FE9" w:rsidP="00AA7A53">
            <w:pPr>
              <w:numPr>
                <w:ilvl w:val="0"/>
                <w:numId w:val="206"/>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Innovation Activity</w:t>
            </w:r>
          </w:p>
        </w:tc>
        <w:tc>
          <w:tcPr>
            <w:tcW w:w="1212" w:type="dxa"/>
            <w:vAlign w:val="center"/>
            <w:hideMark/>
          </w:tcPr>
          <w:p w14:paraId="2AACD067" w14:textId="77777777" w:rsidR="00631FE9" w:rsidRPr="00AA7A53" w:rsidRDefault="00631FE9" w:rsidP="00AA7A53">
            <w:pPr>
              <w:spacing w:after="0"/>
              <w:jc w:val="both"/>
              <w:rPr>
                <w:rFonts w:ascii="Times New Roman" w:hAnsi="Times New Roman" w:cs="Times New Roman"/>
                <w:sz w:val="20"/>
                <w:szCs w:val="20"/>
                <w:lang w:val="en-GB"/>
              </w:rPr>
            </w:pPr>
          </w:p>
        </w:tc>
      </w:tr>
      <w:tr w:rsidR="00614438" w:rsidRPr="00AA7A53" w14:paraId="17529768" w14:textId="77777777" w:rsidTr="00631FE9">
        <w:trPr>
          <w:trHeight w:val="315"/>
        </w:trPr>
        <w:tc>
          <w:tcPr>
            <w:tcW w:w="3250" w:type="dxa"/>
            <w:tcBorders>
              <w:top w:val="nil"/>
              <w:left w:val="single" w:sz="8" w:space="0" w:color="auto"/>
              <w:bottom w:val="single" w:sz="8" w:space="0" w:color="auto"/>
              <w:right w:val="single" w:sz="8" w:space="0" w:color="auto"/>
            </w:tcBorders>
            <w:shd w:val="clear" w:color="auto" w:fill="244062"/>
            <w:vAlign w:val="center"/>
            <w:hideMark/>
          </w:tcPr>
          <w:p w14:paraId="698A632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38" w:type="dxa"/>
            <w:gridSpan w:val="3"/>
            <w:tcBorders>
              <w:top w:val="single" w:sz="8" w:space="0" w:color="auto"/>
              <w:left w:val="nil"/>
              <w:bottom w:val="single" w:sz="8" w:space="0" w:color="auto"/>
              <w:right w:val="single" w:sz="8" w:space="0" w:color="000000"/>
            </w:tcBorders>
            <w:vAlign w:val="center"/>
            <w:hideMark/>
          </w:tcPr>
          <w:p w14:paraId="7D0B197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3.4 M€</w:t>
            </w:r>
          </w:p>
        </w:tc>
        <w:tc>
          <w:tcPr>
            <w:tcW w:w="1212" w:type="dxa"/>
            <w:vAlign w:val="center"/>
            <w:hideMark/>
          </w:tcPr>
          <w:p w14:paraId="2DDD2148"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C0D46AC" w14:textId="77777777" w:rsidTr="00631FE9">
        <w:trPr>
          <w:trHeight w:val="315"/>
        </w:trPr>
        <w:tc>
          <w:tcPr>
            <w:tcW w:w="3250" w:type="dxa"/>
            <w:tcBorders>
              <w:top w:val="nil"/>
              <w:left w:val="single" w:sz="8" w:space="0" w:color="auto"/>
              <w:bottom w:val="single" w:sz="8" w:space="0" w:color="auto"/>
              <w:right w:val="single" w:sz="8" w:space="0" w:color="auto"/>
            </w:tcBorders>
            <w:shd w:val="clear" w:color="auto" w:fill="244062"/>
            <w:vAlign w:val="center"/>
            <w:hideMark/>
          </w:tcPr>
          <w:p w14:paraId="568738D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38" w:type="dxa"/>
            <w:gridSpan w:val="3"/>
            <w:tcBorders>
              <w:top w:val="single" w:sz="8" w:space="0" w:color="auto"/>
              <w:left w:val="nil"/>
              <w:bottom w:val="single" w:sz="8" w:space="0" w:color="auto"/>
              <w:right w:val="single" w:sz="8" w:space="0" w:color="000000"/>
            </w:tcBorders>
            <w:vAlign w:val="center"/>
            <w:hideMark/>
          </w:tcPr>
          <w:p w14:paraId="63CEDD60" w14:textId="4C8A9701" w:rsidR="00614438" w:rsidRPr="00AA7A53" w:rsidRDefault="00631FE9"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EU funds, </w:t>
            </w:r>
            <w:r w:rsidR="00614438" w:rsidRPr="00AA7A53">
              <w:rPr>
                <w:rFonts w:ascii="Times New Roman" w:hAnsi="Times New Roman" w:cs="Times New Roman"/>
                <w:sz w:val="20"/>
                <w:szCs w:val="20"/>
                <w:lang w:val="en-GB"/>
              </w:rPr>
              <w:t>Grants</w:t>
            </w:r>
            <w:r w:rsidRPr="00AA7A53">
              <w:rPr>
                <w:rFonts w:ascii="Times New Roman" w:hAnsi="Times New Roman" w:cs="Times New Roman"/>
                <w:sz w:val="20"/>
                <w:szCs w:val="20"/>
                <w:lang w:val="en-GB"/>
              </w:rPr>
              <w:t>, own</w:t>
            </w:r>
            <w:r w:rsidR="00614438" w:rsidRPr="00AA7A53">
              <w:rPr>
                <w:rFonts w:ascii="Times New Roman" w:hAnsi="Times New Roman" w:cs="Times New Roman"/>
                <w:sz w:val="20"/>
                <w:szCs w:val="20"/>
                <w:lang w:val="en-GB"/>
              </w:rPr>
              <w:t xml:space="preserve"> and public funds</w:t>
            </w:r>
            <w:r w:rsidRPr="00AA7A53">
              <w:rPr>
                <w:rFonts w:ascii="Times New Roman" w:hAnsi="Times New Roman" w:cs="Times New Roman"/>
                <w:sz w:val="20"/>
                <w:szCs w:val="20"/>
                <w:lang w:val="en-GB"/>
              </w:rPr>
              <w:t xml:space="preserve">, </w:t>
            </w:r>
            <w:r w:rsidR="00614438" w:rsidRPr="00AA7A53">
              <w:rPr>
                <w:rFonts w:ascii="Times New Roman" w:hAnsi="Times New Roman" w:cs="Times New Roman"/>
                <w:sz w:val="20"/>
                <w:szCs w:val="20"/>
                <w:lang w:val="en-GB"/>
              </w:rPr>
              <w:t>Programmes for research and development</w:t>
            </w:r>
            <w:r w:rsidRPr="00AA7A53">
              <w:rPr>
                <w:rFonts w:ascii="Times New Roman" w:hAnsi="Times New Roman" w:cs="Times New Roman"/>
                <w:sz w:val="20"/>
                <w:szCs w:val="20"/>
                <w:lang w:val="en-GB"/>
              </w:rPr>
              <w:t xml:space="preserve">, </w:t>
            </w:r>
            <w:r w:rsidR="00614438" w:rsidRPr="00AA7A53">
              <w:rPr>
                <w:rFonts w:ascii="Times New Roman" w:hAnsi="Times New Roman" w:cs="Times New Roman"/>
                <w:sz w:val="20"/>
                <w:szCs w:val="20"/>
                <w:lang w:val="en-GB"/>
              </w:rPr>
              <w:t>Donors</w:t>
            </w:r>
          </w:p>
        </w:tc>
        <w:tc>
          <w:tcPr>
            <w:tcW w:w="1212" w:type="dxa"/>
            <w:vAlign w:val="center"/>
            <w:hideMark/>
          </w:tcPr>
          <w:p w14:paraId="120F9D2B" w14:textId="77777777" w:rsidR="00614438" w:rsidRPr="00AA7A53" w:rsidRDefault="00614438" w:rsidP="00AA7A53">
            <w:pPr>
              <w:spacing w:after="0"/>
              <w:jc w:val="both"/>
              <w:rPr>
                <w:rFonts w:ascii="Times New Roman" w:hAnsi="Times New Roman" w:cs="Times New Roman"/>
                <w:sz w:val="20"/>
                <w:szCs w:val="20"/>
                <w:lang w:val="en-GB"/>
              </w:rPr>
            </w:pPr>
          </w:p>
        </w:tc>
      </w:tr>
    </w:tbl>
    <w:p w14:paraId="245D1C56"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304"/>
        <w:gridCol w:w="1039"/>
        <w:gridCol w:w="938"/>
        <w:gridCol w:w="4207"/>
        <w:gridCol w:w="1212"/>
      </w:tblGrid>
      <w:tr w:rsidR="00614438" w:rsidRPr="00AA7A53" w14:paraId="1D6899F6" w14:textId="77777777" w:rsidTr="00614438">
        <w:trPr>
          <w:gridAfter w:val="1"/>
          <w:wAfter w:w="1212" w:type="dxa"/>
          <w:trHeight w:val="780"/>
        </w:trPr>
        <w:tc>
          <w:tcPr>
            <w:tcW w:w="3336"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314DFC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51" w:type="dxa"/>
            <w:tcBorders>
              <w:top w:val="single" w:sz="8" w:space="0" w:color="auto"/>
              <w:left w:val="nil"/>
              <w:bottom w:val="single" w:sz="8" w:space="0" w:color="auto"/>
              <w:right w:val="single" w:sz="8" w:space="0" w:color="auto"/>
            </w:tcBorders>
            <w:shd w:val="clear" w:color="auto" w:fill="E7E6E6" w:themeFill="background2"/>
            <w:vAlign w:val="center"/>
            <w:hideMark/>
          </w:tcPr>
          <w:p w14:paraId="72DA2C5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PM_RIC8</w:t>
            </w:r>
          </w:p>
        </w:tc>
        <w:tc>
          <w:tcPr>
            <w:tcW w:w="943" w:type="dxa"/>
            <w:tcBorders>
              <w:top w:val="single" w:sz="8" w:space="0" w:color="auto"/>
              <w:left w:val="nil"/>
              <w:bottom w:val="single" w:sz="8" w:space="0" w:color="auto"/>
              <w:right w:val="single" w:sz="8" w:space="0" w:color="auto"/>
            </w:tcBorders>
            <w:shd w:val="clear" w:color="auto" w:fill="244062"/>
            <w:vAlign w:val="center"/>
            <w:hideMark/>
          </w:tcPr>
          <w:p w14:paraId="36E3C4E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58" w:type="dxa"/>
            <w:tcBorders>
              <w:top w:val="single" w:sz="8" w:space="0" w:color="auto"/>
              <w:left w:val="nil"/>
              <w:bottom w:val="single" w:sz="8" w:space="0" w:color="auto"/>
              <w:right w:val="single" w:sz="8" w:space="0" w:color="auto"/>
            </w:tcBorders>
            <w:shd w:val="clear" w:color="auto" w:fill="E7E6E6" w:themeFill="background2"/>
            <w:vAlign w:val="center"/>
            <w:hideMark/>
          </w:tcPr>
          <w:p w14:paraId="5B0657F1" w14:textId="19A43C9D"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Establishment and networking of Technology Transfer Offices of research organisations / institutes and Science </w:t>
            </w:r>
            <w:r w:rsidR="00D168A5" w:rsidRPr="00AA7A53">
              <w:rPr>
                <w:rFonts w:ascii="Times New Roman" w:hAnsi="Times New Roman" w:cs="Times New Roman"/>
                <w:sz w:val="20"/>
                <w:szCs w:val="20"/>
                <w:lang w:val="en-GB"/>
              </w:rPr>
              <w:t xml:space="preserve">and </w:t>
            </w:r>
            <w:r w:rsidRPr="00AA7A53">
              <w:rPr>
                <w:rFonts w:ascii="Times New Roman" w:hAnsi="Times New Roman" w:cs="Times New Roman"/>
                <w:sz w:val="20"/>
                <w:szCs w:val="20"/>
                <w:lang w:val="en-GB"/>
              </w:rPr>
              <w:t>Technology Parks</w:t>
            </w:r>
          </w:p>
        </w:tc>
      </w:tr>
      <w:tr w:rsidR="00614438" w:rsidRPr="00AA7A53" w14:paraId="411DDC08" w14:textId="77777777" w:rsidTr="00614438">
        <w:trPr>
          <w:gridAfter w:val="1"/>
          <w:wAfter w:w="1212" w:type="dxa"/>
          <w:trHeight w:val="355"/>
        </w:trPr>
        <w:tc>
          <w:tcPr>
            <w:tcW w:w="3336" w:type="dxa"/>
            <w:tcBorders>
              <w:top w:val="nil"/>
              <w:left w:val="single" w:sz="8" w:space="0" w:color="auto"/>
              <w:bottom w:val="single" w:sz="8" w:space="0" w:color="auto"/>
              <w:right w:val="nil"/>
            </w:tcBorders>
            <w:shd w:val="clear" w:color="auto" w:fill="244062"/>
            <w:vAlign w:val="center"/>
            <w:hideMark/>
          </w:tcPr>
          <w:p w14:paraId="50E72AF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52" w:type="dxa"/>
            <w:gridSpan w:val="3"/>
            <w:tcBorders>
              <w:top w:val="single" w:sz="8" w:space="0" w:color="auto"/>
              <w:left w:val="nil"/>
              <w:bottom w:val="single" w:sz="8" w:space="0" w:color="auto"/>
              <w:right w:val="single" w:sz="8" w:space="0" w:color="000000"/>
            </w:tcBorders>
            <w:vAlign w:val="center"/>
            <w:hideMark/>
          </w:tcPr>
          <w:p w14:paraId="4F67185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Research and Innovation</w:t>
            </w:r>
          </w:p>
        </w:tc>
      </w:tr>
      <w:tr w:rsidR="00614438" w:rsidRPr="00AA7A53" w14:paraId="4F1E639C" w14:textId="77777777" w:rsidTr="00614438">
        <w:trPr>
          <w:gridAfter w:val="1"/>
          <w:wAfter w:w="1212" w:type="dxa"/>
          <w:trHeight w:val="315"/>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318F069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52" w:type="dxa"/>
            <w:gridSpan w:val="3"/>
            <w:tcBorders>
              <w:top w:val="single" w:sz="8" w:space="0" w:color="auto"/>
              <w:left w:val="nil"/>
              <w:bottom w:val="single" w:sz="8" w:space="0" w:color="auto"/>
              <w:right w:val="single" w:sz="8" w:space="0" w:color="000000"/>
            </w:tcBorders>
            <w:vAlign w:val="center"/>
            <w:hideMark/>
          </w:tcPr>
          <w:p w14:paraId="56FD512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 the level of technological readiness in the field of energy (Qualitative objective)</w:t>
            </w:r>
          </w:p>
        </w:tc>
      </w:tr>
      <w:tr w:rsidR="00614438" w:rsidRPr="00AA7A53" w14:paraId="201CDB86" w14:textId="77777777" w:rsidTr="00614438">
        <w:trPr>
          <w:gridAfter w:val="1"/>
          <w:wAfter w:w="1212" w:type="dxa"/>
          <w:trHeight w:val="1437"/>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5BE044D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52" w:type="dxa"/>
            <w:gridSpan w:val="3"/>
            <w:tcBorders>
              <w:top w:val="single" w:sz="8" w:space="0" w:color="auto"/>
              <w:left w:val="nil"/>
              <w:bottom w:val="single" w:sz="8" w:space="0" w:color="auto"/>
              <w:right w:val="single" w:sz="8" w:space="0" w:color="000000"/>
            </w:tcBorders>
            <w:vAlign w:val="center"/>
            <w:hideMark/>
          </w:tcPr>
          <w:p w14:paraId="45BDDEE5" w14:textId="50966D3E"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PM_RIC8 will encourage the (further) establishment of Technological Transfer Offices and Science </w:t>
            </w:r>
            <w:r w:rsidR="00223578" w:rsidRPr="00AA7A53">
              <w:rPr>
                <w:rFonts w:ascii="Times New Roman" w:hAnsi="Times New Roman" w:cs="Times New Roman"/>
                <w:sz w:val="20"/>
                <w:szCs w:val="20"/>
                <w:lang w:val="en-GB"/>
              </w:rPr>
              <w:t xml:space="preserve">and </w:t>
            </w:r>
            <w:r w:rsidRPr="00AA7A53">
              <w:rPr>
                <w:rFonts w:ascii="Times New Roman" w:hAnsi="Times New Roman" w:cs="Times New Roman"/>
                <w:sz w:val="20"/>
                <w:szCs w:val="20"/>
                <w:lang w:val="en-GB"/>
              </w:rPr>
              <w:t>Technology Parks that will provide infrastructural and professional services to the subjects of the innovation activity, in terms of networking, development, designing and fast utilization of new technologies. This could provide an opportunity to boost the competitiveness of the low-carbon technologies via technology transfer centres, which could enable networking and knowledge sharing between science, academia, and the business sector.</w:t>
            </w:r>
          </w:p>
        </w:tc>
      </w:tr>
      <w:tr w:rsidR="00614438" w:rsidRPr="00AA7A53" w14:paraId="715F6D24" w14:textId="77777777" w:rsidTr="00614438">
        <w:trPr>
          <w:gridAfter w:val="1"/>
          <w:wAfter w:w="1212" w:type="dxa"/>
          <w:trHeight w:val="315"/>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0E1E5F7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52" w:type="dxa"/>
            <w:gridSpan w:val="3"/>
            <w:tcBorders>
              <w:top w:val="single" w:sz="8" w:space="0" w:color="auto"/>
              <w:left w:val="nil"/>
              <w:bottom w:val="single" w:sz="8" w:space="0" w:color="auto"/>
              <w:right w:val="single" w:sz="8" w:space="0" w:color="000000"/>
            </w:tcBorders>
            <w:vAlign w:val="center"/>
            <w:hideMark/>
          </w:tcPr>
          <w:p w14:paraId="3E417CD9" w14:textId="633AA8A5"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223578"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00FDE79A" w14:textId="77777777" w:rsidTr="00614438">
        <w:trPr>
          <w:gridAfter w:val="1"/>
          <w:wAfter w:w="1212" w:type="dxa"/>
          <w:trHeight w:val="315"/>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74EAF5E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52" w:type="dxa"/>
            <w:gridSpan w:val="3"/>
            <w:tcBorders>
              <w:top w:val="single" w:sz="8" w:space="0" w:color="auto"/>
              <w:left w:val="nil"/>
              <w:bottom w:val="single" w:sz="8" w:space="0" w:color="auto"/>
              <w:right w:val="single" w:sz="8" w:space="0" w:color="000000"/>
            </w:tcBorders>
            <w:vAlign w:val="center"/>
            <w:hideMark/>
          </w:tcPr>
          <w:p w14:paraId="74E7F06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160C951B" w14:textId="77777777" w:rsidTr="00614438">
        <w:trPr>
          <w:gridAfter w:val="1"/>
          <w:wAfter w:w="1212" w:type="dxa"/>
          <w:trHeight w:val="315"/>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27AAA62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52" w:type="dxa"/>
            <w:gridSpan w:val="3"/>
            <w:tcBorders>
              <w:top w:val="single" w:sz="8" w:space="0" w:color="auto"/>
              <w:left w:val="nil"/>
              <w:bottom w:val="single" w:sz="8" w:space="0" w:color="auto"/>
              <w:right w:val="single" w:sz="8" w:space="0" w:color="000000"/>
            </w:tcBorders>
            <w:vAlign w:val="center"/>
            <w:hideMark/>
          </w:tcPr>
          <w:p w14:paraId="58B4401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INECP subject fields</w:t>
            </w:r>
          </w:p>
        </w:tc>
      </w:tr>
      <w:tr w:rsidR="00614438" w:rsidRPr="00AA7A53" w14:paraId="0EDD5098" w14:textId="77777777" w:rsidTr="00614438">
        <w:trPr>
          <w:gridAfter w:val="1"/>
          <w:wAfter w:w="1212" w:type="dxa"/>
          <w:trHeight w:val="315"/>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7BC0F2A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52" w:type="dxa"/>
            <w:gridSpan w:val="3"/>
            <w:tcBorders>
              <w:top w:val="single" w:sz="8" w:space="0" w:color="auto"/>
              <w:left w:val="nil"/>
              <w:bottom w:val="single" w:sz="8" w:space="0" w:color="auto"/>
              <w:right w:val="single" w:sz="8" w:space="0" w:color="000000"/>
            </w:tcBorders>
            <w:vAlign w:val="center"/>
            <w:hideMark/>
          </w:tcPr>
          <w:p w14:paraId="34296282" w14:textId="77777777" w:rsidR="00614438" w:rsidRPr="00AA7A53" w:rsidRDefault="00614438" w:rsidP="00AA7A53">
            <w:pPr>
              <w:numPr>
                <w:ilvl w:val="0"/>
                <w:numId w:val="20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47AB679C" w14:textId="77777777" w:rsidR="001F2B5C" w:rsidRPr="00AA7A53" w:rsidRDefault="001F2B5C" w:rsidP="00AA7A53">
            <w:pPr>
              <w:numPr>
                <w:ilvl w:val="0"/>
                <w:numId w:val="207"/>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Ministry of Science, Technological Development and Innovation </w:t>
            </w:r>
          </w:p>
          <w:p w14:paraId="60614693" w14:textId="15B2AA76" w:rsidR="00614438" w:rsidRPr="00AA7A53" w:rsidRDefault="00614438" w:rsidP="00AA7A53">
            <w:pPr>
              <w:numPr>
                <w:ilvl w:val="0"/>
                <w:numId w:val="207"/>
              </w:numPr>
              <w:spacing w:after="0"/>
              <w:jc w:val="both"/>
              <w:rPr>
                <w:rFonts w:ascii="Times New Roman" w:hAnsi="Times New Roman" w:cs="Times New Roman"/>
                <w:sz w:val="20"/>
                <w:szCs w:val="20"/>
              </w:rPr>
            </w:pPr>
            <w:r w:rsidRPr="00AA7A53">
              <w:rPr>
                <w:rFonts w:ascii="Times New Roman" w:hAnsi="Times New Roman" w:cs="Times New Roman"/>
                <w:sz w:val="20"/>
                <w:szCs w:val="20"/>
              </w:rPr>
              <w:t>Chamber of Commerce and Industry of Serbia</w:t>
            </w:r>
          </w:p>
        </w:tc>
      </w:tr>
      <w:tr w:rsidR="00614438" w:rsidRPr="00AA7A53" w14:paraId="79DFDB75" w14:textId="77777777" w:rsidTr="00614438">
        <w:trPr>
          <w:gridAfter w:val="1"/>
          <w:wAfter w:w="1212" w:type="dxa"/>
          <w:trHeight w:val="315"/>
        </w:trPr>
        <w:tc>
          <w:tcPr>
            <w:tcW w:w="3336" w:type="dxa"/>
            <w:tcBorders>
              <w:top w:val="nil"/>
              <w:left w:val="single" w:sz="8" w:space="0" w:color="auto"/>
              <w:bottom w:val="single" w:sz="8" w:space="0" w:color="auto"/>
              <w:right w:val="nil"/>
            </w:tcBorders>
            <w:shd w:val="clear" w:color="auto" w:fill="244062"/>
            <w:vAlign w:val="center"/>
            <w:hideMark/>
          </w:tcPr>
          <w:p w14:paraId="5B698CD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52" w:type="dxa"/>
            <w:gridSpan w:val="3"/>
            <w:tcBorders>
              <w:top w:val="single" w:sz="8" w:space="0" w:color="auto"/>
              <w:left w:val="nil"/>
              <w:bottom w:val="single" w:sz="8" w:space="0" w:color="auto"/>
              <w:right w:val="single" w:sz="8" w:space="0" w:color="000000"/>
            </w:tcBorders>
            <w:vAlign w:val="center"/>
            <w:hideMark/>
          </w:tcPr>
          <w:p w14:paraId="7B4DFC95" w14:textId="3D2E8483" w:rsidR="00614438" w:rsidRPr="00AA7A53" w:rsidRDefault="001F2B5C" w:rsidP="00AA7A53">
            <w:pPr>
              <w:numPr>
                <w:ilvl w:val="0"/>
                <w:numId w:val="20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Science, Technological Development and Innovation</w:t>
            </w:r>
          </w:p>
        </w:tc>
      </w:tr>
      <w:tr w:rsidR="00614438" w:rsidRPr="00AA7A53" w14:paraId="070D5BBC" w14:textId="77777777" w:rsidTr="00614438">
        <w:trPr>
          <w:gridAfter w:val="1"/>
          <w:wAfter w:w="1212" w:type="dxa"/>
          <w:trHeight w:val="315"/>
        </w:trPr>
        <w:tc>
          <w:tcPr>
            <w:tcW w:w="3336" w:type="dxa"/>
            <w:tcBorders>
              <w:top w:val="nil"/>
              <w:left w:val="single" w:sz="8" w:space="0" w:color="auto"/>
              <w:bottom w:val="single" w:sz="8" w:space="0" w:color="auto"/>
              <w:right w:val="nil"/>
            </w:tcBorders>
            <w:shd w:val="clear" w:color="auto" w:fill="244062"/>
            <w:vAlign w:val="center"/>
            <w:hideMark/>
          </w:tcPr>
          <w:p w14:paraId="1BF3171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52" w:type="dxa"/>
            <w:gridSpan w:val="3"/>
            <w:tcBorders>
              <w:top w:val="single" w:sz="8" w:space="0" w:color="auto"/>
              <w:left w:val="nil"/>
              <w:bottom w:val="single" w:sz="8" w:space="0" w:color="auto"/>
              <w:right w:val="single" w:sz="8" w:space="0" w:color="000000"/>
            </w:tcBorders>
            <w:vAlign w:val="center"/>
            <w:hideMark/>
          </w:tcPr>
          <w:p w14:paraId="57CA4D8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Number of new joint projects among Technology Transfer Offices of research organisations / institutes and Science Technology Parks on an annual basis</w:t>
            </w:r>
          </w:p>
        </w:tc>
      </w:tr>
      <w:tr w:rsidR="00614438" w:rsidRPr="00AA7A53" w14:paraId="184693B1" w14:textId="77777777" w:rsidTr="00614438">
        <w:trPr>
          <w:gridAfter w:val="1"/>
          <w:wAfter w:w="1212" w:type="dxa"/>
          <w:trHeight w:val="481"/>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2685026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52" w:type="dxa"/>
            <w:gridSpan w:val="3"/>
            <w:tcBorders>
              <w:top w:val="single" w:sz="8" w:space="0" w:color="auto"/>
              <w:left w:val="nil"/>
              <w:bottom w:val="single" w:sz="8" w:space="0" w:color="auto"/>
              <w:right w:val="single" w:sz="8" w:space="0" w:color="000000"/>
            </w:tcBorders>
            <w:vAlign w:val="center"/>
            <w:hideMark/>
          </w:tcPr>
          <w:p w14:paraId="57BA11B8" w14:textId="77777777" w:rsidR="00614438" w:rsidRPr="00AA7A53" w:rsidRDefault="00614438" w:rsidP="00AA7A53">
            <w:pPr>
              <w:numPr>
                <w:ilvl w:val="0"/>
                <w:numId w:val="208"/>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tc>
      </w:tr>
      <w:tr w:rsidR="00614438" w:rsidRPr="00AA7A53" w14:paraId="4F02E3CC" w14:textId="77777777" w:rsidTr="00614438">
        <w:trPr>
          <w:gridAfter w:val="1"/>
          <w:wAfter w:w="1212" w:type="dxa"/>
          <w:trHeight w:val="458"/>
        </w:trPr>
        <w:tc>
          <w:tcPr>
            <w:tcW w:w="3336" w:type="dxa"/>
            <w:vMerge w:val="restart"/>
            <w:tcBorders>
              <w:top w:val="nil"/>
              <w:left w:val="single" w:sz="8" w:space="0" w:color="auto"/>
              <w:bottom w:val="single" w:sz="8" w:space="0" w:color="000000"/>
              <w:right w:val="single" w:sz="8" w:space="0" w:color="auto"/>
            </w:tcBorders>
            <w:shd w:val="clear" w:color="auto" w:fill="244062"/>
            <w:vAlign w:val="center"/>
            <w:hideMark/>
          </w:tcPr>
          <w:p w14:paraId="669CAA9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52"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23495306" w14:textId="77777777" w:rsidR="00614438" w:rsidRPr="00AA7A53" w:rsidRDefault="00614438"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European Strategic Energy Technology Plan (SET Plan)</w:t>
            </w:r>
          </w:p>
        </w:tc>
      </w:tr>
      <w:tr w:rsidR="00614438" w:rsidRPr="00AA7A53" w14:paraId="0AC1BFFE"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3CE9E20D"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391D780"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3D052DFB"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C8D84A2"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45EF2387"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232CAFD"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71A1F053"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4AAC279A" w14:textId="77777777" w:rsidTr="00614438">
        <w:trPr>
          <w:trHeight w:val="411"/>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0C261B9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52" w:type="dxa"/>
            <w:gridSpan w:val="3"/>
            <w:tcBorders>
              <w:top w:val="single" w:sz="8" w:space="0" w:color="auto"/>
              <w:left w:val="nil"/>
              <w:bottom w:val="single" w:sz="8" w:space="0" w:color="auto"/>
              <w:right w:val="single" w:sz="8" w:space="0" w:color="000000"/>
            </w:tcBorders>
            <w:vAlign w:val="center"/>
            <w:hideMark/>
          </w:tcPr>
          <w:p w14:paraId="2CFD1027" w14:textId="77777777" w:rsidR="00614438" w:rsidRPr="00AA7A53" w:rsidRDefault="00614438"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Science and Research</w:t>
            </w:r>
          </w:p>
        </w:tc>
        <w:tc>
          <w:tcPr>
            <w:tcW w:w="1212" w:type="dxa"/>
            <w:vAlign w:val="center"/>
            <w:hideMark/>
          </w:tcPr>
          <w:p w14:paraId="036166A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FA96401" w14:textId="77777777" w:rsidTr="00614438">
        <w:trPr>
          <w:trHeight w:val="315"/>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4978205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52" w:type="dxa"/>
            <w:gridSpan w:val="3"/>
            <w:tcBorders>
              <w:top w:val="single" w:sz="8" w:space="0" w:color="auto"/>
              <w:left w:val="nil"/>
              <w:bottom w:val="single" w:sz="8" w:space="0" w:color="auto"/>
              <w:right w:val="single" w:sz="8" w:space="0" w:color="000000"/>
            </w:tcBorders>
            <w:vAlign w:val="center"/>
            <w:hideMark/>
          </w:tcPr>
          <w:p w14:paraId="207DFBA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15.3 M€</w:t>
            </w:r>
          </w:p>
        </w:tc>
        <w:tc>
          <w:tcPr>
            <w:tcW w:w="1212" w:type="dxa"/>
            <w:vAlign w:val="center"/>
            <w:hideMark/>
          </w:tcPr>
          <w:p w14:paraId="1C2B2EA6"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B4D1871" w14:textId="77777777" w:rsidTr="00614438">
        <w:trPr>
          <w:trHeight w:val="315"/>
        </w:trPr>
        <w:tc>
          <w:tcPr>
            <w:tcW w:w="3336" w:type="dxa"/>
            <w:tcBorders>
              <w:top w:val="nil"/>
              <w:left w:val="single" w:sz="8" w:space="0" w:color="auto"/>
              <w:bottom w:val="single" w:sz="8" w:space="0" w:color="auto"/>
              <w:right w:val="single" w:sz="8" w:space="0" w:color="auto"/>
            </w:tcBorders>
            <w:shd w:val="clear" w:color="auto" w:fill="244062"/>
            <w:vAlign w:val="center"/>
            <w:hideMark/>
          </w:tcPr>
          <w:p w14:paraId="606E621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52" w:type="dxa"/>
            <w:gridSpan w:val="3"/>
            <w:tcBorders>
              <w:top w:val="single" w:sz="8" w:space="0" w:color="auto"/>
              <w:left w:val="nil"/>
              <w:bottom w:val="single" w:sz="8" w:space="0" w:color="auto"/>
              <w:right w:val="single" w:sz="8" w:space="0" w:color="000000"/>
            </w:tcBorders>
            <w:vAlign w:val="center"/>
            <w:hideMark/>
          </w:tcPr>
          <w:p w14:paraId="6A9472D6" w14:textId="3CC75F36" w:rsidR="00614438" w:rsidRPr="00AA7A53" w:rsidRDefault="0022357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EU funds, </w:t>
            </w:r>
            <w:r w:rsidR="00614438" w:rsidRPr="00AA7A53">
              <w:rPr>
                <w:rFonts w:ascii="Times New Roman" w:hAnsi="Times New Roman" w:cs="Times New Roman"/>
                <w:sz w:val="20"/>
                <w:szCs w:val="20"/>
                <w:lang w:val="en-GB"/>
              </w:rPr>
              <w:t>Grants</w:t>
            </w:r>
            <w:r w:rsidRPr="00AA7A53">
              <w:rPr>
                <w:rFonts w:ascii="Times New Roman" w:hAnsi="Times New Roman" w:cs="Times New Roman"/>
                <w:sz w:val="20"/>
                <w:szCs w:val="20"/>
                <w:lang w:val="en-GB"/>
              </w:rPr>
              <w:t>, own</w:t>
            </w:r>
            <w:r w:rsidR="00614438" w:rsidRPr="00AA7A53">
              <w:rPr>
                <w:rFonts w:ascii="Times New Roman" w:hAnsi="Times New Roman" w:cs="Times New Roman"/>
                <w:sz w:val="20"/>
                <w:szCs w:val="20"/>
                <w:lang w:val="en-GB"/>
              </w:rPr>
              <w:t xml:space="preserve"> and public funds</w:t>
            </w:r>
            <w:r w:rsidRPr="00AA7A53">
              <w:rPr>
                <w:rFonts w:ascii="Times New Roman" w:hAnsi="Times New Roman" w:cs="Times New Roman"/>
                <w:sz w:val="20"/>
                <w:szCs w:val="20"/>
                <w:lang w:val="en-GB"/>
              </w:rPr>
              <w:t xml:space="preserve">, </w:t>
            </w:r>
            <w:r w:rsidR="00614438" w:rsidRPr="00AA7A53">
              <w:rPr>
                <w:rFonts w:ascii="Times New Roman" w:hAnsi="Times New Roman" w:cs="Times New Roman"/>
                <w:sz w:val="20"/>
                <w:szCs w:val="20"/>
                <w:lang w:val="en-GB"/>
              </w:rPr>
              <w:t>Programmes for research and development</w:t>
            </w:r>
            <w:r w:rsidRPr="00AA7A53">
              <w:rPr>
                <w:rFonts w:ascii="Times New Roman" w:hAnsi="Times New Roman" w:cs="Times New Roman"/>
                <w:sz w:val="20"/>
                <w:szCs w:val="20"/>
                <w:lang w:val="en-GB"/>
              </w:rPr>
              <w:t xml:space="preserve">, </w:t>
            </w:r>
            <w:r w:rsidR="00614438" w:rsidRPr="00AA7A53">
              <w:rPr>
                <w:rFonts w:ascii="Times New Roman" w:hAnsi="Times New Roman" w:cs="Times New Roman"/>
                <w:sz w:val="20"/>
                <w:szCs w:val="20"/>
                <w:lang w:val="en-GB"/>
              </w:rPr>
              <w:t>Donors</w:t>
            </w:r>
          </w:p>
        </w:tc>
        <w:tc>
          <w:tcPr>
            <w:tcW w:w="1212" w:type="dxa"/>
            <w:vAlign w:val="center"/>
            <w:hideMark/>
          </w:tcPr>
          <w:p w14:paraId="5C065DE6" w14:textId="77777777" w:rsidR="00614438" w:rsidRPr="00AA7A53" w:rsidRDefault="00614438" w:rsidP="00AA7A53">
            <w:pPr>
              <w:spacing w:after="0"/>
              <w:jc w:val="both"/>
              <w:rPr>
                <w:rFonts w:ascii="Times New Roman" w:hAnsi="Times New Roman" w:cs="Times New Roman"/>
                <w:sz w:val="20"/>
                <w:szCs w:val="20"/>
                <w:lang w:val="en-GB"/>
              </w:rPr>
            </w:pPr>
          </w:p>
        </w:tc>
      </w:tr>
    </w:tbl>
    <w:p w14:paraId="57AFA9B9"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307"/>
        <w:gridCol w:w="1039"/>
        <w:gridCol w:w="939"/>
        <w:gridCol w:w="4203"/>
        <w:gridCol w:w="1212"/>
      </w:tblGrid>
      <w:tr w:rsidR="00614438" w:rsidRPr="00AA7A53" w14:paraId="0E2A2819" w14:textId="77777777" w:rsidTr="00614438">
        <w:trPr>
          <w:gridAfter w:val="1"/>
          <w:wAfter w:w="1212" w:type="dxa"/>
          <w:trHeight w:val="780"/>
        </w:trPr>
        <w:tc>
          <w:tcPr>
            <w:tcW w:w="3338"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090F160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951" w:type="dxa"/>
            <w:tcBorders>
              <w:top w:val="single" w:sz="8" w:space="0" w:color="auto"/>
              <w:left w:val="nil"/>
              <w:bottom w:val="single" w:sz="8" w:space="0" w:color="auto"/>
              <w:right w:val="single" w:sz="8" w:space="0" w:color="auto"/>
            </w:tcBorders>
            <w:shd w:val="clear" w:color="auto" w:fill="E7E6E6" w:themeFill="background2"/>
            <w:vAlign w:val="center"/>
            <w:hideMark/>
          </w:tcPr>
          <w:p w14:paraId="22CC824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PM_RIC9</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1AAF9E9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55" w:type="dxa"/>
            <w:tcBorders>
              <w:top w:val="single" w:sz="8" w:space="0" w:color="auto"/>
              <w:left w:val="nil"/>
              <w:bottom w:val="single" w:sz="8" w:space="0" w:color="auto"/>
              <w:right w:val="single" w:sz="8" w:space="0" w:color="auto"/>
            </w:tcBorders>
            <w:shd w:val="clear" w:color="auto" w:fill="E7E6E6" w:themeFill="background2"/>
            <w:vAlign w:val="center"/>
            <w:hideMark/>
          </w:tcPr>
          <w:p w14:paraId="5E62C4F1" w14:textId="479C5DAE"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Support </w:t>
            </w:r>
            <w:r w:rsidR="00223578" w:rsidRPr="00AA7A53">
              <w:rPr>
                <w:rFonts w:ascii="Times New Roman" w:hAnsi="Times New Roman" w:cs="Times New Roman"/>
                <w:sz w:val="20"/>
                <w:szCs w:val="20"/>
                <w:lang w:val="en-GB"/>
              </w:rPr>
              <w:t xml:space="preserve">for </w:t>
            </w:r>
            <w:r w:rsidRPr="00AA7A53">
              <w:rPr>
                <w:rFonts w:ascii="Times New Roman" w:hAnsi="Times New Roman" w:cs="Times New Roman"/>
                <w:sz w:val="20"/>
                <w:szCs w:val="20"/>
                <w:lang w:val="en-GB"/>
              </w:rPr>
              <w:t>the cooperation between research institutes and businesses in the technology transfer and exploitation of research results</w:t>
            </w:r>
          </w:p>
        </w:tc>
      </w:tr>
      <w:tr w:rsidR="00614438" w:rsidRPr="00AA7A53" w14:paraId="71346BA2" w14:textId="77777777" w:rsidTr="00614438">
        <w:trPr>
          <w:gridAfter w:val="1"/>
          <w:wAfter w:w="1212" w:type="dxa"/>
          <w:trHeight w:val="327"/>
        </w:trPr>
        <w:tc>
          <w:tcPr>
            <w:tcW w:w="3338" w:type="dxa"/>
            <w:tcBorders>
              <w:top w:val="nil"/>
              <w:left w:val="single" w:sz="8" w:space="0" w:color="auto"/>
              <w:bottom w:val="single" w:sz="8" w:space="0" w:color="auto"/>
              <w:right w:val="nil"/>
            </w:tcBorders>
            <w:shd w:val="clear" w:color="auto" w:fill="244062"/>
            <w:vAlign w:val="center"/>
            <w:hideMark/>
          </w:tcPr>
          <w:p w14:paraId="0250F2B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50" w:type="dxa"/>
            <w:gridSpan w:val="3"/>
            <w:tcBorders>
              <w:top w:val="single" w:sz="8" w:space="0" w:color="auto"/>
              <w:left w:val="nil"/>
              <w:bottom w:val="single" w:sz="8" w:space="0" w:color="auto"/>
              <w:right w:val="single" w:sz="8" w:space="0" w:color="000000"/>
            </w:tcBorders>
            <w:vAlign w:val="center"/>
            <w:hideMark/>
          </w:tcPr>
          <w:p w14:paraId="767B3F3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Research and Innovation</w:t>
            </w:r>
          </w:p>
        </w:tc>
      </w:tr>
      <w:tr w:rsidR="00614438" w:rsidRPr="00AA7A53" w14:paraId="114FC46A" w14:textId="77777777" w:rsidTr="00614438">
        <w:trPr>
          <w:gridAfter w:val="1"/>
          <w:wAfter w:w="1212" w:type="dxa"/>
          <w:trHeight w:val="315"/>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03120A2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50" w:type="dxa"/>
            <w:gridSpan w:val="3"/>
            <w:tcBorders>
              <w:top w:val="single" w:sz="8" w:space="0" w:color="auto"/>
              <w:left w:val="nil"/>
              <w:bottom w:val="single" w:sz="8" w:space="0" w:color="auto"/>
              <w:right w:val="single" w:sz="8" w:space="0" w:color="000000"/>
            </w:tcBorders>
            <w:vAlign w:val="center"/>
            <w:hideMark/>
          </w:tcPr>
          <w:p w14:paraId="661D68F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 the level of technological readiness in the field of energy (Qualitative objective)</w:t>
            </w:r>
          </w:p>
        </w:tc>
      </w:tr>
      <w:tr w:rsidR="00614438" w:rsidRPr="00AA7A53" w14:paraId="05181293" w14:textId="77777777" w:rsidTr="00614438">
        <w:trPr>
          <w:gridAfter w:val="1"/>
          <w:wAfter w:w="1212" w:type="dxa"/>
          <w:trHeight w:val="1010"/>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3C2EDF5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50" w:type="dxa"/>
            <w:gridSpan w:val="3"/>
            <w:tcBorders>
              <w:top w:val="single" w:sz="8" w:space="0" w:color="auto"/>
              <w:left w:val="nil"/>
              <w:bottom w:val="single" w:sz="8" w:space="0" w:color="auto"/>
              <w:right w:val="single" w:sz="8" w:space="0" w:color="000000"/>
            </w:tcBorders>
            <w:vAlign w:val="center"/>
            <w:hideMark/>
          </w:tcPr>
          <w:p w14:paraId="6D3AD55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PM_RIC9 will encourage the cooperation between research institutes and the industry in order to maximize the use of the research results. This requires specialist staff to identify and manage knowledge resources with business potential, i.e. how best to take a new idea to market, ensure appropriate resources (funding, support services, etc.) to make it happen, and to obtain adequate buy-in by all stakeholders.</w:t>
            </w:r>
          </w:p>
        </w:tc>
      </w:tr>
      <w:tr w:rsidR="00614438" w:rsidRPr="00AA7A53" w14:paraId="2CAF536C" w14:textId="77777777" w:rsidTr="00614438">
        <w:trPr>
          <w:gridAfter w:val="1"/>
          <w:wAfter w:w="1212" w:type="dxa"/>
          <w:trHeight w:val="315"/>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078D577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50" w:type="dxa"/>
            <w:gridSpan w:val="3"/>
            <w:tcBorders>
              <w:top w:val="single" w:sz="8" w:space="0" w:color="auto"/>
              <w:left w:val="nil"/>
              <w:bottom w:val="single" w:sz="8" w:space="0" w:color="auto"/>
              <w:right w:val="single" w:sz="8" w:space="0" w:color="000000"/>
            </w:tcBorders>
            <w:vAlign w:val="center"/>
            <w:hideMark/>
          </w:tcPr>
          <w:p w14:paraId="54611D56" w14:textId="4A539EFA"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223578"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2EB8C61B" w14:textId="77777777" w:rsidTr="00614438">
        <w:trPr>
          <w:gridAfter w:val="1"/>
          <w:wAfter w:w="1212" w:type="dxa"/>
          <w:trHeight w:val="315"/>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5D200E4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50" w:type="dxa"/>
            <w:gridSpan w:val="3"/>
            <w:tcBorders>
              <w:top w:val="single" w:sz="8" w:space="0" w:color="auto"/>
              <w:left w:val="nil"/>
              <w:bottom w:val="single" w:sz="8" w:space="0" w:color="auto"/>
              <w:right w:val="single" w:sz="8" w:space="0" w:color="000000"/>
            </w:tcBorders>
            <w:vAlign w:val="center"/>
            <w:hideMark/>
          </w:tcPr>
          <w:p w14:paraId="31D0B4E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2B388BCB" w14:textId="77777777" w:rsidTr="00614438">
        <w:trPr>
          <w:gridAfter w:val="1"/>
          <w:wAfter w:w="1212" w:type="dxa"/>
          <w:trHeight w:val="315"/>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0194B88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50" w:type="dxa"/>
            <w:gridSpan w:val="3"/>
            <w:tcBorders>
              <w:top w:val="single" w:sz="8" w:space="0" w:color="auto"/>
              <w:left w:val="nil"/>
              <w:bottom w:val="single" w:sz="8" w:space="0" w:color="auto"/>
              <w:right w:val="single" w:sz="8" w:space="0" w:color="000000"/>
            </w:tcBorders>
            <w:vAlign w:val="center"/>
            <w:hideMark/>
          </w:tcPr>
          <w:p w14:paraId="4177C7C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INECP subject fields</w:t>
            </w:r>
          </w:p>
        </w:tc>
      </w:tr>
      <w:tr w:rsidR="00614438" w:rsidRPr="00AA7A53" w14:paraId="236BF551" w14:textId="77777777" w:rsidTr="00614438">
        <w:trPr>
          <w:gridAfter w:val="1"/>
          <w:wAfter w:w="1212" w:type="dxa"/>
          <w:trHeight w:val="315"/>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3357AFE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50" w:type="dxa"/>
            <w:gridSpan w:val="3"/>
            <w:tcBorders>
              <w:top w:val="single" w:sz="8" w:space="0" w:color="auto"/>
              <w:left w:val="nil"/>
              <w:bottom w:val="single" w:sz="8" w:space="0" w:color="auto"/>
              <w:right w:val="single" w:sz="8" w:space="0" w:color="000000"/>
            </w:tcBorders>
            <w:vAlign w:val="center"/>
            <w:hideMark/>
          </w:tcPr>
          <w:p w14:paraId="460423DC" w14:textId="77777777" w:rsidR="00614438" w:rsidRPr="00AA7A53" w:rsidRDefault="00614438"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27E07AD3" w14:textId="271CC101" w:rsidR="00614438" w:rsidRPr="00AA7A53" w:rsidRDefault="001F2B5C"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Science, Technological Development and Innovation</w:t>
            </w:r>
          </w:p>
          <w:p w14:paraId="69D4CA90" w14:textId="77777777" w:rsidR="00614438" w:rsidRPr="00AA7A53" w:rsidRDefault="00614438"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Chamber of Commerce and Industry of Serbia</w:t>
            </w:r>
          </w:p>
        </w:tc>
      </w:tr>
      <w:tr w:rsidR="00614438" w:rsidRPr="00AA7A53" w14:paraId="09E72903" w14:textId="77777777" w:rsidTr="00614438">
        <w:trPr>
          <w:gridAfter w:val="1"/>
          <w:wAfter w:w="1212" w:type="dxa"/>
          <w:trHeight w:val="315"/>
        </w:trPr>
        <w:tc>
          <w:tcPr>
            <w:tcW w:w="3338" w:type="dxa"/>
            <w:tcBorders>
              <w:top w:val="nil"/>
              <w:left w:val="single" w:sz="8" w:space="0" w:color="auto"/>
              <w:bottom w:val="single" w:sz="8" w:space="0" w:color="auto"/>
              <w:right w:val="nil"/>
            </w:tcBorders>
            <w:shd w:val="clear" w:color="auto" w:fill="244062"/>
            <w:vAlign w:val="center"/>
            <w:hideMark/>
          </w:tcPr>
          <w:p w14:paraId="7FAEF9B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50" w:type="dxa"/>
            <w:gridSpan w:val="3"/>
            <w:tcBorders>
              <w:top w:val="single" w:sz="8" w:space="0" w:color="auto"/>
              <w:left w:val="nil"/>
              <w:bottom w:val="single" w:sz="8" w:space="0" w:color="auto"/>
              <w:right w:val="single" w:sz="8" w:space="0" w:color="000000"/>
            </w:tcBorders>
            <w:vAlign w:val="center"/>
            <w:hideMark/>
          </w:tcPr>
          <w:p w14:paraId="76ADF043" w14:textId="4B9928AA" w:rsidR="00614438" w:rsidRPr="00AA7A53" w:rsidRDefault="001F2B5C"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Science, Technological Development and Innovation</w:t>
            </w:r>
          </w:p>
        </w:tc>
      </w:tr>
      <w:tr w:rsidR="00614438" w:rsidRPr="00AA7A53" w14:paraId="5C8412C2" w14:textId="77777777" w:rsidTr="00614438">
        <w:trPr>
          <w:gridAfter w:val="1"/>
          <w:wAfter w:w="1212" w:type="dxa"/>
          <w:trHeight w:val="315"/>
        </w:trPr>
        <w:tc>
          <w:tcPr>
            <w:tcW w:w="3338" w:type="dxa"/>
            <w:tcBorders>
              <w:top w:val="nil"/>
              <w:left w:val="single" w:sz="8" w:space="0" w:color="auto"/>
              <w:bottom w:val="single" w:sz="8" w:space="0" w:color="auto"/>
              <w:right w:val="nil"/>
            </w:tcBorders>
            <w:shd w:val="clear" w:color="auto" w:fill="244062"/>
            <w:vAlign w:val="center"/>
            <w:hideMark/>
          </w:tcPr>
          <w:p w14:paraId="041D168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50" w:type="dxa"/>
            <w:gridSpan w:val="3"/>
            <w:tcBorders>
              <w:top w:val="single" w:sz="8" w:space="0" w:color="auto"/>
              <w:left w:val="nil"/>
              <w:bottom w:val="single" w:sz="8" w:space="0" w:color="auto"/>
              <w:right w:val="single" w:sz="8" w:space="0" w:color="000000"/>
            </w:tcBorders>
            <w:vAlign w:val="center"/>
            <w:hideMark/>
          </w:tcPr>
          <w:p w14:paraId="6AF5387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The increase of annual revenue achieved through: the licensing of patents, technology transfer, agreements on the use or development of technology, advisory services, etc.</w:t>
            </w:r>
          </w:p>
        </w:tc>
      </w:tr>
      <w:tr w:rsidR="00614438" w:rsidRPr="00AA7A53" w14:paraId="66E4B879" w14:textId="77777777" w:rsidTr="00614438">
        <w:trPr>
          <w:gridAfter w:val="1"/>
          <w:wAfter w:w="1212" w:type="dxa"/>
          <w:trHeight w:val="479"/>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51D07B1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50" w:type="dxa"/>
            <w:gridSpan w:val="3"/>
            <w:tcBorders>
              <w:top w:val="single" w:sz="8" w:space="0" w:color="auto"/>
              <w:left w:val="nil"/>
              <w:bottom w:val="single" w:sz="8" w:space="0" w:color="auto"/>
              <w:right w:val="single" w:sz="8" w:space="0" w:color="000000"/>
            </w:tcBorders>
            <w:vAlign w:val="center"/>
            <w:hideMark/>
          </w:tcPr>
          <w:p w14:paraId="460FCAD2" w14:textId="77777777" w:rsidR="00614438" w:rsidRPr="00AA7A53" w:rsidRDefault="00614438"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tc>
      </w:tr>
      <w:tr w:rsidR="00614438" w:rsidRPr="00AA7A53" w14:paraId="47DBB414" w14:textId="77777777" w:rsidTr="00614438">
        <w:trPr>
          <w:gridAfter w:val="1"/>
          <w:wAfter w:w="1212" w:type="dxa"/>
          <w:trHeight w:val="458"/>
        </w:trPr>
        <w:tc>
          <w:tcPr>
            <w:tcW w:w="3338" w:type="dxa"/>
            <w:vMerge w:val="restart"/>
            <w:tcBorders>
              <w:top w:val="nil"/>
              <w:left w:val="single" w:sz="8" w:space="0" w:color="auto"/>
              <w:bottom w:val="single" w:sz="8" w:space="0" w:color="000000"/>
              <w:right w:val="single" w:sz="8" w:space="0" w:color="auto"/>
            </w:tcBorders>
            <w:shd w:val="clear" w:color="auto" w:fill="244062"/>
            <w:vAlign w:val="center"/>
            <w:hideMark/>
          </w:tcPr>
          <w:p w14:paraId="6F85E02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5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DF55570" w14:textId="77777777" w:rsidR="00614438" w:rsidRPr="00AA7A53" w:rsidRDefault="00614438"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European Strategic Energy Technology Plan (SET Plan)</w:t>
            </w:r>
          </w:p>
        </w:tc>
      </w:tr>
      <w:tr w:rsidR="00614438" w:rsidRPr="00AA7A53" w14:paraId="4343783A"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52984FFC"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84165E4"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3FEEB28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F36BE3E"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0E680FBB"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930376C"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59CB16CE"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61140534" w14:textId="77777777" w:rsidTr="00614438">
        <w:trPr>
          <w:trHeight w:val="371"/>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522D2F7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50" w:type="dxa"/>
            <w:gridSpan w:val="3"/>
            <w:tcBorders>
              <w:top w:val="single" w:sz="8" w:space="0" w:color="auto"/>
              <w:left w:val="nil"/>
              <w:bottom w:val="single" w:sz="8" w:space="0" w:color="auto"/>
              <w:right w:val="single" w:sz="8" w:space="0" w:color="000000"/>
            </w:tcBorders>
            <w:vAlign w:val="center"/>
            <w:hideMark/>
          </w:tcPr>
          <w:p w14:paraId="2A827AAA" w14:textId="77777777" w:rsidR="00614438" w:rsidRPr="00AA7A53" w:rsidRDefault="00614438"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Science and Research</w:t>
            </w:r>
          </w:p>
        </w:tc>
        <w:tc>
          <w:tcPr>
            <w:tcW w:w="1212" w:type="dxa"/>
            <w:vAlign w:val="center"/>
            <w:hideMark/>
          </w:tcPr>
          <w:p w14:paraId="6AA8997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B6148CF" w14:textId="77777777" w:rsidTr="00614438">
        <w:trPr>
          <w:trHeight w:val="315"/>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581884B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50" w:type="dxa"/>
            <w:gridSpan w:val="3"/>
            <w:tcBorders>
              <w:top w:val="single" w:sz="8" w:space="0" w:color="auto"/>
              <w:left w:val="nil"/>
              <w:bottom w:val="single" w:sz="8" w:space="0" w:color="auto"/>
              <w:right w:val="single" w:sz="8" w:space="0" w:color="000000"/>
            </w:tcBorders>
            <w:vAlign w:val="center"/>
            <w:hideMark/>
          </w:tcPr>
          <w:p w14:paraId="3FA83EB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3.2 M€</w:t>
            </w:r>
          </w:p>
        </w:tc>
        <w:tc>
          <w:tcPr>
            <w:tcW w:w="1212" w:type="dxa"/>
            <w:vAlign w:val="center"/>
            <w:hideMark/>
          </w:tcPr>
          <w:p w14:paraId="347BC5D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840E1D4" w14:textId="77777777" w:rsidTr="00614438">
        <w:trPr>
          <w:trHeight w:val="315"/>
        </w:trPr>
        <w:tc>
          <w:tcPr>
            <w:tcW w:w="3338" w:type="dxa"/>
            <w:tcBorders>
              <w:top w:val="nil"/>
              <w:left w:val="single" w:sz="8" w:space="0" w:color="auto"/>
              <w:bottom w:val="single" w:sz="8" w:space="0" w:color="auto"/>
              <w:right w:val="single" w:sz="8" w:space="0" w:color="auto"/>
            </w:tcBorders>
            <w:shd w:val="clear" w:color="auto" w:fill="244062"/>
            <w:vAlign w:val="center"/>
            <w:hideMark/>
          </w:tcPr>
          <w:p w14:paraId="2E32EB2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50" w:type="dxa"/>
            <w:gridSpan w:val="3"/>
            <w:tcBorders>
              <w:top w:val="single" w:sz="8" w:space="0" w:color="auto"/>
              <w:left w:val="nil"/>
              <w:bottom w:val="single" w:sz="8" w:space="0" w:color="auto"/>
              <w:right w:val="single" w:sz="8" w:space="0" w:color="000000"/>
            </w:tcBorders>
            <w:vAlign w:val="center"/>
            <w:hideMark/>
          </w:tcPr>
          <w:p w14:paraId="1505A372" w14:textId="5771674C"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funds</w:t>
            </w:r>
            <w:r w:rsidR="00223578" w:rsidRPr="00AA7A53">
              <w:rPr>
                <w:rFonts w:ascii="Times New Roman" w:hAnsi="Times New Roman" w:cs="Times New Roman"/>
                <w:sz w:val="20"/>
                <w:szCs w:val="20"/>
                <w:lang w:val="en-GB"/>
              </w:rPr>
              <w:t>, own</w:t>
            </w:r>
            <w:r w:rsidRPr="00AA7A53">
              <w:rPr>
                <w:rFonts w:ascii="Times New Roman" w:hAnsi="Times New Roman" w:cs="Times New Roman"/>
                <w:sz w:val="20"/>
                <w:szCs w:val="20"/>
                <w:lang w:val="en-GB"/>
              </w:rPr>
              <w:t xml:space="preserve"> and public funds</w:t>
            </w:r>
            <w:r w:rsidR="00223578" w:rsidRPr="00AA7A53">
              <w:rPr>
                <w:rFonts w:ascii="Times New Roman" w:hAnsi="Times New Roman" w:cs="Times New Roman"/>
                <w:sz w:val="20"/>
                <w:szCs w:val="20"/>
                <w:lang w:val="en-GB"/>
              </w:rPr>
              <w:t xml:space="preserve">, </w:t>
            </w:r>
            <w:r w:rsidRPr="00AA7A53">
              <w:rPr>
                <w:rFonts w:ascii="Times New Roman" w:hAnsi="Times New Roman" w:cs="Times New Roman"/>
                <w:sz w:val="20"/>
                <w:szCs w:val="20"/>
                <w:lang w:val="en-GB"/>
              </w:rPr>
              <w:t>Programmes for research and development</w:t>
            </w:r>
          </w:p>
        </w:tc>
        <w:tc>
          <w:tcPr>
            <w:tcW w:w="1212" w:type="dxa"/>
            <w:vAlign w:val="center"/>
            <w:hideMark/>
          </w:tcPr>
          <w:p w14:paraId="145BFE8B" w14:textId="77777777" w:rsidR="00614438" w:rsidRPr="00AA7A53" w:rsidRDefault="00614438" w:rsidP="00AA7A53">
            <w:pPr>
              <w:spacing w:after="0"/>
              <w:jc w:val="both"/>
              <w:rPr>
                <w:rFonts w:ascii="Times New Roman" w:hAnsi="Times New Roman" w:cs="Times New Roman"/>
                <w:sz w:val="20"/>
                <w:szCs w:val="20"/>
                <w:lang w:val="en-GB"/>
              </w:rPr>
            </w:pPr>
          </w:p>
        </w:tc>
      </w:tr>
    </w:tbl>
    <w:p w14:paraId="5C2458DB"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78"/>
        <w:gridCol w:w="1139"/>
        <w:gridCol w:w="933"/>
        <w:gridCol w:w="4138"/>
        <w:gridCol w:w="1212"/>
      </w:tblGrid>
      <w:tr w:rsidR="00614438" w:rsidRPr="00AA7A53" w14:paraId="069FC864" w14:textId="77777777" w:rsidTr="00614438">
        <w:trPr>
          <w:gridAfter w:val="1"/>
          <w:wAfter w:w="1212" w:type="dxa"/>
          <w:trHeight w:val="780"/>
        </w:trPr>
        <w:tc>
          <w:tcPr>
            <w:tcW w:w="3309"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7971B76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052" w:type="dxa"/>
            <w:tcBorders>
              <w:top w:val="single" w:sz="8" w:space="0" w:color="auto"/>
              <w:left w:val="nil"/>
              <w:bottom w:val="single" w:sz="8" w:space="0" w:color="auto"/>
              <w:right w:val="single" w:sz="8" w:space="0" w:color="auto"/>
            </w:tcBorders>
            <w:shd w:val="clear" w:color="auto" w:fill="E7E6E6" w:themeFill="background2"/>
            <w:vAlign w:val="center"/>
            <w:hideMark/>
          </w:tcPr>
          <w:p w14:paraId="1A95CF3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PM_RIC10</w:t>
            </w:r>
          </w:p>
        </w:tc>
        <w:tc>
          <w:tcPr>
            <w:tcW w:w="938" w:type="dxa"/>
            <w:tcBorders>
              <w:top w:val="single" w:sz="8" w:space="0" w:color="auto"/>
              <w:left w:val="nil"/>
              <w:bottom w:val="single" w:sz="8" w:space="0" w:color="auto"/>
              <w:right w:val="single" w:sz="8" w:space="0" w:color="auto"/>
            </w:tcBorders>
            <w:shd w:val="clear" w:color="auto" w:fill="244062"/>
            <w:vAlign w:val="center"/>
            <w:hideMark/>
          </w:tcPr>
          <w:p w14:paraId="003A96D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89" w:type="dxa"/>
            <w:tcBorders>
              <w:top w:val="single" w:sz="8" w:space="0" w:color="auto"/>
              <w:left w:val="nil"/>
              <w:bottom w:val="single" w:sz="8" w:space="0" w:color="auto"/>
              <w:right w:val="single" w:sz="8" w:space="0" w:color="auto"/>
            </w:tcBorders>
            <w:shd w:val="clear" w:color="auto" w:fill="E7E6E6" w:themeFill="background2"/>
            <w:vAlign w:val="center"/>
            <w:hideMark/>
          </w:tcPr>
          <w:p w14:paraId="62B9A29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Development of innovative energy-saving technologies</w:t>
            </w:r>
          </w:p>
        </w:tc>
      </w:tr>
      <w:tr w:rsidR="00614438" w:rsidRPr="00AA7A53" w14:paraId="313E1728" w14:textId="77777777" w:rsidTr="00614438">
        <w:trPr>
          <w:gridAfter w:val="1"/>
          <w:wAfter w:w="1212" w:type="dxa"/>
          <w:trHeight w:val="325"/>
        </w:trPr>
        <w:tc>
          <w:tcPr>
            <w:tcW w:w="3309" w:type="dxa"/>
            <w:tcBorders>
              <w:top w:val="nil"/>
              <w:left w:val="single" w:sz="8" w:space="0" w:color="auto"/>
              <w:bottom w:val="single" w:sz="8" w:space="0" w:color="auto"/>
              <w:right w:val="nil"/>
            </w:tcBorders>
            <w:shd w:val="clear" w:color="auto" w:fill="244062"/>
            <w:vAlign w:val="center"/>
            <w:hideMark/>
          </w:tcPr>
          <w:p w14:paraId="3AD7490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79" w:type="dxa"/>
            <w:gridSpan w:val="3"/>
            <w:tcBorders>
              <w:top w:val="single" w:sz="8" w:space="0" w:color="auto"/>
              <w:left w:val="nil"/>
              <w:bottom w:val="single" w:sz="8" w:space="0" w:color="auto"/>
              <w:right w:val="single" w:sz="8" w:space="0" w:color="000000"/>
            </w:tcBorders>
            <w:vAlign w:val="center"/>
            <w:hideMark/>
          </w:tcPr>
          <w:p w14:paraId="701A04F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Research and Innovation</w:t>
            </w:r>
          </w:p>
        </w:tc>
      </w:tr>
      <w:tr w:rsidR="00614438" w:rsidRPr="00AA7A53" w14:paraId="40860A26" w14:textId="77777777" w:rsidTr="00614438">
        <w:trPr>
          <w:gridAfter w:val="1"/>
          <w:wAfter w:w="1212" w:type="dxa"/>
          <w:trHeight w:val="315"/>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360B2AA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79" w:type="dxa"/>
            <w:gridSpan w:val="3"/>
            <w:tcBorders>
              <w:top w:val="single" w:sz="8" w:space="0" w:color="auto"/>
              <w:left w:val="nil"/>
              <w:bottom w:val="single" w:sz="8" w:space="0" w:color="auto"/>
              <w:right w:val="single" w:sz="8" w:space="0" w:color="000000"/>
            </w:tcBorders>
            <w:vAlign w:val="center"/>
            <w:hideMark/>
          </w:tcPr>
          <w:p w14:paraId="6571242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 the level of technological readiness per technology (Qualitative objective)</w:t>
            </w:r>
          </w:p>
        </w:tc>
      </w:tr>
      <w:tr w:rsidR="00614438" w:rsidRPr="00AA7A53" w14:paraId="5AAFF6E1" w14:textId="77777777" w:rsidTr="00614438">
        <w:trPr>
          <w:gridAfter w:val="1"/>
          <w:wAfter w:w="1212" w:type="dxa"/>
          <w:trHeight w:val="1185"/>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71401CE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79" w:type="dxa"/>
            <w:gridSpan w:val="3"/>
            <w:tcBorders>
              <w:top w:val="single" w:sz="8" w:space="0" w:color="auto"/>
              <w:left w:val="nil"/>
              <w:bottom w:val="single" w:sz="8" w:space="0" w:color="auto"/>
              <w:right w:val="single" w:sz="8" w:space="0" w:color="000000"/>
            </w:tcBorders>
            <w:vAlign w:val="center"/>
            <w:hideMark/>
          </w:tcPr>
          <w:p w14:paraId="43A2E174" w14:textId="6ACFFA40"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PM_RIC10 will strengthen R&amp;</w:t>
            </w:r>
            <w:r w:rsidR="00EA3B24" w:rsidRPr="00AA7A53">
              <w:rPr>
                <w:rFonts w:ascii="Times New Roman" w:hAnsi="Times New Roman" w:cs="Times New Roman"/>
                <w:sz w:val="20"/>
                <w:szCs w:val="20"/>
                <w:lang w:val="en-GB"/>
              </w:rPr>
              <w:t>I</w:t>
            </w:r>
            <w:r w:rsidRPr="00AA7A53">
              <w:rPr>
                <w:rFonts w:ascii="Times New Roman" w:hAnsi="Times New Roman" w:cs="Times New Roman"/>
                <w:sz w:val="20"/>
                <w:szCs w:val="20"/>
                <w:lang w:val="en-GB"/>
              </w:rPr>
              <w:t xml:space="preserve"> activities in the field of buildings related to new materials, prefabricated active elements for facades &amp; roofs, cost-effective, intelligent, flexible heat pumps and heat pumps for high temperatures and digital programming and optimization of buildings. In the industrial sector, energy efficient heating and cooling technologies, heating and cooling recovery and systems integration will be supported.</w:t>
            </w:r>
          </w:p>
        </w:tc>
      </w:tr>
      <w:tr w:rsidR="00614438" w:rsidRPr="00AA7A53" w14:paraId="34A96AD3" w14:textId="77777777" w:rsidTr="00614438">
        <w:trPr>
          <w:gridAfter w:val="1"/>
          <w:wAfter w:w="1212" w:type="dxa"/>
          <w:trHeight w:val="315"/>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2B9F0A7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79" w:type="dxa"/>
            <w:gridSpan w:val="3"/>
            <w:tcBorders>
              <w:top w:val="single" w:sz="8" w:space="0" w:color="auto"/>
              <w:left w:val="nil"/>
              <w:bottom w:val="single" w:sz="8" w:space="0" w:color="auto"/>
              <w:right w:val="single" w:sz="8" w:space="0" w:color="000000"/>
            </w:tcBorders>
            <w:vAlign w:val="center"/>
            <w:hideMark/>
          </w:tcPr>
          <w:p w14:paraId="0F61C403" w14:textId="4A84421B"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223578"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6970446E" w14:textId="77777777" w:rsidTr="00614438">
        <w:trPr>
          <w:gridAfter w:val="1"/>
          <w:wAfter w:w="1212" w:type="dxa"/>
          <w:trHeight w:val="315"/>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6274024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Type of measure</w:t>
            </w:r>
          </w:p>
        </w:tc>
        <w:tc>
          <w:tcPr>
            <w:tcW w:w="6179" w:type="dxa"/>
            <w:gridSpan w:val="3"/>
            <w:tcBorders>
              <w:top w:val="single" w:sz="8" w:space="0" w:color="auto"/>
              <w:left w:val="nil"/>
              <w:bottom w:val="single" w:sz="8" w:space="0" w:color="auto"/>
              <w:right w:val="single" w:sz="8" w:space="0" w:color="000000"/>
            </w:tcBorders>
            <w:vAlign w:val="center"/>
            <w:hideMark/>
          </w:tcPr>
          <w:p w14:paraId="1788780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57DE91EC" w14:textId="77777777" w:rsidTr="00614438">
        <w:trPr>
          <w:gridAfter w:val="1"/>
          <w:wAfter w:w="1212" w:type="dxa"/>
          <w:trHeight w:val="315"/>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12FE252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79" w:type="dxa"/>
            <w:gridSpan w:val="3"/>
            <w:tcBorders>
              <w:top w:val="single" w:sz="8" w:space="0" w:color="auto"/>
              <w:left w:val="nil"/>
              <w:bottom w:val="single" w:sz="8" w:space="0" w:color="auto"/>
              <w:right w:val="single" w:sz="8" w:space="0" w:color="000000"/>
            </w:tcBorders>
            <w:vAlign w:val="center"/>
            <w:hideMark/>
          </w:tcPr>
          <w:p w14:paraId="3AE3FFF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Energy efficiency, buildings, industry</w:t>
            </w:r>
          </w:p>
        </w:tc>
      </w:tr>
      <w:tr w:rsidR="00614438" w:rsidRPr="00AA7A53" w14:paraId="0EA6CB4F" w14:textId="77777777" w:rsidTr="00614438">
        <w:trPr>
          <w:gridAfter w:val="1"/>
          <w:wAfter w:w="1212" w:type="dxa"/>
          <w:trHeight w:val="315"/>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1090EE9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79" w:type="dxa"/>
            <w:gridSpan w:val="3"/>
            <w:tcBorders>
              <w:top w:val="single" w:sz="8" w:space="0" w:color="auto"/>
              <w:left w:val="nil"/>
              <w:bottom w:val="single" w:sz="8" w:space="0" w:color="auto"/>
              <w:right w:val="single" w:sz="8" w:space="0" w:color="000000"/>
            </w:tcBorders>
            <w:vAlign w:val="center"/>
            <w:hideMark/>
          </w:tcPr>
          <w:p w14:paraId="231EDBBF" w14:textId="77777777" w:rsidR="00614438" w:rsidRPr="00AA7A53" w:rsidRDefault="00614438"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71E0F8A3" w14:textId="716BE8BF" w:rsidR="00614438" w:rsidRPr="00AA7A53" w:rsidRDefault="001F2B5C"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Science, Technological Development and Innovation</w:t>
            </w:r>
          </w:p>
          <w:p w14:paraId="5EAF85A4" w14:textId="77777777" w:rsidR="00614438" w:rsidRPr="00AA7A53" w:rsidRDefault="00614438"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tc>
      </w:tr>
      <w:tr w:rsidR="00614438" w:rsidRPr="00AA7A53" w14:paraId="2C038486" w14:textId="77777777" w:rsidTr="00614438">
        <w:trPr>
          <w:gridAfter w:val="1"/>
          <w:wAfter w:w="1212" w:type="dxa"/>
          <w:trHeight w:val="315"/>
        </w:trPr>
        <w:tc>
          <w:tcPr>
            <w:tcW w:w="3309" w:type="dxa"/>
            <w:tcBorders>
              <w:top w:val="nil"/>
              <w:left w:val="single" w:sz="8" w:space="0" w:color="auto"/>
              <w:bottom w:val="single" w:sz="8" w:space="0" w:color="auto"/>
              <w:right w:val="nil"/>
            </w:tcBorders>
            <w:shd w:val="clear" w:color="auto" w:fill="244062"/>
            <w:vAlign w:val="center"/>
            <w:hideMark/>
          </w:tcPr>
          <w:p w14:paraId="2FD24A4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79" w:type="dxa"/>
            <w:gridSpan w:val="3"/>
            <w:tcBorders>
              <w:top w:val="single" w:sz="8" w:space="0" w:color="auto"/>
              <w:left w:val="nil"/>
              <w:bottom w:val="single" w:sz="8" w:space="0" w:color="auto"/>
              <w:right w:val="single" w:sz="8" w:space="0" w:color="000000"/>
            </w:tcBorders>
            <w:vAlign w:val="center"/>
            <w:hideMark/>
          </w:tcPr>
          <w:p w14:paraId="31793315" w14:textId="75EBE876" w:rsidR="00614438" w:rsidRPr="00AA7A53" w:rsidRDefault="001F2B5C" w:rsidP="00AA7A53">
            <w:pPr>
              <w:numPr>
                <w:ilvl w:val="0"/>
                <w:numId w:val="20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Science, Technological Development and Innovation</w:t>
            </w:r>
          </w:p>
          <w:p w14:paraId="11A96E92" w14:textId="77777777" w:rsidR="00614438" w:rsidRPr="00AA7A53" w:rsidRDefault="00614438" w:rsidP="00AA7A53">
            <w:pPr>
              <w:numPr>
                <w:ilvl w:val="0"/>
                <w:numId w:val="20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4968FFF5" w14:textId="77777777" w:rsidTr="00614438">
        <w:trPr>
          <w:gridAfter w:val="1"/>
          <w:wAfter w:w="1212" w:type="dxa"/>
          <w:trHeight w:val="315"/>
        </w:trPr>
        <w:tc>
          <w:tcPr>
            <w:tcW w:w="3309" w:type="dxa"/>
            <w:tcBorders>
              <w:top w:val="nil"/>
              <w:left w:val="single" w:sz="8" w:space="0" w:color="auto"/>
              <w:bottom w:val="single" w:sz="8" w:space="0" w:color="auto"/>
              <w:right w:val="nil"/>
            </w:tcBorders>
            <w:shd w:val="clear" w:color="auto" w:fill="244062"/>
            <w:vAlign w:val="center"/>
            <w:hideMark/>
          </w:tcPr>
          <w:p w14:paraId="1DFFC5F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79" w:type="dxa"/>
            <w:gridSpan w:val="3"/>
            <w:tcBorders>
              <w:top w:val="single" w:sz="8" w:space="0" w:color="auto"/>
              <w:left w:val="nil"/>
              <w:bottom w:val="single" w:sz="8" w:space="0" w:color="auto"/>
              <w:right w:val="single" w:sz="8" w:space="0" w:color="000000"/>
            </w:tcBorders>
            <w:vAlign w:val="center"/>
            <w:hideMark/>
          </w:tcPr>
          <w:p w14:paraId="785AAB4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Number of research projects development on innovative energy-saving technologies on an annual basis</w:t>
            </w:r>
          </w:p>
        </w:tc>
      </w:tr>
      <w:tr w:rsidR="00614438" w:rsidRPr="00AA7A53" w14:paraId="7F133C62" w14:textId="77777777" w:rsidTr="00614438">
        <w:trPr>
          <w:gridAfter w:val="1"/>
          <w:wAfter w:w="1212" w:type="dxa"/>
          <w:trHeight w:val="609"/>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5C3032F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79" w:type="dxa"/>
            <w:gridSpan w:val="3"/>
            <w:tcBorders>
              <w:top w:val="single" w:sz="8" w:space="0" w:color="auto"/>
              <w:left w:val="nil"/>
              <w:bottom w:val="single" w:sz="8" w:space="0" w:color="auto"/>
              <w:right w:val="single" w:sz="8" w:space="0" w:color="000000"/>
            </w:tcBorders>
            <w:vAlign w:val="center"/>
            <w:hideMark/>
          </w:tcPr>
          <w:p w14:paraId="401F38B1" w14:textId="77777777" w:rsidR="00614438" w:rsidRPr="00AA7A53" w:rsidRDefault="00614438"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p w14:paraId="08CEC2C9" w14:textId="77777777" w:rsidR="00614438" w:rsidRPr="00AA7A53" w:rsidRDefault="00614438"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tc>
      </w:tr>
      <w:tr w:rsidR="00614438" w:rsidRPr="00AA7A53" w14:paraId="376E64F0" w14:textId="77777777" w:rsidTr="00614438">
        <w:trPr>
          <w:gridAfter w:val="1"/>
          <w:wAfter w:w="1212" w:type="dxa"/>
          <w:trHeight w:val="458"/>
        </w:trPr>
        <w:tc>
          <w:tcPr>
            <w:tcW w:w="3309" w:type="dxa"/>
            <w:vMerge w:val="restart"/>
            <w:tcBorders>
              <w:top w:val="nil"/>
              <w:left w:val="single" w:sz="8" w:space="0" w:color="auto"/>
              <w:bottom w:val="single" w:sz="8" w:space="0" w:color="000000"/>
              <w:right w:val="single" w:sz="8" w:space="0" w:color="auto"/>
            </w:tcBorders>
            <w:shd w:val="clear" w:color="auto" w:fill="244062"/>
            <w:vAlign w:val="center"/>
            <w:hideMark/>
          </w:tcPr>
          <w:p w14:paraId="2000719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79"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4C13712C" w14:textId="77777777" w:rsidR="00614438" w:rsidRPr="00AA7A53" w:rsidRDefault="00614438"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European Strategic Energy Technology Plan (SET Plan)</w:t>
            </w:r>
          </w:p>
          <w:p w14:paraId="20E9765C" w14:textId="77777777" w:rsidR="00614438" w:rsidRPr="00AA7A53" w:rsidRDefault="00614438"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Research and Innovation Strategies for Smart Specialisation (RIS 3)</w:t>
            </w:r>
          </w:p>
        </w:tc>
      </w:tr>
      <w:tr w:rsidR="00614438" w:rsidRPr="00AA7A53" w14:paraId="1FEFC9EB"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212329E6"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D0B26CF"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0FDCAD4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BBA47FC"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4D220966"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DCF5D68"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073F1FF9"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2FF0CCF5" w14:textId="77777777" w:rsidTr="00614438">
        <w:trPr>
          <w:trHeight w:val="517"/>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54684EA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79" w:type="dxa"/>
            <w:gridSpan w:val="3"/>
            <w:tcBorders>
              <w:top w:val="single" w:sz="8" w:space="0" w:color="auto"/>
              <w:left w:val="nil"/>
              <w:bottom w:val="single" w:sz="8" w:space="0" w:color="auto"/>
              <w:right w:val="single" w:sz="8" w:space="0" w:color="000000"/>
            </w:tcBorders>
            <w:vAlign w:val="center"/>
            <w:hideMark/>
          </w:tcPr>
          <w:p w14:paraId="409F7BFF" w14:textId="77777777" w:rsidR="00614438" w:rsidRPr="00AA7A53" w:rsidRDefault="00614438"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the Science Fund</w:t>
            </w:r>
          </w:p>
          <w:p w14:paraId="4EE8ECC2" w14:textId="77777777" w:rsidR="00614438" w:rsidRPr="00AA7A53" w:rsidRDefault="00614438"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Science and Research</w:t>
            </w:r>
          </w:p>
          <w:p w14:paraId="4164B91B" w14:textId="32B51A7D" w:rsidR="00223578" w:rsidRPr="00AA7A53" w:rsidRDefault="00223578"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Innovation Activity</w:t>
            </w:r>
          </w:p>
        </w:tc>
        <w:tc>
          <w:tcPr>
            <w:tcW w:w="1212" w:type="dxa"/>
            <w:vAlign w:val="center"/>
            <w:hideMark/>
          </w:tcPr>
          <w:p w14:paraId="501E27F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EBB0E1B" w14:textId="77777777" w:rsidTr="00614438">
        <w:trPr>
          <w:trHeight w:val="315"/>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43F3A7B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79" w:type="dxa"/>
            <w:gridSpan w:val="3"/>
            <w:tcBorders>
              <w:top w:val="single" w:sz="8" w:space="0" w:color="auto"/>
              <w:left w:val="nil"/>
              <w:bottom w:val="single" w:sz="8" w:space="0" w:color="auto"/>
              <w:right w:val="single" w:sz="8" w:space="0" w:color="000000"/>
            </w:tcBorders>
            <w:vAlign w:val="center"/>
            <w:hideMark/>
          </w:tcPr>
          <w:p w14:paraId="757734E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7.2 M€</w:t>
            </w:r>
          </w:p>
        </w:tc>
        <w:tc>
          <w:tcPr>
            <w:tcW w:w="1212" w:type="dxa"/>
            <w:vAlign w:val="center"/>
            <w:hideMark/>
          </w:tcPr>
          <w:p w14:paraId="793699E6"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F206C9E" w14:textId="77777777" w:rsidTr="00614438">
        <w:trPr>
          <w:trHeight w:val="315"/>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2918FDE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79" w:type="dxa"/>
            <w:gridSpan w:val="3"/>
            <w:tcBorders>
              <w:top w:val="single" w:sz="8" w:space="0" w:color="auto"/>
              <w:left w:val="nil"/>
              <w:bottom w:val="single" w:sz="8" w:space="0" w:color="auto"/>
              <w:right w:val="single" w:sz="8" w:space="0" w:color="000000"/>
            </w:tcBorders>
            <w:vAlign w:val="center"/>
            <w:hideMark/>
          </w:tcPr>
          <w:p w14:paraId="3D073BED" w14:textId="3967F6A3"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funds</w:t>
            </w:r>
            <w:r w:rsidR="00223578" w:rsidRPr="00AA7A53">
              <w:rPr>
                <w:rFonts w:ascii="Times New Roman" w:hAnsi="Times New Roman" w:cs="Times New Roman"/>
                <w:sz w:val="20"/>
                <w:szCs w:val="20"/>
                <w:lang w:val="en-GB"/>
              </w:rPr>
              <w:t>, own</w:t>
            </w:r>
            <w:r w:rsidRPr="00AA7A53">
              <w:rPr>
                <w:rFonts w:ascii="Times New Roman" w:hAnsi="Times New Roman" w:cs="Times New Roman"/>
                <w:sz w:val="20"/>
                <w:szCs w:val="20"/>
                <w:lang w:val="en-GB"/>
              </w:rPr>
              <w:t xml:space="preserve"> and public funds</w:t>
            </w:r>
            <w:r w:rsidR="00223578" w:rsidRPr="00AA7A53">
              <w:rPr>
                <w:rFonts w:ascii="Times New Roman" w:hAnsi="Times New Roman" w:cs="Times New Roman"/>
                <w:sz w:val="20"/>
                <w:szCs w:val="20"/>
                <w:lang w:val="en-GB"/>
              </w:rPr>
              <w:t xml:space="preserve">, </w:t>
            </w:r>
            <w:r w:rsidRPr="00AA7A53">
              <w:rPr>
                <w:rFonts w:ascii="Times New Roman" w:hAnsi="Times New Roman" w:cs="Times New Roman"/>
                <w:sz w:val="20"/>
                <w:szCs w:val="20"/>
                <w:lang w:val="en-GB"/>
              </w:rPr>
              <w:t>Programmes for research and development</w:t>
            </w:r>
          </w:p>
        </w:tc>
        <w:tc>
          <w:tcPr>
            <w:tcW w:w="1212" w:type="dxa"/>
            <w:vAlign w:val="center"/>
            <w:hideMark/>
          </w:tcPr>
          <w:p w14:paraId="5992C871" w14:textId="77777777" w:rsidR="00614438" w:rsidRPr="00AA7A53" w:rsidRDefault="00614438" w:rsidP="00AA7A53">
            <w:pPr>
              <w:spacing w:after="0"/>
              <w:jc w:val="both"/>
              <w:rPr>
                <w:rFonts w:ascii="Times New Roman" w:hAnsi="Times New Roman" w:cs="Times New Roman"/>
                <w:sz w:val="20"/>
                <w:szCs w:val="20"/>
                <w:lang w:val="en-GB"/>
              </w:rPr>
            </w:pPr>
          </w:p>
        </w:tc>
      </w:tr>
    </w:tbl>
    <w:p w14:paraId="49F3D3DF"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74"/>
        <w:gridCol w:w="1132"/>
        <w:gridCol w:w="934"/>
        <w:gridCol w:w="4148"/>
        <w:gridCol w:w="1212"/>
      </w:tblGrid>
      <w:tr w:rsidR="00614438" w:rsidRPr="00AA7A53" w14:paraId="572D5D13" w14:textId="77777777" w:rsidTr="00614438">
        <w:trPr>
          <w:gridAfter w:val="1"/>
          <w:wAfter w:w="1212" w:type="dxa"/>
          <w:trHeight w:val="780"/>
        </w:trPr>
        <w:tc>
          <w:tcPr>
            <w:tcW w:w="3303"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2A13F03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Policy measure code:</w:t>
            </w:r>
          </w:p>
        </w:tc>
        <w:tc>
          <w:tcPr>
            <w:tcW w:w="1052" w:type="dxa"/>
            <w:tcBorders>
              <w:top w:val="single" w:sz="8" w:space="0" w:color="auto"/>
              <w:left w:val="nil"/>
              <w:bottom w:val="single" w:sz="8" w:space="0" w:color="auto"/>
              <w:right w:val="single" w:sz="8" w:space="0" w:color="auto"/>
            </w:tcBorders>
            <w:shd w:val="clear" w:color="auto" w:fill="E7E6E6" w:themeFill="background2"/>
            <w:vAlign w:val="center"/>
            <w:hideMark/>
          </w:tcPr>
          <w:p w14:paraId="59F2945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PM_RIC11</w:t>
            </w:r>
          </w:p>
        </w:tc>
        <w:tc>
          <w:tcPr>
            <w:tcW w:w="939" w:type="dxa"/>
            <w:tcBorders>
              <w:top w:val="single" w:sz="8" w:space="0" w:color="auto"/>
              <w:left w:val="nil"/>
              <w:bottom w:val="single" w:sz="8" w:space="0" w:color="auto"/>
              <w:right w:val="single" w:sz="8" w:space="0" w:color="auto"/>
            </w:tcBorders>
            <w:shd w:val="clear" w:color="auto" w:fill="244062"/>
            <w:vAlign w:val="center"/>
            <w:hideMark/>
          </w:tcPr>
          <w:p w14:paraId="4A32AAB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94" w:type="dxa"/>
            <w:tcBorders>
              <w:top w:val="single" w:sz="8" w:space="0" w:color="auto"/>
              <w:left w:val="nil"/>
              <w:bottom w:val="single" w:sz="8" w:space="0" w:color="auto"/>
              <w:right w:val="single" w:sz="8" w:space="0" w:color="auto"/>
            </w:tcBorders>
            <w:shd w:val="clear" w:color="auto" w:fill="E7E6E6" w:themeFill="background2"/>
            <w:vAlign w:val="center"/>
            <w:hideMark/>
          </w:tcPr>
          <w:p w14:paraId="14CB529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Development of innovative decarbonisation technologies, with emphasis on RES for electricity, heating/cooling production, hydrogen production, detection of emissions, carbon capture, storage and utilisation (CCUS) technologies</w:t>
            </w:r>
          </w:p>
        </w:tc>
      </w:tr>
      <w:tr w:rsidR="00614438" w:rsidRPr="00AA7A53" w14:paraId="4BE7F9D5" w14:textId="77777777" w:rsidTr="00614438">
        <w:trPr>
          <w:gridAfter w:val="1"/>
          <w:wAfter w:w="1212" w:type="dxa"/>
          <w:trHeight w:val="401"/>
        </w:trPr>
        <w:tc>
          <w:tcPr>
            <w:tcW w:w="3303" w:type="dxa"/>
            <w:tcBorders>
              <w:top w:val="nil"/>
              <w:left w:val="single" w:sz="8" w:space="0" w:color="auto"/>
              <w:bottom w:val="single" w:sz="8" w:space="0" w:color="auto"/>
              <w:right w:val="nil"/>
            </w:tcBorders>
            <w:shd w:val="clear" w:color="auto" w:fill="244062"/>
            <w:vAlign w:val="center"/>
            <w:hideMark/>
          </w:tcPr>
          <w:p w14:paraId="02588E6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Main objective:</w:t>
            </w:r>
          </w:p>
        </w:tc>
        <w:tc>
          <w:tcPr>
            <w:tcW w:w="6185" w:type="dxa"/>
            <w:gridSpan w:val="3"/>
            <w:tcBorders>
              <w:top w:val="single" w:sz="8" w:space="0" w:color="auto"/>
              <w:left w:val="nil"/>
              <w:bottom w:val="single" w:sz="8" w:space="0" w:color="auto"/>
              <w:right w:val="single" w:sz="8" w:space="0" w:color="000000"/>
            </w:tcBorders>
            <w:vAlign w:val="center"/>
            <w:hideMark/>
          </w:tcPr>
          <w:p w14:paraId="1A5BB97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research and innovation, Development of low carbon technologies</w:t>
            </w:r>
          </w:p>
        </w:tc>
      </w:tr>
      <w:tr w:rsidR="00614438" w:rsidRPr="00AA7A53" w14:paraId="07321C0B" w14:textId="77777777" w:rsidTr="00614438">
        <w:trPr>
          <w:gridAfter w:val="1"/>
          <w:wAfter w:w="1212" w:type="dxa"/>
          <w:trHeight w:val="315"/>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1D682FC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Quantified objective:</w:t>
            </w:r>
          </w:p>
        </w:tc>
        <w:tc>
          <w:tcPr>
            <w:tcW w:w="6185" w:type="dxa"/>
            <w:gridSpan w:val="3"/>
            <w:tcBorders>
              <w:top w:val="single" w:sz="8" w:space="0" w:color="auto"/>
              <w:left w:val="nil"/>
              <w:bottom w:val="single" w:sz="8" w:space="0" w:color="auto"/>
              <w:right w:val="single" w:sz="8" w:space="0" w:color="000000"/>
            </w:tcBorders>
            <w:vAlign w:val="center"/>
            <w:hideMark/>
          </w:tcPr>
          <w:p w14:paraId="40FEB9FE" w14:textId="646DA8B9"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Increase </w:t>
            </w:r>
            <w:r w:rsidR="00223578" w:rsidRPr="00AA7A53">
              <w:rPr>
                <w:rFonts w:ascii="Times New Roman" w:hAnsi="Times New Roman" w:cs="Times New Roman"/>
                <w:sz w:val="20"/>
                <w:szCs w:val="20"/>
                <w:lang w:val="en-GB"/>
              </w:rPr>
              <w:t xml:space="preserve">in </w:t>
            </w:r>
            <w:r w:rsidRPr="00AA7A53">
              <w:rPr>
                <w:rFonts w:ascii="Times New Roman" w:hAnsi="Times New Roman" w:cs="Times New Roman"/>
                <w:sz w:val="20"/>
                <w:szCs w:val="20"/>
                <w:lang w:val="en-GB"/>
              </w:rPr>
              <w:t>the level of technological readiness per technology (Qualitative objective)</w:t>
            </w:r>
          </w:p>
        </w:tc>
      </w:tr>
      <w:tr w:rsidR="00614438" w:rsidRPr="00AA7A53" w14:paraId="1C24A6DB" w14:textId="77777777" w:rsidTr="00614438">
        <w:trPr>
          <w:gridAfter w:val="1"/>
          <w:wAfter w:w="1212" w:type="dxa"/>
          <w:trHeight w:val="301"/>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286A928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85" w:type="dxa"/>
            <w:gridSpan w:val="3"/>
            <w:tcBorders>
              <w:top w:val="single" w:sz="8" w:space="0" w:color="auto"/>
              <w:left w:val="nil"/>
              <w:bottom w:val="single" w:sz="8" w:space="0" w:color="auto"/>
              <w:right w:val="single" w:sz="8" w:space="0" w:color="000000"/>
            </w:tcBorders>
            <w:vAlign w:val="center"/>
            <w:hideMark/>
          </w:tcPr>
          <w:p w14:paraId="1B836E21" w14:textId="396EC332"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PM_RIC11 will strengthen R&amp;D in solar energy for both centralized solar thermal systems </w:t>
            </w:r>
            <w:r w:rsidR="00223578" w:rsidRPr="00AA7A53">
              <w:rPr>
                <w:rFonts w:ascii="Times New Roman" w:hAnsi="Times New Roman" w:cs="Times New Roman"/>
                <w:sz w:val="20"/>
                <w:szCs w:val="20"/>
                <w:lang w:val="en-GB"/>
              </w:rPr>
              <w:t>as well as</w:t>
            </w:r>
            <w:r w:rsidRPr="00AA7A53">
              <w:rPr>
                <w:rFonts w:ascii="Times New Roman" w:hAnsi="Times New Roman" w:cs="Times New Roman"/>
                <w:sz w:val="20"/>
                <w:szCs w:val="20"/>
                <w:lang w:val="en-GB"/>
              </w:rPr>
              <w:t xml:space="preserve"> heating</w:t>
            </w:r>
            <w:r w:rsidR="00223578" w:rsidRPr="00AA7A53">
              <w:rPr>
                <w:rFonts w:ascii="Times New Roman" w:hAnsi="Times New Roman" w:cs="Times New Roman"/>
                <w:sz w:val="20"/>
                <w:szCs w:val="20"/>
                <w:lang w:val="en-GB"/>
              </w:rPr>
              <w:t xml:space="preserve"> and </w:t>
            </w:r>
            <w:r w:rsidRPr="00AA7A53">
              <w:rPr>
                <w:rFonts w:ascii="Times New Roman" w:hAnsi="Times New Roman" w:cs="Times New Roman"/>
                <w:sz w:val="20"/>
                <w:szCs w:val="20"/>
                <w:lang w:val="en-GB"/>
              </w:rPr>
              <w:t>cooling applications. For wind energy, actions related to the electrical equipment of wind farms, operation and maintenance of wind farms, small wind turbines and other issues, such as methodologies and tools for integrated recording and assessment of the environmental footprint of wind farms, end-of-life management system of wind farms, etc. will be promoted. R&amp;D activities for solar PV concern the integration of PV systems in buildings and other infrastructure, the development of high-efficiency solar cells and systems for monitoring and operation of solar PV installations. R&amp;D actions for bioenergy concern the development of high-efficiency cogeneration of heat and power using biomass, as well as the development, demonstration and scaling up of solid, liquid and gaseous bioenergy/biochemical/chemical conversion from sustainable biomass. Actions related to geothermal heating in urban areas, materials, methods and equipment to improve its operation, improvement of the permeability of conventional geothermal reservoirs, improvement of conversion efficiency and direct use of heat, the development of new techniques for better identification of geothermal potential, the integration of geothermal heat and electricity in the system and the development of a zero-emission geothermal power plant, will be strengthened. R&amp;D actions on low-carbon hydrogen that creates little to no greenhouse gas emissions will also be promoted. Furthermore, targeted R&amp;D actions will be promoted in order to evaluate and implement carbon capture, utilisation and storage (CCUS) and Direct Air Capture (DAC) technologies, as well as ultra-</w:t>
            </w:r>
            <w:r w:rsidRPr="00AA7A53">
              <w:rPr>
                <w:rFonts w:ascii="Times New Roman" w:hAnsi="Times New Roman" w:cs="Times New Roman"/>
                <w:sz w:val="20"/>
                <w:szCs w:val="20"/>
                <w:lang w:val="en-GB"/>
              </w:rPr>
              <w:lastRenderedPageBreak/>
              <w:t>supercritical technologies in thermal power plants that enhance their efficiency, while specific CO</w:t>
            </w:r>
            <w:r w:rsidRPr="00AA7A53">
              <w:rPr>
                <w:rFonts w:ascii="Times New Roman" w:hAnsi="Times New Roman" w:cs="Times New Roman"/>
                <w:sz w:val="20"/>
                <w:szCs w:val="20"/>
                <w:vertAlign w:val="subscript"/>
                <w:lang w:val="en-GB"/>
              </w:rPr>
              <w:t>2</w:t>
            </w:r>
            <w:r w:rsidRPr="00AA7A53">
              <w:rPr>
                <w:rFonts w:ascii="Times New Roman" w:hAnsi="Times New Roman" w:cs="Times New Roman"/>
                <w:sz w:val="20"/>
                <w:szCs w:val="20"/>
                <w:lang w:val="en-GB"/>
              </w:rPr>
              <w:t xml:space="preserve"> emissions are significantly reduced. Finally, new specific technologies for emission detection and others focusing on natural gas facilities will also be examined. For the specific case of CCUS, detailed studies for the storage potential of </w:t>
            </w:r>
            <w:r w:rsidR="00223578" w:rsidRPr="00AA7A53">
              <w:rPr>
                <w:rFonts w:ascii="Times New Roman" w:hAnsi="Times New Roman" w:cs="Times New Roman"/>
                <w:sz w:val="20"/>
                <w:szCs w:val="20"/>
                <w:lang w:val="en-GB"/>
              </w:rPr>
              <w:t>CO</w:t>
            </w:r>
            <w:r w:rsidR="00223578" w:rsidRPr="00AA7A53">
              <w:rPr>
                <w:rFonts w:ascii="Times New Roman" w:hAnsi="Times New Roman" w:cs="Times New Roman"/>
                <w:sz w:val="20"/>
                <w:szCs w:val="20"/>
                <w:vertAlign w:val="subscript"/>
                <w:lang w:val="en-GB"/>
              </w:rPr>
              <w:t>2</w:t>
            </w:r>
            <w:r w:rsidR="00223578" w:rsidRPr="00AA7A53">
              <w:rPr>
                <w:rFonts w:ascii="Times New Roman" w:hAnsi="Times New Roman" w:cs="Times New Roman"/>
                <w:sz w:val="20"/>
                <w:szCs w:val="20"/>
                <w:lang w:val="en-GB"/>
              </w:rPr>
              <w:t xml:space="preserve"> </w:t>
            </w:r>
            <w:r w:rsidRPr="00AA7A53">
              <w:rPr>
                <w:rFonts w:ascii="Times New Roman" w:hAnsi="Times New Roman" w:cs="Times New Roman"/>
                <w:sz w:val="20"/>
                <w:szCs w:val="20"/>
                <w:lang w:val="en-GB"/>
              </w:rPr>
              <w:t xml:space="preserve">in Serbia should be developed, and innovative ways of utilisation of the captured </w:t>
            </w:r>
            <w:r w:rsidR="00223578" w:rsidRPr="00AA7A53">
              <w:rPr>
                <w:rFonts w:ascii="Times New Roman" w:hAnsi="Times New Roman" w:cs="Times New Roman"/>
                <w:sz w:val="20"/>
                <w:szCs w:val="20"/>
                <w:lang w:val="en-GB"/>
              </w:rPr>
              <w:t>CO</w:t>
            </w:r>
            <w:r w:rsidR="00223578" w:rsidRPr="00AA7A53">
              <w:rPr>
                <w:rFonts w:ascii="Times New Roman" w:hAnsi="Times New Roman" w:cs="Times New Roman"/>
                <w:sz w:val="20"/>
                <w:szCs w:val="20"/>
                <w:vertAlign w:val="subscript"/>
                <w:lang w:val="en-GB"/>
              </w:rPr>
              <w:t>2</w:t>
            </w:r>
            <w:r w:rsidR="00223578" w:rsidRPr="00AA7A53">
              <w:rPr>
                <w:rFonts w:ascii="Times New Roman" w:hAnsi="Times New Roman" w:cs="Times New Roman"/>
                <w:sz w:val="20"/>
                <w:szCs w:val="20"/>
                <w:lang w:val="en-GB"/>
              </w:rPr>
              <w:t xml:space="preserve"> </w:t>
            </w:r>
            <w:r w:rsidRPr="00AA7A53">
              <w:rPr>
                <w:rFonts w:ascii="Times New Roman" w:hAnsi="Times New Roman" w:cs="Times New Roman"/>
                <w:sz w:val="20"/>
                <w:szCs w:val="20"/>
                <w:lang w:val="en-GB"/>
              </w:rPr>
              <w:t>in industrial and chemical applications and in the production of synthetic fuels.</w:t>
            </w:r>
          </w:p>
        </w:tc>
      </w:tr>
      <w:tr w:rsidR="00614438" w:rsidRPr="00AA7A53" w14:paraId="28BDDBBF" w14:textId="77777777" w:rsidTr="00614438">
        <w:trPr>
          <w:gridAfter w:val="1"/>
          <w:wAfter w:w="1212" w:type="dxa"/>
          <w:trHeight w:val="315"/>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4521E23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Implementation Timeframe</w:t>
            </w:r>
          </w:p>
        </w:tc>
        <w:tc>
          <w:tcPr>
            <w:tcW w:w="6185" w:type="dxa"/>
            <w:gridSpan w:val="3"/>
            <w:tcBorders>
              <w:top w:val="single" w:sz="8" w:space="0" w:color="auto"/>
              <w:left w:val="nil"/>
              <w:bottom w:val="single" w:sz="8" w:space="0" w:color="auto"/>
              <w:right w:val="single" w:sz="8" w:space="0" w:color="000000"/>
            </w:tcBorders>
            <w:vAlign w:val="center"/>
            <w:hideMark/>
          </w:tcPr>
          <w:p w14:paraId="3FF157B0" w14:textId="5201A470"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223578"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56DBFE58" w14:textId="77777777" w:rsidTr="00614438">
        <w:trPr>
          <w:gridAfter w:val="1"/>
          <w:wAfter w:w="1212" w:type="dxa"/>
          <w:trHeight w:val="315"/>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16A3FBF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85" w:type="dxa"/>
            <w:gridSpan w:val="3"/>
            <w:tcBorders>
              <w:top w:val="single" w:sz="8" w:space="0" w:color="auto"/>
              <w:left w:val="nil"/>
              <w:bottom w:val="single" w:sz="8" w:space="0" w:color="auto"/>
              <w:right w:val="single" w:sz="8" w:space="0" w:color="000000"/>
            </w:tcBorders>
            <w:vAlign w:val="center"/>
            <w:hideMark/>
          </w:tcPr>
          <w:p w14:paraId="2C04FFF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392B4E0B" w14:textId="77777777" w:rsidTr="00614438">
        <w:trPr>
          <w:gridAfter w:val="1"/>
          <w:wAfter w:w="1212" w:type="dxa"/>
          <w:trHeight w:val="315"/>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50B9537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85" w:type="dxa"/>
            <w:gridSpan w:val="3"/>
            <w:tcBorders>
              <w:top w:val="single" w:sz="8" w:space="0" w:color="auto"/>
              <w:left w:val="nil"/>
              <w:bottom w:val="single" w:sz="8" w:space="0" w:color="auto"/>
              <w:right w:val="single" w:sz="8" w:space="0" w:color="000000"/>
            </w:tcBorders>
            <w:vAlign w:val="center"/>
            <w:hideMark/>
          </w:tcPr>
          <w:p w14:paraId="70C46388" w14:textId="533CE8F6"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RES, power generation by TPP, industrial processes (cement, chemical, iron and steel, pulp and pap</w:t>
            </w:r>
            <w:r w:rsidR="00223578" w:rsidRPr="00AA7A53">
              <w:rPr>
                <w:rFonts w:ascii="Times New Roman" w:hAnsi="Times New Roman" w:cs="Times New Roman"/>
                <w:sz w:val="20"/>
                <w:szCs w:val="20"/>
                <w:lang w:val="en-GB"/>
              </w:rPr>
              <w:t>er, refineries, traffic, etc.).</w:t>
            </w:r>
          </w:p>
        </w:tc>
      </w:tr>
      <w:tr w:rsidR="00614438" w:rsidRPr="00AA7A53" w14:paraId="2286625C" w14:textId="77777777" w:rsidTr="00614438">
        <w:trPr>
          <w:gridAfter w:val="1"/>
          <w:wAfter w:w="1212" w:type="dxa"/>
          <w:trHeight w:val="315"/>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4D5DDCB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85" w:type="dxa"/>
            <w:gridSpan w:val="3"/>
            <w:tcBorders>
              <w:top w:val="single" w:sz="8" w:space="0" w:color="auto"/>
              <w:left w:val="nil"/>
              <w:bottom w:val="single" w:sz="8" w:space="0" w:color="auto"/>
              <w:right w:val="single" w:sz="8" w:space="0" w:color="000000"/>
            </w:tcBorders>
            <w:vAlign w:val="center"/>
            <w:hideMark/>
          </w:tcPr>
          <w:p w14:paraId="24E9B885" w14:textId="77777777" w:rsidR="00614438" w:rsidRPr="00AA7A53" w:rsidRDefault="00614438" w:rsidP="00AA7A53">
            <w:pPr>
              <w:numPr>
                <w:ilvl w:val="0"/>
                <w:numId w:val="211"/>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35587DD7" w14:textId="5CCCD28E" w:rsidR="00614438" w:rsidRPr="00AA7A53" w:rsidRDefault="001F2B5C" w:rsidP="00AA7A53">
            <w:pPr>
              <w:numPr>
                <w:ilvl w:val="0"/>
                <w:numId w:val="211"/>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Science, Technological Development and Innovation</w:t>
            </w:r>
          </w:p>
          <w:p w14:paraId="1EE06B70" w14:textId="77777777" w:rsidR="00614438" w:rsidRPr="00AA7A53" w:rsidRDefault="00614438" w:rsidP="00AA7A53">
            <w:pPr>
              <w:numPr>
                <w:ilvl w:val="0"/>
                <w:numId w:val="211"/>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tc>
      </w:tr>
      <w:tr w:rsidR="00614438" w:rsidRPr="00AA7A53" w14:paraId="45436569" w14:textId="77777777" w:rsidTr="00614438">
        <w:trPr>
          <w:gridAfter w:val="1"/>
          <w:wAfter w:w="1212" w:type="dxa"/>
          <w:trHeight w:val="315"/>
        </w:trPr>
        <w:tc>
          <w:tcPr>
            <w:tcW w:w="3303" w:type="dxa"/>
            <w:tcBorders>
              <w:top w:val="nil"/>
              <w:left w:val="single" w:sz="8" w:space="0" w:color="auto"/>
              <w:bottom w:val="single" w:sz="8" w:space="0" w:color="auto"/>
              <w:right w:val="nil"/>
            </w:tcBorders>
            <w:shd w:val="clear" w:color="auto" w:fill="244062"/>
            <w:vAlign w:val="center"/>
            <w:hideMark/>
          </w:tcPr>
          <w:p w14:paraId="18781F8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85" w:type="dxa"/>
            <w:gridSpan w:val="3"/>
            <w:tcBorders>
              <w:top w:val="single" w:sz="8" w:space="0" w:color="auto"/>
              <w:left w:val="nil"/>
              <w:bottom w:val="single" w:sz="8" w:space="0" w:color="auto"/>
              <w:right w:val="single" w:sz="8" w:space="0" w:color="000000"/>
            </w:tcBorders>
            <w:vAlign w:val="center"/>
            <w:hideMark/>
          </w:tcPr>
          <w:p w14:paraId="535DD85A" w14:textId="4D65D6AD" w:rsidR="00614438" w:rsidRPr="00AA7A53" w:rsidRDefault="001F2B5C" w:rsidP="00AA7A53">
            <w:pPr>
              <w:numPr>
                <w:ilvl w:val="0"/>
                <w:numId w:val="20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Science, Technological Development and Innovation</w:t>
            </w:r>
          </w:p>
          <w:p w14:paraId="5241E6E3" w14:textId="77777777" w:rsidR="00614438" w:rsidRPr="00AA7A53" w:rsidRDefault="00614438" w:rsidP="00AA7A53">
            <w:pPr>
              <w:numPr>
                <w:ilvl w:val="0"/>
                <w:numId w:val="20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19F87679" w14:textId="77777777" w:rsidTr="00614438">
        <w:trPr>
          <w:gridAfter w:val="1"/>
          <w:wAfter w:w="1212" w:type="dxa"/>
          <w:trHeight w:val="315"/>
        </w:trPr>
        <w:tc>
          <w:tcPr>
            <w:tcW w:w="3303" w:type="dxa"/>
            <w:tcBorders>
              <w:top w:val="nil"/>
              <w:left w:val="single" w:sz="8" w:space="0" w:color="auto"/>
              <w:bottom w:val="single" w:sz="8" w:space="0" w:color="auto"/>
              <w:right w:val="nil"/>
            </w:tcBorders>
            <w:shd w:val="clear" w:color="auto" w:fill="244062"/>
            <w:vAlign w:val="center"/>
            <w:hideMark/>
          </w:tcPr>
          <w:p w14:paraId="459649E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85" w:type="dxa"/>
            <w:gridSpan w:val="3"/>
            <w:tcBorders>
              <w:top w:val="single" w:sz="8" w:space="0" w:color="auto"/>
              <w:left w:val="nil"/>
              <w:bottom w:val="single" w:sz="8" w:space="0" w:color="auto"/>
              <w:right w:val="single" w:sz="8" w:space="0" w:color="000000"/>
            </w:tcBorders>
            <w:vAlign w:val="center"/>
            <w:hideMark/>
          </w:tcPr>
          <w:p w14:paraId="319E1E2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Number of research projects development on innovative decarbonisation technologies on an annual basis</w:t>
            </w:r>
          </w:p>
        </w:tc>
      </w:tr>
      <w:tr w:rsidR="00614438" w:rsidRPr="00AA7A53" w14:paraId="0247BCA0" w14:textId="77777777" w:rsidTr="00614438">
        <w:trPr>
          <w:gridAfter w:val="1"/>
          <w:wAfter w:w="1212" w:type="dxa"/>
          <w:trHeight w:val="415"/>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6BE5B66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85" w:type="dxa"/>
            <w:gridSpan w:val="3"/>
            <w:tcBorders>
              <w:top w:val="single" w:sz="8" w:space="0" w:color="auto"/>
              <w:left w:val="nil"/>
              <w:bottom w:val="single" w:sz="8" w:space="0" w:color="auto"/>
              <w:right w:val="single" w:sz="8" w:space="0" w:color="000000"/>
            </w:tcBorders>
            <w:vAlign w:val="center"/>
            <w:hideMark/>
          </w:tcPr>
          <w:p w14:paraId="669475D2" w14:textId="77777777" w:rsidR="00614438" w:rsidRPr="00AA7A53" w:rsidRDefault="00614438"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p w14:paraId="6878EDCD" w14:textId="77777777" w:rsidR="00614438" w:rsidRPr="00AA7A53" w:rsidRDefault="00614438"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tc>
      </w:tr>
      <w:tr w:rsidR="00614438" w:rsidRPr="00AA7A53" w14:paraId="635929B1" w14:textId="77777777" w:rsidTr="00614438">
        <w:trPr>
          <w:gridAfter w:val="1"/>
          <w:wAfter w:w="1212" w:type="dxa"/>
          <w:trHeight w:val="458"/>
        </w:trPr>
        <w:tc>
          <w:tcPr>
            <w:tcW w:w="3303" w:type="dxa"/>
            <w:vMerge w:val="restart"/>
            <w:tcBorders>
              <w:top w:val="nil"/>
              <w:left w:val="single" w:sz="8" w:space="0" w:color="auto"/>
              <w:bottom w:val="single" w:sz="8" w:space="0" w:color="000000"/>
              <w:right w:val="single" w:sz="8" w:space="0" w:color="auto"/>
            </w:tcBorders>
            <w:shd w:val="clear" w:color="auto" w:fill="244062"/>
            <w:vAlign w:val="center"/>
            <w:hideMark/>
          </w:tcPr>
          <w:p w14:paraId="151BEFD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85"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BCDAB6E" w14:textId="77777777" w:rsidR="00614438" w:rsidRPr="00AA7A53" w:rsidRDefault="00614438" w:rsidP="00AA7A53">
            <w:pPr>
              <w:numPr>
                <w:ilvl w:val="0"/>
                <w:numId w:val="212"/>
              </w:numPr>
              <w:spacing w:after="0"/>
              <w:jc w:val="both"/>
              <w:rPr>
                <w:rFonts w:ascii="Times New Roman" w:hAnsi="Times New Roman" w:cs="Times New Roman"/>
                <w:sz w:val="20"/>
                <w:szCs w:val="20"/>
              </w:rPr>
            </w:pPr>
            <w:r w:rsidRPr="00AA7A53">
              <w:rPr>
                <w:rFonts w:ascii="Times New Roman" w:hAnsi="Times New Roman" w:cs="Times New Roman"/>
                <w:sz w:val="20"/>
                <w:szCs w:val="20"/>
              </w:rPr>
              <w:t>European Strategic Energy Technology Plan (SET Plan)</w:t>
            </w:r>
          </w:p>
          <w:p w14:paraId="4C368A01" w14:textId="77777777" w:rsidR="00614438" w:rsidRPr="00AA7A53" w:rsidRDefault="00614438" w:rsidP="00AA7A53">
            <w:pPr>
              <w:numPr>
                <w:ilvl w:val="0"/>
                <w:numId w:val="212"/>
              </w:numPr>
              <w:spacing w:after="0"/>
              <w:jc w:val="both"/>
              <w:rPr>
                <w:rFonts w:ascii="Times New Roman" w:hAnsi="Times New Roman" w:cs="Times New Roman"/>
                <w:sz w:val="20"/>
                <w:szCs w:val="20"/>
              </w:rPr>
            </w:pPr>
            <w:r w:rsidRPr="00AA7A53">
              <w:rPr>
                <w:rFonts w:ascii="Times New Roman" w:hAnsi="Times New Roman" w:cs="Times New Roman"/>
                <w:sz w:val="20"/>
                <w:szCs w:val="20"/>
              </w:rPr>
              <w:t>Research and Innovation Strategies for Smart Specialisation (RIS 3)</w:t>
            </w:r>
          </w:p>
        </w:tc>
      </w:tr>
      <w:tr w:rsidR="00614438" w:rsidRPr="00AA7A53" w14:paraId="703327EB"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6EA169A1"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15E28C5"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544EDAF7"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9027795"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758F5BAD"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7BCFF0D"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48914B4C"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1DA8D570" w14:textId="77777777" w:rsidTr="00614438">
        <w:trPr>
          <w:trHeight w:val="307"/>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3EB241D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85" w:type="dxa"/>
            <w:gridSpan w:val="3"/>
            <w:tcBorders>
              <w:top w:val="single" w:sz="8" w:space="0" w:color="auto"/>
              <w:left w:val="nil"/>
              <w:bottom w:val="single" w:sz="8" w:space="0" w:color="auto"/>
              <w:right w:val="single" w:sz="8" w:space="0" w:color="000000"/>
            </w:tcBorders>
            <w:vAlign w:val="center"/>
            <w:hideMark/>
          </w:tcPr>
          <w:p w14:paraId="57954746" w14:textId="77777777" w:rsidR="00614438" w:rsidRPr="00AA7A53" w:rsidRDefault="00614438" w:rsidP="00AA7A53">
            <w:pPr>
              <w:numPr>
                <w:ilvl w:val="0"/>
                <w:numId w:val="213"/>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the Science Fund</w:t>
            </w:r>
          </w:p>
          <w:p w14:paraId="14DC24AB" w14:textId="77777777" w:rsidR="00614438" w:rsidRPr="00AA7A53" w:rsidRDefault="00614438" w:rsidP="00AA7A53">
            <w:pPr>
              <w:numPr>
                <w:ilvl w:val="0"/>
                <w:numId w:val="213"/>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Science and Research</w:t>
            </w:r>
          </w:p>
          <w:p w14:paraId="5C777E99" w14:textId="77777777" w:rsidR="00614438" w:rsidRPr="00AA7A53" w:rsidRDefault="00614438" w:rsidP="00AA7A53">
            <w:pPr>
              <w:numPr>
                <w:ilvl w:val="0"/>
                <w:numId w:val="212"/>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Mining and Geological Research</w:t>
            </w:r>
          </w:p>
        </w:tc>
        <w:tc>
          <w:tcPr>
            <w:tcW w:w="1212" w:type="dxa"/>
            <w:vAlign w:val="center"/>
            <w:hideMark/>
          </w:tcPr>
          <w:p w14:paraId="6F40A28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00DA55A" w14:textId="77777777" w:rsidTr="00614438">
        <w:trPr>
          <w:trHeight w:val="315"/>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7110F7D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85" w:type="dxa"/>
            <w:gridSpan w:val="3"/>
            <w:tcBorders>
              <w:top w:val="single" w:sz="8" w:space="0" w:color="auto"/>
              <w:left w:val="nil"/>
              <w:bottom w:val="single" w:sz="8" w:space="0" w:color="auto"/>
              <w:right w:val="single" w:sz="8" w:space="0" w:color="000000"/>
            </w:tcBorders>
            <w:vAlign w:val="center"/>
            <w:hideMark/>
          </w:tcPr>
          <w:p w14:paraId="3300B7E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25.2 M€</w:t>
            </w:r>
          </w:p>
        </w:tc>
        <w:tc>
          <w:tcPr>
            <w:tcW w:w="1212" w:type="dxa"/>
            <w:vAlign w:val="center"/>
            <w:hideMark/>
          </w:tcPr>
          <w:p w14:paraId="3D9B761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4C6B505" w14:textId="77777777" w:rsidTr="00614438">
        <w:trPr>
          <w:trHeight w:val="315"/>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768D172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85" w:type="dxa"/>
            <w:gridSpan w:val="3"/>
            <w:tcBorders>
              <w:top w:val="single" w:sz="8" w:space="0" w:color="auto"/>
              <w:left w:val="nil"/>
              <w:bottom w:val="single" w:sz="8" w:space="0" w:color="auto"/>
              <w:right w:val="single" w:sz="8" w:space="0" w:color="000000"/>
            </w:tcBorders>
            <w:vAlign w:val="center"/>
            <w:hideMark/>
          </w:tcPr>
          <w:p w14:paraId="1DBD37FD" w14:textId="77777777" w:rsidR="00614438" w:rsidRPr="00AA7A53" w:rsidRDefault="00614438" w:rsidP="00AA7A53">
            <w:pPr>
              <w:numPr>
                <w:ilvl w:val="0"/>
                <w:numId w:val="210"/>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funds</w:t>
            </w:r>
          </w:p>
          <w:p w14:paraId="7F19A711" w14:textId="77777777" w:rsidR="00614438" w:rsidRPr="00AA7A53" w:rsidRDefault="00614438" w:rsidP="00AA7A53">
            <w:pPr>
              <w:numPr>
                <w:ilvl w:val="0"/>
                <w:numId w:val="210"/>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Private and public funds</w:t>
            </w:r>
          </w:p>
          <w:p w14:paraId="162B464B" w14:textId="77777777" w:rsidR="00614438" w:rsidRPr="00AA7A53" w:rsidRDefault="00614438" w:rsidP="00AA7A53">
            <w:pPr>
              <w:numPr>
                <w:ilvl w:val="0"/>
                <w:numId w:val="210"/>
              </w:num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Programmes for research and development</w:t>
            </w:r>
          </w:p>
        </w:tc>
        <w:tc>
          <w:tcPr>
            <w:tcW w:w="1212" w:type="dxa"/>
            <w:vAlign w:val="center"/>
            <w:hideMark/>
          </w:tcPr>
          <w:p w14:paraId="15345C54" w14:textId="77777777" w:rsidR="00614438" w:rsidRPr="00AA7A53" w:rsidRDefault="00614438" w:rsidP="00AA7A53">
            <w:pPr>
              <w:spacing w:after="0"/>
              <w:jc w:val="both"/>
              <w:rPr>
                <w:rFonts w:ascii="Times New Roman" w:hAnsi="Times New Roman" w:cs="Times New Roman"/>
                <w:sz w:val="20"/>
                <w:szCs w:val="20"/>
                <w:lang w:val="en-GB"/>
              </w:rPr>
            </w:pPr>
          </w:p>
        </w:tc>
      </w:tr>
    </w:tbl>
    <w:p w14:paraId="261B44A1"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78"/>
        <w:gridCol w:w="1139"/>
        <w:gridCol w:w="933"/>
        <w:gridCol w:w="4138"/>
        <w:gridCol w:w="1212"/>
      </w:tblGrid>
      <w:tr w:rsidR="00614438" w:rsidRPr="00AA7A53" w14:paraId="4A47D5EF" w14:textId="77777777" w:rsidTr="00614438">
        <w:trPr>
          <w:gridAfter w:val="1"/>
          <w:wAfter w:w="1212" w:type="dxa"/>
          <w:trHeight w:val="780"/>
        </w:trPr>
        <w:tc>
          <w:tcPr>
            <w:tcW w:w="3309"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7F2496B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052" w:type="dxa"/>
            <w:tcBorders>
              <w:top w:val="single" w:sz="8" w:space="0" w:color="auto"/>
              <w:left w:val="nil"/>
              <w:bottom w:val="single" w:sz="8" w:space="0" w:color="auto"/>
              <w:right w:val="single" w:sz="8" w:space="0" w:color="auto"/>
            </w:tcBorders>
            <w:shd w:val="clear" w:color="auto" w:fill="E7E6E6" w:themeFill="background2"/>
            <w:vAlign w:val="center"/>
            <w:hideMark/>
          </w:tcPr>
          <w:p w14:paraId="39B726E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PM_RIC12</w:t>
            </w:r>
          </w:p>
        </w:tc>
        <w:tc>
          <w:tcPr>
            <w:tcW w:w="938" w:type="dxa"/>
            <w:tcBorders>
              <w:top w:val="single" w:sz="8" w:space="0" w:color="auto"/>
              <w:left w:val="nil"/>
              <w:bottom w:val="single" w:sz="8" w:space="0" w:color="auto"/>
              <w:right w:val="single" w:sz="8" w:space="0" w:color="auto"/>
            </w:tcBorders>
            <w:shd w:val="clear" w:color="auto" w:fill="244062"/>
            <w:vAlign w:val="center"/>
            <w:hideMark/>
          </w:tcPr>
          <w:p w14:paraId="425D255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89" w:type="dxa"/>
            <w:tcBorders>
              <w:top w:val="single" w:sz="8" w:space="0" w:color="auto"/>
              <w:left w:val="nil"/>
              <w:bottom w:val="single" w:sz="8" w:space="0" w:color="auto"/>
              <w:right w:val="single" w:sz="8" w:space="0" w:color="auto"/>
            </w:tcBorders>
            <w:shd w:val="clear" w:color="auto" w:fill="E7E6E6" w:themeFill="background2"/>
            <w:vAlign w:val="center"/>
            <w:hideMark/>
          </w:tcPr>
          <w:p w14:paraId="0A6E733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Research on the digitization of energy networks and the development of smart grids</w:t>
            </w:r>
          </w:p>
        </w:tc>
      </w:tr>
      <w:tr w:rsidR="00614438" w:rsidRPr="00AA7A53" w14:paraId="23DAE26D" w14:textId="77777777" w:rsidTr="00614438">
        <w:trPr>
          <w:gridAfter w:val="1"/>
          <w:wAfter w:w="1212" w:type="dxa"/>
          <w:trHeight w:val="262"/>
        </w:trPr>
        <w:tc>
          <w:tcPr>
            <w:tcW w:w="3309" w:type="dxa"/>
            <w:tcBorders>
              <w:top w:val="nil"/>
              <w:left w:val="single" w:sz="8" w:space="0" w:color="auto"/>
              <w:bottom w:val="single" w:sz="8" w:space="0" w:color="auto"/>
              <w:right w:val="nil"/>
            </w:tcBorders>
            <w:shd w:val="clear" w:color="auto" w:fill="244062"/>
            <w:vAlign w:val="center"/>
            <w:hideMark/>
          </w:tcPr>
          <w:p w14:paraId="40E7057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79" w:type="dxa"/>
            <w:gridSpan w:val="3"/>
            <w:tcBorders>
              <w:top w:val="single" w:sz="8" w:space="0" w:color="auto"/>
              <w:left w:val="nil"/>
              <w:bottom w:val="single" w:sz="8" w:space="0" w:color="auto"/>
              <w:right w:val="single" w:sz="8" w:space="0" w:color="000000"/>
            </w:tcBorders>
            <w:vAlign w:val="center"/>
            <w:hideMark/>
          </w:tcPr>
          <w:p w14:paraId="79C8B52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Research and Innovation</w:t>
            </w:r>
          </w:p>
        </w:tc>
      </w:tr>
      <w:tr w:rsidR="00614438" w:rsidRPr="00AA7A53" w14:paraId="1AC3BBF0" w14:textId="77777777" w:rsidTr="00614438">
        <w:trPr>
          <w:gridAfter w:val="1"/>
          <w:wAfter w:w="1212" w:type="dxa"/>
          <w:trHeight w:val="315"/>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1F2D453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79" w:type="dxa"/>
            <w:gridSpan w:val="3"/>
            <w:tcBorders>
              <w:top w:val="single" w:sz="8" w:space="0" w:color="auto"/>
              <w:left w:val="nil"/>
              <w:bottom w:val="single" w:sz="8" w:space="0" w:color="auto"/>
              <w:right w:val="single" w:sz="8" w:space="0" w:color="000000"/>
            </w:tcBorders>
            <w:vAlign w:val="center"/>
            <w:hideMark/>
          </w:tcPr>
          <w:p w14:paraId="26C6269A" w14:textId="62C1FD55"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Increase </w:t>
            </w:r>
            <w:r w:rsidR="00223578" w:rsidRPr="00AA7A53">
              <w:rPr>
                <w:rFonts w:ascii="Times New Roman" w:hAnsi="Times New Roman" w:cs="Times New Roman"/>
                <w:sz w:val="20"/>
                <w:szCs w:val="20"/>
                <w:lang w:val="en-GB"/>
              </w:rPr>
              <w:t xml:space="preserve">in </w:t>
            </w:r>
            <w:r w:rsidRPr="00AA7A53">
              <w:rPr>
                <w:rFonts w:ascii="Times New Roman" w:hAnsi="Times New Roman" w:cs="Times New Roman"/>
                <w:sz w:val="20"/>
                <w:szCs w:val="20"/>
                <w:lang w:val="en-GB"/>
              </w:rPr>
              <w:t>the level of technological readiness per technology (Qualitative objective)</w:t>
            </w:r>
          </w:p>
        </w:tc>
      </w:tr>
      <w:tr w:rsidR="00614438" w:rsidRPr="00AA7A53" w14:paraId="7FF88EEE" w14:textId="77777777" w:rsidTr="00614438">
        <w:trPr>
          <w:gridAfter w:val="1"/>
          <w:wAfter w:w="1212" w:type="dxa"/>
          <w:trHeight w:val="726"/>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620D9F6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79" w:type="dxa"/>
            <w:gridSpan w:val="3"/>
            <w:tcBorders>
              <w:top w:val="single" w:sz="8" w:space="0" w:color="auto"/>
              <w:left w:val="nil"/>
              <w:bottom w:val="single" w:sz="8" w:space="0" w:color="auto"/>
              <w:right w:val="single" w:sz="8" w:space="0" w:color="000000"/>
            </w:tcBorders>
            <w:vAlign w:val="center"/>
            <w:hideMark/>
          </w:tcPr>
          <w:p w14:paraId="3FAA367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PM_RIC12 will strengthen targeted research initiatives that aim at the digitization of energy networks and the development of smart grids and more specifically, (a) at the creation of an innovation environment for the development of smart services, (b) at the development of an optimized electricity grid through the implementation of solutions in order to increase the visibility and controllability of the energy system for the better management of load profile through demand response in order to increase the flexibility of all types of production and to reduce the cost of all energy storage solutions by minimizing the total cost of the system and (c) the development of integrated local and regional energy systems through the integration of RES at regional and local level, including different energy operators and creating an innovation environment for smart services in collaboration with providers of ICT platform solutions.</w:t>
            </w:r>
          </w:p>
        </w:tc>
      </w:tr>
      <w:tr w:rsidR="00614438" w:rsidRPr="00AA7A53" w14:paraId="031D0F22" w14:textId="77777777" w:rsidTr="00614438">
        <w:trPr>
          <w:gridAfter w:val="1"/>
          <w:wAfter w:w="1212" w:type="dxa"/>
          <w:trHeight w:val="315"/>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7D902B8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79" w:type="dxa"/>
            <w:gridSpan w:val="3"/>
            <w:tcBorders>
              <w:top w:val="single" w:sz="8" w:space="0" w:color="auto"/>
              <w:left w:val="nil"/>
              <w:bottom w:val="single" w:sz="8" w:space="0" w:color="auto"/>
              <w:right w:val="single" w:sz="8" w:space="0" w:color="000000"/>
            </w:tcBorders>
            <w:vAlign w:val="center"/>
            <w:hideMark/>
          </w:tcPr>
          <w:p w14:paraId="1EE2EFFA" w14:textId="463AB738"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223578"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72383555" w14:textId="77777777" w:rsidTr="00614438">
        <w:trPr>
          <w:gridAfter w:val="1"/>
          <w:wAfter w:w="1212" w:type="dxa"/>
          <w:trHeight w:val="315"/>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0CDA3F8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79" w:type="dxa"/>
            <w:gridSpan w:val="3"/>
            <w:tcBorders>
              <w:top w:val="single" w:sz="8" w:space="0" w:color="auto"/>
              <w:left w:val="nil"/>
              <w:bottom w:val="single" w:sz="8" w:space="0" w:color="auto"/>
              <w:right w:val="single" w:sz="8" w:space="0" w:color="000000"/>
            </w:tcBorders>
            <w:vAlign w:val="center"/>
            <w:hideMark/>
          </w:tcPr>
          <w:p w14:paraId="2BC2FB8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4F23EAC5" w14:textId="77777777" w:rsidTr="00614438">
        <w:trPr>
          <w:gridAfter w:val="1"/>
          <w:wAfter w:w="1212" w:type="dxa"/>
          <w:trHeight w:val="315"/>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716303E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79" w:type="dxa"/>
            <w:gridSpan w:val="3"/>
            <w:tcBorders>
              <w:top w:val="single" w:sz="8" w:space="0" w:color="auto"/>
              <w:left w:val="nil"/>
              <w:bottom w:val="single" w:sz="8" w:space="0" w:color="auto"/>
              <w:right w:val="single" w:sz="8" w:space="0" w:color="000000"/>
            </w:tcBorders>
            <w:vAlign w:val="center"/>
            <w:hideMark/>
          </w:tcPr>
          <w:p w14:paraId="7E99036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Consumer-focused smart energy system</w:t>
            </w:r>
          </w:p>
        </w:tc>
      </w:tr>
      <w:tr w:rsidR="00614438" w:rsidRPr="00AA7A53" w14:paraId="79E80B7D" w14:textId="77777777" w:rsidTr="00614438">
        <w:trPr>
          <w:gridAfter w:val="1"/>
          <w:wAfter w:w="1212" w:type="dxa"/>
          <w:trHeight w:val="315"/>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2FF2608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Implementing Entity</w:t>
            </w:r>
          </w:p>
        </w:tc>
        <w:tc>
          <w:tcPr>
            <w:tcW w:w="6179" w:type="dxa"/>
            <w:gridSpan w:val="3"/>
            <w:tcBorders>
              <w:top w:val="single" w:sz="8" w:space="0" w:color="auto"/>
              <w:left w:val="nil"/>
              <w:bottom w:val="single" w:sz="8" w:space="0" w:color="auto"/>
              <w:right w:val="single" w:sz="8" w:space="0" w:color="000000"/>
            </w:tcBorders>
            <w:vAlign w:val="center"/>
            <w:hideMark/>
          </w:tcPr>
          <w:p w14:paraId="006D2602" w14:textId="77777777" w:rsidR="00614438" w:rsidRPr="00AA7A53" w:rsidRDefault="00614438" w:rsidP="00AA7A53">
            <w:pPr>
              <w:numPr>
                <w:ilvl w:val="0"/>
                <w:numId w:val="212"/>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7657D8D7" w14:textId="5A34C759" w:rsidR="00614438" w:rsidRPr="00AA7A53" w:rsidRDefault="001F2B5C" w:rsidP="00AA7A53">
            <w:pPr>
              <w:numPr>
                <w:ilvl w:val="0"/>
                <w:numId w:val="212"/>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Science, Technological Development and Innovation</w:t>
            </w:r>
          </w:p>
          <w:p w14:paraId="2326A034" w14:textId="77777777" w:rsidR="00614438" w:rsidRPr="00AA7A53" w:rsidRDefault="00614438" w:rsidP="00AA7A53">
            <w:pPr>
              <w:numPr>
                <w:ilvl w:val="0"/>
                <w:numId w:val="212"/>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p w14:paraId="470C3DE8" w14:textId="77777777" w:rsidR="00135C6C" w:rsidRPr="00AA7A53" w:rsidRDefault="00135C6C" w:rsidP="00AA7A53">
            <w:pPr>
              <w:numPr>
                <w:ilvl w:val="0"/>
                <w:numId w:val="212"/>
              </w:numPr>
              <w:spacing w:after="0"/>
              <w:jc w:val="both"/>
              <w:rPr>
                <w:rFonts w:ascii="Times New Roman" w:hAnsi="Times New Roman" w:cs="Times New Roman"/>
                <w:sz w:val="20"/>
                <w:szCs w:val="20"/>
              </w:rPr>
            </w:pPr>
            <w:r w:rsidRPr="00AA7A53">
              <w:rPr>
                <w:rFonts w:ascii="Times New Roman" w:hAnsi="Times New Roman" w:cs="Times New Roman"/>
                <w:sz w:val="20"/>
                <w:szCs w:val="20"/>
                <w:lang w:val="en-GB"/>
              </w:rPr>
              <w:t>DSO EDS</w:t>
            </w:r>
          </w:p>
          <w:p w14:paraId="1BDC9FB8" w14:textId="7945BA63" w:rsidR="00614438" w:rsidRPr="00AA7A53" w:rsidRDefault="00135C6C" w:rsidP="00AA7A53">
            <w:pPr>
              <w:numPr>
                <w:ilvl w:val="0"/>
                <w:numId w:val="212"/>
              </w:numPr>
              <w:spacing w:after="0"/>
              <w:jc w:val="both"/>
              <w:rPr>
                <w:rFonts w:ascii="Times New Roman" w:hAnsi="Times New Roman" w:cs="Times New Roman"/>
                <w:sz w:val="20"/>
                <w:szCs w:val="20"/>
              </w:rPr>
            </w:pPr>
            <w:r w:rsidRPr="00AA7A53">
              <w:rPr>
                <w:rFonts w:ascii="Times New Roman" w:hAnsi="Times New Roman" w:cs="Times New Roman"/>
                <w:sz w:val="20"/>
                <w:szCs w:val="20"/>
                <w:lang w:val="en-GB"/>
              </w:rPr>
              <w:t xml:space="preserve">JSC </w:t>
            </w:r>
            <w:r w:rsidRPr="00AA7A53">
              <w:rPr>
                <w:rFonts w:ascii="Times New Roman" w:hAnsi="Times New Roman" w:cs="Times New Roman"/>
                <w:sz w:val="20"/>
                <w:szCs w:val="20"/>
              </w:rPr>
              <w:t>“Elektromreža Srbije“</w:t>
            </w:r>
          </w:p>
        </w:tc>
      </w:tr>
      <w:tr w:rsidR="00614438" w:rsidRPr="00AA7A53" w14:paraId="3442B83C" w14:textId="77777777" w:rsidTr="00614438">
        <w:trPr>
          <w:gridAfter w:val="1"/>
          <w:wAfter w:w="1212" w:type="dxa"/>
          <w:trHeight w:val="315"/>
        </w:trPr>
        <w:tc>
          <w:tcPr>
            <w:tcW w:w="3309" w:type="dxa"/>
            <w:tcBorders>
              <w:top w:val="nil"/>
              <w:left w:val="single" w:sz="8" w:space="0" w:color="auto"/>
              <w:bottom w:val="single" w:sz="8" w:space="0" w:color="auto"/>
              <w:right w:val="nil"/>
            </w:tcBorders>
            <w:shd w:val="clear" w:color="auto" w:fill="244062"/>
            <w:vAlign w:val="center"/>
            <w:hideMark/>
          </w:tcPr>
          <w:p w14:paraId="560DBCB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79" w:type="dxa"/>
            <w:gridSpan w:val="3"/>
            <w:tcBorders>
              <w:top w:val="single" w:sz="8" w:space="0" w:color="auto"/>
              <w:left w:val="nil"/>
              <w:bottom w:val="single" w:sz="8" w:space="0" w:color="auto"/>
              <w:right w:val="single" w:sz="8" w:space="0" w:color="000000"/>
            </w:tcBorders>
            <w:vAlign w:val="center"/>
            <w:hideMark/>
          </w:tcPr>
          <w:p w14:paraId="680D6729" w14:textId="1937A27D" w:rsidR="00614438" w:rsidRPr="00AA7A53" w:rsidRDefault="001F2B5C" w:rsidP="00AA7A53">
            <w:pPr>
              <w:numPr>
                <w:ilvl w:val="0"/>
                <w:numId w:val="20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Science, Technological Development and Innovation</w:t>
            </w:r>
          </w:p>
          <w:p w14:paraId="653B6FF3" w14:textId="77777777" w:rsidR="00614438" w:rsidRPr="00AA7A53" w:rsidRDefault="00614438" w:rsidP="00AA7A53">
            <w:pPr>
              <w:numPr>
                <w:ilvl w:val="0"/>
                <w:numId w:val="20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090618E3" w14:textId="77777777" w:rsidTr="00614438">
        <w:trPr>
          <w:gridAfter w:val="1"/>
          <w:wAfter w:w="1212" w:type="dxa"/>
          <w:trHeight w:val="315"/>
        </w:trPr>
        <w:tc>
          <w:tcPr>
            <w:tcW w:w="3309" w:type="dxa"/>
            <w:tcBorders>
              <w:top w:val="nil"/>
              <w:left w:val="single" w:sz="8" w:space="0" w:color="auto"/>
              <w:bottom w:val="single" w:sz="8" w:space="0" w:color="auto"/>
              <w:right w:val="nil"/>
            </w:tcBorders>
            <w:shd w:val="clear" w:color="auto" w:fill="244062"/>
            <w:vAlign w:val="center"/>
            <w:hideMark/>
          </w:tcPr>
          <w:p w14:paraId="7EA2B26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79" w:type="dxa"/>
            <w:gridSpan w:val="3"/>
            <w:tcBorders>
              <w:top w:val="single" w:sz="8" w:space="0" w:color="auto"/>
              <w:left w:val="nil"/>
              <w:bottom w:val="single" w:sz="8" w:space="0" w:color="auto"/>
              <w:right w:val="single" w:sz="8" w:space="0" w:color="000000"/>
            </w:tcBorders>
            <w:vAlign w:val="center"/>
            <w:hideMark/>
          </w:tcPr>
          <w:p w14:paraId="42A32D1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Number of research projects development on digitization technologies on an annual basis</w:t>
            </w:r>
          </w:p>
        </w:tc>
      </w:tr>
      <w:tr w:rsidR="00614438" w:rsidRPr="00AA7A53" w14:paraId="2CBA3C40" w14:textId="77777777" w:rsidTr="00614438">
        <w:trPr>
          <w:gridAfter w:val="1"/>
          <w:wAfter w:w="1212" w:type="dxa"/>
          <w:trHeight w:val="309"/>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49F5792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79" w:type="dxa"/>
            <w:gridSpan w:val="3"/>
            <w:tcBorders>
              <w:top w:val="single" w:sz="8" w:space="0" w:color="auto"/>
              <w:left w:val="nil"/>
              <w:bottom w:val="single" w:sz="8" w:space="0" w:color="auto"/>
              <w:right w:val="single" w:sz="8" w:space="0" w:color="000000"/>
            </w:tcBorders>
            <w:vAlign w:val="center"/>
            <w:hideMark/>
          </w:tcPr>
          <w:p w14:paraId="6935D250" w14:textId="77777777" w:rsidR="00614438" w:rsidRPr="00AA7A53" w:rsidRDefault="00614438"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p w14:paraId="50D23EA6" w14:textId="77777777" w:rsidR="00614438" w:rsidRPr="00AA7A53" w:rsidRDefault="00614438"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tc>
      </w:tr>
      <w:tr w:rsidR="00614438" w:rsidRPr="00AA7A53" w14:paraId="4AA8B096" w14:textId="77777777" w:rsidTr="00614438">
        <w:trPr>
          <w:gridAfter w:val="1"/>
          <w:wAfter w:w="1212" w:type="dxa"/>
          <w:trHeight w:val="458"/>
        </w:trPr>
        <w:tc>
          <w:tcPr>
            <w:tcW w:w="3309" w:type="dxa"/>
            <w:vMerge w:val="restart"/>
            <w:tcBorders>
              <w:top w:val="nil"/>
              <w:left w:val="single" w:sz="8" w:space="0" w:color="auto"/>
              <w:bottom w:val="single" w:sz="8" w:space="0" w:color="000000"/>
              <w:right w:val="single" w:sz="8" w:space="0" w:color="auto"/>
            </w:tcBorders>
            <w:shd w:val="clear" w:color="auto" w:fill="244062"/>
            <w:vAlign w:val="center"/>
            <w:hideMark/>
          </w:tcPr>
          <w:p w14:paraId="7FA623D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79"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23B9B89D" w14:textId="77777777" w:rsidR="00614438" w:rsidRPr="00AA7A53" w:rsidRDefault="00614438" w:rsidP="00AA7A53">
            <w:pPr>
              <w:numPr>
                <w:ilvl w:val="0"/>
                <w:numId w:val="214"/>
              </w:numPr>
              <w:spacing w:after="0"/>
              <w:jc w:val="both"/>
              <w:rPr>
                <w:rFonts w:ascii="Times New Roman" w:hAnsi="Times New Roman" w:cs="Times New Roman"/>
                <w:sz w:val="20"/>
                <w:szCs w:val="20"/>
              </w:rPr>
            </w:pPr>
            <w:r w:rsidRPr="00AA7A53">
              <w:rPr>
                <w:rFonts w:ascii="Times New Roman" w:hAnsi="Times New Roman" w:cs="Times New Roman"/>
                <w:sz w:val="20"/>
                <w:szCs w:val="20"/>
              </w:rPr>
              <w:t>European Strategic Energy Technology Plan (SET Plan)</w:t>
            </w:r>
          </w:p>
          <w:p w14:paraId="26EC19DB" w14:textId="77777777" w:rsidR="00614438" w:rsidRPr="00AA7A53" w:rsidRDefault="00614438" w:rsidP="00AA7A53">
            <w:pPr>
              <w:numPr>
                <w:ilvl w:val="0"/>
                <w:numId w:val="214"/>
              </w:numPr>
              <w:spacing w:after="0"/>
              <w:jc w:val="both"/>
              <w:rPr>
                <w:rFonts w:ascii="Times New Roman" w:hAnsi="Times New Roman" w:cs="Times New Roman"/>
                <w:sz w:val="20"/>
                <w:szCs w:val="20"/>
              </w:rPr>
            </w:pPr>
            <w:r w:rsidRPr="00AA7A53">
              <w:rPr>
                <w:rFonts w:ascii="Times New Roman" w:hAnsi="Times New Roman" w:cs="Times New Roman"/>
                <w:sz w:val="20"/>
                <w:szCs w:val="20"/>
              </w:rPr>
              <w:t>Research and Innovation Strategies for Smart Specialisation (RIS 3)</w:t>
            </w:r>
          </w:p>
        </w:tc>
      </w:tr>
      <w:tr w:rsidR="00614438" w:rsidRPr="00AA7A53" w14:paraId="52B0E91D"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448B5604"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06FA408"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45F492CF"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D666D3A" w14:textId="77777777" w:rsidTr="00614438">
        <w:trPr>
          <w:trHeight w:val="122"/>
        </w:trPr>
        <w:tc>
          <w:tcPr>
            <w:tcW w:w="0" w:type="auto"/>
            <w:vMerge/>
            <w:tcBorders>
              <w:top w:val="nil"/>
              <w:left w:val="single" w:sz="8" w:space="0" w:color="auto"/>
              <w:bottom w:val="single" w:sz="8" w:space="0" w:color="000000"/>
              <w:right w:val="single" w:sz="8" w:space="0" w:color="auto"/>
            </w:tcBorders>
            <w:vAlign w:val="center"/>
            <w:hideMark/>
          </w:tcPr>
          <w:p w14:paraId="67EBD62C"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D84519D"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383BE900"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44F4423D" w14:textId="77777777" w:rsidTr="00614438">
        <w:trPr>
          <w:trHeight w:val="495"/>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0D794E2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79" w:type="dxa"/>
            <w:gridSpan w:val="3"/>
            <w:tcBorders>
              <w:top w:val="single" w:sz="8" w:space="0" w:color="auto"/>
              <w:left w:val="nil"/>
              <w:bottom w:val="single" w:sz="8" w:space="0" w:color="auto"/>
              <w:right w:val="single" w:sz="8" w:space="0" w:color="000000"/>
            </w:tcBorders>
            <w:vAlign w:val="center"/>
            <w:hideMark/>
          </w:tcPr>
          <w:p w14:paraId="01B8AA75" w14:textId="77777777" w:rsidR="00614438" w:rsidRPr="00AA7A53" w:rsidRDefault="00614438" w:rsidP="00AA7A53">
            <w:pPr>
              <w:numPr>
                <w:ilvl w:val="0"/>
                <w:numId w:val="214"/>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the Science Fund</w:t>
            </w:r>
          </w:p>
          <w:p w14:paraId="246FEE06" w14:textId="77777777" w:rsidR="00614438" w:rsidRPr="00AA7A53" w:rsidRDefault="00614438" w:rsidP="00AA7A53">
            <w:pPr>
              <w:numPr>
                <w:ilvl w:val="0"/>
                <w:numId w:val="214"/>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Science and Research</w:t>
            </w:r>
          </w:p>
        </w:tc>
        <w:tc>
          <w:tcPr>
            <w:tcW w:w="1212" w:type="dxa"/>
            <w:vAlign w:val="center"/>
            <w:hideMark/>
          </w:tcPr>
          <w:p w14:paraId="750B1367"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E707B6B" w14:textId="77777777" w:rsidTr="00614438">
        <w:trPr>
          <w:trHeight w:val="315"/>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699E06A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79" w:type="dxa"/>
            <w:gridSpan w:val="3"/>
            <w:tcBorders>
              <w:top w:val="single" w:sz="8" w:space="0" w:color="auto"/>
              <w:left w:val="nil"/>
              <w:bottom w:val="single" w:sz="8" w:space="0" w:color="auto"/>
              <w:right w:val="single" w:sz="8" w:space="0" w:color="000000"/>
            </w:tcBorders>
            <w:vAlign w:val="center"/>
            <w:hideMark/>
          </w:tcPr>
          <w:p w14:paraId="6E73505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9 M€</w:t>
            </w:r>
          </w:p>
        </w:tc>
        <w:tc>
          <w:tcPr>
            <w:tcW w:w="1212" w:type="dxa"/>
            <w:vAlign w:val="center"/>
            <w:hideMark/>
          </w:tcPr>
          <w:p w14:paraId="58DD577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62FC9F5" w14:textId="77777777" w:rsidTr="00614438">
        <w:trPr>
          <w:trHeight w:val="315"/>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7C3B8AE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79" w:type="dxa"/>
            <w:gridSpan w:val="3"/>
            <w:tcBorders>
              <w:top w:val="single" w:sz="8" w:space="0" w:color="auto"/>
              <w:left w:val="nil"/>
              <w:bottom w:val="single" w:sz="8" w:space="0" w:color="auto"/>
              <w:right w:val="single" w:sz="8" w:space="0" w:color="000000"/>
            </w:tcBorders>
            <w:vAlign w:val="center"/>
            <w:hideMark/>
          </w:tcPr>
          <w:p w14:paraId="4211A193" w14:textId="015E2348"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funds</w:t>
            </w:r>
            <w:r w:rsidR="00B21B70" w:rsidRPr="00AA7A53">
              <w:rPr>
                <w:rFonts w:ascii="Times New Roman" w:hAnsi="Times New Roman" w:cs="Times New Roman"/>
                <w:sz w:val="20"/>
                <w:szCs w:val="20"/>
                <w:lang w:val="en-GB"/>
              </w:rPr>
              <w:t xml:space="preserve">, own and </w:t>
            </w:r>
            <w:r w:rsidRPr="00AA7A53">
              <w:rPr>
                <w:rFonts w:ascii="Times New Roman" w:hAnsi="Times New Roman" w:cs="Times New Roman"/>
                <w:sz w:val="20"/>
                <w:szCs w:val="20"/>
                <w:lang w:val="en-GB"/>
              </w:rPr>
              <w:t>public funds</w:t>
            </w:r>
            <w:r w:rsidR="00B21B70" w:rsidRPr="00AA7A53">
              <w:rPr>
                <w:rFonts w:ascii="Times New Roman" w:hAnsi="Times New Roman" w:cs="Times New Roman"/>
                <w:sz w:val="20"/>
                <w:szCs w:val="20"/>
                <w:lang w:val="en-GB"/>
              </w:rPr>
              <w:t xml:space="preserve">, </w:t>
            </w:r>
            <w:r w:rsidRPr="00AA7A53">
              <w:rPr>
                <w:rFonts w:ascii="Times New Roman" w:hAnsi="Times New Roman" w:cs="Times New Roman"/>
                <w:sz w:val="20"/>
                <w:szCs w:val="20"/>
                <w:lang w:val="en-GB"/>
              </w:rPr>
              <w:t>Programmes for research and development</w:t>
            </w:r>
          </w:p>
        </w:tc>
        <w:tc>
          <w:tcPr>
            <w:tcW w:w="1212" w:type="dxa"/>
            <w:vAlign w:val="center"/>
            <w:hideMark/>
          </w:tcPr>
          <w:p w14:paraId="397059BF" w14:textId="77777777" w:rsidR="00614438" w:rsidRPr="00AA7A53" w:rsidRDefault="00614438" w:rsidP="00AA7A53">
            <w:pPr>
              <w:spacing w:after="0"/>
              <w:jc w:val="both"/>
              <w:rPr>
                <w:rFonts w:ascii="Times New Roman" w:hAnsi="Times New Roman" w:cs="Times New Roman"/>
                <w:sz w:val="20"/>
                <w:szCs w:val="20"/>
                <w:lang w:val="en-GB"/>
              </w:rPr>
            </w:pPr>
          </w:p>
        </w:tc>
      </w:tr>
    </w:tbl>
    <w:p w14:paraId="1263801E"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39"/>
        <w:gridCol w:w="1139"/>
        <w:gridCol w:w="956"/>
        <w:gridCol w:w="4154"/>
        <w:gridCol w:w="1212"/>
      </w:tblGrid>
      <w:tr w:rsidR="00614438" w:rsidRPr="00AA7A53" w14:paraId="3290831B" w14:textId="77777777" w:rsidTr="00614438">
        <w:trPr>
          <w:gridAfter w:val="1"/>
          <w:wAfter w:w="1212" w:type="dxa"/>
          <w:trHeight w:val="780"/>
        </w:trPr>
        <w:tc>
          <w:tcPr>
            <w:tcW w:w="3271"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0E36B6A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052" w:type="dxa"/>
            <w:tcBorders>
              <w:top w:val="single" w:sz="8" w:space="0" w:color="auto"/>
              <w:left w:val="nil"/>
              <w:bottom w:val="single" w:sz="8" w:space="0" w:color="auto"/>
              <w:right w:val="single" w:sz="8" w:space="0" w:color="auto"/>
            </w:tcBorders>
            <w:shd w:val="clear" w:color="auto" w:fill="E7E6E6" w:themeFill="background2"/>
            <w:vAlign w:val="center"/>
            <w:hideMark/>
          </w:tcPr>
          <w:p w14:paraId="6409B72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PM_RIC13</w:t>
            </w:r>
          </w:p>
        </w:tc>
        <w:tc>
          <w:tcPr>
            <w:tcW w:w="960" w:type="dxa"/>
            <w:tcBorders>
              <w:top w:val="single" w:sz="8" w:space="0" w:color="auto"/>
              <w:left w:val="nil"/>
              <w:bottom w:val="single" w:sz="8" w:space="0" w:color="auto"/>
              <w:right w:val="single" w:sz="8" w:space="0" w:color="auto"/>
            </w:tcBorders>
            <w:shd w:val="clear" w:color="auto" w:fill="244062"/>
            <w:vAlign w:val="center"/>
            <w:hideMark/>
          </w:tcPr>
          <w:p w14:paraId="63C50E0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205" w:type="dxa"/>
            <w:tcBorders>
              <w:top w:val="single" w:sz="8" w:space="0" w:color="auto"/>
              <w:left w:val="nil"/>
              <w:bottom w:val="single" w:sz="8" w:space="0" w:color="auto"/>
              <w:right w:val="single" w:sz="8" w:space="0" w:color="auto"/>
            </w:tcBorders>
            <w:shd w:val="clear" w:color="auto" w:fill="E7E6E6" w:themeFill="background2"/>
            <w:vAlign w:val="center"/>
            <w:hideMark/>
          </w:tcPr>
          <w:p w14:paraId="19B7930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Development of innovative technologies in transport and applications for micro-mobility</w:t>
            </w:r>
          </w:p>
        </w:tc>
      </w:tr>
      <w:tr w:rsidR="00614438" w:rsidRPr="00AA7A53" w14:paraId="2BF5F00D" w14:textId="77777777" w:rsidTr="00614438">
        <w:trPr>
          <w:gridAfter w:val="1"/>
          <w:wAfter w:w="1212" w:type="dxa"/>
          <w:trHeight w:val="289"/>
        </w:trPr>
        <w:tc>
          <w:tcPr>
            <w:tcW w:w="3271" w:type="dxa"/>
            <w:tcBorders>
              <w:top w:val="nil"/>
              <w:left w:val="single" w:sz="8" w:space="0" w:color="auto"/>
              <w:bottom w:val="single" w:sz="8" w:space="0" w:color="auto"/>
              <w:right w:val="nil"/>
            </w:tcBorders>
            <w:shd w:val="clear" w:color="auto" w:fill="244062"/>
            <w:vAlign w:val="center"/>
            <w:hideMark/>
          </w:tcPr>
          <w:p w14:paraId="6D027D8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217" w:type="dxa"/>
            <w:gridSpan w:val="3"/>
            <w:tcBorders>
              <w:top w:val="single" w:sz="8" w:space="0" w:color="auto"/>
              <w:left w:val="nil"/>
              <w:bottom w:val="single" w:sz="8" w:space="0" w:color="auto"/>
              <w:right w:val="single" w:sz="8" w:space="0" w:color="000000"/>
            </w:tcBorders>
            <w:vAlign w:val="center"/>
            <w:hideMark/>
          </w:tcPr>
          <w:p w14:paraId="13973C6D" w14:textId="6C4F729F"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research and innovation</w:t>
            </w:r>
            <w:r w:rsidR="00B21B70" w:rsidRPr="00AA7A53">
              <w:rPr>
                <w:rFonts w:ascii="Times New Roman" w:hAnsi="Times New Roman" w:cs="Times New Roman"/>
                <w:sz w:val="20"/>
                <w:szCs w:val="20"/>
                <w:lang w:val="en-GB"/>
              </w:rPr>
              <w:t xml:space="preserve"> and d</w:t>
            </w:r>
            <w:r w:rsidRPr="00AA7A53">
              <w:rPr>
                <w:rFonts w:ascii="Times New Roman" w:hAnsi="Times New Roman" w:cs="Times New Roman"/>
                <w:sz w:val="20"/>
                <w:szCs w:val="20"/>
                <w:lang w:val="en-GB"/>
              </w:rPr>
              <w:t>evelopment of low carbon technologies</w:t>
            </w:r>
          </w:p>
        </w:tc>
      </w:tr>
      <w:tr w:rsidR="00614438" w:rsidRPr="00AA7A53" w14:paraId="666B05F7" w14:textId="77777777" w:rsidTr="00614438">
        <w:trPr>
          <w:gridAfter w:val="1"/>
          <w:wAfter w:w="1212" w:type="dxa"/>
          <w:trHeight w:val="315"/>
        </w:trPr>
        <w:tc>
          <w:tcPr>
            <w:tcW w:w="3271" w:type="dxa"/>
            <w:tcBorders>
              <w:top w:val="nil"/>
              <w:left w:val="single" w:sz="8" w:space="0" w:color="auto"/>
              <w:bottom w:val="single" w:sz="8" w:space="0" w:color="auto"/>
              <w:right w:val="single" w:sz="8" w:space="0" w:color="auto"/>
            </w:tcBorders>
            <w:shd w:val="clear" w:color="auto" w:fill="244062"/>
            <w:vAlign w:val="center"/>
            <w:hideMark/>
          </w:tcPr>
          <w:p w14:paraId="1506DD0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217" w:type="dxa"/>
            <w:gridSpan w:val="3"/>
            <w:tcBorders>
              <w:top w:val="single" w:sz="8" w:space="0" w:color="auto"/>
              <w:left w:val="nil"/>
              <w:bottom w:val="single" w:sz="8" w:space="0" w:color="auto"/>
              <w:right w:val="single" w:sz="8" w:space="0" w:color="000000"/>
            </w:tcBorders>
            <w:vAlign w:val="center"/>
            <w:hideMark/>
          </w:tcPr>
          <w:p w14:paraId="4359C86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 the level of technological readiness per technology (Qualitative objective)</w:t>
            </w:r>
          </w:p>
        </w:tc>
      </w:tr>
      <w:tr w:rsidR="00614438" w:rsidRPr="00AA7A53" w14:paraId="20017EB5" w14:textId="77777777" w:rsidTr="00614438">
        <w:trPr>
          <w:gridAfter w:val="1"/>
          <w:wAfter w:w="1212" w:type="dxa"/>
          <w:trHeight w:val="301"/>
        </w:trPr>
        <w:tc>
          <w:tcPr>
            <w:tcW w:w="3271" w:type="dxa"/>
            <w:tcBorders>
              <w:top w:val="nil"/>
              <w:left w:val="single" w:sz="8" w:space="0" w:color="auto"/>
              <w:bottom w:val="single" w:sz="8" w:space="0" w:color="auto"/>
              <w:right w:val="single" w:sz="8" w:space="0" w:color="auto"/>
            </w:tcBorders>
            <w:shd w:val="clear" w:color="auto" w:fill="244062"/>
            <w:vAlign w:val="center"/>
            <w:hideMark/>
          </w:tcPr>
          <w:p w14:paraId="32D0C50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217" w:type="dxa"/>
            <w:gridSpan w:val="3"/>
            <w:tcBorders>
              <w:top w:val="single" w:sz="8" w:space="0" w:color="auto"/>
              <w:left w:val="nil"/>
              <w:bottom w:val="single" w:sz="8" w:space="0" w:color="auto"/>
              <w:right w:val="single" w:sz="8" w:space="0" w:color="000000"/>
            </w:tcBorders>
            <w:vAlign w:val="center"/>
            <w:hideMark/>
          </w:tcPr>
          <w:p w14:paraId="0E2441EB" w14:textId="3EED3293"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PM_RIC13 will support innovative actions concerning electric vehicles as well as their charging strategies, while emphasis will be placed on the electricity consumed coming from RES</w:t>
            </w:r>
            <w:r w:rsidR="00B21B70" w:rsidRPr="00AA7A53">
              <w:rPr>
                <w:rFonts w:ascii="Times New Roman" w:hAnsi="Times New Roman" w:cs="Times New Roman"/>
                <w:sz w:val="20"/>
                <w:szCs w:val="20"/>
                <w:lang w:val="en-GB"/>
              </w:rPr>
              <w:t>,</w:t>
            </w:r>
            <w:r w:rsidRPr="00AA7A53">
              <w:rPr>
                <w:rFonts w:ascii="Times New Roman" w:hAnsi="Times New Roman" w:cs="Times New Roman"/>
                <w:sz w:val="20"/>
                <w:szCs w:val="20"/>
                <w:lang w:val="en-GB"/>
              </w:rPr>
              <w:t xml:space="preserve"> as well as for hydrogen produced from RES. Corresponding actions for the development of innovative technologies will be supported in the case of biofuels as renewable fuels for sustainable transport (fuels for road and air transport), namely: (1) development of advanced liquid and gaseous biofuels through biochemical or from autochthonous microorganisms and primary energy from RES, (2) demonstration of advanced liquid and gaseous biofuels through biochemical/thermochemical/chemical conversion from sustainable biomass and/or from autochthonous microorganisms and primary energy from RES, (3) development of other liquid and gaseous fuels (excluding hydrogen) through thermochemical / chemical / biochemical / electrochemical conversion of energy neutral carriers with RES, (4) demonstration of other liquid and gaseous fuels (excluding hydrogen) through thermochemical / chemical/ biochemical / electrochemical conversion of energy neutral carriers with RES, (5) Production of renewable hydrogen from electrolysis of water and electricity from RES. Actions for the design of efficient LNG storage facilities for ship refuelling will also be supported.</w:t>
            </w:r>
          </w:p>
        </w:tc>
      </w:tr>
      <w:tr w:rsidR="00614438" w:rsidRPr="00AA7A53" w14:paraId="39D3322D" w14:textId="77777777" w:rsidTr="00614438">
        <w:trPr>
          <w:gridAfter w:val="1"/>
          <w:wAfter w:w="1212" w:type="dxa"/>
          <w:trHeight w:val="315"/>
        </w:trPr>
        <w:tc>
          <w:tcPr>
            <w:tcW w:w="3271" w:type="dxa"/>
            <w:tcBorders>
              <w:top w:val="nil"/>
              <w:left w:val="single" w:sz="8" w:space="0" w:color="auto"/>
              <w:bottom w:val="single" w:sz="8" w:space="0" w:color="auto"/>
              <w:right w:val="single" w:sz="8" w:space="0" w:color="auto"/>
            </w:tcBorders>
            <w:shd w:val="clear" w:color="auto" w:fill="244062"/>
            <w:vAlign w:val="center"/>
            <w:hideMark/>
          </w:tcPr>
          <w:p w14:paraId="7466B14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217" w:type="dxa"/>
            <w:gridSpan w:val="3"/>
            <w:tcBorders>
              <w:top w:val="single" w:sz="8" w:space="0" w:color="auto"/>
              <w:left w:val="nil"/>
              <w:bottom w:val="single" w:sz="8" w:space="0" w:color="auto"/>
              <w:right w:val="single" w:sz="8" w:space="0" w:color="000000"/>
            </w:tcBorders>
            <w:vAlign w:val="center"/>
            <w:hideMark/>
          </w:tcPr>
          <w:p w14:paraId="22ABF498" w14:textId="79568F4B"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B21B70"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657F59DE" w14:textId="77777777" w:rsidTr="00614438">
        <w:trPr>
          <w:gridAfter w:val="1"/>
          <w:wAfter w:w="1212" w:type="dxa"/>
          <w:trHeight w:val="315"/>
        </w:trPr>
        <w:tc>
          <w:tcPr>
            <w:tcW w:w="3271" w:type="dxa"/>
            <w:tcBorders>
              <w:top w:val="nil"/>
              <w:left w:val="single" w:sz="8" w:space="0" w:color="auto"/>
              <w:bottom w:val="single" w:sz="8" w:space="0" w:color="auto"/>
              <w:right w:val="single" w:sz="8" w:space="0" w:color="auto"/>
            </w:tcBorders>
            <w:shd w:val="clear" w:color="auto" w:fill="244062"/>
            <w:vAlign w:val="center"/>
            <w:hideMark/>
          </w:tcPr>
          <w:p w14:paraId="7638C2B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217" w:type="dxa"/>
            <w:gridSpan w:val="3"/>
            <w:tcBorders>
              <w:top w:val="single" w:sz="8" w:space="0" w:color="auto"/>
              <w:left w:val="nil"/>
              <w:bottom w:val="single" w:sz="8" w:space="0" w:color="auto"/>
              <w:right w:val="single" w:sz="8" w:space="0" w:color="000000"/>
            </w:tcBorders>
            <w:vAlign w:val="center"/>
            <w:hideMark/>
          </w:tcPr>
          <w:p w14:paraId="7A929C3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178189E2" w14:textId="77777777" w:rsidTr="00614438">
        <w:trPr>
          <w:gridAfter w:val="1"/>
          <w:wAfter w:w="1212" w:type="dxa"/>
          <w:trHeight w:val="315"/>
        </w:trPr>
        <w:tc>
          <w:tcPr>
            <w:tcW w:w="3271" w:type="dxa"/>
            <w:tcBorders>
              <w:top w:val="nil"/>
              <w:left w:val="single" w:sz="8" w:space="0" w:color="auto"/>
              <w:bottom w:val="single" w:sz="8" w:space="0" w:color="auto"/>
              <w:right w:val="single" w:sz="8" w:space="0" w:color="auto"/>
            </w:tcBorders>
            <w:shd w:val="clear" w:color="auto" w:fill="244062"/>
            <w:vAlign w:val="center"/>
            <w:hideMark/>
          </w:tcPr>
          <w:p w14:paraId="61A797E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217" w:type="dxa"/>
            <w:gridSpan w:val="3"/>
            <w:tcBorders>
              <w:top w:val="single" w:sz="8" w:space="0" w:color="auto"/>
              <w:left w:val="nil"/>
              <w:bottom w:val="single" w:sz="8" w:space="0" w:color="auto"/>
              <w:right w:val="single" w:sz="8" w:space="0" w:color="000000"/>
            </w:tcBorders>
            <w:vAlign w:val="center"/>
            <w:hideMark/>
          </w:tcPr>
          <w:p w14:paraId="757B553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Sustainable transport</w:t>
            </w:r>
          </w:p>
        </w:tc>
      </w:tr>
      <w:tr w:rsidR="00614438" w:rsidRPr="00AA7A53" w14:paraId="740362B0" w14:textId="77777777" w:rsidTr="00614438">
        <w:trPr>
          <w:gridAfter w:val="1"/>
          <w:wAfter w:w="1212" w:type="dxa"/>
          <w:trHeight w:val="315"/>
        </w:trPr>
        <w:tc>
          <w:tcPr>
            <w:tcW w:w="3271" w:type="dxa"/>
            <w:tcBorders>
              <w:top w:val="nil"/>
              <w:left w:val="single" w:sz="8" w:space="0" w:color="auto"/>
              <w:bottom w:val="single" w:sz="8" w:space="0" w:color="auto"/>
              <w:right w:val="single" w:sz="8" w:space="0" w:color="auto"/>
            </w:tcBorders>
            <w:shd w:val="clear" w:color="auto" w:fill="244062"/>
            <w:vAlign w:val="center"/>
            <w:hideMark/>
          </w:tcPr>
          <w:p w14:paraId="5F9367A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217" w:type="dxa"/>
            <w:gridSpan w:val="3"/>
            <w:tcBorders>
              <w:top w:val="single" w:sz="8" w:space="0" w:color="auto"/>
              <w:left w:val="nil"/>
              <w:bottom w:val="single" w:sz="8" w:space="0" w:color="auto"/>
              <w:right w:val="single" w:sz="8" w:space="0" w:color="000000"/>
            </w:tcBorders>
            <w:vAlign w:val="center"/>
            <w:hideMark/>
          </w:tcPr>
          <w:p w14:paraId="34FC9FF4" w14:textId="77777777" w:rsidR="00614438" w:rsidRPr="00AA7A53" w:rsidRDefault="00614438" w:rsidP="00AA7A53">
            <w:pPr>
              <w:numPr>
                <w:ilvl w:val="0"/>
                <w:numId w:val="20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5A911A26" w14:textId="77777777" w:rsidR="00614438" w:rsidRPr="00AA7A53" w:rsidRDefault="00614438" w:rsidP="00AA7A53">
            <w:pPr>
              <w:numPr>
                <w:ilvl w:val="0"/>
                <w:numId w:val="20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Construction, Transport and Infrastructure</w:t>
            </w:r>
          </w:p>
          <w:p w14:paraId="0BA4FABA" w14:textId="5E16340C" w:rsidR="00614438" w:rsidRPr="00AA7A53" w:rsidRDefault="001F2B5C" w:rsidP="00AA7A53">
            <w:pPr>
              <w:numPr>
                <w:ilvl w:val="0"/>
                <w:numId w:val="20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Science, Technological Development and Innovation</w:t>
            </w:r>
          </w:p>
          <w:p w14:paraId="533359A8" w14:textId="77777777" w:rsidR="00614438" w:rsidRPr="00AA7A53" w:rsidRDefault="00614438" w:rsidP="00AA7A53">
            <w:pPr>
              <w:numPr>
                <w:ilvl w:val="0"/>
                <w:numId w:val="20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tc>
      </w:tr>
      <w:tr w:rsidR="00614438" w:rsidRPr="00AA7A53" w14:paraId="4DDC013A" w14:textId="77777777" w:rsidTr="00614438">
        <w:trPr>
          <w:gridAfter w:val="1"/>
          <w:wAfter w:w="1212" w:type="dxa"/>
          <w:trHeight w:val="315"/>
        </w:trPr>
        <w:tc>
          <w:tcPr>
            <w:tcW w:w="3271" w:type="dxa"/>
            <w:tcBorders>
              <w:top w:val="nil"/>
              <w:left w:val="single" w:sz="8" w:space="0" w:color="auto"/>
              <w:bottom w:val="single" w:sz="8" w:space="0" w:color="auto"/>
              <w:right w:val="nil"/>
            </w:tcBorders>
            <w:shd w:val="clear" w:color="auto" w:fill="244062"/>
            <w:vAlign w:val="center"/>
            <w:hideMark/>
          </w:tcPr>
          <w:p w14:paraId="40EDDFE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Monitoring Entity</w:t>
            </w:r>
          </w:p>
        </w:tc>
        <w:tc>
          <w:tcPr>
            <w:tcW w:w="6217" w:type="dxa"/>
            <w:gridSpan w:val="3"/>
            <w:tcBorders>
              <w:top w:val="single" w:sz="8" w:space="0" w:color="auto"/>
              <w:left w:val="nil"/>
              <w:bottom w:val="single" w:sz="8" w:space="0" w:color="auto"/>
              <w:right w:val="single" w:sz="8" w:space="0" w:color="000000"/>
            </w:tcBorders>
            <w:vAlign w:val="center"/>
            <w:hideMark/>
          </w:tcPr>
          <w:p w14:paraId="00B3F618" w14:textId="2F5E6FDA" w:rsidR="00614438" w:rsidRPr="00AA7A53" w:rsidRDefault="001F2B5C" w:rsidP="00AA7A53">
            <w:pPr>
              <w:numPr>
                <w:ilvl w:val="0"/>
                <w:numId w:val="21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Science, Technological Development and Innovation</w:t>
            </w:r>
          </w:p>
          <w:p w14:paraId="12F4A148" w14:textId="77777777" w:rsidR="00614438" w:rsidRPr="00AA7A53" w:rsidRDefault="00614438" w:rsidP="00AA7A53">
            <w:pPr>
              <w:numPr>
                <w:ilvl w:val="0"/>
                <w:numId w:val="21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244050E4" w14:textId="77777777" w:rsidTr="00614438">
        <w:trPr>
          <w:gridAfter w:val="1"/>
          <w:wAfter w:w="1212" w:type="dxa"/>
          <w:trHeight w:val="315"/>
        </w:trPr>
        <w:tc>
          <w:tcPr>
            <w:tcW w:w="3271" w:type="dxa"/>
            <w:tcBorders>
              <w:top w:val="nil"/>
              <w:left w:val="single" w:sz="8" w:space="0" w:color="auto"/>
              <w:bottom w:val="single" w:sz="8" w:space="0" w:color="auto"/>
              <w:right w:val="nil"/>
            </w:tcBorders>
            <w:shd w:val="clear" w:color="auto" w:fill="244062"/>
            <w:vAlign w:val="center"/>
            <w:hideMark/>
          </w:tcPr>
          <w:p w14:paraId="0C27EAA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217" w:type="dxa"/>
            <w:gridSpan w:val="3"/>
            <w:tcBorders>
              <w:top w:val="single" w:sz="8" w:space="0" w:color="auto"/>
              <w:left w:val="nil"/>
              <w:bottom w:val="single" w:sz="8" w:space="0" w:color="auto"/>
              <w:right w:val="single" w:sz="8" w:space="0" w:color="000000"/>
            </w:tcBorders>
            <w:vAlign w:val="center"/>
            <w:hideMark/>
          </w:tcPr>
          <w:p w14:paraId="7261928E" w14:textId="2DF16AD5"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Number of research projects develop</w:t>
            </w:r>
            <w:r w:rsidR="00B21B70" w:rsidRPr="00AA7A53">
              <w:rPr>
                <w:rFonts w:ascii="Times New Roman" w:hAnsi="Times New Roman" w:cs="Times New Roman"/>
                <w:sz w:val="20"/>
                <w:szCs w:val="20"/>
                <w:lang w:val="en-GB"/>
              </w:rPr>
              <w:t>ed for</w:t>
            </w:r>
            <w:r w:rsidRPr="00AA7A53">
              <w:rPr>
                <w:rFonts w:ascii="Times New Roman" w:hAnsi="Times New Roman" w:cs="Times New Roman"/>
                <w:sz w:val="20"/>
                <w:szCs w:val="20"/>
                <w:lang w:val="en-GB"/>
              </w:rPr>
              <w:t xml:space="preserve"> transport technologies and applications for micro-mobility on an annual basis</w:t>
            </w:r>
          </w:p>
        </w:tc>
      </w:tr>
      <w:tr w:rsidR="00614438" w:rsidRPr="00AA7A53" w14:paraId="5BC19263" w14:textId="77777777" w:rsidTr="00614438">
        <w:trPr>
          <w:gridAfter w:val="1"/>
          <w:wAfter w:w="1212" w:type="dxa"/>
          <w:trHeight w:val="443"/>
        </w:trPr>
        <w:tc>
          <w:tcPr>
            <w:tcW w:w="3271" w:type="dxa"/>
            <w:tcBorders>
              <w:top w:val="nil"/>
              <w:left w:val="single" w:sz="8" w:space="0" w:color="auto"/>
              <w:bottom w:val="single" w:sz="8" w:space="0" w:color="auto"/>
              <w:right w:val="single" w:sz="8" w:space="0" w:color="auto"/>
            </w:tcBorders>
            <w:shd w:val="clear" w:color="auto" w:fill="244062"/>
            <w:vAlign w:val="center"/>
            <w:hideMark/>
          </w:tcPr>
          <w:p w14:paraId="526C05A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217" w:type="dxa"/>
            <w:gridSpan w:val="3"/>
            <w:tcBorders>
              <w:top w:val="single" w:sz="8" w:space="0" w:color="auto"/>
              <w:left w:val="nil"/>
              <w:bottom w:val="single" w:sz="8" w:space="0" w:color="auto"/>
              <w:right w:val="single" w:sz="8" w:space="0" w:color="000000"/>
            </w:tcBorders>
            <w:vAlign w:val="center"/>
            <w:hideMark/>
          </w:tcPr>
          <w:p w14:paraId="1522CFA9" w14:textId="77777777" w:rsidR="00614438" w:rsidRPr="00AA7A53" w:rsidRDefault="00614438"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p w14:paraId="73854C00" w14:textId="77777777" w:rsidR="00614438" w:rsidRPr="00AA7A53" w:rsidRDefault="00614438"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tc>
      </w:tr>
      <w:tr w:rsidR="00614438" w:rsidRPr="00AA7A53" w14:paraId="0B6F8BE4" w14:textId="77777777" w:rsidTr="00614438">
        <w:trPr>
          <w:gridAfter w:val="1"/>
          <w:wAfter w:w="1212" w:type="dxa"/>
          <w:trHeight w:val="458"/>
        </w:trPr>
        <w:tc>
          <w:tcPr>
            <w:tcW w:w="3271" w:type="dxa"/>
            <w:vMerge w:val="restart"/>
            <w:tcBorders>
              <w:top w:val="nil"/>
              <w:left w:val="single" w:sz="8" w:space="0" w:color="auto"/>
              <w:bottom w:val="single" w:sz="8" w:space="0" w:color="000000"/>
              <w:right w:val="single" w:sz="8" w:space="0" w:color="auto"/>
            </w:tcBorders>
            <w:shd w:val="clear" w:color="auto" w:fill="244062"/>
            <w:vAlign w:val="center"/>
            <w:hideMark/>
          </w:tcPr>
          <w:p w14:paraId="2C19B98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217"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1EE6606" w14:textId="77777777" w:rsidR="00614438" w:rsidRPr="00AA7A53" w:rsidRDefault="00614438" w:rsidP="00AA7A53">
            <w:pPr>
              <w:numPr>
                <w:ilvl w:val="0"/>
                <w:numId w:val="216"/>
              </w:numPr>
              <w:spacing w:after="0"/>
              <w:jc w:val="both"/>
              <w:rPr>
                <w:rFonts w:ascii="Times New Roman" w:hAnsi="Times New Roman" w:cs="Times New Roman"/>
                <w:sz w:val="20"/>
                <w:szCs w:val="20"/>
              </w:rPr>
            </w:pPr>
            <w:r w:rsidRPr="00AA7A53">
              <w:rPr>
                <w:rFonts w:ascii="Times New Roman" w:hAnsi="Times New Roman" w:cs="Times New Roman"/>
                <w:sz w:val="20"/>
                <w:szCs w:val="20"/>
              </w:rPr>
              <w:t>European Strategic Energy Technology Plan (SET Plan)</w:t>
            </w:r>
          </w:p>
          <w:p w14:paraId="61CCDE0D" w14:textId="77777777" w:rsidR="00614438" w:rsidRPr="00AA7A53" w:rsidRDefault="00614438" w:rsidP="00AA7A53">
            <w:pPr>
              <w:numPr>
                <w:ilvl w:val="0"/>
                <w:numId w:val="216"/>
              </w:numPr>
              <w:spacing w:after="0"/>
              <w:jc w:val="both"/>
              <w:rPr>
                <w:rFonts w:ascii="Times New Roman" w:hAnsi="Times New Roman" w:cs="Times New Roman"/>
                <w:sz w:val="20"/>
                <w:szCs w:val="20"/>
              </w:rPr>
            </w:pPr>
            <w:r w:rsidRPr="00AA7A53">
              <w:rPr>
                <w:rFonts w:ascii="Times New Roman" w:hAnsi="Times New Roman" w:cs="Times New Roman"/>
                <w:sz w:val="20"/>
                <w:szCs w:val="20"/>
              </w:rPr>
              <w:t>Research and Innovation Strategies for Smart Specialisation (RIS 3)</w:t>
            </w:r>
          </w:p>
        </w:tc>
      </w:tr>
      <w:tr w:rsidR="00614438" w:rsidRPr="00AA7A53" w14:paraId="27C52122"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51566445"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A519EFA"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284CDCF3"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3C46765"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5094DA6F"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98CC04B"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27B9F3A2"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000AE43F" w14:textId="77777777" w:rsidTr="00614438">
        <w:trPr>
          <w:trHeight w:val="515"/>
        </w:trPr>
        <w:tc>
          <w:tcPr>
            <w:tcW w:w="3271" w:type="dxa"/>
            <w:tcBorders>
              <w:top w:val="nil"/>
              <w:left w:val="single" w:sz="8" w:space="0" w:color="auto"/>
              <w:bottom w:val="single" w:sz="8" w:space="0" w:color="auto"/>
              <w:right w:val="single" w:sz="8" w:space="0" w:color="auto"/>
            </w:tcBorders>
            <w:shd w:val="clear" w:color="auto" w:fill="244062"/>
            <w:vAlign w:val="center"/>
            <w:hideMark/>
          </w:tcPr>
          <w:p w14:paraId="40BF437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217" w:type="dxa"/>
            <w:gridSpan w:val="3"/>
            <w:tcBorders>
              <w:top w:val="single" w:sz="8" w:space="0" w:color="auto"/>
              <w:left w:val="nil"/>
              <w:bottom w:val="single" w:sz="8" w:space="0" w:color="auto"/>
              <w:right w:val="single" w:sz="8" w:space="0" w:color="000000"/>
            </w:tcBorders>
            <w:vAlign w:val="center"/>
            <w:hideMark/>
          </w:tcPr>
          <w:p w14:paraId="048CFC4A" w14:textId="77777777" w:rsidR="00614438" w:rsidRPr="00AA7A53" w:rsidRDefault="00614438" w:rsidP="00AA7A53">
            <w:pPr>
              <w:numPr>
                <w:ilvl w:val="0"/>
                <w:numId w:val="216"/>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the Science Fund</w:t>
            </w:r>
          </w:p>
          <w:p w14:paraId="2FB7493F" w14:textId="77777777" w:rsidR="00614438" w:rsidRPr="00AA7A53" w:rsidRDefault="00614438" w:rsidP="00AA7A53">
            <w:pPr>
              <w:numPr>
                <w:ilvl w:val="0"/>
                <w:numId w:val="216"/>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Science and Research</w:t>
            </w:r>
          </w:p>
        </w:tc>
        <w:tc>
          <w:tcPr>
            <w:tcW w:w="1212" w:type="dxa"/>
            <w:vAlign w:val="center"/>
            <w:hideMark/>
          </w:tcPr>
          <w:p w14:paraId="2581CFB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78D04A9" w14:textId="77777777" w:rsidTr="00614438">
        <w:trPr>
          <w:trHeight w:val="315"/>
        </w:trPr>
        <w:tc>
          <w:tcPr>
            <w:tcW w:w="3271" w:type="dxa"/>
            <w:tcBorders>
              <w:top w:val="nil"/>
              <w:left w:val="single" w:sz="8" w:space="0" w:color="auto"/>
              <w:bottom w:val="single" w:sz="8" w:space="0" w:color="auto"/>
              <w:right w:val="single" w:sz="8" w:space="0" w:color="auto"/>
            </w:tcBorders>
            <w:shd w:val="clear" w:color="auto" w:fill="244062"/>
            <w:vAlign w:val="center"/>
            <w:hideMark/>
          </w:tcPr>
          <w:p w14:paraId="3CE2F7E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217" w:type="dxa"/>
            <w:gridSpan w:val="3"/>
            <w:tcBorders>
              <w:top w:val="single" w:sz="8" w:space="0" w:color="auto"/>
              <w:left w:val="nil"/>
              <w:bottom w:val="single" w:sz="8" w:space="0" w:color="auto"/>
              <w:right w:val="single" w:sz="8" w:space="0" w:color="000000"/>
            </w:tcBorders>
            <w:vAlign w:val="center"/>
            <w:hideMark/>
          </w:tcPr>
          <w:p w14:paraId="6A4D9A3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10.9 M€</w:t>
            </w:r>
          </w:p>
        </w:tc>
        <w:tc>
          <w:tcPr>
            <w:tcW w:w="1212" w:type="dxa"/>
            <w:vAlign w:val="center"/>
            <w:hideMark/>
          </w:tcPr>
          <w:p w14:paraId="3E22C93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476F4100" w14:textId="77777777" w:rsidTr="00614438">
        <w:trPr>
          <w:trHeight w:val="315"/>
        </w:trPr>
        <w:tc>
          <w:tcPr>
            <w:tcW w:w="3271" w:type="dxa"/>
            <w:tcBorders>
              <w:top w:val="nil"/>
              <w:left w:val="single" w:sz="8" w:space="0" w:color="auto"/>
              <w:bottom w:val="single" w:sz="8" w:space="0" w:color="auto"/>
              <w:right w:val="single" w:sz="8" w:space="0" w:color="auto"/>
            </w:tcBorders>
            <w:shd w:val="clear" w:color="auto" w:fill="244062"/>
            <w:vAlign w:val="center"/>
            <w:hideMark/>
          </w:tcPr>
          <w:p w14:paraId="57F8B98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217" w:type="dxa"/>
            <w:gridSpan w:val="3"/>
            <w:tcBorders>
              <w:top w:val="single" w:sz="8" w:space="0" w:color="auto"/>
              <w:left w:val="nil"/>
              <w:bottom w:val="single" w:sz="8" w:space="0" w:color="auto"/>
              <w:right w:val="single" w:sz="8" w:space="0" w:color="000000"/>
            </w:tcBorders>
            <w:vAlign w:val="center"/>
            <w:hideMark/>
          </w:tcPr>
          <w:p w14:paraId="2D08C38B" w14:textId="55ABA10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funds</w:t>
            </w:r>
            <w:r w:rsidR="00B21B70" w:rsidRPr="00AA7A53">
              <w:rPr>
                <w:rFonts w:ascii="Times New Roman" w:hAnsi="Times New Roman" w:cs="Times New Roman"/>
                <w:sz w:val="20"/>
                <w:szCs w:val="20"/>
                <w:lang w:val="en-GB"/>
              </w:rPr>
              <w:t xml:space="preserve">, own </w:t>
            </w:r>
            <w:r w:rsidRPr="00AA7A53">
              <w:rPr>
                <w:rFonts w:ascii="Times New Roman" w:hAnsi="Times New Roman" w:cs="Times New Roman"/>
                <w:sz w:val="20"/>
                <w:szCs w:val="20"/>
                <w:lang w:val="en-GB"/>
              </w:rPr>
              <w:t>and public funds</w:t>
            </w:r>
            <w:r w:rsidR="00B21B70" w:rsidRPr="00AA7A53">
              <w:rPr>
                <w:rFonts w:ascii="Times New Roman" w:hAnsi="Times New Roman" w:cs="Times New Roman"/>
                <w:sz w:val="20"/>
                <w:szCs w:val="20"/>
                <w:lang w:val="en-GB"/>
              </w:rPr>
              <w:t>, p</w:t>
            </w:r>
            <w:r w:rsidRPr="00AA7A53">
              <w:rPr>
                <w:rFonts w:ascii="Times New Roman" w:hAnsi="Times New Roman" w:cs="Times New Roman"/>
                <w:sz w:val="20"/>
                <w:szCs w:val="20"/>
                <w:lang w:val="en-GB"/>
              </w:rPr>
              <w:t>rogrammes for research and development</w:t>
            </w:r>
          </w:p>
        </w:tc>
        <w:tc>
          <w:tcPr>
            <w:tcW w:w="1212" w:type="dxa"/>
            <w:vAlign w:val="center"/>
            <w:hideMark/>
          </w:tcPr>
          <w:p w14:paraId="4442882F" w14:textId="77777777" w:rsidR="00614438" w:rsidRPr="00AA7A53" w:rsidRDefault="00614438" w:rsidP="00AA7A53">
            <w:pPr>
              <w:spacing w:after="0"/>
              <w:jc w:val="both"/>
              <w:rPr>
                <w:rFonts w:ascii="Times New Roman" w:hAnsi="Times New Roman" w:cs="Times New Roman"/>
                <w:sz w:val="20"/>
                <w:szCs w:val="20"/>
                <w:lang w:val="en-GB"/>
              </w:rPr>
            </w:pPr>
          </w:p>
        </w:tc>
      </w:tr>
    </w:tbl>
    <w:p w14:paraId="121D733F"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78"/>
        <w:gridCol w:w="1139"/>
        <w:gridCol w:w="933"/>
        <w:gridCol w:w="4138"/>
        <w:gridCol w:w="1212"/>
      </w:tblGrid>
      <w:tr w:rsidR="00614438" w:rsidRPr="00AA7A53" w14:paraId="0FDE528B" w14:textId="77777777" w:rsidTr="00614438">
        <w:trPr>
          <w:gridAfter w:val="1"/>
          <w:wAfter w:w="1212" w:type="dxa"/>
          <w:trHeight w:val="780"/>
        </w:trPr>
        <w:tc>
          <w:tcPr>
            <w:tcW w:w="3309"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0EDAEDF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052" w:type="dxa"/>
            <w:tcBorders>
              <w:top w:val="single" w:sz="8" w:space="0" w:color="auto"/>
              <w:left w:val="nil"/>
              <w:bottom w:val="single" w:sz="8" w:space="0" w:color="auto"/>
              <w:right w:val="single" w:sz="8" w:space="0" w:color="auto"/>
            </w:tcBorders>
            <w:shd w:val="clear" w:color="auto" w:fill="E7E6E6" w:themeFill="background2"/>
            <w:vAlign w:val="center"/>
            <w:hideMark/>
          </w:tcPr>
          <w:p w14:paraId="7FE8BBE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PM_RIC14</w:t>
            </w:r>
          </w:p>
        </w:tc>
        <w:tc>
          <w:tcPr>
            <w:tcW w:w="938" w:type="dxa"/>
            <w:tcBorders>
              <w:top w:val="single" w:sz="8" w:space="0" w:color="auto"/>
              <w:left w:val="nil"/>
              <w:bottom w:val="single" w:sz="8" w:space="0" w:color="auto"/>
              <w:right w:val="single" w:sz="8" w:space="0" w:color="auto"/>
            </w:tcBorders>
            <w:shd w:val="clear" w:color="auto" w:fill="244062"/>
            <w:vAlign w:val="center"/>
            <w:hideMark/>
          </w:tcPr>
          <w:p w14:paraId="1E7E7C1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89" w:type="dxa"/>
            <w:tcBorders>
              <w:top w:val="single" w:sz="8" w:space="0" w:color="auto"/>
              <w:left w:val="nil"/>
              <w:bottom w:val="single" w:sz="8" w:space="0" w:color="auto"/>
              <w:right w:val="single" w:sz="8" w:space="0" w:color="auto"/>
            </w:tcBorders>
            <w:shd w:val="clear" w:color="auto" w:fill="E7E6E6" w:themeFill="background2"/>
            <w:vAlign w:val="center"/>
            <w:hideMark/>
          </w:tcPr>
          <w:p w14:paraId="756A738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Development of innovative energy storage applications</w:t>
            </w:r>
          </w:p>
        </w:tc>
      </w:tr>
      <w:tr w:rsidR="00614438" w:rsidRPr="00AA7A53" w14:paraId="53B8A720" w14:textId="77777777" w:rsidTr="00614438">
        <w:trPr>
          <w:gridAfter w:val="1"/>
          <w:wAfter w:w="1212" w:type="dxa"/>
          <w:trHeight w:val="289"/>
        </w:trPr>
        <w:tc>
          <w:tcPr>
            <w:tcW w:w="3309" w:type="dxa"/>
            <w:tcBorders>
              <w:top w:val="nil"/>
              <w:left w:val="single" w:sz="8" w:space="0" w:color="auto"/>
              <w:bottom w:val="single" w:sz="8" w:space="0" w:color="auto"/>
              <w:right w:val="nil"/>
            </w:tcBorders>
            <w:shd w:val="clear" w:color="auto" w:fill="244062"/>
            <w:vAlign w:val="center"/>
            <w:hideMark/>
          </w:tcPr>
          <w:p w14:paraId="5F114BF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79" w:type="dxa"/>
            <w:gridSpan w:val="3"/>
            <w:tcBorders>
              <w:top w:val="single" w:sz="8" w:space="0" w:color="auto"/>
              <w:left w:val="nil"/>
              <w:bottom w:val="single" w:sz="8" w:space="0" w:color="auto"/>
              <w:right w:val="single" w:sz="8" w:space="0" w:color="000000"/>
            </w:tcBorders>
            <w:vAlign w:val="center"/>
            <w:hideMark/>
          </w:tcPr>
          <w:p w14:paraId="359C997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research and innovation, Development of low carbon technologies</w:t>
            </w:r>
          </w:p>
        </w:tc>
      </w:tr>
      <w:tr w:rsidR="00614438" w:rsidRPr="00AA7A53" w14:paraId="68E0CC15" w14:textId="77777777" w:rsidTr="00614438">
        <w:trPr>
          <w:gridAfter w:val="1"/>
          <w:wAfter w:w="1212" w:type="dxa"/>
          <w:trHeight w:val="315"/>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6DF04D3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79" w:type="dxa"/>
            <w:gridSpan w:val="3"/>
            <w:tcBorders>
              <w:top w:val="single" w:sz="8" w:space="0" w:color="auto"/>
              <w:left w:val="nil"/>
              <w:bottom w:val="single" w:sz="8" w:space="0" w:color="auto"/>
              <w:right w:val="single" w:sz="8" w:space="0" w:color="000000"/>
            </w:tcBorders>
            <w:vAlign w:val="center"/>
            <w:hideMark/>
          </w:tcPr>
          <w:p w14:paraId="36D01C7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 the level of technological readiness per technology (Qualitative objective)</w:t>
            </w:r>
          </w:p>
        </w:tc>
      </w:tr>
      <w:tr w:rsidR="00614438" w:rsidRPr="00AA7A53" w14:paraId="61EEEA66" w14:textId="77777777" w:rsidTr="00614438">
        <w:trPr>
          <w:gridAfter w:val="1"/>
          <w:wAfter w:w="1212" w:type="dxa"/>
          <w:trHeight w:val="1229"/>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13022D1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79" w:type="dxa"/>
            <w:gridSpan w:val="3"/>
            <w:tcBorders>
              <w:top w:val="single" w:sz="8" w:space="0" w:color="auto"/>
              <w:left w:val="nil"/>
              <w:bottom w:val="single" w:sz="8" w:space="0" w:color="auto"/>
              <w:right w:val="single" w:sz="8" w:space="0" w:color="000000"/>
            </w:tcBorders>
            <w:vAlign w:val="center"/>
            <w:hideMark/>
          </w:tcPr>
          <w:p w14:paraId="55881DD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PM_RIC14 will aim at developing new or improving existing storage technologies with higher efficiency, availability, durability, safety and at the lowest possible cost. Electrochemical energy storage technologies will be supported, which will mainly concern RES applications for utilization in non-interconnected electricity grid or in remote parts of the electricity network.</w:t>
            </w:r>
          </w:p>
        </w:tc>
      </w:tr>
      <w:tr w:rsidR="00614438" w:rsidRPr="00AA7A53" w14:paraId="1BEAEE1D" w14:textId="77777777" w:rsidTr="00614438">
        <w:trPr>
          <w:gridAfter w:val="1"/>
          <w:wAfter w:w="1212" w:type="dxa"/>
          <w:trHeight w:val="315"/>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25A3249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79" w:type="dxa"/>
            <w:gridSpan w:val="3"/>
            <w:tcBorders>
              <w:top w:val="single" w:sz="8" w:space="0" w:color="auto"/>
              <w:left w:val="nil"/>
              <w:bottom w:val="single" w:sz="8" w:space="0" w:color="auto"/>
              <w:right w:val="single" w:sz="8" w:space="0" w:color="000000"/>
            </w:tcBorders>
            <w:vAlign w:val="center"/>
            <w:hideMark/>
          </w:tcPr>
          <w:p w14:paraId="7EBFB761" w14:textId="1B20934A"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B21B70" w:rsidRPr="00AA7A53">
              <w:rPr>
                <w:rFonts w:ascii="Times New Roman" w:hAnsi="Times New Roman" w:cs="Times New Roman"/>
                <w:sz w:val="20"/>
                <w:szCs w:val="20"/>
                <w:lang w:val="en-GB"/>
              </w:rPr>
              <w:t>5</w:t>
            </w:r>
            <w:r w:rsidRPr="00AA7A53">
              <w:rPr>
                <w:rFonts w:ascii="Times New Roman" w:hAnsi="Times New Roman" w:cs="Times New Roman"/>
                <w:sz w:val="20"/>
                <w:szCs w:val="20"/>
                <w:lang w:val="en-GB"/>
              </w:rPr>
              <w:t>-2030</w:t>
            </w:r>
          </w:p>
        </w:tc>
      </w:tr>
      <w:tr w:rsidR="00614438" w:rsidRPr="00AA7A53" w14:paraId="09D0A747" w14:textId="77777777" w:rsidTr="00614438">
        <w:trPr>
          <w:gridAfter w:val="1"/>
          <w:wAfter w:w="1212" w:type="dxa"/>
          <w:trHeight w:val="315"/>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1EBD9B5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79" w:type="dxa"/>
            <w:gridSpan w:val="3"/>
            <w:tcBorders>
              <w:top w:val="single" w:sz="8" w:space="0" w:color="auto"/>
              <w:left w:val="nil"/>
              <w:bottom w:val="single" w:sz="8" w:space="0" w:color="auto"/>
              <w:right w:val="single" w:sz="8" w:space="0" w:color="000000"/>
            </w:tcBorders>
            <w:vAlign w:val="center"/>
            <w:hideMark/>
          </w:tcPr>
          <w:p w14:paraId="6AFD130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249C460D" w14:textId="77777777" w:rsidTr="00614438">
        <w:trPr>
          <w:gridAfter w:val="1"/>
          <w:wAfter w:w="1212" w:type="dxa"/>
          <w:trHeight w:val="315"/>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24AE024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79" w:type="dxa"/>
            <w:gridSpan w:val="3"/>
            <w:tcBorders>
              <w:top w:val="single" w:sz="8" w:space="0" w:color="auto"/>
              <w:left w:val="nil"/>
              <w:bottom w:val="single" w:sz="8" w:space="0" w:color="auto"/>
              <w:right w:val="single" w:sz="8" w:space="0" w:color="000000"/>
            </w:tcBorders>
            <w:vAlign w:val="center"/>
            <w:hideMark/>
          </w:tcPr>
          <w:p w14:paraId="4299E2B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Sustainable transport, smart energy system, CCUS</w:t>
            </w:r>
          </w:p>
        </w:tc>
      </w:tr>
      <w:tr w:rsidR="00614438" w:rsidRPr="00AA7A53" w14:paraId="3E6F67CF" w14:textId="77777777" w:rsidTr="00614438">
        <w:trPr>
          <w:gridAfter w:val="1"/>
          <w:wAfter w:w="1212" w:type="dxa"/>
          <w:trHeight w:val="315"/>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1A382EF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79" w:type="dxa"/>
            <w:gridSpan w:val="3"/>
            <w:tcBorders>
              <w:top w:val="single" w:sz="8" w:space="0" w:color="auto"/>
              <w:left w:val="nil"/>
              <w:bottom w:val="single" w:sz="8" w:space="0" w:color="auto"/>
              <w:right w:val="single" w:sz="8" w:space="0" w:color="000000"/>
            </w:tcBorders>
            <w:vAlign w:val="center"/>
            <w:hideMark/>
          </w:tcPr>
          <w:p w14:paraId="786DEC07" w14:textId="77777777" w:rsidR="00614438" w:rsidRPr="00AA7A53" w:rsidRDefault="00614438" w:rsidP="00AA7A53">
            <w:pPr>
              <w:numPr>
                <w:ilvl w:val="0"/>
                <w:numId w:val="21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2C04BAE3" w14:textId="736585DB" w:rsidR="00614438" w:rsidRPr="00AA7A53" w:rsidRDefault="001F2B5C" w:rsidP="00AA7A53">
            <w:pPr>
              <w:numPr>
                <w:ilvl w:val="0"/>
                <w:numId w:val="21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Science, Technological Development and Innovation</w:t>
            </w:r>
          </w:p>
          <w:p w14:paraId="4C825122" w14:textId="77777777" w:rsidR="00614438" w:rsidRPr="00AA7A53" w:rsidRDefault="00614438" w:rsidP="00AA7A53">
            <w:pPr>
              <w:numPr>
                <w:ilvl w:val="0"/>
                <w:numId w:val="21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tc>
      </w:tr>
      <w:tr w:rsidR="00614438" w:rsidRPr="00AA7A53" w14:paraId="796E7C22" w14:textId="77777777" w:rsidTr="00614438">
        <w:trPr>
          <w:gridAfter w:val="1"/>
          <w:wAfter w:w="1212" w:type="dxa"/>
          <w:trHeight w:val="315"/>
        </w:trPr>
        <w:tc>
          <w:tcPr>
            <w:tcW w:w="3309" w:type="dxa"/>
            <w:tcBorders>
              <w:top w:val="nil"/>
              <w:left w:val="single" w:sz="8" w:space="0" w:color="auto"/>
              <w:bottom w:val="single" w:sz="8" w:space="0" w:color="auto"/>
              <w:right w:val="nil"/>
            </w:tcBorders>
            <w:shd w:val="clear" w:color="auto" w:fill="244062"/>
            <w:vAlign w:val="center"/>
            <w:hideMark/>
          </w:tcPr>
          <w:p w14:paraId="52EE3D9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79" w:type="dxa"/>
            <w:gridSpan w:val="3"/>
            <w:tcBorders>
              <w:top w:val="single" w:sz="8" w:space="0" w:color="auto"/>
              <w:left w:val="nil"/>
              <w:bottom w:val="single" w:sz="8" w:space="0" w:color="auto"/>
              <w:right w:val="single" w:sz="8" w:space="0" w:color="000000"/>
            </w:tcBorders>
            <w:vAlign w:val="center"/>
            <w:hideMark/>
          </w:tcPr>
          <w:p w14:paraId="18BE08C7" w14:textId="10AFE51B" w:rsidR="00614438" w:rsidRPr="00AA7A53" w:rsidRDefault="001F2B5C" w:rsidP="00AA7A53">
            <w:pPr>
              <w:numPr>
                <w:ilvl w:val="0"/>
                <w:numId w:val="21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Science, Technological Development and Innovation</w:t>
            </w:r>
          </w:p>
          <w:p w14:paraId="4D6366E0" w14:textId="77777777" w:rsidR="00614438" w:rsidRPr="00AA7A53" w:rsidRDefault="00614438" w:rsidP="00AA7A53">
            <w:pPr>
              <w:numPr>
                <w:ilvl w:val="0"/>
                <w:numId w:val="217"/>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tc>
      </w:tr>
      <w:tr w:rsidR="00614438" w:rsidRPr="00AA7A53" w14:paraId="0100A975" w14:textId="77777777" w:rsidTr="00614438">
        <w:trPr>
          <w:gridAfter w:val="1"/>
          <w:wAfter w:w="1212" w:type="dxa"/>
          <w:trHeight w:val="315"/>
        </w:trPr>
        <w:tc>
          <w:tcPr>
            <w:tcW w:w="3309" w:type="dxa"/>
            <w:tcBorders>
              <w:top w:val="nil"/>
              <w:left w:val="single" w:sz="8" w:space="0" w:color="auto"/>
              <w:bottom w:val="single" w:sz="8" w:space="0" w:color="auto"/>
              <w:right w:val="nil"/>
            </w:tcBorders>
            <w:shd w:val="clear" w:color="auto" w:fill="244062"/>
            <w:vAlign w:val="center"/>
            <w:hideMark/>
          </w:tcPr>
          <w:p w14:paraId="1E9D1F9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79" w:type="dxa"/>
            <w:gridSpan w:val="3"/>
            <w:tcBorders>
              <w:top w:val="single" w:sz="8" w:space="0" w:color="auto"/>
              <w:left w:val="nil"/>
              <w:bottom w:val="single" w:sz="8" w:space="0" w:color="auto"/>
              <w:right w:val="single" w:sz="8" w:space="0" w:color="000000"/>
            </w:tcBorders>
            <w:vAlign w:val="center"/>
            <w:hideMark/>
          </w:tcPr>
          <w:p w14:paraId="0CD275D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Number of research projects development on energy storage applications on an annual basis</w:t>
            </w:r>
          </w:p>
        </w:tc>
      </w:tr>
      <w:tr w:rsidR="00614438" w:rsidRPr="00AA7A53" w14:paraId="0B6AEF04" w14:textId="77777777" w:rsidTr="00614438">
        <w:trPr>
          <w:gridAfter w:val="1"/>
          <w:wAfter w:w="1212" w:type="dxa"/>
          <w:trHeight w:val="455"/>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11719EE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79" w:type="dxa"/>
            <w:gridSpan w:val="3"/>
            <w:tcBorders>
              <w:top w:val="single" w:sz="8" w:space="0" w:color="auto"/>
              <w:left w:val="nil"/>
              <w:bottom w:val="single" w:sz="8" w:space="0" w:color="auto"/>
              <w:right w:val="single" w:sz="8" w:space="0" w:color="000000"/>
            </w:tcBorders>
            <w:vAlign w:val="center"/>
            <w:hideMark/>
          </w:tcPr>
          <w:p w14:paraId="4EE9127A" w14:textId="77777777" w:rsidR="00614438" w:rsidRPr="00AA7A53" w:rsidRDefault="00614438"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p w14:paraId="5E76B782" w14:textId="77777777" w:rsidR="00614438" w:rsidRPr="00AA7A53" w:rsidRDefault="00614438" w:rsidP="00AA7A53">
            <w:pPr>
              <w:numPr>
                <w:ilvl w:val="0"/>
                <w:numId w:val="209"/>
              </w:numPr>
              <w:spacing w:after="0"/>
              <w:jc w:val="both"/>
              <w:rPr>
                <w:rFonts w:ascii="Times New Roman" w:hAnsi="Times New Roman" w:cs="Times New Roman"/>
                <w:sz w:val="20"/>
                <w:szCs w:val="20"/>
              </w:rPr>
            </w:pPr>
            <w:r w:rsidRPr="00AA7A53">
              <w:rPr>
                <w:rFonts w:ascii="Times New Roman" w:hAnsi="Times New Roman" w:cs="Times New Roman"/>
                <w:sz w:val="20"/>
                <w:szCs w:val="20"/>
              </w:rPr>
              <w:t>Energy Security</w:t>
            </w:r>
          </w:p>
        </w:tc>
      </w:tr>
      <w:tr w:rsidR="00614438" w:rsidRPr="00AA7A53" w14:paraId="405A76F9" w14:textId="77777777" w:rsidTr="00614438">
        <w:trPr>
          <w:gridAfter w:val="1"/>
          <w:wAfter w:w="1212" w:type="dxa"/>
          <w:trHeight w:val="458"/>
        </w:trPr>
        <w:tc>
          <w:tcPr>
            <w:tcW w:w="3309" w:type="dxa"/>
            <w:vMerge w:val="restart"/>
            <w:tcBorders>
              <w:top w:val="nil"/>
              <w:left w:val="single" w:sz="8" w:space="0" w:color="auto"/>
              <w:bottom w:val="single" w:sz="8" w:space="0" w:color="000000"/>
              <w:right w:val="single" w:sz="8" w:space="0" w:color="auto"/>
            </w:tcBorders>
            <w:shd w:val="clear" w:color="auto" w:fill="244062"/>
            <w:vAlign w:val="center"/>
            <w:hideMark/>
          </w:tcPr>
          <w:p w14:paraId="2060187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79"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21964C11" w14:textId="77777777" w:rsidR="00614438" w:rsidRPr="00AA7A53" w:rsidRDefault="00614438" w:rsidP="00AA7A53">
            <w:pPr>
              <w:numPr>
                <w:ilvl w:val="0"/>
                <w:numId w:val="218"/>
              </w:numPr>
              <w:spacing w:after="0"/>
              <w:jc w:val="both"/>
              <w:rPr>
                <w:rFonts w:ascii="Times New Roman" w:hAnsi="Times New Roman" w:cs="Times New Roman"/>
                <w:sz w:val="20"/>
                <w:szCs w:val="20"/>
              </w:rPr>
            </w:pPr>
            <w:r w:rsidRPr="00AA7A53">
              <w:rPr>
                <w:rFonts w:ascii="Times New Roman" w:hAnsi="Times New Roman" w:cs="Times New Roman"/>
                <w:sz w:val="20"/>
                <w:szCs w:val="20"/>
              </w:rPr>
              <w:t>European Strategic Energy Technology Plan (SET Plan)</w:t>
            </w:r>
          </w:p>
          <w:p w14:paraId="1DF0F7AD" w14:textId="77777777" w:rsidR="00614438" w:rsidRPr="00AA7A53" w:rsidRDefault="00614438" w:rsidP="00AA7A53">
            <w:pPr>
              <w:numPr>
                <w:ilvl w:val="0"/>
                <w:numId w:val="218"/>
              </w:numPr>
              <w:spacing w:after="0"/>
              <w:jc w:val="both"/>
              <w:rPr>
                <w:rFonts w:ascii="Times New Roman" w:hAnsi="Times New Roman" w:cs="Times New Roman"/>
                <w:sz w:val="20"/>
                <w:szCs w:val="20"/>
              </w:rPr>
            </w:pPr>
            <w:r w:rsidRPr="00AA7A53">
              <w:rPr>
                <w:rFonts w:ascii="Times New Roman" w:hAnsi="Times New Roman" w:cs="Times New Roman"/>
                <w:sz w:val="20"/>
                <w:szCs w:val="20"/>
              </w:rPr>
              <w:t>Research and Innovation Strategies for Smart Specialisation (RIS 3)</w:t>
            </w:r>
          </w:p>
        </w:tc>
      </w:tr>
      <w:tr w:rsidR="00614438" w:rsidRPr="00AA7A53" w14:paraId="6E8DB19E"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6993011A"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79E29B2"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19B2770B"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CF4E0E9" w14:textId="77777777" w:rsidTr="00614438">
        <w:trPr>
          <w:trHeight w:val="60"/>
        </w:trPr>
        <w:tc>
          <w:tcPr>
            <w:tcW w:w="0" w:type="auto"/>
            <w:vMerge/>
            <w:tcBorders>
              <w:top w:val="nil"/>
              <w:left w:val="single" w:sz="8" w:space="0" w:color="auto"/>
              <w:bottom w:val="single" w:sz="8" w:space="0" w:color="000000"/>
              <w:right w:val="single" w:sz="8" w:space="0" w:color="auto"/>
            </w:tcBorders>
            <w:vAlign w:val="center"/>
            <w:hideMark/>
          </w:tcPr>
          <w:p w14:paraId="4CE3E552"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DE15C6B"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29A368B6"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2E680D9E" w14:textId="77777777" w:rsidTr="00614438">
        <w:trPr>
          <w:trHeight w:val="488"/>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59653FD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79" w:type="dxa"/>
            <w:gridSpan w:val="3"/>
            <w:tcBorders>
              <w:top w:val="single" w:sz="8" w:space="0" w:color="auto"/>
              <w:left w:val="nil"/>
              <w:bottom w:val="single" w:sz="8" w:space="0" w:color="auto"/>
              <w:right w:val="single" w:sz="8" w:space="0" w:color="000000"/>
            </w:tcBorders>
            <w:vAlign w:val="center"/>
            <w:hideMark/>
          </w:tcPr>
          <w:p w14:paraId="1C4EAB84" w14:textId="77777777" w:rsidR="00614438" w:rsidRPr="00AA7A53" w:rsidRDefault="00614438" w:rsidP="00AA7A53">
            <w:pPr>
              <w:numPr>
                <w:ilvl w:val="0"/>
                <w:numId w:val="218"/>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the Science Fund</w:t>
            </w:r>
          </w:p>
          <w:p w14:paraId="4BBF3B8C" w14:textId="77777777" w:rsidR="00614438" w:rsidRPr="00AA7A53" w:rsidRDefault="00614438" w:rsidP="00AA7A53">
            <w:pPr>
              <w:numPr>
                <w:ilvl w:val="0"/>
                <w:numId w:val="218"/>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Science and Research</w:t>
            </w:r>
          </w:p>
          <w:p w14:paraId="1116B854" w14:textId="7FE26B68" w:rsidR="00B21B70" w:rsidRPr="00AA7A53" w:rsidRDefault="00B21B70" w:rsidP="00AA7A53">
            <w:pPr>
              <w:numPr>
                <w:ilvl w:val="0"/>
                <w:numId w:val="218"/>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Innovation Activity</w:t>
            </w:r>
          </w:p>
        </w:tc>
        <w:tc>
          <w:tcPr>
            <w:tcW w:w="1212" w:type="dxa"/>
            <w:vAlign w:val="center"/>
            <w:hideMark/>
          </w:tcPr>
          <w:p w14:paraId="2FAA2C08"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6CFEFA9D" w14:textId="77777777" w:rsidTr="00614438">
        <w:trPr>
          <w:trHeight w:val="315"/>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68DF30A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79" w:type="dxa"/>
            <w:gridSpan w:val="3"/>
            <w:tcBorders>
              <w:top w:val="single" w:sz="8" w:space="0" w:color="auto"/>
              <w:left w:val="nil"/>
              <w:bottom w:val="single" w:sz="8" w:space="0" w:color="auto"/>
              <w:right w:val="single" w:sz="8" w:space="0" w:color="000000"/>
            </w:tcBorders>
            <w:vAlign w:val="center"/>
            <w:hideMark/>
          </w:tcPr>
          <w:p w14:paraId="555A50B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9 M€</w:t>
            </w:r>
          </w:p>
        </w:tc>
        <w:tc>
          <w:tcPr>
            <w:tcW w:w="1212" w:type="dxa"/>
            <w:vAlign w:val="center"/>
            <w:hideMark/>
          </w:tcPr>
          <w:p w14:paraId="04D7FC8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AAE9EF1" w14:textId="77777777" w:rsidTr="00614438">
        <w:trPr>
          <w:trHeight w:val="315"/>
        </w:trPr>
        <w:tc>
          <w:tcPr>
            <w:tcW w:w="3309" w:type="dxa"/>
            <w:tcBorders>
              <w:top w:val="nil"/>
              <w:left w:val="single" w:sz="8" w:space="0" w:color="auto"/>
              <w:bottom w:val="single" w:sz="8" w:space="0" w:color="auto"/>
              <w:right w:val="single" w:sz="8" w:space="0" w:color="auto"/>
            </w:tcBorders>
            <w:shd w:val="clear" w:color="auto" w:fill="244062"/>
            <w:vAlign w:val="center"/>
            <w:hideMark/>
          </w:tcPr>
          <w:p w14:paraId="0CE14EC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79" w:type="dxa"/>
            <w:gridSpan w:val="3"/>
            <w:tcBorders>
              <w:top w:val="single" w:sz="8" w:space="0" w:color="auto"/>
              <w:left w:val="nil"/>
              <w:bottom w:val="single" w:sz="8" w:space="0" w:color="auto"/>
              <w:right w:val="single" w:sz="8" w:space="0" w:color="000000"/>
            </w:tcBorders>
            <w:vAlign w:val="center"/>
            <w:hideMark/>
          </w:tcPr>
          <w:p w14:paraId="2E1D2F4C" w14:textId="52512B56"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funds</w:t>
            </w:r>
            <w:r w:rsidR="00B21B70" w:rsidRPr="00AA7A53">
              <w:rPr>
                <w:rFonts w:ascii="Times New Roman" w:hAnsi="Times New Roman" w:cs="Times New Roman"/>
                <w:sz w:val="20"/>
                <w:szCs w:val="20"/>
                <w:lang w:val="en-GB"/>
              </w:rPr>
              <w:t>, own</w:t>
            </w:r>
            <w:r w:rsidRPr="00AA7A53">
              <w:rPr>
                <w:rFonts w:ascii="Times New Roman" w:hAnsi="Times New Roman" w:cs="Times New Roman"/>
                <w:sz w:val="20"/>
                <w:szCs w:val="20"/>
                <w:lang w:val="en-GB"/>
              </w:rPr>
              <w:t xml:space="preserve"> and public funds</w:t>
            </w:r>
            <w:r w:rsidR="00B21B70" w:rsidRPr="00AA7A53">
              <w:rPr>
                <w:rFonts w:ascii="Times New Roman" w:hAnsi="Times New Roman" w:cs="Times New Roman"/>
                <w:sz w:val="20"/>
                <w:szCs w:val="20"/>
                <w:lang w:val="en-GB"/>
              </w:rPr>
              <w:t>, p</w:t>
            </w:r>
            <w:r w:rsidRPr="00AA7A53">
              <w:rPr>
                <w:rFonts w:ascii="Times New Roman" w:hAnsi="Times New Roman" w:cs="Times New Roman"/>
                <w:sz w:val="20"/>
                <w:szCs w:val="20"/>
                <w:lang w:val="en-GB"/>
              </w:rPr>
              <w:t>rogrammes for research and development</w:t>
            </w:r>
          </w:p>
        </w:tc>
        <w:tc>
          <w:tcPr>
            <w:tcW w:w="1212" w:type="dxa"/>
            <w:vAlign w:val="center"/>
            <w:hideMark/>
          </w:tcPr>
          <w:p w14:paraId="30AC3D0B" w14:textId="77777777" w:rsidR="00614438" w:rsidRPr="00AA7A53" w:rsidRDefault="00614438" w:rsidP="00AA7A53">
            <w:pPr>
              <w:spacing w:after="0"/>
              <w:jc w:val="both"/>
              <w:rPr>
                <w:rFonts w:ascii="Times New Roman" w:hAnsi="Times New Roman" w:cs="Times New Roman"/>
                <w:sz w:val="20"/>
                <w:szCs w:val="20"/>
                <w:lang w:val="en-GB"/>
              </w:rPr>
            </w:pPr>
          </w:p>
        </w:tc>
      </w:tr>
    </w:tbl>
    <w:p w14:paraId="78147C7B"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79"/>
        <w:gridCol w:w="1139"/>
        <w:gridCol w:w="933"/>
        <w:gridCol w:w="4137"/>
        <w:gridCol w:w="1212"/>
      </w:tblGrid>
      <w:tr w:rsidR="00614438" w:rsidRPr="00AA7A53" w14:paraId="3BD6A0F6" w14:textId="77777777" w:rsidTr="00614438">
        <w:trPr>
          <w:gridAfter w:val="1"/>
          <w:wAfter w:w="1212" w:type="dxa"/>
          <w:trHeight w:val="780"/>
        </w:trPr>
        <w:tc>
          <w:tcPr>
            <w:tcW w:w="3310"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44F8815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052" w:type="dxa"/>
            <w:tcBorders>
              <w:top w:val="single" w:sz="8" w:space="0" w:color="auto"/>
              <w:left w:val="nil"/>
              <w:bottom w:val="single" w:sz="8" w:space="0" w:color="auto"/>
              <w:right w:val="single" w:sz="8" w:space="0" w:color="auto"/>
            </w:tcBorders>
            <w:shd w:val="clear" w:color="auto" w:fill="E7E6E6" w:themeFill="background2"/>
            <w:vAlign w:val="center"/>
            <w:hideMark/>
          </w:tcPr>
          <w:p w14:paraId="0C865D1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PM_RIC15</w:t>
            </w:r>
          </w:p>
        </w:tc>
        <w:tc>
          <w:tcPr>
            <w:tcW w:w="938" w:type="dxa"/>
            <w:tcBorders>
              <w:top w:val="single" w:sz="8" w:space="0" w:color="auto"/>
              <w:left w:val="nil"/>
              <w:bottom w:val="single" w:sz="8" w:space="0" w:color="auto"/>
              <w:right w:val="single" w:sz="8" w:space="0" w:color="auto"/>
            </w:tcBorders>
            <w:shd w:val="clear" w:color="auto" w:fill="244062"/>
            <w:vAlign w:val="center"/>
            <w:hideMark/>
          </w:tcPr>
          <w:p w14:paraId="19AE129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88" w:type="dxa"/>
            <w:tcBorders>
              <w:top w:val="single" w:sz="8" w:space="0" w:color="auto"/>
              <w:left w:val="nil"/>
              <w:bottom w:val="single" w:sz="8" w:space="0" w:color="auto"/>
              <w:right w:val="single" w:sz="8" w:space="0" w:color="auto"/>
            </w:tcBorders>
            <w:shd w:val="clear" w:color="auto" w:fill="E7E6E6" w:themeFill="background2"/>
            <w:vAlign w:val="center"/>
            <w:hideMark/>
          </w:tcPr>
          <w:p w14:paraId="460B555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Promote the inter-sectoral and geographical mobility of researchers </w:t>
            </w:r>
          </w:p>
        </w:tc>
      </w:tr>
      <w:tr w:rsidR="00614438" w:rsidRPr="00AA7A53" w14:paraId="2F172692" w14:textId="77777777" w:rsidTr="00614438">
        <w:trPr>
          <w:gridAfter w:val="1"/>
          <w:wAfter w:w="1212" w:type="dxa"/>
          <w:trHeight w:val="327"/>
        </w:trPr>
        <w:tc>
          <w:tcPr>
            <w:tcW w:w="3310" w:type="dxa"/>
            <w:tcBorders>
              <w:top w:val="nil"/>
              <w:left w:val="single" w:sz="8" w:space="0" w:color="auto"/>
              <w:bottom w:val="single" w:sz="8" w:space="0" w:color="auto"/>
              <w:right w:val="nil"/>
            </w:tcBorders>
            <w:shd w:val="clear" w:color="auto" w:fill="244062"/>
            <w:vAlign w:val="center"/>
            <w:hideMark/>
          </w:tcPr>
          <w:p w14:paraId="33E9BE7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 xml:space="preserve">Main objective: </w:t>
            </w:r>
          </w:p>
        </w:tc>
        <w:tc>
          <w:tcPr>
            <w:tcW w:w="6178" w:type="dxa"/>
            <w:gridSpan w:val="3"/>
            <w:tcBorders>
              <w:top w:val="single" w:sz="8" w:space="0" w:color="auto"/>
              <w:left w:val="nil"/>
              <w:bottom w:val="single" w:sz="8" w:space="0" w:color="auto"/>
              <w:right w:val="single" w:sz="8" w:space="0" w:color="000000"/>
            </w:tcBorders>
            <w:vAlign w:val="center"/>
            <w:hideMark/>
          </w:tcPr>
          <w:p w14:paraId="293D489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Research and Innovation</w:t>
            </w:r>
          </w:p>
        </w:tc>
      </w:tr>
      <w:tr w:rsidR="00614438" w:rsidRPr="00AA7A53" w14:paraId="0E16DDF3" w14:textId="77777777" w:rsidTr="00614438">
        <w:trPr>
          <w:gridAfter w:val="1"/>
          <w:wAfter w:w="1212" w:type="dxa"/>
          <w:trHeight w:val="551"/>
        </w:trPr>
        <w:tc>
          <w:tcPr>
            <w:tcW w:w="3310" w:type="dxa"/>
            <w:tcBorders>
              <w:top w:val="nil"/>
              <w:left w:val="single" w:sz="8" w:space="0" w:color="auto"/>
              <w:bottom w:val="single" w:sz="8" w:space="0" w:color="auto"/>
              <w:right w:val="single" w:sz="8" w:space="0" w:color="auto"/>
            </w:tcBorders>
            <w:shd w:val="clear" w:color="auto" w:fill="244062"/>
            <w:vAlign w:val="center"/>
            <w:hideMark/>
          </w:tcPr>
          <w:p w14:paraId="262F74B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78" w:type="dxa"/>
            <w:gridSpan w:val="3"/>
            <w:tcBorders>
              <w:top w:val="single" w:sz="8" w:space="0" w:color="auto"/>
              <w:left w:val="nil"/>
              <w:bottom w:val="single" w:sz="8" w:space="0" w:color="auto"/>
              <w:right w:val="single" w:sz="8" w:space="0" w:color="000000"/>
            </w:tcBorders>
            <w:vAlign w:val="center"/>
            <w:hideMark/>
          </w:tcPr>
          <w:p w14:paraId="059DB43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 the level of technological readiness in the field of energy (Qualitative objective)</w:t>
            </w:r>
          </w:p>
        </w:tc>
      </w:tr>
      <w:tr w:rsidR="00614438" w:rsidRPr="00AA7A53" w14:paraId="365C9B79" w14:textId="77777777" w:rsidTr="00614438">
        <w:trPr>
          <w:gridAfter w:val="1"/>
          <w:wAfter w:w="1212" w:type="dxa"/>
          <w:trHeight w:val="918"/>
        </w:trPr>
        <w:tc>
          <w:tcPr>
            <w:tcW w:w="3310" w:type="dxa"/>
            <w:tcBorders>
              <w:top w:val="nil"/>
              <w:left w:val="single" w:sz="8" w:space="0" w:color="auto"/>
              <w:bottom w:val="single" w:sz="8" w:space="0" w:color="auto"/>
              <w:right w:val="single" w:sz="8" w:space="0" w:color="auto"/>
            </w:tcBorders>
            <w:shd w:val="clear" w:color="auto" w:fill="244062"/>
            <w:vAlign w:val="center"/>
            <w:hideMark/>
          </w:tcPr>
          <w:p w14:paraId="1E4D697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78" w:type="dxa"/>
            <w:gridSpan w:val="3"/>
            <w:tcBorders>
              <w:top w:val="single" w:sz="8" w:space="0" w:color="auto"/>
              <w:left w:val="nil"/>
              <w:bottom w:val="single" w:sz="8" w:space="0" w:color="auto"/>
              <w:right w:val="single" w:sz="8" w:space="0" w:color="000000"/>
            </w:tcBorders>
            <w:vAlign w:val="center"/>
            <w:hideMark/>
          </w:tcPr>
          <w:p w14:paraId="1AD3472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PM_RIC15 will facilitate the knowledge and experience transfer among researchers from industry and academia, as well as the incoming and outgoing mobility needed to build internal capacities. For instance, at highest educational level, industrial doctorates can be promoted as a tool to support industry driven science.</w:t>
            </w:r>
          </w:p>
        </w:tc>
      </w:tr>
      <w:tr w:rsidR="00614438" w:rsidRPr="00AA7A53" w14:paraId="49093A50" w14:textId="77777777" w:rsidTr="00614438">
        <w:trPr>
          <w:gridAfter w:val="1"/>
          <w:wAfter w:w="1212" w:type="dxa"/>
          <w:trHeight w:val="315"/>
        </w:trPr>
        <w:tc>
          <w:tcPr>
            <w:tcW w:w="3310" w:type="dxa"/>
            <w:tcBorders>
              <w:top w:val="nil"/>
              <w:left w:val="single" w:sz="8" w:space="0" w:color="auto"/>
              <w:bottom w:val="single" w:sz="8" w:space="0" w:color="auto"/>
              <w:right w:val="single" w:sz="8" w:space="0" w:color="auto"/>
            </w:tcBorders>
            <w:shd w:val="clear" w:color="auto" w:fill="244062"/>
            <w:vAlign w:val="center"/>
            <w:hideMark/>
          </w:tcPr>
          <w:p w14:paraId="19C54CA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78" w:type="dxa"/>
            <w:gridSpan w:val="3"/>
            <w:tcBorders>
              <w:top w:val="single" w:sz="8" w:space="0" w:color="auto"/>
              <w:left w:val="nil"/>
              <w:bottom w:val="single" w:sz="8" w:space="0" w:color="auto"/>
              <w:right w:val="single" w:sz="8" w:space="0" w:color="000000"/>
            </w:tcBorders>
            <w:vAlign w:val="center"/>
            <w:hideMark/>
          </w:tcPr>
          <w:p w14:paraId="411B228C" w14:textId="69EE57EB"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B21B70" w:rsidRPr="00AA7A53">
              <w:rPr>
                <w:rFonts w:ascii="Times New Roman" w:hAnsi="Times New Roman" w:cs="Times New Roman"/>
                <w:sz w:val="20"/>
                <w:szCs w:val="20"/>
                <w:lang w:val="en-GB"/>
              </w:rPr>
              <w:t>5</w:t>
            </w:r>
            <w:r w:rsidRPr="00AA7A53">
              <w:rPr>
                <w:rFonts w:ascii="Times New Roman" w:hAnsi="Times New Roman" w:cs="Times New Roman"/>
                <w:sz w:val="20"/>
                <w:szCs w:val="20"/>
                <w:lang w:val="en-GB"/>
              </w:rPr>
              <w:t>-2030</w:t>
            </w:r>
          </w:p>
        </w:tc>
      </w:tr>
      <w:tr w:rsidR="00614438" w:rsidRPr="00AA7A53" w14:paraId="50948C87" w14:textId="77777777" w:rsidTr="00614438">
        <w:trPr>
          <w:gridAfter w:val="1"/>
          <w:wAfter w:w="1212" w:type="dxa"/>
          <w:trHeight w:val="315"/>
        </w:trPr>
        <w:tc>
          <w:tcPr>
            <w:tcW w:w="3310" w:type="dxa"/>
            <w:tcBorders>
              <w:top w:val="nil"/>
              <w:left w:val="single" w:sz="8" w:space="0" w:color="auto"/>
              <w:bottom w:val="single" w:sz="8" w:space="0" w:color="auto"/>
              <w:right w:val="single" w:sz="8" w:space="0" w:color="auto"/>
            </w:tcBorders>
            <w:shd w:val="clear" w:color="auto" w:fill="244062"/>
            <w:vAlign w:val="center"/>
            <w:hideMark/>
          </w:tcPr>
          <w:p w14:paraId="020EE6A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78" w:type="dxa"/>
            <w:gridSpan w:val="3"/>
            <w:tcBorders>
              <w:top w:val="single" w:sz="8" w:space="0" w:color="auto"/>
              <w:left w:val="nil"/>
              <w:bottom w:val="single" w:sz="8" w:space="0" w:color="auto"/>
              <w:right w:val="single" w:sz="8" w:space="0" w:color="000000"/>
            </w:tcBorders>
            <w:vAlign w:val="center"/>
            <w:hideMark/>
          </w:tcPr>
          <w:p w14:paraId="10B37B7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6EAA5C19" w14:textId="77777777" w:rsidTr="00614438">
        <w:trPr>
          <w:gridAfter w:val="1"/>
          <w:wAfter w:w="1212" w:type="dxa"/>
          <w:trHeight w:val="315"/>
        </w:trPr>
        <w:tc>
          <w:tcPr>
            <w:tcW w:w="3310" w:type="dxa"/>
            <w:tcBorders>
              <w:top w:val="nil"/>
              <w:left w:val="single" w:sz="8" w:space="0" w:color="auto"/>
              <w:bottom w:val="single" w:sz="8" w:space="0" w:color="auto"/>
              <w:right w:val="single" w:sz="8" w:space="0" w:color="auto"/>
            </w:tcBorders>
            <w:shd w:val="clear" w:color="auto" w:fill="244062"/>
            <w:vAlign w:val="center"/>
            <w:hideMark/>
          </w:tcPr>
          <w:p w14:paraId="6DDFF10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78" w:type="dxa"/>
            <w:gridSpan w:val="3"/>
            <w:tcBorders>
              <w:top w:val="single" w:sz="8" w:space="0" w:color="auto"/>
              <w:left w:val="nil"/>
              <w:bottom w:val="single" w:sz="8" w:space="0" w:color="auto"/>
              <w:right w:val="single" w:sz="8" w:space="0" w:color="000000"/>
            </w:tcBorders>
            <w:vAlign w:val="center"/>
            <w:hideMark/>
          </w:tcPr>
          <w:p w14:paraId="432E9F8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INECP subject fields</w:t>
            </w:r>
          </w:p>
        </w:tc>
      </w:tr>
      <w:tr w:rsidR="00614438" w:rsidRPr="00AA7A53" w14:paraId="55AD6CE4" w14:textId="77777777" w:rsidTr="00614438">
        <w:trPr>
          <w:gridAfter w:val="1"/>
          <w:wAfter w:w="1212" w:type="dxa"/>
          <w:trHeight w:val="315"/>
        </w:trPr>
        <w:tc>
          <w:tcPr>
            <w:tcW w:w="3310" w:type="dxa"/>
            <w:tcBorders>
              <w:top w:val="nil"/>
              <w:left w:val="single" w:sz="8" w:space="0" w:color="auto"/>
              <w:bottom w:val="single" w:sz="8" w:space="0" w:color="auto"/>
              <w:right w:val="single" w:sz="8" w:space="0" w:color="auto"/>
            </w:tcBorders>
            <w:shd w:val="clear" w:color="auto" w:fill="244062"/>
            <w:vAlign w:val="center"/>
            <w:hideMark/>
          </w:tcPr>
          <w:p w14:paraId="189C206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78" w:type="dxa"/>
            <w:gridSpan w:val="3"/>
            <w:tcBorders>
              <w:top w:val="single" w:sz="8" w:space="0" w:color="auto"/>
              <w:left w:val="nil"/>
              <w:bottom w:val="single" w:sz="8" w:space="0" w:color="auto"/>
              <w:right w:val="single" w:sz="8" w:space="0" w:color="000000"/>
            </w:tcBorders>
            <w:vAlign w:val="center"/>
            <w:hideMark/>
          </w:tcPr>
          <w:p w14:paraId="38949418" w14:textId="77777777" w:rsidR="00614438" w:rsidRPr="00AA7A53" w:rsidRDefault="00614438" w:rsidP="00AA7A53">
            <w:pPr>
              <w:numPr>
                <w:ilvl w:val="0"/>
                <w:numId w:val="219"/>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370233C9" w14:textId="2FD78A00" w:rsidR="00614438" w:rsidRPr="00AA7A53" w:rsidRDefault="00614438" w:rsidP="00AA7A53">
            <w:pPr>
              <w:numPr>
                <w:ilvl w:val="0"/>
                <w:numId w:val="219"/>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w:t>
            </w:r>
            <w:r w:rsidR="00B21B70" w:rsidRPr="00AA7A53">
              <w:rPr>
                <w:rFonts w:ascii="Times New Roman" w:hAnsi="Times New Roman" w:cs="Times New Roman"/>
                <w:sz w:val="20"/>
                <w:szCs w:val="20"/>
              </w:rPr>
              <w:t xml:space="preserve"> </w:t>
            </w:r>
            <w:r w:rsidRPr="00AA7A53">
              <w:rPr>
                <w:rFonts w:ascii="Times New Roman" w:hAnsi="Times New Roman" w:cs="Times New Roman"/>
                <w:sz w:val="20"/>
                <w:szCs w:val="20"/>
              </w:rPr>
              <w:t>Science</w:t>
            </w:r>
            <w:r w:rsidR="00B21B70" w:rsidRPr="00AA7A53">
              <w:rPr>
                <w:rFonts w:ascii="Times New Roman" w:hAnsi="Times New Roman" w:cs="Times New Roman"/>
                <w:sz w:val="20"/>
                <w:szCs w:val="20"/>
              </w:rPr>
              <w:t xml:space="preserve">, </w:t>
            </w:r>
            <w:r w:rsidRPr="00AA7A53">
              <w:rPr>
                <w:rFonts w:ascii="Times New Roman" w:hAnsi="Times New Roman" w:cs="Times New Roman"/>
                <w:sz w:val="20"/>
                <w:szCs w:val="20"/>
              </w:rPr>
              <w:t>Technological Development</w:t>
            </w:r>
            <w:r w:rsidR="00B21B70" w:rsidRPr="00AA7A53">
              <w:rPr>
                <w:rFonts w:ascii="Times New Roman" w:hAnsi="Times New Roman" w:cs="Times New Roman"/>
                <w:sz w:val="20"/>
                <w:szCs w:val="20"/>
              </w:rPr>
              <w:t xml:space="preserve"> and Innovation</w:t>
            </w:r>
          </w:p>
          <w:p w14:paraId="128DF751" w14:textId="6B55A036" w:rsidR="00B21B70" w:rsidRPr="00AA7A53" w:rsidRDefault="00B21B70" w:rsidP="00AA7A53">
            <w:pPr>
              <w:numPr>
                <w:ilvl w:val="0"/>
                <w:numId w:val="219"/>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Education</w:t>
            </w:r>
          </w:p>
          <w:p w14:paraId="6A898267" w14:textId="77777777" w:rsidR="00614438" w:rsidRPr="00AA7A53" w:rsidRDefault="00614438" w:rsidP="00AA7A53">
            <w:pPr>
              <w:numPr>
                <w:ilvl w:val="0"/>
                <w:numId w:val="219"/>
              </w:numPr>
              <w:spacing w:after="0"/>
              <w:jc w:val="both"/>
              <w:rPr>
                <w:rFonts w:ascii="Times New Roman" w:hAnsi="Times New Roman" w:cs="Times New Roman"/>
                <w:sz w:val="20"/>
                <w:szCs w:val="20"/>
              </w:rPr>
            </w:pPr>
            <w:r w:rsidRPr="00AA7A53">
              <w:rPr>
                <w:rFonts w:ascii="Times New Roman" w:hAnsi="Times New Roman" w:cs="Times New Roman"/>
                <w:sz w:val="20"/>
                <w:szCs w:val="20"/>
              </w:rPr>
              <w:t>Chamber of Commerce and Industry of Serbia</w:t>
            </w:r>
          </w:p>
          <w:p w14:paraId="385CA833" w14:textId="77777777" w:rsidR="00614438" w:rsidRPr="00AA7A53" w:rsidRDefault="00614438" w:rsidP="00AA7A53">
            <w:pPr>
              <w:numPr>
                <w:ilvl w:val="0"/>
                <w:numId w:val="219"/>
              </w:numPr>
              <w:spacing w:after="0"/>
              <w:jc w:val="both"/>
              <w:rPr>
                <w:rFonts w:ascii="Times New Roman" w:hAnsi="Times New Roman" w:cs="Times New Roman"/>
                <w:sz w:val="20"/>
                <w:szCs w:val="20"/>
              </w:rPr>
            </w:pPr>
            <w:r w:rsidRPr="00AA7A53">
              <w:rPr>
                <w:rFonts w:ascii="Times New Roman" w:hAnsi="Times New Roman" w:cs="Times New Roman"/>
                <w:sz w:val="20"/>
                <w:szCs w:val="20"/>
              </w:rPr>
              <w:t>Center for Promotion of Science</w:t>
            </w:r>
          </w:p>
        </w:tc>
      </w:tr>
      <w:tr w:rsidR="00614438" w:rsidRPr="00AA7A53" w14:paraId="59A9C692" w14:textId="77777777" w:rsidTr="00614438">
        <w:trPr>
          <w:gridAfter w:val="1"/>
          <w:wAfter w:w="1212" w:type="dxa"/>
          <w:trHeight w:val="315"/>
        </w:trPr>
        <w:tc>
          <w:tcPr>
            <w:tcW w:w="3310" w:type="dxa"/>
            <w:tcBorders>
              <w:top w:val="nil"/>
              <w:left w:val="single" w:sz="8" w:space="0" w:color="auto"/>
              <w:bottom w:val="single" w:sz="8" w:space="0" w:color="auto"/>
              <w:right w:val="nil"/>
            </w:tcBorders>
            <w:shd w:val="clear" w:color="auto" w:fill="244062"/>
            <w:vAlign w:val="center"/>
            <w:hideMark/>
          </w:tcPr>
          <w:p w14:paraId="793741C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78" w:type="dxa"/>
            <w:gridSpan w:val="3"/>
            <w:tcBorders>
              <w:top w:val="single" w:sz="8" w:space="0" w:color="auto"/>
              <w:left w:val="nil"/>
              <w:bottom w:val="single" w:sz="8" w:space="0" w:color="auto"/>
              <w:right w:val="single" w:sz="8" w:space="0" w:color="000000"/>
            </w:tcBorders>
            <w:vAlign w:val="center"/>
            <w:hideMark/>
          </w:tcPr>
          <w:p w14:paraId="57E3CFDA" w14:textId="262D6B66" w:rsidR="00614438" w:rsidRPr="00AA7A53" w:rsidRDefault="00614438" w:rsidP="00AA7A53">
            <w:pPr>
              <w:numPr>
                <w:ilvl w:val="0"/>
                <w:numId w:val="219"/>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w:t>
            </w:r>
            <w:r w:rsidR="00B21B70" w:rsidRPr="00AA7A53">
              <w:rPr>
                <w:rFonts w:ascii="Times New Roman" w:hAnsi="Times New Roman" w:cs="Times New Roman"/>
                <w:sz w:val="20"/>
                <w:szCs w:val="20"/>
              </w:rPr>
              <w:t xml:space="preserve"> </w:t>
            </w:r>
            <w:r w:rsidRPr="00AA7A53">
              <w:rPr>
                <w:rFonts w:ascii="Times New Roman" w:hAnsi="Times New Roman" w:cs="Times New Roman"/>
                <w:sz w:val="20"/>
                <w:szCs w:val="20"/>
              </w:rPr>
              <w:t>Science</w:t>
            </w:r>
            <w:r w:rsidR="00B21B70" w:rsidRPr="00AA7A53">
              <w:rPr>
                <w:rFonts w:ascii="Times New Roman" w:hAnsi="Times New Roman" w:cs="Times New Roman"/>
                <w:sz w:val="20"/>
                <w:szCs w:val="20"/>
              </w:rPr>
              <w:t>,</w:t>
            </w:r>
            <w:r w:rsidRPr="00AA7A53">
              <w:rPr>
                <w:rFonts w:ascii="Times New Roman" w:hAnsi="Times New Roman" w:cs="Times New Roman"/>
                <w:sz w:val="20"/>
                <w:szCs w:val="20"/>
              </w:rPr>
              <w:t xml:space="preserve"> Technological Development</w:t>
            </w:r>
            <w:r w:rsidR="00B21B70" w:rsidRPr="00AA7A53">
              <w:rPr>
                <w:rFonts w:ascii="Times New Roman" w:hAnsi="Times New Roman" w:cs="Times New Roman"/>
                <w:sz w:val="20"/>
                <w:szCs w:val="20"/>
              </w:rPr>
              <w:t xml:space="preserve"> and Innovation</w:t>
            </w:r>
          </w:p>
        </w:tc>
      </w:tr>
      <w:tr w:rsidR="00614438" w:rsidRPr="00AA7A53" w14:paraId="4984A31D" w14:textId="77777777" w:rsidTr="00614438">
        <w:trPr>
          <w:gridAfter w:val="1"/>
          <w:wAfter w:w="1212" w:type="dxa"/>
          <w:trHeight w:val="315"/>
        </w:trPr>
        <w:tc>
          <w:tcPr>
            <w:tcW w:w="3310" w:type="dxa"/>
            <w:tcBorders>
              <w:top w:val="nil"/>
              <w:left w:val="single" w:sz="8" w:space="0" w:color="auto"/>
              <w:bottom w:val="single" w:sz="8" w:space="0" w:color="auto"/>
              <w:right w:val="nil"/>
            </w:tcBorders>
            <w:shd w:val="clear" w:color="auto" w:fill="244062"/>
            <w:vAlign w:val="center"/>
            <w:hideMark/>
          </w:tcPr>
          <w:p w14:paraId="6133A9D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78" w:type="dxa"/>
            <w:gridSpan w:val="3"/>
            <w:tcBorders>
              <w:top w:val="single" w:sz="8" w:space="0" w:color="auto"/>
              <w:left w:val="nil"/>
              <w:bottom w:val="single" w:sz="8" w:space="0" w:color="auto"/>
              <w:right w:val="single" w:sz="8" w:space="0" w:color="000000"/>
            </w:tcBorders>
            <w:vAlign w:val="center"/>
            <w:hideMark/>
          </w:tcPr>
          <w:p w14:paraId="1607EFB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Number of industrial doctorates on an annual basis</w:t>
            </w:r>
          </w:p>
        </w:tc>
      </w:tr>
      <w:tr w:rsidR="00614438" w:rsidRPr="00AA7A53" w14:paraId="6153EF17" w14:textId="77777777" w:rsidTr="00614438">
        <w:trPr>
          <w:gridAfter w:val="1"/>
          <w:wAfter w:w="1212" w:type="dxa"/>
          <w:trHeight w:val="425"/>
        </w:trPr>
        <w:tc>
          <w:tcPr>
            <w:tcW w:w="3310" w:type="dxa"/>
            <w:tcBorders>
              <w:top w:val="nil"/>
              <w:left w:val="single" w:sz="8" w:space="0" w:color="auto"/>
              <w:bottom w:val="single" w:sz="8" w:space="0" w:color="auto"/>
              <w:right w:val="single" w:sz="8" w:space="0" w:color="auto"/>
            </w:tcBorders>
            <w:shd w:val="clear" w:color="auto" w:fill="244062"/>
            <w:vAlign w:val="center"/>
            <w:hideMark/>
          </w:tcPr>
          <w:p w14:paraId="007262A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78" w:type="dxa"/>
            <w:gridSpan w:val="3"/>
            <w:tcBorders>
              <w:top w:val="single" w:sz="8" w:space="0" w:color="auto"/>
              <w:left w:val="nil"/>
              <w:bottom w:val="single" w:sz="8" w:space="0" w:color="auto"/>
              <w:right w:val="single" w:sz="8" w:space="0" w:color="000000"/>
            </w:tcBorders>
            <w:vAlign w:val="center"/>
            <w:hideMark/>
          </w:tcPr>
          <w:p w14:paraId="3F3EA530" w14:textId="77777777" w:rsidR="00614438" w:rsidRPr="00AA7A53" w:rsidRDefault="00614438" w:rsidP="00AA7A53">
            <w:pPr>
              <w:numPr>
                <w:ilvl w:val="0"/>
                <w:numId w:val="220"/>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tc>
      </w:tr>
      <w:tr w:rsidR="00614438" w:rsidRPr="00AA7A53" w14:paraId="400BC6B9" w14:textId="77777777" w:rsidTr="00614438">
        <w:trPr>
          <w:gridAfter w:val="1"/>
          <w:wAfter w:w="1212" w:type="dxa"/>
          <w:trHeight w:val="458"/>
        </w:trPr>
        <w:tc>
          <w:tcPr>
            <w:tcW w:w="3310" w:type="dxa"/>
            <w:vMerge w:val="restart"/>
            <w:tcBorders>
              <w:top w:val="nil"/>
              <w:left w:val="single" w:sz="8" w:space="0" w:color="auto"/>
              <w:bottom w:val="single" w:sz="8" w:space="0" w:color="000000"/>
              <w:right w:val="single" w:sz="8" w:space="0" w:color="auto"/>
            </w:tcBorders>
            <w:shd w:val="clear" w:color="auto" w:fill="244062"/>
            <w:vAlign w:val="center"/>
            <w:hideMark/>
          </w:tcPr>
          <w:p w14:paraId="6C0823B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78"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0F4E0B14" w14:textId="77777777" w:rsidR="00614438" w:rsidRPr="00AA7A53" w:rsidRDefault="00614438" w:rsidP="00AA7A53">
            <w:pPr>
              <w:numPr>
                <w:ilvl w:val="0"/>
                <w:numId w:val="221"/>
              </w:numPr>
              <w:spacing w:after="0"/>
              <w:jc w:val="both"/>
              <w:rPr>
                <w:rFonts w:ascii="Times New Roman" w:hAnsi="Times New Roman" w:cs="Times New Roman"/>
                <w:sz w:val="20"/>
                <w:szCs w:val="20"/>
              </w:rPr>
            </w:pPr>
            <w:r w:rsidRPr="00AA7A53">
              <w:rPr>
                <w:rFonts w:ascii="Times New Roman" w:hAnsi="Times New Roman" w:cs="Times New Roman"/>
                <w:sz w:val="20"/>
                <w:szCs w:val="20"/>
              </w:rPr>
              <w:t>European legislation</w:t>
            </w:r>
          </w:p>
        </w:tc>
      </w:tr>
      <w:tr w:rsidR="00614438" w:rsidRPr="00AA7A53" w14:paraId="450F6C22"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1ED3737D"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1023271"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3C55DD16"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60A142F" w14:textId="77777777" w:rsidTr="00614438">
        <w:trPr>
          <w:trHeight w:val="75"/>
        </w:trPr>
        <w:tc>
          <w:tcPr>
            <w:tcW w:w="0" w:type="auto"/>
            <w:vMerge/>
            <w:tcBorders>
              <w:top w:val="nil"/>
              <w:left w:val="single" w:sz="8" w:space="0" w:color="auto"/>
              <w:bottom w:val="single" w:sz="8" w:space="0" w:color="000000"/>
              <w:right w:val="single" w:sz="8" w:space="0" w:color="auto"/>
            </w:tcBorders>
            <w:vAlign w:val="center"/>
            <w:hideMark/>
          </w:tcPr>
          <w:p w14:paraId="7BB437B4"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BC9EF0C"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1CE4868A"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508BC997" w14:textId="77777777" w:rsidTr="00614438">
        <w:trPr>
          <w:trHeight w:val="459"/>
        </w:trPr>
        <w:tc>
          <w:tcPr>
            <w:tcW w:w="3310" w:type="dxa"/>
            <w:tcBorders>
              <w:top w:val="nil"/>
              <w:left w:val="single" w:sz="8" w:space="0" w:color="auto"/>
              <w:bottom w:val="single" w:sz="8" w:space="0" w:color="auto"/>
              <w:right w:val="single" w:sz="8" w:space="0" w:color="auto"/>
            </w:tcBorders>
            <w:shd w:val="clear" w:color="auto" w:fill="244062"/>
            <w:vAlign w:val="center"/>
            <w:hideMark/>
          </w:tcPr>
          <w:p w14:paraId="4BB4FD7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78" w:type="dxa"/>
            <w:gridSpan w:val="3"/>
            <w:tcBorders>
              <w:top w:val="single" w:sz="8" w:space="0" w:color="auto"/>
              <w:left w:val="nil"/>
              <w:bottom w:val="single" w:sz="8" w:space="0" w:color="auto"/>
              <w:right w:val="single" w:sz="8" w:space="0" w:color="000000"/>
            </w:tcBorders>
            <w:vAlign w:val="center"/>
            <w:hideMark/>
          </w:tcPr>
          <w:p w14:paraId="796C35AF" w14:textId="77777777" w:rsidR="00614438" w:rsidRPr="00AA7A53" w:rsidRDefault="00614438" w:rsidP="00AA7A53">
            <w:pPr>
              <w:numPr>
                <w:ilvl w:val="0"/>
                <w:numId w:val="221"/>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the Science Fund</w:t>
            </w:r>
          </w:p>
          <w:p w14:paraId="47548604" w14:textId="77777777" w:rsidR="00614438" w:rsidRPr="00AA7A53" w:rsidRDefault="00614438" w:rsidP="00AA7A53">
            <w:pPr>
              <w:numPr>
                <w:ilvl w:val="0"/>
                <w:numId w:val="221"/>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Science and Research</w:t>
            </w:r>
          </w:p>
        </w:tc>
        <w:tc>
          <w:tcPr>
            <w:tcW w:w="1212" w:type="dxa"/>
            <w:vAlign w:val="center"/>
            <w:hideMark/>
          </w:tcPr>
          <w:p w14:paraId="10A622A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0AC68FC2" w14:textId="77777777" w:rsidTr="00614438">
        <w:trPr>
          <w:trHeight w:val="315"/>
        </w:trPr>
        <w:tc>
          <w:tcPr>
            <w:tcW w:w="3310" w:type="dxa"/>
            <w:tcBorders>
              <w:top w:val="nil"/>
              <w:left w:val="single" w:sz="8" w:space="0" w:color="auto"/>
              <w:bottom w:val="single" w:sz="8" w:space="0" w:color="auto"/>
              <w:right w:val="single" w:sz="8" w:space="0" w:color="auto"/>
            </w:tcBorders>
            <w:shd w:val="clear" w:color="auto" w:fill="244062"/>
            <w:vAlign w:val="center"/>
            <w:hideMark/>
          </w:tcPr>
          <w:p w14:paraId="1DC181C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78" w:type="dxa"/>
            <w:gridSpan w:val="3"/>
            <w:tcBorders>
              <w:top w:val="single" w:sz="8" w:space="0" w:color="auto"/>
              <w:left w:val="nil"/>
              <w:bottom w:val="single" w:sz="8" w:space="0" w:color="auto"/>
              <w:right w:val="single" w:sz="8" w:space="0" w:color="000000"/>
            </w:tcBorders>
            <w:vAlign w:val="center"/>
            <w:hideMark/>
          </w:tcPr>
          <w:p w14:paraId="239D1DB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1.6 M€</w:t>
            </w:r>
          </w:p>
        </w:tc>
        <w:tc>
          <w:tcPr>
            <w:tcW w:w="1212" w:type="dxa"/>
            <w:vAlign w:val="center"/>
            <w:hideMark/>
          </w:tcPr>
          <w:p w14:paraId="5D89CE92"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E7DA611" w14:textId="77777777" w:rsidTr="00614438">
        <w:trPr>
          <w:trHeight w:val="315"/>
        </w:trPr>
        <w:tc>
          <w:tcPr>
            <w:tcW w:w="3310" w:type="dxa"/>
            <w:tcBorders>
              <w:top w:val="nil"/>
              <w:left w:val="single" w:sz="8" w:space="0" w:color="auto"/>
              <w:bottom w:val="single" w:sz="8" w:space="0" w:color="auto"/>
              <w:right w:val="single" w:sz="8" w:space="0" w:color="auto"/>
            </w:tcBorders>
            <w:shd w:val="clear" w:color="auto" w:fill="244062"/>
            <w:vAlign w:val="center"/>
            <w:hideMark/>
          </w:tcPr>
          <w:p w14:paraId="7E85BB5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78" w:type="dxa"/>
            <w:gridSpan w:val="3"/>
            <w:tcBorders>
              <w:top w:val="single" w:sz="8" w:space="0" w:color="auto"/>
              <w:left w:val="nil"/>
              <w:bottom w:val="single" w:sz="8" w:space="0" w:color="auto"/>
              <w:right w:val="single" w:sz="8" w:space="0" w:color="000000"/>
            </w:tcBorders>
            <w:vAlign w:val="center"/>
            <w:hideMark/>
          </w:tcPr>
          <w:p w14:paraId="11F43EAC" w14:textId="03D8B302"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funds</w:t>
            </w:r>
            <w:r w:rsidR="001F2B5C" w:rsidRPr="00AA7A53">
              <w:rPr>
                <w:rFonts w:ascii="Times New Roman" w:hAnsi="Times New Roman" w:cs="Times New Roman"/>
                <w:sz w:val="20"/>
                <w:szCs w:val="20"/>
                <w:lang w:val="en-GB"/>
              </w:rPr>
              <w:t xml:space="preserve">, own </w:t>
            </w:r>
            <w:r w:rsidRPr="00AA7A53">
              <w:rPr>
                <w:rFonts w:ascii="Times New Roman" w:hAnsi="Times New Roman" w:cs="Times New Roman"/>
                <w:sz w:val="20"/>
                <w:szCs w:val="20"/>
                <w:lang w:val="en-GB"/>
              </w:rPr>
              <w:t>and public funds</w:t>
            </w:r>
            <w:r w:rsidR="001F2B5C" w:rsidRPr="00AA7A53">
              <w:rPr>
                <w:rFonts w:ascii="Times New Roman" w:hAnsi="Times New Roman" w:cs="Times New Roman"/>
                <w:sz w:val="20"/>
                <w:szCs w:val="20"/>
                <w:lang w:val="en-GB"/>
              </w:rPr>
              <w:t>, p</w:t>
            </w:r>
            <w:r w:rsidRPr="00AA7A53">
              <w:rPr>
                <w:rFonts w:ascii="Times New Roman" w:hAnsi="Times New Roman" w:cs="Times New Roman"/>
                <w:sz w:val="20"/>
                <w:szCs w:val="20"/>
                <w:lang w:val="en-GB"/>
              </w:rPr>
              <w:t>rogrammes for research and development</w:t>
            </w:r>
          </w:p>
        </w:tc>
        <w:tc>
          <w:tcPr>
            <w:tcW w:w="1212" w:type="dxa"/>
            <w:vAlign w:val="center"/>
            <w:hideMark/>
          </w:tcPr>
          <w:p w14:paraId="6215196F" w14:textId="77777777" w:rsidR="00614438" w:rsidRPr="00AA7A53" w:rsidRDefault="00614438" w:rsidP="00AA7A53">
            <w:pPr>
              <w:spacing w:after="0"/>
              <w:jc w:val="both"/>
              <w:rPr>
                <w:rFonts w:ascii="Times New Roman" w:hAnsi="Times New Roman" w:cs="Times New Roman"/>
                <w:sz w:val="20"/>
                <w:szCs w:val="20"/>
                <w:lang w:val="en-GB"/>
              </w:rPr>
            </w:pPr>
          </w:p>
        </w:tc>
      </w:tr>
    </w:tbl>
    <w:p w14:paraId="1558C5DA"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83"/>
        <w:gridCol w:w="1139"/>
        <w:gridCol w:w="933"/>
        <w:gridCol w:w="4133"/>
        <w:gridCol w:w="1212"/>
      </w:tblGrid>
      <w:tr w:rsidR="00614438" w:rsidRPr="00AA7A53" w14:paraId="727D802E" w14:textId="77777777" w:rsidTr="00614438">
        <w:trPr>
          <w:gridAfter w:val="1"/>
          <w:wAfter w:w="1212" w:type="dxa"/>
          <w:trHeight w:val="780"/>
        </w:trPr>
        <w:tc>
          <w:tcPr>
            <w:tcW w:w="3313"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09AAF05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052" w:type="dxa"/>
            <w:tcBorders>
              <w:top w:val="single" w:sz="8" w:space="0" w:color="auto"/>
              <w:left w:val="nil"/>
              <w:bottom w:val="single" w:sz="8" w:space="0" w:color="auto"/>
              <w:right w:val="single" w:sz="8" w:space="0" w:color="auto"/>
            </w:tcBorders>
            <w:shd w:val="clear" w:color="auto" w:fill="E7E6E6" w:themeFill="background2"/>
            <w:vAlign w:val="center"/>
            <w:hideMark/>
          </w:tcPr>
          <w:p w14:paraId="7DD349F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PM_RIC16</w:t>
            </w:r>
          </w:p>
        </w:tc>
        <w:tc>
          <w:tcPr>
            <w:tcW w:w="938" w:type="dxa"/>
            <w:tcBorders>
              <w:top w:val="single" w:sz="8" w:space="0" w:color="auto"/>
              <w:left w:val="nil"/>
              <w:bottom w:val="single" w:sz="8" w:space="0" w:color="auto"/>
              <w:right w:val="single" w:sz="8" w:space="0" w:color="auto"/>
            </w:tcBorders>
            <w:shd w:val="clear" w:color="auto" w:fill="244062"/>
            <w:vAlign w:val="center"/>
            <w:hideMark/>
          </w:tcPr>
          <w:p w14:paraId="2DCA6FF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85" w:type="dxa"/>
            <w:tcBorders>
              <w:top w:val="single" w:sz="8" w:space="0" w:color="auto"/>
              <w:left w:val="nil"/>
              <w:bottom w:val="single" w:sz="8" w:space="0" w:color="auto"/>
              <w:right w:val="single" w:sz="8" w:space="0" w:color="auto"/>
            </w:tcBorders>
            <w:shd w:val="clear" w:color="auto" w:fill="E7E6E6" w:themeFill="background2"/>
            <w:vAlign w:val="center"/>
            <w:hideMark/>
          </w:tcPr>
          <w:p w14:paraId="4A351BE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Enhancing education / training to support the energy transition</w:t>
            </w:r>
          </w:p>
        </w:tc>
      </w:tr>
      <w:tr w:rsidR="00614438" w:rsidRPr="00AA7A53" w14:paraId="77BD8D6E" w14:textId="77777777" w:rsidTr="00614438">
        <w:trPr>
          <w:gridAfter w:val="1"/>
          <w:wAfter w:w="1212" w:type="dxa"/>
          <w:trHeight w:val="354"/>
        </w:trPr>
        <w:tc>
          <w:tcPr>
            <w:tcW w:w="3313" w:type="dxa"/>
            <w:tcBorders>
              <w:top w:val="nil"/>
              <w:left w:val="single" w:sz="8" w:space="0" w:color="auto"/>
              <w:bottom w:val="single" w:sz="8" w:space="0" w:color="auto"/>
              <w:right w:val="nil"/>
            </w:tcBorders>
            <w:shd w:val="clear" w:color="auto" w:fill="244062"/>
            <w:vAlign w:val="center"/>
            <w:hideMark/>
          </w:tcPr>
          <w:p w14:paraId="53AB552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75" w:type="dxa"/>
            <w:gridSpan w:val="3"/>
            <w:tcBorders>
              <w:top w:val="single" w:sz="8" w:space="0" w:color="auto"/>
              <w:left w:val="nil"/>
              <w:bottom w:val="single" w:sz="8" w:space="0" w:color="auto"/>
              <w:right w:val="single" w:sz="8" w:space="0" w:color="000000"/>
            </w:tcBorders>
            <w:vAlign w:val="center"/>
            <w:hideMark/>
          </w:tcPr>
          <w:p w14:paraId="6EEF91E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Promotion of Research and Innovation</w:t>
            </w:r>
          </w:p>
        </w:tc>
      </w:tr>
      <w:tr w:rsidR="00614438" w:rsidRPr="00AA7A53" w14:paraId="54F10E86" w14:textId="77777777" w:rsidTr="00614438">
        <w:trPr>
          <w:gridAfter w:val="1"/>
          <w:wAfter w:w="1212" w:type="dxa"/>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3DE7A37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75" w:type="dxa"/>
            <w:gridSpan w:val="3"/>
            <w:tcBorders>
              <w:top w:val="single" w:sz="8" w:space="0" w:color="auto"/>
              <w:left w:val="nil"/>
              <w:bottom w:val="single" w:sz="8" w:space="0" w:color="auto"/>
              <w:right w:val="single" w:sz="8" w:space="0" w:color="000000"/>
            </w:tcBorders>
            <w:vAlign w:val="center"/>
            <w:hideMark/>
          </w:tcPr>
          <w:p w14:paraId="7A777C8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 the level of technological readiness in the field of energy (Qualitative objective)</w:t>
            </w:r>
          </w:p>
        </w:tc>
      </w:tr>
      <w:tr w:rsidR="00614438" w:rsidRPr="00AA7A53" w14:paraId="475D821E" w14:textId="77777777" w:rsidTr="00614438">
        <w:trPr>
          <w:gridAfter w:val="1"/>
          <w:wAfter w:w="1212" w:type="dxa"/>
          <w:trHeight w:val="443"/>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3EC70F9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75" w:type="dxa"/>
            <w:gridSpan w:val="3"/>
            <w:tcBorders>
              <w:top w:val="single" w:sz="8" w:space="0" w:color="auto"/>
              <w:left w:val="nil"/>
              <w:bottom w:val="single" w:sz="8" w:space="0" w:color="auto"/>
              <w:right w:val="single" w:sz="8" w:space="0" w:color="000000"/>
            </w:tcBorders>
            <w:vAlign w:val="center"/>
            <w:hideMark/>
          </w:tcPr>
          <w:p w14:paraId="75AEA0D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PM_RIC16 will reinforce the promotion of the transition to a climate-neutral and circular economy by focusing on the necessary skills and quality jobs that create higher added value, significantly reduce adverse environmental impacts, provide adequate conditions for adequate pay and a quality working environment.</w:t>
            </w:r>
          </w:p>
        </w:tc>
      </w:tr>
      <w:tr w:rsidR="00614438" w:rsidRPr="00AA7A53" w14:paraId="43B7E82D" w14:textId="77777777" w:rsidTr="00614438">
        <w:trPr>
          <w:gridAfter w:val="1"/>
          <w:wAfter w:w="1212" w:type="dxa"/>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6955984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75" w:type="dxa"/>
            <w:gridSpan w:val="3"/>
            <w:tcBorders>
              <w:top w:val="single" w:sz="8" w:space="0" w:color="auto"/>
              <w:left w:val="nil"/>
              <w:bottom w:val="single" w:sz="8" w:space="0" w:color="auto"/>
              <w:right w:val="single" w:sz="8" w:space="0" w:color="000000"/>
            </w:tcBorders>
            <w:vAlign w:val="center"/>
            <w:hideMark/>
          </w:tcPr>
          <w:p w14:paraId="13BFE4C4" w14:textId="6B9A81BE"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1F2B5C"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605CF10E" w14:textId="77777777" w:rsidTr="00614438">
        <w:trPr>
          <w:gridAfter w:val="1"/>
          <w:wAfter w:w="1212" w:type="dxa"/>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0152F04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75" w:type="dxa"/>
            <w:gridSpan w:val="3"/>
            <w:tcBorders>
              <w:top w:val="single" w:sz="8" w:space="0" w:color="auto"/>
              <w:left w:val="nil"/>
              <w:bottom w:val="single" w:sz="8" w:space="0" w:color="auto"/>
              <w:right w:val="single" w:sz="8" w:space="0" w:color="000000"/>
            </w:tcBorders>
            <w:vAlign w:val="center"/>
            <w:hideMark/>
          </w:tcPr>
          <w:p w14:paraId="65D9674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3A503B99" w14:textId="77777777" w:rsidTr="00614438">
        <w:trPr>
          <w:gridAfter w:val="1"/>
          <w:wAfter w:w="1212" w:type="dxa"/>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6898839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75" w:type="dxa"/>
            <w:gridSpan w:val="3"/>
            <w:tcBorders>
              <w:top w:val="single" w:sz="8" w:space="0" w:color="auto"/>
              <w:left w:val="nil"/>
              <w:bottom w:val="single" w:sz="8" w:space="0" w:color="auto"/>
              <w:right w:val="single" w:sz="8" w:space="0" w:color="000000"/>
            </w:tcBorders>
            <w:vAlign w:val="center"/>
            <w:hideMark/>
          </w:tcPr>
          <w:p w14:paraId="3DFD526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INECP subject fields</w:t>
            </w:r>
          </w:p>
        </w:tc>
      </w:tr>
      <w:tr w:rsidR="00614438" w:rsidRPr="00AA7A53" w14:paraId="38102C92" w14:textId="77777777" w:rsidTr="00614438">
        <w:trPr>
          <w:gridAfter w:val="1"/>
          <w:wAfter w:w="1212" w:type="dxa"/>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330B3D2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75" w:type="dxa"/>
            <w:gridSpan w:val="3"/>
            <w:tcBorders>
              <w:top w:val="single" w:sz="8" w:space="0" w:color="auto"/>
              <w:left w:val="nil"/>
              <w:bottom w:val="single" w:sz="8" w:space="0" w:color="auto"/>
              <w:right w:val="single" w:sz="8" w:space="0" w:color="000000"/>
            </w:tcBorders>
            <w:vAlign w:val="center"/>
            <w:hideMark/>
          </w:tcPr>
          <w:p w14:paraId="51365344" w14:textId="77777777" w:rsidR="00614438" w:rsidRPr="00AA7A53" w:rsidRDefault="00614438" w:rsidP="00AA7A53">
            <w:pPr>
              <w:numPr>
                <w:ilvl w:val="0"/>
                <w:numId w:val="222"/>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Mining and Energy</w:t>
            </w:r>
          </w:p>
          <w:p w14:paraId="2C253DD5" w14:textId="41256A7D" w:rsidR="00614438" w:rsidRPr="00AA7A53" w:rsidRDefault="001F2B5C" w:rsidP="00AA7A53">
            <w:pPr>
              <w:numPr>
                <w:ilvl w:val="0"/>
                <w:numId w:val="222"/>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Science, Technological Development and Innovation</w:t>
            </w:r>
          </w:p>
          <w:p w14:paraId="2BC1DDF6" w14:textId="77777777" w:rsidR="00614438" w:rsidRPr="00AA7A53" w:rsidRDefault="00614438" w:rsidP="00AA7A53">
            <w:pPr>
              <w:numPr>
                <w:ilvl w:val="0"/>
                <w:numId w:val="222"/>
              </w:numPr>
              <w:spacing w:after="0"/>
              <w:jc w:val="both"/>
              <w:rPr>
                <w:rFonts w:ascii="Times New Roman" w:hAnsi="Times New Roman" w:cs="Times New Roman"/>
                <w:sz w:val="20"/>
                <w:szCs w:val="20"/>
              </w:rPr>
            </w:pPr>
            <w:r w:rsidRPr="00AA7A53">
              <w:rPr>
                <w:rFonts w:ascii="Times New Roman" w:hAnsi="Times New Roman" w:cs="Times New Roman"/>
                <w:sz w:val="20"/>
                <w:szCs w:val="20"/>
              </w:rPr>
              <w:t>Chamber of Commerce and Industry of Serbia</w:t>
            </w:r>
          </w:p>
          <w:p w14:paraId="476CE814" w14:textId="77777777" w:rsidR="00614438" w:rsidRPr="00AA7A53" w:rsidRDefault="00614438" w:rsidP="00AA7A53">
            <w:pPr>
              <w:numPr>
                <w:ilvl w:val="0"/>
                <w:numId w:val="222"/>
              </w:numPr>
              <w:spacing w:after="0"/>
              <w:jc w:val="both"/>
              <w:rPr>
                <w:rFonts w:ascii="Times New Roman" w:hAnsi="Times New Roman" w:cs="Times New Roman"/>
                <w:sz w:val="20"/>
                <w:szCs w:val="20"/>
              </w:rPr>
            </w:pPr>
            <w:r w:rsidRPr="00AA7A53">
              <w:rPr>
                <w:rFonts w:ascii="Times New Roman" w:hAnsi="Times New Roman" w:cs="Times New Roman"/>
                <w:sz w:val="20"/>
                <w:szCs w:val="20"/>
              </w:rPr>
              <w:t>Center for Promotion of Science</w:t>
            </w:r>
          </w:p>
        </w:tc>
      </w:tr>
      <w:tr w:rsidR="00614438" w:rsidRPr="00AA7A53" w14:paraId="11D1EA33" w14:textId="77777777" w:rsidTr="00614438">
        <w:trPr>
          <w:gridAfter w:val="1"/>
          <w:wAfter w:w="1212" w:type="dxa"/>
          <w:trHeight w:val="315"/>
        </w:trPr>
        <w:tc>
          <w:tcPr>
            <w:tcW w:w="3313" w:type="dxa"/>
            <w:tcBorders>
              <w:top w:val="nil"/>
              <w:left w:val="single" w:sz="8" w:space="0" w:color="auto"/>
              <w:bottom w:val="single" w:sz="8" w:space="0" w:color="auto"/>
              <w:right w:val="nil"/>
            </w:tcBorders>
            <w:shd w:val="clear" w:color="auto" w:fill="244062"/>
            <w:vAlign w:val="center"/>
            <w:hideMark/>
          </w:tcPr>
          <w:p w14:paraId="5F8AA6B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75" w:type="dxa"/>
            <w:gridSpan w:val="3"/>
            <w:tcBorders>
              <w:top w:val="single" w:sz="8" w:space="0" w:color="auto"/>
              <w:left w:val="nil"/>
              <w:bottom w:val="single" w:sz="8" w:space="0" w:color="auto"/>
              <w:right w:val="single" w:sz="8" w:space="0" w:color="000000"/>
            </w:tcBorders>
            <w:vAlign w:val="center"/>
            <w:hideMark/>
          </w:tcPr>
          <w:p w14:paraId="6529C358" w14:textId="3C6BB798" w:rsidR="00614438" w:rsidRPr="00AA7A53" w:rsidRDefault="001F2B5C" w:rsidP="00AA7A53">
            <w:pPr>
              <w:numPr>
                <w:ilvl w:val="0"/>
                <w:numId w:val="222"/>
              </w:numPr>
              <w:spacing w:after="0"/>
              <w:jc w:val="both"/>
              <w:rPr>
                <w:rFonts w:ascii="Times New Roman" w:hAnsi="Times New Roman" w:cs="Times New Roman"/>
                <w:sz w:val="20"/>
                <w:szCs w:val="20"/>
              </w:rPr>
            </w:pPr>
            <w:r w:rsidRPr="00AA7A53">
              <w:rPr>
                <w:rFonts w:ascii="Times New Roman" w:hAnsi="Times New Roman" w:cs="Times New Roman"/>
                <w:sz w:val="20"/>
                <w:szCs w:val="20"/>
              </w:rPr>
              <w:t xml:space="preserve">Ministry of Mining and Energy </w:t>
            </w:r>
          </w:p>
          <w:p w14:paraId="0E37E827" w14:textId="0B6F25CD" w:rsidR="00614438" w:rsidRPr="00AA7A53" w:rsidRDefault="001F2B5C" w:rsidP="00AA7A53">
            <w:pPr>
              <w:numPr>
                <w:ilvl w:val="0"/>
                <w:numId w:val="222"/>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Education</w:t>
            </w:r>
          </w:p>
        </w:tc>
      </w:tr>
      <w:tr w:rsidR="00614438" w:rsidRPr="00AA7A53" w14:paraId="2A5892DB" w14:textId="77777777" w:rsidTr="00614438">
        <w:trPr>
          <w:gridAfter w:val="1"/>
          <w:wAfter w:w="1212" w:type="dxa"/>
          <w:trHeight w:val="315"/>
        </w:trPr>
        <w:tc>
          <w:tcPr>
            <w:tcW w:w="3313" w:type="dxa"/>
            <w:tcBorders>
              <w:top w:val="nil"/>
              <w:left w:val="single" w:sz="8" w:space="0" w:color="auto"/>
              <w:bottom w:val="single" w:sz="8" w:space="0" w:color="auto"/>
              <w:right w:val="nil"/>
            </w:tcBorders>
            <w:shd w:val="clear" w:color="auto" w:fill="244062"/>
            <w:vAlign w:val="center"/>
            <w:hideMark/>
          </w:tcPr>
          <w:p w14:paraId="3D126BB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75" w:type="dxa"/>
            <w:gridSpan w:val="3"/>
            <w:tcBorders>
              <w:top w:val="single" w:sz="8" w:space="0" w:color="auto"/>
              <w:left w:val="nil"/>
              <w:bottom w:val="single" w:sz="8" w:space="0" w:color="auto"/>
              <w:right w:val="single" w:sz="8" w:space="0" w:color="000000"/>
            </w:tcBorders>
            <w:vAlign w:val="center"/>
            <w:hideMark/>
          </w:tcPr>
          <w:p w14:paraId="06BA0B8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Number of curricula for energy transition on an annual basis</w:t>
            </w:r>
          </w:p>
        </w:tc>
      </w:tr>
      <w:tr w:rsidR="00614438" w:rsidRPr="00AA7A53" w14:paraId="0D65B1DB" w14:textId="77777777" w:rsidTr="00614438">
        <w:trPr>
          <w:gridAfter w:val="1"/>
          <w:wAfter w:w="1212" w:type="dxa"/>
          <w:trHeight w:val="566"/>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2306B57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75" w:type="dxa"/>
            <w:gridSpan w:val="3"/>
            <w:tcBorders>
              <w:top w:val="single" w:sz="8" w:space="0" w:color="auto"/>
              <w:left w:val="nil"/>
              <w:bottom w:val="single" w:sz="8" w:space="0" w:color="auto"/>
              <w:right w:val="single" w:sz="8" w:space="0" w:color="000000"/>
            </w:tcBorders>
            <w:vAlign w:val="center"/>
            <w:hideMark/>
          </w:tcPr>
          <w:p w14:paraId="536CBB99" w14:textId="77777777" w:rsidR="00614438" w:rsidRPr="00AA7A53" w:rsidRDefault="00614438" w:rsidP="00AA7A53">
            <w:pPr>
              <w:numPr>
                <w:ilvl w:val="0"/>
                <w:numId w:val="223"/>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tc>
      </w:tr>
      <w:tr w:rsidR="00614438" w:rsidRPr="00AA7A53" w14:paraId="31830F58" w14:textId="77777777" w:rsidTr="00614438">
        <w:trPr>
          <w:gridAfter w:val="1"/>
          <w:wAfter w:w="1212" w:type="dxa"/>
          <w:trHeight w:val="458"/>
        </w:trPr>
        <w:tc>
          <w:tcPr>
            <w:tcW w:w="3313" w:type="dxa"/>
            <w:vMerge w:val="restart"/>
            <w:tcBorders>
              <w:top w:val="nil"/>
              <w:left w:val="single" w:sz="8" w:space="0" w:color="auto"/>
              <w:bottom w:val="single" w:sz="8" w:space="0" w:color="000000"/>
              <w:right w:val="single" w:sz="8" w:space="0" w:color="auto"/>
            </w:tcBorders>
            <w:shd w:val="clear" w:color="auto" w:fill="244062"/>
            <w:vAlign w:val="center"/>
            <w:hideMark/>
          </w:tcPr>
          <w:p w14:paraId="1164C6C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Union policy which resulted in the implementation of the PaM</w:t>
            </w:r>
          </w:p>
        </w:tc>
        <w:tc>
          <w:tcPr>
            <w:tcW w:w="6175"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22B4857" w14:textId="77777777" w:rsidR="00614438" w:rsidRPr="00AA7A53" w:rsidRDefault="00614438" w:rsidP="00AA7A53">
            <w:pPr>
              <w:numPr>
                <w:ilvl w:val="0"/>
                <w:numId w:val="224"/>
              </w:numPr>
              <w:spacing w:after="0"/>
              <w:jc w:val="both"/>
              <w:rPr>
                <w:rFonts w:ascii="Times New Roman" w:hAnsi="Times New Roman" w:cs="Times New Roman"/>
                <w:sz w:val="20"/>
                <w:szCs w:val="20"/>
              </w:rPr>
            </w:pPr>
            <w:r w:rsidRPr="00AA7A53">
              <w:rPr>
                <w:rFonts w:ascii="Times New Roman" w:hAnsi="Times New Roman" w:cs="Times New Roman"/>
                <w:sz w:val="20"/>
                <w:szCs w:val="20"/>
              </w:rPr>
              <w:t>European legislation</w:t>
            </w:r>
          </w:p>
        </w:tc>
      </w:tr>
      <w:tr w:rsidR="00614438" w:rsidRPr="00AA7A53" w14:paraId="75D743F4"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0BF05F5D"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F8735B3"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2123CF5F"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B2AA863" w14:textId="77777777" w:rsidTr="00614438">
        <w:trPr>
          <w:trHeight w:val="75"/>
        </w:trPr>
        <w:tc>
          <w:tcPr>
            <w:tcW w:w="0" w:type="auto"/>
            <w:vMerge/>
            <w:tcBorders>
              <w:top w:val="nil"/>
              <w:left w:val="single" w:sz="8" w:space="0" w:color="auto"/>
              <w:bottom w:val="single" w:sz="8" w:space="0" w:color="000000"/>
              <w:right w:val="single" w:sz="8" w:space="0" w:color="auto"/>
            </w:tcBorders>
            <w:vAlign w:val="center"/>
            <w:hideMark/>
          </w:tcPr>
          <w:p w14:paraId="5E56DCAD"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55CCE8F"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146D2B81"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2EBCD748" w14:textId="77777777" w:rsidTr="00614438">
        <w:trPr>
          <w:trHeight w:val="247"/>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6E8AC47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75" w:type="dxa"/>
            <w:gridSpan w:val="3"/>
            <w:tcBorders>
              <w:top w:val="single" w:sz="8" w:space="0" w:color="auto"/>
              <w:left w:val="nil"/>
              <w:bottom w:val="single" w:sz="8" w:space="0" w:color="auto"/>
              <w:right w:val="single" w:sz="8" w:space="0" w:color="000000"/>
            </w:tcBorders>
            <w:vAlign w:val="center"/>
            <w:hideMark/>
          </w:tcPr>
          <w:p w14:paraId="5C9FF5A6" w14:textId="77777777" w:rsidR="00614438" w:rsidRPr="00AA7A53" w:rsidRDefault="00614438" w:rsidP="00AA7A53">
            <w:pPr>
              <w:numPr>
                <w:ilvl w:val="0"/>
                <w:numId w:val="224"/>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the Science Fund</w:t>
            </w:r>
          </w:p>
          <w:p w14:paraId="7F9FDB36" w14:textId="77777777" w:rsidR="00614438" w:rsidRPr="00AA7A53" w:rsidRDefault="00614438" w:rsidP="00AA7A53">
            <w:pPr>
              <w:numPr>
                <w:ilvl w:val="0"/>
                <w:numId w:val="224"/>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Science and Research</w:t>
            </w:r>
          </w:p>
        </w:tc>
        <w:tc>
          <w:tcPr>
            <w:tcW w:w="1212" w:type="dxa"/>
            <w:vAlign w:val="center"/>
            <w:hideMark/>
          </w:tcPr>
          <w:p w14:paraId="32A994C3"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4A64FB4" w14:textId="77777777" w:rsidTr="00614438">
        <w:trPr>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1D9BA1D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75" w:type="dxa"/>
            <w:gridSpan w:val="3"/>
            <w:tcBorders>
              <w:top w:val="single" w:sz="8" w:space="0" w:color="auto"/>
              <w:left w:val="nil"/>
              <w:bottom w:val="single" w:sz="8" w:space="0" w:color="auto"/>
              <w:right w:val="single" w:sz="8" w:space="0" w:color="000000"/>
            </w:tcBorders>
            <w:vAlign w:val="center"/>
            <w:hideMark/>
          </w:tcPr>
          <w:p w14:paraId="769CE09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2.2 M€</w:t>
            </w:r>
          </w:p>
        </w:tc>
        <w:tc>
          <w:tcPr>
            <w:tcW w:w="1212" w:type="dxa"/>
            <w:vAlign w:val="center"/>
            <w:hideMark/>
          </w:tcPr>
          <w:p w14:paraId="7B61DE9E"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9D34467" w14:textId="77777777" w:rsidTr="00614438">
        <w:trPr>
          <w:trHeight w:val="315"/>
        </w:trPr>
        <w:tc>
          <w:tcPr>
            <w:tcW w:w="3313" w:type="dxa"/>
            <w:tcBorders>
              <w:top w:val="nil"/>
              <w:left w:val="single" w:sz="8" w:space="0" w:color="auto"/>
              <w:bottom w:val="single" w:sz="8" w:space="0" w:color="auto"/>
              <w:right w:val="single" w:sz="8" w:space="0" w:color="auto"/>
            </w:tcBorders>
            <w:shd w:val="clear" w:color="auto" w:fill="244062"/>
            <w:vAlign w:val="center"/>
            <w:hideMark/>
          </w:tcPr>
          <w:p w14:paraId="2B4C936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75" w:type="dxa"/>
            <w:gridSpan w:val="3"/>
            <w:tcBorders>
              <w:top w:val="single" w:sz="8" w:space="0" w:color="auto"/>
              <w:left w:val="nil"/>
              <w:bottom w:val="single" w:sz="8" w:space="0" w:color="auto"/>
              <w:right w:val="single" w:sz="8" w:space="0" w:color="000000"/>
            </w:tcBorders>
            <w:vAlign w:val="center"/>
            <w:hideMark/>
          </w:tcPr>
          <w:p w14:paraId="10E88055" w14:textId="34E61E96" w:rsidR="00614438" w:rsidRPr="00AA7A53" w:rsidRDefault="001F2B5C"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EU funds, own funds and </w:t>
            </w:r>
            <w:r w:rsidR="005E24A0" w:rsidRPr="00AA7A53">
              <w:rPr>
                <w:rFonts w:ascii="Times New Roman" w:hAnsi="Times New Roman" w:cs="Times New Roman"/>
                <w:sz w:val="20"/>
                <w:szCs w:val="20"/>
                <w:lang w:val="en-GB"/>
              </w:rPr>
              <w:t>public</w:t>
            </w:r>
            <w:r w:rsidRPr="00AA7A53">
              <w:rPr>
                <w:rFonts w:ascii="Times New Roman" w:hAnsi="Times New Roman" w:cs="Times New Roman"/>
                <w:sz w:val="20"/>
                <w:szCs w:val="20"/>
                <w:lang w:val="en-GB"/>
              </w:rPr>
              <w:t xml:space="preserve"> funds</w:t>
            </w:r>
          </w:p>
        </w:tc>
        <w:tc>
          <w:tcPr>
            <w:tcW w:w="1212" w:type="dxa"/>
            <w:vAlign w:val="center"/>
            <w:hideMark/>
          </w:tcPr>
          <w:p w14:paraId="42900316" w14:textId="77777777" w:rsidR="00614438" w:rsidRPr="00AA7A53" w:rsidRDefault="00614438" w:rsidP="00AA7A53">
            <w:pPr>
              <w:spacing w:after="0"/>
              <w:jc w:val="both"/>
              <w:rPr>
                <w:rFonts w:ascii="Times New Roman" w:hAnsi="Times New Roman" w:cs="Times New Roman"/>
                <w:sz w:val="20"/>
                <w:szCs w:val="20"/>
                <w:lang w:val="en-GB"/>
              </w:rPr>
            </w:pPr>
          </w:p>
        </w:tc>
      </w:tr>
    </w:tbl>
    <w:p w14:paraId="7B3021C0" w14:textId="77777777" w:rsidR="001F2B5C" w:rsidRPr="00AA7A53" w:rsidRDefault="001F2B5C" w:rsidP="00AA7A53">
      <w:pPr>
        <w:spacing w:after="0"/>
        <w:jc w:val="both"/>
        <w:rPr>
          <w:rFonts w:ascii="Times New Roman" w:hAnsi="Times New Roman" w:cs="Times New Roman"/>
          <w:sz w:val="20"/>
          <w:szCs w:val="20"/>
          <w:lang w:val="en-GB"/>
        </w:rPr>
      </w:pPr>
    </w:p>
    <w:p w14:paraId="28F3DBFE" w14:textId="008BCAF9" w:rsidR="00614438" w:rsidRPr="00614438" w:rsidRDefault="001F2B5C" w:rsidP="001F2B5C">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3.5.1.2 </w:t>
      </w:r>
      <w:r w:rsidR="00614438" w:rsidRPr="00614438">
        <w:rPr>
          <w:rFonts w:ascii="Times New Roman" w:hAnsi="Times New Roman" w:cs="Times New Roman"/>
          <w:sz w:val="24"/>
          <w:szCs w:val="24"/>
          <w:lang w:val="en-GB"/>
        </w:rPr>
        <w:t>Policies and measures to promote competitiveness</w:t>
      </w:r>
    </w:p>
    <w:p w14:paraId="2E4B5812" w14:textId="77777777" w:rsidR="00614438" w:rsidRPr="00614438" w:rsidRDefault="00614438" w:rsidP="0086621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Promoting entrepreneurship is a priority by directly contributing to the competitiveness component. In this context, it is planned:</w:t>
      </w:r>
    </w:p>
    <w:p w14:paraId="1B7E783E" w14:textId="77777777" w:rsidR="00614438" w:rsidRPr="00614438" w:rsidRDefault="00614438" w:rsidP="0086621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 to establish and operate special funds to promote research and innovation in SMEs, to co-operate with research centres and to ensure the conditions for successful investment, and</w:t>
      </w:r>
    </w:p>
    <w:p w14:paraId="5DD7A3DC" w14:textId="77777777" w:rsidR="00614438" w:rsidRPr="00614438" w:rsidRDefault="00614438" w:rsidP="0086621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(b) to exploit patent rights, licensing, etc.</w:t>
      </w:r>
    </w:p>
    <w:p w14:paraId="34B617BF" w14:textId="77777777" w:rsidR="00614438" w:rsidRPr="00614438" w:rsidRDefault="00614438" w:rsidP="0086621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addition, support should be provided to the creation of innovative clusters of companies and research entities to promote entrepreneurship and to the establishment of start-ups for the commercial exploitation of mature research results and innovative ideas, as well as for the development of entrepreneurship support structures, such as incubators, technology parks, co-working spaces, etc.</w:t>
      </w:r>
    </w:p>
    <w:p w14:paraId="48B9D8A5" w14:textId="77777777" w:rsidR="00614438" w:rsidRPr="00614438" w:rsidRDefault="00614438" w:rsidP="0086621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Enhancing competitiveness calls for improving the existing regulatory framework for the implementation of investments in industrial plants and in SMEs in order to create a stable and transparent framework of rules, procedures and administrative structures, with a view to completing smoothly large public and private projects. Moreover, in order to ensure additional private capital, the effectiveness of the existing private investment aid schemes will be assessed in order to continue implementing the most efficient among them and/or to attempt to implement new ones.</w:t>
      </w:r>
    </w:p>
    <w:p w14:paraId="1CB91F1D" w14:textId="77777777" w:rsidR="00614438" w:rsidRPr="00614438" w:rsidRDefault="00614438" w:rsidP="0086621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role of special target funds will also be important for facilitating the provision of concessional financing to businesses (especially SMEs) and for undertaking part of the business risk, which is not undertaken by financing institutions, while providing the necessary guarantees.</w:t>
      </w:r>
    </w:p>
    <w:p w14:paraId="04EB67F7" w14:textId="2CCABF73" w:rsidR="00614438" w:rsidRPr="00614438" w:rsidRDefault="00614438" w:rsidP="0086621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contribution of circular economy </w:t>
      </w:r>
      <w:r w:rsidR="007A515A">
        <w:rPr>
          <w:rFonts w:ascii="Times New Roman" w:hAnsi="Times New Roman" w:cs="Times New Roman"/>
          <w:sz w:val="24"/>
          <w:szCs w:val="24"/>
          <w:lang w:val="en-GB"/>
        </w:rPr>
        <w:t xml:space="preserve">to the </w:t>
      </w:r>
      <w:r w:rsidRPr="00614438">
        <w:rPr>
          <w:rFonts w:ascii="Times New Roman" w:hAnsi="Times New Roman" w:cs="Times New Roman"/>
          <w:sz w:val="24"/>
          <w:szCs w:val="24"/>
          <w:lang w:val="en-GB"/>
        </w:rPr>
        <w:t>improve</w:t>
      </w:r>
      <w:r w:rsidR="007A515A">
        <w:rPr>
          <w:rFonts w:ascii="Times New Roman" w:hAnsi="Times New Roman" w:cs="Times New Roman"/>
          <w:sz w:val="24"/>
          <w:szCs w:val="24"/>
          <w:lang w:val="en-GB"/>
        </w:rPr>
        <w:t>ment of</w:t>
      </w:r>
      <w:r w:rsidRPr="00614438">
        <w:rPr>
          <w:rFonts w:ascii="Times New Roman" w:hAnsi="Times New Roman" w:cs="Times New Roman"/>
          <w:sz w:val="24"/>
          <w:szCs w:val="24"/>
          <w:lang w:val="en-GB"/>
        </w:rPr>
        <w:t xml:space="preserve"> competitiveness is considered as of high importance and it is, therefore, necessary to promote concrete actions focusing on the development of innovative technologies to achieve the objectives of the National Roadmap for Circular Economy.</w:t>
      </w:r>
    </w:p>
    <w:p w14:paraId="56002CB2" w14:textId="77777777" w:rsidR="00614438" w:rsidRPr="00AA7A53" w:rsidRDefault="00614438" w:rsidP="00AA7A53">
      <w:pPr>
        <w:spacing w:after="0"/>
        <w:jc w:val="both"/>
        <w:rPr>
          <w:rFonts w:ascii="Times New Roman" w:hAnsi="Times New Roman" w:cs="Times New Roman"/>
          <w:sz w:val="20"/>
          <w:szCs w:val="20"/>
          <w:u w:val="single"/>
          <w:lang w:val="en-GB"/>
        </w:rPr>
      </w:pPr>
      <w:r w:rsidRPr="00614438">
        <w:rPr>
          <w:rFonts w:ascii="Times New Roman" w:hAnsi="Times New Roman" w:cs="Times New Roman"/>
          <w:sz w:val="24"/>
          <w:szCs w:val="24"/>
          <w:u w:val="single"/>
          <w:lang w:val="en-GB"/>
        </w:rPr>
        <w:t>Tables for PM_RIC17 – PM_RIC20</w:t>
      </w:r>
    </w:p>
    <w:tbl>
      <w:tblPr>
        <w:tblW w:w="10700" w:type="dxa"/>
        <w:tblLook w:val="04A0" w:firstRow="1" w:lastRow="0" w:firstColumn="1" w:lastColumn="0" w:noHBand="0" w:noVBand="1"/>
      </w:tblPr>
      <w:tblGrid>
        <w:gridCol w:w="3270"/>
        <w:gridCol w:w="1139"/>
        <w:gridCol w:w="932"/>
        <w:gridCol w:w="4147"/>
        <w:gridCol w:w="1212"/>
      </w:tblGrid>
      <w:tr w:rsidR="00614438" w:rsidRPr="00AA7A53" w14:paraId="618D22F9" w14:textId="77777777" w:rsidTr="00614438">
        <w:trPr>
          <w:gridAfter w:val="1"/>
          <w:wAfter w:w="1212" w:type="dxa"/>
          <w:trHeight w:val="780"/>
        </w:trPr>
        <w:tc>
          <w:tcPr>
            <w:tcW w:w="3303"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5FBF8AD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052" w:type="dxa"/>
            <w:tcBorders>
              <w:top w:val="single" w:sz="8" w:space="0" w:color="auto"/>
              <w:left w:val="nil"/>
              <w:bottom w:val="single" w:sz="8" w:space="0" w:color="auto"/>
              <w:right w:val="single" w:sz="8" w:space="0" w:color="auto"/>
            </w:tcBorders>
            <w:shd w:val="clear" w:color="auto" w:fill="E7E6E6" w:themeFill="background2"/>
            <w:vAlign w:val="center"/>
            <w:hideMark/>
          </w:tcPr>
          <w:p w14:paraId="523D722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PM_RIC17</w:t>
            </w:r>
          </w:p>
        </w:tc>
        <w:tc>
          <w:tcPr>
            <w:tcW w:w="937" w:type="dxa"/>
            <w:tcBorders>
              <w:top w:val="single" w:sz="8" w:space="0" w:color="auto"/>
              <w:left w:val="nil"/>
              <w:bottom w:val="single" w:sz="8" w:space="0" w:color="auto"/>
              <w:right w:val="single" w:sz="8" w:space="0" w:color="auto"/>
            </w:tcBorders>
            <w:shd w:val="clear" w:color="auto" w:fill="244062"/>
            <w:vAlign w:val="center"/>
            <w:hideMark/>
          </w:tcPr>
          <w:p w14:paraId="1A522B0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96" w:type="dxa"/>
            <w:tcBorders>
              <w:top w:val="single" w:sz="8" w:space="0" w:color="auto"/>
              <w:left w:val="nil"/>
              <w:bottom w:val="single" w:sz="8" w:space="0" w:color="auto"/>
              <w:right w:val="single" w:sz="8" w:space="0" w:color="auto"/>
            </w:tcBorders>
            <w:shd w:val="clear" w:color="auto" w:fill="E7E6E6" w:themeFill="background2"/>
            <w:vAlign w:val="center"/>
            <w:hideMark/>
          </w:tcPr>
          <w:p w14:paraId="5D4956A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Promotion of entrepreneurship through research and innovation actions which are embedded in market functions </w:t>
            </w:r>
          </w:p>
        </w:tc>
      </w:tr>
      <w:tr w:rsidR="00614438" w:rsidRPr="00AA7A53" w14:paraId="4337AB74" w14:textId="77777777" w:rsidTr="00614438">
        <w:trPr>
          <w:gridAfter w:val="1"/>
          <w:wAfter w:w="1212" w:type="dxa"/>
          <w:trHeight w:val="340"/>
        </w:trPr>
        <w:tc>
          <w:tcPr>
            <w:tcW w:w="3303" w:type="dxa"/>
            <w:tcBorders>
              <w:top w:val="nil"/>
              <w:left w:val="single" w:sz="8" w:space="0" w:color="auto"/>
              <w:bottom w:val="single" w:sz="8" w:space="0" w:color="auto"/>
              <w:right w:val="nil"/>
            </w:tcBorders>
            <w:shd w:val="clear" w:color="auto" w:fill="244062"/>
            <w:vAlign w:val="center"/>
            <w:hideMark/>
          </w:tcPr>
          <w:p w14:paraId="7E83850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85" w:type="dxa"/>
            <w:gridSpan w:val="3"/>
            <w:tcBorders>
              <w:top w:val="single" w:sz="8" w:space="0" w:color="auto"/>
              <w:left w:val="nil"/>
              <w:bottom w:val="single" w:sz="8" w:space="0" w:color="auto"/>
              <w:right w:val="single" w:sz="8" w:space="0" w:color="000000"/>
            </w:tcBorders>
            <w:vAlign w:val="center"/>
            <w:hideMark/>
          </w:tcPr>
          <w:p w14:paraId="1693E7F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Improvement of competitiveness</w:t>
            </w:r>
          </w:p>
        </w:tc>
      </w:tr>
      <w:tr w:rsidR="00614438" w:rsidRPr="00AA7A53" w14:paraId="1DEBDC6E" w14:textId="77777777" w:rsidTr="00614438">
        <w:trPr>
          <w:gridAfter w:val="1"/>
          <w:wAfter w:w="1212" w:type="dxa"/>
          <w:trHeight w:val="315"/>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49B9531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85" w:type="dxa"/>
            <w:gridSpan w:val="3"/>
            <w:tcBorders>
              <w:top w:val="single" w:sz="8" w:space="0" w:color="auto"/>
              <w:left w:val="nil"/>
              <w:bottom w:val="single" w:sz="8" w:space="0" w:color="auto"/>
              <w:right w:val="single" w:sz="8" w:space="0" w:color="000000"/>
            </w:tcBorders>
            <w:vAlign w:val="center"/>
            <w:hideMark/>
          </w:tcPr>
          <w:p w14:paraId="65B64E6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 the level of competitiveness in the field of energy (Qualitative objective)</w:t>
            </w:r>
          </w:p>
        </w:tc>
      </w:tr>
      <w:tr w:rsidR="00614438" w:rsidRPr="00AA7A53" w14:paraId="1C6E125A" w14:textId="77777777" w:rsidTr="00614438">
        <w:trPr>
          <w:gridAfter w:val="1"/>
          <w:wAfter w:w="1212" w:type="dxa"/>
          <w:trHeight w:val="2295"/>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7C74353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Description:</w:t>
            </w:r>
          </w:p>
        </w:tc>
        <w:tc>
          <w:tcPr>
            <w:tcW w:w="6185" w:type="dxa"/>
            <w:gridSpan w:val="3"/>
            <w:tcBorders>
              <w:top w:val="single" w:sz="8" w:space="0" w:color="auto"/>
              <w:left w:val="nil"/>
              <w:bottom w:val="single" w:sz="8" w:space="0" w:color="auto"/>
              <w:right w:val="single" w:sz="8" w:space="0" w:color="000000"/>
            </w:tcBorders>
            <w:vAlign w:val="center"/>
            <w:hideMark/>
          </w:tcPr>
          <w:p w14:paraId="112A3CE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PM_RIC17 will aim at the establishment and operation of special funds in order to promote research and innovation in SMEs, to ensure the conditions for the creation of successful investments, the exploitation of patents, the assignment of rights, etc. It will also support the creation of innovative co-operative clusters of companies and research institutions in order to promote entrepreneurship. Finally, the establishment of knowledge-intensive start-ups for commercial use and commercialization of mature research results and innovative ideas will be strengthened, as well as the development of entrepreneurship support structures, such as incubators, technology parks, areas of cooperation, etc.</w:t>
            </w:r>
          </w:p>
        </w:tc>
      </w:tr>
      <w:tr w:rsidR="00614438" w:rsidRPr="00AA7A53" w14:paraId="3F2223EA" w14:textId="77777777" w:rsidTr="00614438">
        <w:trPr>
          <w:gridAfter w:val="1"/>
          <w:wAfter w:w="1212" w:type="dxa"/>
          <w:trHeight w:val="315"/>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45C2CA4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85" w:type="dxa"/>
            <w:gridSpan w:val="3"/>
            <w:tcBorders>
              <w:top w:val="single" w:sz="8" w:space="0" w:color="auto"/>
              <w:left w:val="nil"/>
              <w:bottom w:val="single" w:sz="8" w:space="0" w:color="auto"/>
              <w:right w:val="single" w:sz="8" w:space="0" w:color="000000"/>
            </w:tcBorders>
            <w:vAlign w:val="center"/>
            <w:hideMark/>
          </w:tcPr>
          <w:p w14:paraId="5CD6FFDA" w14:textId="477FD5C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7A515A"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7724D09F" w14:textId="77777777" w:rsidTr="00614438">
        <w:trPr>
          <w:gridAfter w:val="1"/>
          <w:wAfter w:w="1212" w:type="dxa"/>
          <w:trHeight w:val="315"/>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1BC89A0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85" w:type="dxa"/>
            <w:gridSpan w:val="3"/>
            <w:tcBorders>
              <w:top w:val="single" w:sz="8" w:space="0" w:color="auto"/>
              <w:left w:val="nil"/>
              <w:bottom w:val="single" w:sz="8" w:space="0" w:color="auto"/>
              <w:right w:val="single" w:sz="8" w:space="0" w:color="000000"/>
            </w:tcBorders>
            <w:vAlign w:val="center"/>
            <w:hideMark/>
          </w:tcPr>
          <w:p w14:paraId="79CAE0F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0C314265" w14:textId="77777777" w:rsidTr="00614438">
        <w:trPr>
          <w:gridAfter w:val="1"/>
          <w:wAfter w:w="1212" w:type="dxa"/>
          <w:trHeight w:val="315"/>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5A6457D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85" w:type="dxa"/>
            <w:gridSpan w:val="3"/>
            <w:tcBorders>
              <w:top w:val="single" w:sz="8" w:space="0" w:color="auto"/>
              <w:left w:val="nil"/>
              <w:bottom w:val="single" w:sz="8" w:space="0" w:color="auto"/>
              <w:right w:val="single" w:sz="8" w:space="0" w:color="000000"/>
            </w:tcBorders>
            <w:vAlign w:val="center"/>
            <w:hideMark/>
          </w:tcPr>
          <w:p w14:paraId="568A216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INECP subject fields</w:t>
            </w:r>
          </w:p>
        </w:tc>
      </w:tr>
      <w:tr w:rsidR="00614438" w:rsidRPr="00AA7A53" w14:paraId="17A04D11" w14:textId="77777777" w:rsidTr="00614438">
        <w:trPr>
          <w:gridAfter w:val="1"/>
          <w:wAfter w:w="1212" w:type="dxa"/>
          <w:trHeight w:val="315"/>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58CCD07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85" w:type="dxa"/>
            <w:gridSpan w:val="3"/>
            <w:tcBorders>
              <w:top w:val="single" w:sz="8" w:space="0" w:color="auto"/>
              <w:left w:val="nil"/>
              <w:bottom w:val="single" w:sz="8" w:space="0" w:color="auto"/>
              <w:right w:val="single" w:sz="8" w:space="0" w:color="000000"/>
            </w:tcBorders>
            <w:vAlign w:val="center"/>
            <w:hideMark/>
          </w:tcPr>
          <w:p w14:paraId="446652C7" w14:textId="3D3B28B7" w:rsidR="00614438" w:rsidRPr="00AA7A53" w:rsidRDefault="00614438" w:rsidP="00AA7A53">
            <w:pPr>
              <w:numPr>
                <w:ilvl w:val="0"/>
                <w:numId w:val="225"/>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r w:rsidR="007A515A" w:rsidRPr="00AA7A53">
              <w:rPr>
                <w:rFonts w:ascii="Times New Roman" w:hAnsi="Times New Roman" w:cs="Times New Roman"/>
                <w:sz w:val="20"/>
                <w:szCs w:val="20"/>
              </w:rPr>
              <w:t>,</w:t>
            </w:r>
          </w:p>
          <w:p w14:paraId="39712540" w14:textId="2195C362" w:rsidR="00614438" w:rsidRPr="00AA7A53" w:rsidRDefault="00614438" w:rsidP="00AA7A53">
            <w:pPr>
              <w:numPr>
                <w:ilvl w:val="0"/>
                <w:numId w:val="225"/>
              </w:numPr>
              <w:spacing w:after="0"/>
              <w:jc w:val="both"/>
              <w:rPr>
                <w:rFonts w:ascii="Times New Roman" w:hAnsi="Times New Roman" w:cs="Times New Roman"/>
                <w:sz w:val="20"/>
                <w:szCs w:val="20"/>
              </w:rPr>
            </w:pPr>
            <w:r w:rsidRPr="00AA7A53">
              <w:rPr>
                <w:rFonts w:ascii="Times New Roman" w:hAnsi="Times New Roman" w:cs="Times New Roman"/>
                <w:sz w:val="20"/>
                <w:szCs w:val="20"/>
              </w:rPr>
              <w:t>Development Agency of Serbia</w:t>
            </w:r>
            <w:r w:rsidR="007A515A" w:rsidRPr="00AA7A53">
              <w:rPr>
                <w:rFonts w:ascii="Times New Roman" w:hAnsi="Times New Roman" w:cs="Times New Roman"/>
                <w:sz w:val="20"/>
                <w:szCs w:val="20"/>
              </w:rPr>
              <w:t>,</w:t>
            </w:r>
          </w:p>
          <w:p w14:paraId="44AEEC48" w14:textId="09754459" w:rsidR="00614438" w:rsidRPr="00AA7A53" w:rsidRDefault="00614438" w:rsidP="00AA7A53">
            <w:pPr>
              <w:numPr>
                <w:ilvl w:val="0"/>
                <w:numId w:val="225"/>
              </w:numPr>
              <w:spacing w:after="0"/>
              <w:jc w:val="both"/>
              <w:rPr>
                <w:rFonts w:ascii="Times New Roman" w:hAnsi="Times New Roman" w:cs="Times New Roman"/>
                <w:sz w:val="20"/>
                <w:szCs w:val="20"/>
              </w:rPr>
            </w:pPr>
            <w:r w:rsidRPr="00AA7A53">
              <w:rPr>
                <w:rFonts w:ascii="Times New Roman" w:hAnsi="Times New Roman" w:cs="Times New Roman"/>
                <w:sz w:val="20"/>
                <w:szCs w:val="20"/>
              </w:rPr>
              <w:t>Chamber of Commerce and Industry of Serbia</w:t>
            </w:r>
            <w:r w:rsidR="007A515A" w:rsidRPr="00AA7A53">
              <w:rPr>
                <w:rFonts w:ascii="Times New Roman" w:hAnsi="Times New Roman" w:cs="Times New Roman"/>
                <w:sz w:val="20"/>
                <w:szCs w:val="20"/>
              </w:rPr>
              <w:t>,</w:t>
            </w:r>
          </w:p>
          <w:p w14:paraId="05AB4C71" w14:textId="72CBB138" w:rsidR="00614438" w:rsidRPr="00AA7A53" w:rsidRDefault="00614438" w:rsidP="00AA7A53">
            <w:pPr>
              <w:numPr>
                <w:ilvl w:val="0"/>
                <w:numId w:val="225"/>
              </w:numPr>
              <w:spacing w:after="0"/>
              <w:jc w:val="both"/>
              <w:rPr>
                <w:rFonts w:ascii="Times New Roman" w:hAnsi="Times New Roman" w:cs="Times New Roman"/>
                <w:sz w:val="20"/>
                <w:szCs w:val="20"/>
              </w:rPr>
            </w:pPr>
            <w:r w:rsidRPr="00AA7A53">
              <w:rPr>
                <w:rFonts w:ascii="Times New Roman" w:hAnsi="Times New Roman" w:cs="Times New Roman"/>
                <w:sz w:val="20"/>
                <w:szCs w:val="20"/>
              </w:rPr>
              <w:t>Center for Promotion of Science</w:t>
            </w:r>
            <w:r w:rsidR="007A515A" w:rsidRPr="00AA7A53">
              <w:rPr>
                <w:rFonts w:ascii="Times New Roman" w:hAnsi="Times New Roman" w:cs="Times New Roman"/>
                <w:sz w:val="20"/>
                <w:szCs w:val="20"/>
              </w:rPr>
              <w:t>.</w:t>
            </w:r>
          </w:p>
        </w:tc>
      </w:tr>
      <w:tr w:rsidR="00614438" w:rsidRPr="00AA7A53" w14:paraId="5A41B3A6" w14:textId="77777777" w:rsidTr="00614438">
        <w:trPr>
          <w:gridAfter w:val="1"/>
          <w:wAfter w:w="1212" w:type="dxa"/>
          <w:trHeight w:val="315"/>
        </w:trPr>
        <w:tc>
          <w:tcPr>
            <w:tcW w:w="3303" w:type="dxa"/>
            <w:tcBorders>
              <w:top w:val="nil"/>
              <w:left w:val="single" w:sz="8" w:space="0" w:color="auto"/>
              <w:bottom w:val="single" w:sz="8" w:space="0" w:color="auto"/>
              <w:right w:val="nil"/>
            </w:tcBorders>
            <w:shd w:val="clear" w:color="auto" w:fill="244062"/>
            <w:vAlign w:val="center"/>
            <w:hideMark/>
          </w:tcPr>
          <w:p w14:paraId="7BB9399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85" w:type="dxa"/>
            <w:gridSpan w:val="3"/>
            <w:tcBorders>
              <w:top w:val="single" w:sz="8" w:space="0" w:color="auto"/>
              <w:left w:val="nil"/>
              <w:bottom w:val="single" w:sz="8" w:space="0" w:color="auto"/>
              <w:right w:val="single" w:sz="8" w:space="0" w:color="000000"/>
            </w:tcBorders>
            <w:vAlign w:val="center"/>
            <w:hideMark/>
          </w:tcPr>
          <w:p w14:paraId="0BE48EA9" w14:textId="0E3909D7" w:rsidR="00614438" w:rsidRPr="00AA7A53" w:rsidRDefault="00614438" w:rsidP="00AA7A53">
            <w:pPr>
              <w:spacing w:after="0"/>
              <w:ind w:left="720"/>
              <w:jc w:val="both"/>
              <w:rPr>
                <w:rFonts w:ascii="Times New Roman" w:hAnsi="Times New Roman" w:cs="Times New Roman"/>
                <w:sz w:val="20"/>
                <w:szCs w:val="20"/>
              </w:rPr>
            </w:pPr>
          </w:p>
        </w:tc>
      </w:tr>
      <w:tr w:rsidR="00614438" w:rsidRPr="00AA7A53" w14:paraId="066FC19A" w14:textId="77777777" w:rsidTr="00614438">
        <w:trPr>
          <w:gridAfter w:val="1"/>
          <w:wAfter w:w="1212" w:type="dxa"/>
          <w:trHeight w:val="315"/>
        </w:trPr>
        <w:tc>
          <w:tcPr>
            <w:tcW w:w="3303" w:type="dxa"/>
            <w:tcBorders>
              <w:top w:val="nil"/>
              <w:left w:val="single" w:sz="8" w:space="0" w:color="auto"/>
              <w:bottom w:val="single" w:sz="8" w:space="0" w:color="auto"/>
              <w:right w:val="nil"/>
            </w:tcBorders>
            <w:shd w:val="clear" w:color="auto" w:fill="244062"/>
            <w:vAlign w:val="center"/>
            <w:hideMark/>
          </w:tcPr>
          <w:p w14:paraId="2595C15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85" w:type="dxa"/>
            <w:gridSpan w:val="3"/>
            <w:tcBorders>
              <w:top w:val="single" w:sz="8" w:space="0" w:color="auto"/>
              <w:left w:val="nil"/>
              <w:bottom w:val="single" w:sz="8" w:space="0" w:color="auto"/>
              <w:right w:val="single" w:sz="8" w:space="0" w:color="000000"/>
            </w:tcBorders>
            <w:vAlign w:val="center"/>
            <w:hideMark/>
          </w:tcPr>
          <w:p w14:paraId="7D2819B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Number of actions in the field of clean energy on an annual basis</w:t>
            </w:r>
          </w:p>
        </w:tc>
      </w:tr>
      <w:tr w:rsidR="00614438" w:rsidRPr="00AA7A53" w14:paraId="282FB8FB" w14:textId="77777777" w:rsidTr="00614438">
        <w:trPr>
          <w:gridAfter w:val="1"/>
          <w:wAfter w:w="1212" w:type="dxa"/>
          <w:trHeight w:val="479"/>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0862D9E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85" w:type="dxa"/>
            <w:gridSpan w:val="3"/>
            <w:tcBorders>
              <w:top w:val="single" w:sz="8" w:space="0" w:color="auto"/>
              <w:left w:val="nil"/>
              <w:bottom w:val="single" w:sz="8" w:space="0" w:color="auto"/>
              <w:right w:val="single" w:sz="8" w:space="0" w:color="000000"/>
            </w:tcBorders>
            <w:vAlign w:val="center"/>
            <w:hideMark/>
          </w:tcPr>
          <w:p w14:paraId="534F6703" w14:textId="77777777" w:rsidR="00614438" w:rsidRPr="00AA7A53" w:rsidRDefault="00614438" w:rsidP="00AA7A53">
            <w:pPr>
              <w:numPr>
                <w:ilvl w:val="0"/>
                <w:numId w:val="226"/>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tc>
      </w:tr>
      <w:tr w:rsidR="00614438" w:rsidRPr="00AA7A53" w14:paraId="56242616" w14:textId="77777777" w:rsidTr="00614438">
        <w:trPr>
          <w:gridAfter w:val="1"/>
          <w:wAfter w:w="1212" w:type="dxa"/>
          <w:trHeight w:val="458"/>
        </w:trPr>
        <w:tc>
          <w:tcPr>
            <w:tcW w:w="3303" w:type="dxa"/>
            <w:vMerge w:val="restart"/>
            <w:tcBorders>
              <w:top w:val="nil"/>
              <w:left w:val="single" w:sz="8" w:space="0" w:color="auto"/>
              <w:bottom w:val="single" w:sz="8" w:space="0" w:color="000000"/>
              <w:right w:val="single" w:sz="8" w:space="0" w:color="auto"/>
            </w:tcBorders>
            <w:shd w:val="clear" w:color="auto" w:fill="244062"/>
            <w:vAlign w:val="center"/>
            <w:hideMark/>
          </w:tcPr>
          <w:p w14:paraId="49D8355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85"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06827737" w14:textId="77777777" w:rsidR="00614438" w:rsidRPr="00AA7A53" w:rsidRDefault="00614438" w:rsidP="00AA7A53">
            <w:pPr>
              <w:numPr>
                <w:ilvl w:val="0"/>
                <w:numId w:val="226"/>
              </w:numPr>
              <w:spacing w:after="0"/>
              <w:jc w:val="both"/>
              <w:rPr>
                <w:rFonts w:ascii="Times New Roman" w:hAnsi="Times New Roman" w:cs="Times New Roman"/>
                <w:sz w:val="20"/>
                <w:szCs w:val="20"/>
              </w:rPr>
            </w:pPr>
            <w:r w:rsidRPr="00AA7A53">
              <w:rPr>
                <w:rFonts w:ascii="Times New Roman" w:hAnsi="Times New Roman" w:cs="Times New Roman"/>
                <w:sz w:val="20"/>
                <w:szCs w:val="20"/>
              </w:rPr>
              <w:t>European legislation</w:t>
            </w:r>
          </w:p>
        </w:tc>
      </w:tr>
      <w:tr w:rsidR="00614438" w:rsidRPr="00AA7A53" w14:paraId="0F782ADB"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43D6012B"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3F7AD09"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4FB5E0A6"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9222544" w14:textId="77777777" w:rsidTr="00614438">
        <w:trPr>
          <w:trHeight w:val="75"/>
        </w:trPr>
        <w:tc>
          <w:tcPr>
            <w:tcW w:w="0" w:type="auto"/>
            <w:vMerge/>
            <w:tcBorders>
              <w:top w:val="nil"/>
              <w:left w:val="single" w:sz="8" w:space="0" w:color="auto"/>
              <w:bottom w:val="single" w:sz="8" w:space="0" w:color="000000"/>
              <w:right w:val="single" w:sz="8" w:space="0" w:color="auto"/>
            </w:tcBorders>
            <w:vAlign w:val="center"/>
            <w:hideMark/>
          </w:tcPr>
          <w:p w14:paraId="1010D247"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05FA28A"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1FEB838B"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4F7E6B89" w14:textId="77777777" w:rsidTr="00614438">
        <w:trPr>
          <w:trHeight w:val="780"/>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1DFC7D4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85" w:type="dxa"/>
            <w:gridSpan w:val="3"/>
            <w:tcBorders>
              <w:top w:val="single" w:sz="8" w:space="0" w:color="auto"/>
              <w:left w:val="nil"/>
              <w:bottom w:val="single" w:sz="8" w:space="0" w:color="auto"/>
              <w:right w:val="single" w:sz="8" w:space="0" w:color="000000"/>
            </w:tcBorders>
            <w:vAlign w:val="center"/>
            <w:hideMark/>
          </w:tcPr>
          <w:p w14:paraId="7A5E7231" w14:textId="77777777" w:rsidR="00614438" w:rsidRPr="00AA7A53" w:rsidRDefault="00614438" w:rsidP="00AA7A53">
            <w:pPr>
              <w:numPr>
                <w:ilvl w:val="0"/>
                <w:numId w:val="227"/>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the Science Fund</w:t>
            </w:r>
          </w:p>
          <w:p w14:paraId="144FAF80" w14:textId="77777777" w:rsidR="00614438" w:rsidRPr="00AA7A53" w:rsidRDefault="00614438" w:rsidP="00AA7A53">
            <w:pPr>
              <w:numPr>
                <w:ilvl w:val="0"/>
                <w:numId w:val="227"/>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Science and Research</w:t>
            </w:r>
          </w:p>
          <w:p w14:paraId="500C71FA" w14:textId="77777777" w:rsidR="00614438" w:rsidRPr="00AA7A53" w:rsidRDefault="00614438" w:rsidP="00AA7A53">
            <w:pPr>
              <w:numPr>
                <w:ilvl w:val="0"/>
                <w:numId w:val="227"/>
              </w:numPr>
              <w:spacing w:after="0"/>
              <w:jc w:val="both"/>
              <w:rPr>
                <w:rFonts w:ascii="Times New Roman" w:hAnsi="Times New Roman" w:cs="Times New Roman"/>
                <w:sz w:val="20"/>
                <w:szCs w:val="20"/>
              </w:rPr>
            </w:pPr>
            <w:r w:rsidRPr="00AA7A53">
              <w:rPr>
                <w:rFonts w:ascii="Times New Roman" w:hAnsi="Times New Roman" w:cs="Times New Roman"/>
                <w:sz w:val="20"/>
                <w:szCs w:val="20"/>
              </w:rPr>
              <w:t>Industrial Policy Strategy (2021-2030)</w:t>
            </w:r>
          </w:p>
        </w:tc>
        <w:tc>
          <w:tcPr>
            <w:tcW w:w="1212" w:type="dxa"/>
            <w:vAlign w:val="center"/>
            <w:hideMark/>
          </w:tcPr>
          <w:p w14:paraId="087D71AB"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EB98E7B" w14:textId="77777777" w:rsidTr="00614438">
        <w:trPr>
          <w:trHeight w:val="315"/>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3FF04C5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85" w:type="dxa"/>
            <w:gridSpan w:val="3"/>
            <w:tcBorders>
              <w:top w:val="single" w:sz="8" w:space="0" w:color="auto"/>
              <w:left w:val="nil"/>
              <w:bottom w:val="single" w:sz="8" w:space="0" w:color="auto"/>
              <w:right w:val="single" w:sz="8" w:space="0" w:color="000000"/>
            </w:tcBorders>
            <w:vAlign w:val="center"/>
            <w:hideMark/>
          </w:tcPr>
          <w:p w14:paraId="00AEBE0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1.8 M€</w:t>
            </w:r>
          </w:p>
        </w:tc>
        <w:tc>
          <w:tcPr>
            <w:tcW w:w="1212" w:type="dxa"/>
            <w:vAlign w:val="center"/>
            <w:hideMark/>
          </w:tcPr>
          <w:p w14:paraId="4ABD643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5AF4E10" w14:textId="77777777" w:rsidTr="00614438">
        <w:trPr>
          <w:trHeight w:val="315"/>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0F9BF27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85" w:type="dxa"/>
            <w:gridSpan w:val="3"/>
            <w:tcBorders>
              <w:top w:val="single" w:sz="8" w:space="0" w:color="auto"/>
              <w:left w:val="nil"/>
              <w:bottom w:val="single" w:sz="8" w:space="0" w:color="auto"/>
              <w:right w:val="single" w:sz="8" w:space="0" w:color="000000"/>
            </w:tcBorders>
            <w:vAlign w:val="center"/>
            <w:hideMark/>
          </w:tcPr>
          <w:p w14:paraId="6CB129F3" w14:textId="4185841F" w:rsidR="00614438" w:rsidRPr="00AA7A53" w:rsidRDefault="007A515A"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funds, own funds and public</w:t>
            </w:r>
            <w:r w:rsidR="00614438" w:rsidRPr="00AA7A53">
              <w:rPr>
                <w:rFonts w:ascii="Times New Roman" w:hAnsi="Times New Roman" w:cs="Times New Roman"/>
                <w:sz w:val="20"/>
                <w:szCs w:val="20"/>
                <w:lang w:val="en-GB"/>
              </w:rPr>
              <w:t xml:space="preserve"> funds</w:t>
            </w:r>
          </w:p>
          <w:p w14:paraId="07CE9A3B" w14:textId="6E02EA8A" w:rsidR="00614438" w:rsidRPr="00AA7A53" w:rsidRDefault="00614438" w:rsidP="00AA7A53">
            <w:pPr>
              <w:numPr>
                <w:ilvl w:val="0"/>
                <w:numId w:val="203"/>
              </w:numPr>
              <w:spacing w:after="0"/>
              <w:jc w:val="both"/>
              <w:rPr>
                <w:rFonts w:ascii="Times New Roman" w:hAnsi="Times New Roman" w:cs="Times New Roman"/>
                <w:sz w:val="20"/>
                <w:szCs w:val="20"/>
                <w:lang w:val="en-GB"/>
              </w:rPr>
            </w:pPr>
          </w:p>
        </w:tc>
        <w:tc>
          <w:tcPr>
            <w:tcW w:w="1212" w:type="dxa"/>
            <w:vAlign w:val="center"/>
            <w:hideMark/>
          </w:tcPr>
          <w:p w14:paraId="1BFF8C1F" w14:textId="77777777" w:rsidR="00614438" w:rsidRPr="00AA7A53" w:rsidRDefault="00614438" w:rsidP="00AA7A53">
            <w:pPr>
              <w:spacing w:after="0"/>
              <w:jc w:val="both"/>
              <w:rPr>
                <w:rFonts w:ascii="Times New Roman" w:hAnsi="Times New Roman" w:cs="Times New Roman"/>
                <w:sz w:val="20"/>
                <w:szCs w:val="20"/>
                <w:lang w:val="en-GB"/>
              </w:rPr>
            </w:pPr>
          </w:p>
        </w:tc>
      </w:tr>
    </w:tbl>
    <w:p w14:paraId="21529C9F"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72"/>
        <w:gridCol w:w="1139"/>
        <w:gridCol w:w="932"/>
        <w:gridCol w:w="4145"/>
        <w:gridCol w:w="1212"/>
      </w:tblGrid>
      <w:tr w:rsidR="00614438" w:rsidRPr="00AA7A53" w14:paraId="24EF2690" w14:textId="77777777" w:rsidTr="00614438">
        <w:trPr>
          <w:gridAfter w:val="1"/>
          <w:wAfter w:w="1212" w:type="dxa"/>
          <w:trHeight w:val="780"/>
        </w:trPr>
        <w:tc>
          <w:tcPr>
            <w:tcW w:w="3305"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794F4D4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052" w:type="dxa"/>
            <w:tcBorders>
              <w:top w:val="single" w:sz="8" w:space="0" w:color="auto"/>
              <w:left w:val="nil"/>
              <w:bottom w:val="single" w:sz="8" w:space="0" w:color="auto"/>
              <w:right w:val="single" w:sz="8" w:space="0" w:color="auto"/>
            </w:tcBorders>
            <w:shd w:val="clear" w:color="auto" w:fill="E7E6E6" w:themeFill="background2"/>
            <w:vAlign w:val="center"/>
            <w:hideMark/>
          </w:tcPr>
          <w:p w14:paraId="7255CFD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PM_RIC18</w:t>
            </w:r>
          </w:p>
        </w:tc>
        <w:tc>
          <w:tcPr>
            <w:tcW w:w="937" w:type="dxa"/>
            <w:tcBorders>
              <w:top w:val="single" w:sz="8" w:space="0" w:color="auto"/>
              <w:left w:val="nil"/>
              <w:bottom w:val="single" w:sz="8" w:space="0" w:color="auto"/>
              <w:right w:val="single" w:sz="8" w:space="0" w:color="auto"/>
            </w:tcBorders>
            <w:shd w:val="clear" w:color="auto" w:fill="244062"/>
            <w:vAlign w:val="center"/>
            <w:hideMark/>
          </w:tcPr>
          <w:p w14:paraId="6112C2D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94" w:type="dxa"/>
            <w:tcBorders>
              <w:top w:val="single" w:sz="8" w:space="0" w:color="auto"/>
              <w:left w:val="nil"/>
              <w:bottom w:val="single" w:sz="8" w:space="0" w:color="auto"/>
              <w:right w:val="single" w:sz="8" w:space="0" w:color="auto"/>
            </w:tcBorders>
            <w:shd w:val="clear" w:color="auto" w:fill="E7E6E6" w:themeFill="background2"/>
            <w:vAlign w:val="center"/>
            <w:hideMark/>
          </w:tcPr>
          <w:p w14:paraId="27CAAA2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Optimising support framework and schemes for promoting investments with a view to strengthening competitiveness</w:t>
            </w:r>
          </w:p>
        </w:tc>
      </w:tr>
      <w:tr w:rsidR="00614438" w:rsidRPr="00AA7A53" w14:paraId="427BA2D5" w14:textId="77777777" w:rsidTr="00614438">
        <w:trPr>
          <w:gridAfter w:val="1"/>
          <w:wAfter w:w="1212" w:type="dxa"/>
          <w:trHeight w:val="325"/>
        </w:trPr>
        <w:tc>
          <w:tcPr>
            <w:tcW w:w="3305" w:type="dxa"/>
            <w:tcBorders>
              <w:top w:val="nil"/>
              <w:left w:val="single" w:sz="8" w:space="0" w:color="auto"/>
              <w:bottom w:val="single" w:sz="8" w:space="0" w:color="auto"/>
              <w:right w:val="nil"/>
            </w:tcBorders>
            <w:shd w:val="clear" w:color="auto" w:fill="244062"/>
            <w:vAlign w:val="center"/>
            <w:hideMark/>
          </w:tcPr>
          <w:p w14:paraId="05A72E3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83" w:type="dxa"/>
            <w:gridSpan w:val="3"/>
            <w:tcBorders>
              <w:top w:val="single" w:sz="8" w:space="0" w:color="auto"/>
              <w:left w:val="nil"/>
              <w:bottom w:val="single" w:sz="8" w:space="0" w:color="auto"/>
              <w:right w:val="single" w:sz="8" w:space="0" w:color="000000"/>
            </w:tcBorders>
            <w:vAlign w:val="center"/>
            <w:hideMark/>
          </w:tcPr>
          <w:p w14:paraId="79A4CDE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Improvement of competitiveness</w:t>
            </w:r>
          </w:p>
        </w:tc>
      </w:tr>
      <w:tr w:rsidR="00614438" w:rsidRPr="00AA7A53" w14:paraId="06D71668" w14:textId="77777777" w:rsidTr="00614438">
        <w:trPr>
          <w:gridAfter w:val="1"/>
          <w:wAfter w:w="1212" w:type="dxa"/>
          <w:trHeight w:val="315"/>
        </w:trPr>
        <w:tc>
          <w:tcPr>
            <w:tcW w:w="3305" w:type="dxa"/>
            <w:tcBorders>
              <w:top w:val="nil"/>
              <w:left w:val="single" w:sz="8" w:space="0" w:color="auto"/>
              <w:bottom w:val="single" w:sz="8" w:space="0" w:color="auto"/>
              <w:right w:val="single" w:sz="8" w:space="0" w:color="auto"/>
            </w:tcBorders>
            <w:shd w:val="clear" w:color="auto" w:fill="244062"/>
            <w:vAlign w:val="center"/>
            <w:hideMark/>
          </w:tcPr>
          <w:p w14:paraId="1C229AB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83" w:type="dxa"/>
            <w:gridSpan w:val="3"/>
            <w:tcBorders>
              <w:top w:val="single" w:sz="8" w:space="0" w:color="auto"/>
              <w:left w:val="nil"/>
              <w:bottom w:val="single" w:sz="8" w:space="0" w:color="auto"/>
              <w:right w:val="single" w:sz="8" w:space="0" w:color="000000"/>
            </w:tcBorders>
            <w:vAlign w:val="center"/>
            <w:hideMark/>
          </w:tcPr>
          <w:p w14:paraId="769680C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 the level of competitiveness in the field of energy (Qualitative objective)</w:t>
            </w:r>
          </w:p>
        </w:tc>
      </w:tr>
      <w:tr w:rsidR="00614438" w:rsidRPr="00AA7A53" w14:paraId="3CB5375A" w14:textId="77777777" w:rsidTr="00614438">
        <w:trPr>
          <w:gridAfter w:val="1"/>
          <w:wAfter w:w="1212" w:type="dxa"/>
          <w:trHeight w:val="287"/>
        </w:trPr>
        <w:tc>
          <w:tcPr>
            <w:tcW w:w="3305" w:type="dxa"/>
            <w:tcBorders>
              <w:top w:val="nil"/>
              <w:left w:val="single" w:sz="8" w:space="0" w:color="auto"/>
              <w:bottom w:val="single" w:sz="8" w:space="0" w:color="auto"/>
              <w:right w:val="single" w:sz="8" w:space="0" w:color="auto"/>
            </w:tcBorders>
            <w:shd w:val="clear" w:color="auto" w:fill="244062"/>
            <w:vAlign w:val="center"/>
            <w:hideMark/>
          </w:tcPr>
          <w:p w14:paraId="04834B9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83" w:type="dxa"/>
            <w:gridSpan w:val="3"/>
            <w:tcBorders>
              <w:top w:val="single" w:sz="8" w:space="0" w:color="auto"/>
              <w:left w:val="nil"/>
              <w:bottom w:val="single" w:sz="8" w:space="0" w:color="auto"/>
              <w:right w:val="single" w:sz="8" w:space="0" w:color="000000"/>
            </w:tcBorders>
            <w:vAlign w:val="center"/>
            <w:hideMark/>
          </w:tcPr>
          <w:p w14:paraId="3BF83926" w14:textId="4B03A621"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PM_RIC18 will improve the existing regulatory framework for investments in industrial units and SMEs in order to create a stable and transparent investment framework of rules, procedures and administrative structures with </w:t>
            </w:r>
            <w:r w:rsidR="007A515A" w:rsidRPr="00AA7A53">
              <w:rPr>
                <w:rFonts w:ascii="Times New Roman" w:hAnsi="Times New Roman" w:cs="Times New Roman"/>
                <w:sz w:val="20"/>
                <w:szCs w:val="20"/>
                <w:lang w:val="en-GB"/>
              </w:rPr>
              <w:t>the aim</w:t>
            </w:r>
            <w:r w:rsidRPr="00AA7A53">
              <w:rPr>
                <w:rFonts w:ascii="Times New Roman" w:hAnsi="Times New Roman" w:cs="Times New Roman"/>
                <w:sz w:val="20"/>
                <w:szCs w:val="20"/>
                <w:lang w:val="en-GB"/>
              </w:rPr>
              <w:t xml:space="preserve"> to </w:t>
            </w:r>
            <w:r w:rsidR="007A515A" w:rsidRPr="00AA7A53">
              <w:rPr>
                <w:rFonts w:ascii="Times New Roman" w:hAnsi="Times New Roman" w:cs="Times New Roman"/>
                <w:sz w:val="20"/>
                <w:szCs w:val="20"/>
                <w:lang w:val="en-GB"/>
              </w:rPr>
              <w:t>obtain</w:t>
            </w:r>
            <w:r w:rsidRPr="00AA7A53">
              <w:rPr>
                <w:rFonts w:ascii="Times New Roman" w:hAnsi="Times New Roman" w:cs="Times New Roman"/>
                <w:sz w:val="20"/>
                <w:szCs w:val="20"/>
                <w:lang w:val="en-GB"/>
              </w:rPr>
              <w:t xml:space="preserve"> smooth completion of major public and private projects. In addition, in order to increase the leverage of private capital, the effectiveness of existing private investment support schemes will be assessed in order to continue the implementation of the most profitable and/or attempt the implementation of new ones.</w:t>
            </w:r>
          </w:p>
        </w:tc>
      </w:tr>
      <w:tr w:rsidR="00614438" w:rsidRPr="00AA7A53" w14:paraId="0B408DAF" w14:textId="77777777" w:rsidTr="00614438">
        <w:trPr>
          <w:gridAfter w:val="1"/>
          <w:wAfter w:w="1212" w:type="dxa"/>
          <w:trHeight w:val="315"/>
        </w:trPr>
        <w:tc>
          <w:tcPr>
            <w:tcW w:w="3305" w:type="dxa"/>
            <w:tcBorders>
              <w:top w:val="nil"/>
              <w:left w:val="single" w:sz="8" w:space="0" w:color="auto"/>
              <w:bottom w:val="single" w:sz="8" w:space="0" w:color="auto"/>
              <w:right w:val="single" w:sz="8" w:space="0" w:color="auto"/>
            </w:tcBorders>
            <w:shd w:val="clear" w:color="auto" w:fill="244062"/>
            <w:vAlign w:val="center"/>
            <w:hideMark/>
          </w:tcPr>
          <w:p w14:paraId="0F195BA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83" w:type="dxa"/>
            <w:gridSpan w:val="3"/>
            <w:tcBorders>
              <w:top w:val="single" w:sz="8" w:space="0" w:color="auto"/>
              <w:left w:val="nil"/>
              <w:bottom w:val="single" w:sz="8" w:space="0" w:color="auto"/>
              <w:right w:val="single" w:sz="8" w:space="0" w:color="000000"/>
            </w:tcBorders>
            <w:vAlign w:val="center"/>
            <w:hideMark/>
          </w:tcPr>
          <w:p w14:paraId="5ADDD4FB" w14:textId="09444841"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7A515A"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51B85535" w14:textId="77777777" w:rsidTr="00614438">
        <w:trPr>
          <w:gridAfter w:val="1"/>
          <w:wAfter w:w="1212" w:type="dxa"/>
          <w:trHeight w:val="315"/>
        </w:trPr>
        <w:tc>
          <w:tcPr>
            <w:tcW w:w="3305" w:type="dxa"/>
            <w:tcBorders>
              <w:top w:val="nil"/>
              <w:left w:val="single" w:sz="8" w:space="0" w:color="auto"/>
              <w:bottom w:val="single" w:sz="8" w:space="0" w:color="auto"/>
              <w:right w:val="single" w:sz="8" w:space="0" w:color="auto"/>
            </w:tcBorders>
            <w:shd w:val="clear" w:color="auto" w:fill="244062"/>
            <w:vAlign w:val="center"/>
            <w:hideMark/>
          </w:tcPr>
          <w:p w14:paraId="468826A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83" w:type="dxa"/>
            <w:gridSpan w:val="3"/>
            <w:tcBorders>
              <w:top w:val="single" w:sz="8" w:space="0" w:color="auto"/>
              <w:left w:val="nil"/>
              <w:bottom w:val="single" w:sz="8" w:space="0" w:color="auto"/>
              <w:right w:val="single" w:sz="8" w:space="0" w:color="000000"/>
            </w:tcBorders>
            <w:vAlign w:val="center"/>
            <w:hideMark/>
          </w:tcPr>
          <w:p w14:paraId="703F915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00A73C30" w14:textId="77777777" w:rsidTr="00614438">
        <w:trPr>
          <w:gridAfter w:val="1"/>
          <w:wAfter w:w="1212" w:type="dxa"/>
          <w:trHeight w:val="315"/>
        </w:trPr>
        <w:tc>
          <w:tcPr>
            <w:tcW w:w="3305" w:type="dxa"/>
            <w:tcBorders>
              <w:top w:val="nil"/>
              <w:left w:val="single" w:sz="8" w:space="0" w:color="auto"/>
              <w:bottom w:val="single" w:sz="8" w:space="0" w:color="auto"/>
              <w:right w:val="single" w:sz="8" w:space="0" w:color="auto"/>
            </w:tcBorders>
            <w:shd w:val="clear" w:color="auto" w:fill="244062"/>
            <w:vAlign w:val="center"/>
            <w:hideMark/>
          </w:tcPr>
          <w:p w14:paraId="27A9A38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83" w:type="dxa"/>
            <w:gridSpan w:val="3"/>
            <w:tcBorders>
              <w:top w:val="single" w:sz="8" w:space="0" w:color="auto"/>
              <w:left w:val="nil"/>
              <w:bottom w:val="single" w:sz="8" w:space="0" w:color="auto"/>
              <w:right w:val="single" w:sz="8" w:space="0" w:color="000000"/>
            </w:tcBorders>
            <w:vAlign w:val="center"/>
            <w:hideMark/>
          </w:tcPr>
          <w:p w14:paraId="31F4352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INECP subject fields</w:t>
            </w:r>
          </w:p>
        </w:tc>
      </w:tr>
      <w:tr w:rsidR="00614438" w:rsidRPr="00AA7A53" w14:paraId="222C0122" w14:textId="77777777" w:rsidTr="00614438">
        <w:trPr>
          <w:gridAfter w:val="1"/>
          <w:wAfter w:w="1212" w:type="dxa"/>
          <w:trHeight w:val="315"/>
        </w:trPr>
        <w:tc>
          <w:tcPr>
            <w:tcW w:w="3305" w:type="dxa"/>
            <w:tcBorders>
              <w:top w:val="nil"/>
              <w:left w:val="single" w:sz="8" w:space="0" w:color="auto"/>
              <w:bottom w:val="single" w:sz="8" w:space="0" w:color="auto"/>
              <w:right w:val="single" w:sz="8" w:space="0" w:color="auto"/>
            </w:tcBorders>
            <w:shd w:val="clear" w:color="auto" w:fill="244062"/>
            <w:vAlign w:val="center"/>
            <w:hideMark/>
          </w:tcPr>
          <w:p w14:paraId="2ABCA0F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83" w:type="dxa"/>
            <w:gridSpan w:val="3"/>
            <w:tcBorders>
              <w:top w:val="single" w:sz="8" w:space="0" w:color="auto"/>
              <w:left w:val="nil"/>
              <w:bottom w:val="single" w:sz="8" w:space="0" w:color="auto"/>
              <w:right w:val="single" w:sz="8" w:space="0" w:color="000000"/>
            </w:tcBorders>
            <w:vAlign w:val="center"/>
            <w:hideMark/>
          </w:tcPr>
          <w:p w14:paraId="21778E3B" w14:textId="31F2344D" w:rsidR="00614438" w:rsidRPr="00AA7A53" w:rsidRDefault="00614438" w:rsidP="00AA7A53">
            <w:pPr>
              <w:spacing w:after="0"/>
              <w:jc w:val="both"/>
              <w:rPr>
                <w:rFonts w:ascii="Times New Roman" w:hAnsi="Times New Roman" w:cs="Times New Roman"/>
                <w:sz w:val="20"/>
                <w:szCs w:val="20"/>
              </w:rPr>
            </w:pPr>
          </w:p>
          <w:p w14:paraId="02982765" w14:textId="77777777" w:rsidR="00614438" w:rsidRPr="00AA7A53" w:rsidRDefault="00614438" w:rsidP="00AA7A53">
            <w:pPr>
              <w:numPr>
                <w:ilvl w:val="0"/>
                <w:numId w:val="228"/>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tc>
      </w:tr>
      <w:tr w:rsidR="00614438" w:rsidRPr="00AA7A53" w14:paraId="1E3029A3" w14:textId="77777777" w:rsidTr="00614438">
        <w:trPr>
          <w:gridAfter w:val="1"/>
          <w:wAfter w:w="1212" w:type="dxa"/>
          <w:trHeight w:val="315"/>
        </w:trPr>
        <w:tc>
          <w:tcPr>
            <w:tcW w:w="3305" w:type="dxa"/>
            <w:tcBorders>
              <w:top w:val="nil"/>
              <w:left w:val="single" w:sz="8" w:space="0" w:color="auto"/>
              <w:bottom w:val="single" w:sz="8" w:space="0" w:color="auto"/>
              <w:right w:val="nil"/>
            </w:tcBorders>
            <w:shd w:val="clear" w:color="auto" w:fill="244062"/>
            <w:vAlign w:val="center"/>
            <w:hideMark/>
          </w:tcPr>
          <w:p w14:paraId="0D34305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83" w:type="dxa"/>
            <w:gridSpan w:val="3"/>
            <w:tcBorders>
              <w:top w:val="single" w:sz="8" w:space="0" w:color="auto"/>
              <w:left w:val="nil"/>
              <w:bottom w:val="single" w:sz="8" w:space="0" w:color="auto"/>
              <w:right w:val="single" w:sz="8" w:space="0" w:color="000000"/>
            </w:tcBorders>
            <w:vAlign w:val="center"/>
            <w:hideMark/>
          </w:tcPr>
          <w:p w14:paraId="263018B2" w14:textId="33CD33E2" w:rsidR="00614438" w:rsidRPr="00AA7A53" w:rsidRDefault="00614438" w:rsidP="00AA7A53">
            <w:pPr>
              <w:numPr>
                <w:ilvl w:val="0"/>
                <w:numId w:val="228"/>
              </w:numPr>
              <w:spacing w:after="0"/>
              <w:jc w:val="both"/>
              <w:rPr>
                <w:rFonts w:ascii="Times New Roman" w:hAnsi="Times New Roman" w:cs="Times New Roman"/>
                <w:sz w:val="20"/>
                <w:szCs w:val="20"/>
              </w:rPr>
            </w:pPr>
          </w:p>
        </w:tc>
      </w:tr>
      <w:tr w:rsidR="00614438" w:rsidRPr="00AA7A53" w14:paraId="57C0FBB0" w14:textId="77777777" w:rsidTr="00614438">
        <w:trPr>
          <w:gridAfter w:val="1"/>
          <w:wAfter w:w="1212" w:type="dxa"/>
          <w:trHeight w:val="315"/>
        </w:trPr>
        <w:tc>
          <w:tcPr>
            <w:tcW w:w="3305" w:type="dxa"/>
            <w:tcBorders>
              <w:top w:val="nil"/>
              <w:left w:val="single" w:sz="8" w:space="0" w:color="auto"/>
              <w:bottom w:val="single" w:sz="8" w:space="0" w:color="auto"/>
              <w:right w:val="nil"/>
            </w:tcBorders>
            <w:shd w:val="clear" w:color="auto" w:fill="244062"/>
            <w:vAlign w:val="center"/>
            <w:hideMark/>
          </w:tcPr>
          <w:p w14:paraId="38BA208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83" w:type="dxa"/>
            <w:gridSpan w:val="3"/>
            <w:tcBorders>
              <w:top w:val="single" w:sz="8" w:space="0" w:color="auto"/>
              <w:left w:val="nil"/>
              <w:bottom w:val="single" w:sz="8" w:space="0" w:color="auto"/>
              <w:right w:val="single" w:sz="8" w:space="0" w:color="000000"/>
            </w:tcBorders>
            <w:vAlign w:val="center"/>
            <w:hideMark/>
          </w:tcPr>
          <w:p w14:paraId="577FAA9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New support schemes and amendments of existing</w:t>
            </w:r>
          </w:p>
        </w:tc>
      </w:tr>
      <w:tr w:rsidR="00614438" w:rsidRPr="00AA7A53" w14:paraId="71EA0FED" w14:textId="77777777" w:rsidTr="00614438">
        <w:trPr>
          <w:gridAfter w:val="1"/>
          <w:wAfter w:w="1212" w:type="dxa"/>
          <w:trHeight w:val="415"/>
        </w:trPr>
        <w:tc>
          <w:tcPr>
            <w:tcW w:w="3305" w:type="dxa"/>
            <w:tcBorders>
              <w:top w:val="nil"/>
              <w:left w:val="single" w:sz="8" w:space="0" w:color="auto"/>
              <w:bottom w:val="single" w:sz="8" w:space="0" w:color="auto"/>
              <w:right w:val="single" w:sz="8" w:space="0" w:color="auto"/>
            </w:tcBorders>
            <w:shd w:val="clear" w:color="auto" w:fill="244062"/>
            <w:vAlign w:val="center"/>
            <w:hideMark/>
          </w:tcPr>
          <w:p w14:paraId="218460B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Other relevant Energy Union dimension(s) affected</w:t>
            </w:r>
          </w:p>
        </w:tc>
        <w:tc>
          <w:tcPr>
            <w:tcW w:w="6183" w:type="dxa"/>
            <w:gridSpan w:val="3"/>
            <w:tcBorders>
              <w:top w:val="single" w:sz="8" w:space="0" w:color="auto"/>
              <w:left w:val="nil"/>
              <w:bottom w:val="single" w:sz="8" w:space="0" w:color="auto"/>
              <w:right w:val="single" w:sz="8" w:space="0" w:color="000000"/>
            </w:tcBorders>
            <w:vAlign w:val="center"/>
            <w:hideMark/>
          </w:tcPr>
          <w:p w14:paraId="6E7DF9EE" w14:textId="77777777" w:rsidR="00614438" w:rsidRPr="00AA7A53" w:rsidRDefault="00614438" w:rsidP="00AA7A53">
            <w:pPr>
              <w:numPr>
                <w:ilvl w:val="0"/>
                <w:numId w:val="229"/>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tc>
      </w:tr>
      <w:tr w:rsidR="00614438" w:rsidRPr="00AA7A53" w14:paraId="434A291A" w14:textId="77777777" w:rsidTr="00614438">
        <w:trPr>
          <w:gridAfter w:val="1"/>
          <w:wAfter w:w="1212" w:type="dxa"/>
          <w:trHeight w:val="458"/>
        </w:trPr>
        <w:tc>
          <w:tcPr>
            <w:tcW w:w="3305" w:type="dxa"/>
            <w:vMerge w:val="restart"/>
            <w:tcBorders>
              <w:top w:val="nil"/>
              <w:left w:val="single" w:sz="8" w:space="0" w:color="auto"/>
              <w:bottom w:val="single" w:sz="8" w:space="0" w:color="000000"/>
              <w:right w:val="single" w:sz="8" w:space="0" w:color="auto"/>
            </w:tcBorders>
            <w:shd w:val="clear" w:color="auto" w:fill="244062"/>
            <w:vAlign w:val="center"/>
            <w:hideMark/>
          </w:tcPr>
          <w:p w14:paraId="3B71E9A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83"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C1DEE42" w14:textId="77777777" w:rsidR="00614438" w:rsidRPr="00AA7A53" w:rsidRDefault="00614438" w:rsidP="00AA7A53">
            <w:pPr>
              <w:numPr>
                <w:ilvl w:val="0"/>
                <w:numId w:val="229"/>
              </w:numPr>
              <w:spacing w:after="0"/>
              <w:jc w:val="both"/>
              <w:rPr>
                <w:rFonts w:ascii="Times New Roman" w:hAnsi="Times New Roman" w:cs="Times New Roman"/>
                <w:sz w:val="20"/>
                <w:szCs w:val="20"/>
              </w:rPr>
            </w:pPr>
            <w:r w:rsidRPr="00AA7A53">
              <w:rPr>
                <w:rFonts w:ascii="Times New Roman" w:hAnsi="Times New Roman" w:cs="Times New Roman"/>
                <w:sz w:val="20"/>
                <w:szCs w:val="20"/>
              </w:rPr>
              <w:t>European legislation</w:t>
            </w:r>
          </w:p>
        </w:tc>
      </w:tr>
      <w:tr w:rsidR="00614438" w:rsidRPr="00AA7A53" w14:paraId="31896590"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0F179D18"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7F2629C"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48BDB9B0"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2381585" w14:textId="77777777" w:rsidTr="00614438">
        <w:trPr>
          <w:trHeight w:val="75"/>
        </w:trPr>
        <w:tc>
          <w:tcPr>
            <w:tcW w:w="0" w:type="auto"/>
            <w:vMerge/>
            <w:tcBorders>
              <w:top w:val="nil"/>
              <w:left w:val="single" w:sz="8" w:space="0" w:color="auto"/>
              <w:bottom w:val="single" w:sz="8" w:space="0" w:color="000000"/>
              <w:right w:val="single" w:sz="8" w:space="0" w:color="auto"/>
            </w:tcBorders>
            <w:vAlign w:val="center"/>
            <w:hideMark/>
          </w:tcPr>
          <w:p w14:paraId="7F0A09DE"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F299192"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38C254B2"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69C4358C" w14:textId="77777777" w:rsidTr="00614438">
        <w:trPr>
          <w:trHeight w:val="391"/>
        </w:trPr>
        <w:tc>
          <w:tcPr>
            <w:tcW w:w="3305" w:type="dxa"/>
            <w:tcBorders>
              <w:top w:val="nil"/>
              <w:left w:val="single" w:sz="8" w:space="0" w:color="auto"/>
              <w:bottom w:val="single" w:sz="8" w:space="0" w:color="auto"/>
              <w:right w:val="single" w:sz="8" w:space="0" w:color="auto"/>
            </w:tcBorders>
            <w:shd w:val="clear" w:color="auto" w:fill="244062"/>
            <w:vAlign w:val="center"/>
            <w:hideMark/>
          </w:tcPr>
          <w:p w14:paraId="0C9E558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83" w:type="dxa"/>
            <w:gridSpan w:val="3"/>
            <w:tcBorders>
              <w:top w:val="single" w:sz="8" w:space="0" w:color="auto"/>
              <w:left w:val="nil"/>
              <w:bottom w:val="single" w:sz="8" w:space="0" w:color="auto"/>
              <w:right w:val="single" w:sz="8" w:space="0" w:color="000000"/>
            </w:tcBorders>
            <w:vAlign w:val="center"/>
            <w:hideMark/>
          </w:tcPr>
          <w:p w14:paraId="3143D716" w14:textId="77777777" w:rsidR="00614438" w:rsidRPr="00AA7A53" w:rsidRDefault="00614438" w:rsidP="00AA7A53">
            <w:pPr>
              <w:numPr>
                <w:ilvl w:val="0"/>
                <w:numId w:val="230"/>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the Science Fund</w:t>
            </w:r>
          </w:p>
          <w:p w14:paraId="129F45EE" w14:textId="77777777" w:rsidR="00614438" w:rsidRPr="00AA7A53" w:rsidRDefault="00614438" w:rsidP="00AA7A53">
            <w:pPr>
              <w:numPr>
                <w:ilvl w:val="0"/>
                <w:numId w:val="230"/>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Science and Research</w:t>
            </w:r>
          </w:p>
          <w:p w14:paraId="034A7443" w14:textId="77777777" w:rsidR="00614438" w:rsidRPr="00AA7A53" w:rsidRDefault="00614438" w:rsidP="00AA7A53">
            <w:pPr>
              <w:numPr>
                <w:ilvl w:val="0"/>
                <w:numId w:val="230"/>
              </w:numPr>
              <w:spacing w:after="0"/>
              <w:jc w:val="both"/>
              <w:rPr>
                <w:rFonts w:ascii="Times New Roman" w:hAnsi="Times New Roman" w:cs="Times New Roman"/>
                <w:sz w:val="20"/>
                <w:szCs w:val="20"/>
              </w:rPr>
            </w:pPr>
            <w:r w:rsidRPr="00AA7A53">
              <w:rPr>
                <w:rFonts w:ascii="Times New Roman" w:hAnsi="Times New Roman" w:cs="Times New Roman"/>
                <w:sz w:val="20"/>
                <w:szCs w:val="20"/>
              </w:rPr>
              <w:t>Industrial Policy Strategy (2021-2030)</w:t>
            </w:r>
          </w:p>
        </w:tc>
        <w:tc>
          <w:tcPr>
            <w:tcW w:w="1212" w:type="dxa"/>
            <w:vAlign w:val="center"/>
            <w:hideMark/>
          </w:tcPr>
          <w:p w14:paraId="5A5AD5AD"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23056E5" w14:textId="77777777" w:rsidTr="00614438">
        <w:trPr>
          <w:trHeight w:val="315"/>
        </w:trPr>
        <w:tc>
          <w:tcPr>
            <w:tcW w:w="3305" w:type="dxa"/>
            <w:tcBorders>
              <w:top w:val="nil"/>
              <w:left w:val="single" w:sz="8" w:space="0" w:color="auto"/>
              <w:bottom w:val="single" w:sz="8" w:space="0" w:color="auto"/>
              <w:right w:val="single" w:sz="8" w:space="0" w:color="auto"/>
            </w:tcBorders>
            <w:shd w:val="clear" w:color="auto" w:fill="244062"/>
            <w:vAlign w:val="center"/>
            <w:hideMark/>
          </w:tcPr>
          <w:p w14:paraId="27473BB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83" w:type="dxa"/>
            <w:gridSpan w:val="3"/>
            <w:tcBorders>
              <w:top w:val="single" w:sz="8" w:space="0" w:color="auto"/>
              <w:left w:val="nil"/>
              <w:bottom w:val="single" w:sz="8" w:space="0" w:color="auto"/>
              <w:right w:val="single" w:sz="8" w:space="0" w:color="000000"/>
            </w:tcBorders>
            <w:vAlign w:val="center"/>
            <w:hideMark/>
          </w:tcPr>
          <w:p w14:paraId="72C9A42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0.1 M€</w:t>
            </w:r>
          </w:p>
        </w:tc>
        <w:tc>
          <w:tcPr>
            <w:tcW w:w="1212" w:type="dxa"/>
            <w:vAlign w:val="center"/>
            <w:hideMark/>
          </w:tcPr>
          <w:p w14:paraId="3CAA73FC"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35A95126" w14:textId="77777777" w:rsidTr="00614438">
        <w:trPr>
          <w:trHeight w:val="315"/>
        </w:trPr>
        <w:tc>
          <w:tcPr>
            <w:tcW w:w="3305" w:type="dxa"/>
            <w:tcBorders>
              <w:top w:val="nil"/>
              <w:left w:val="single" w:sz="8" w:space="0" w:color="auto"/>
              <w:bottom w:val="single" w:sz="8" w:space="0" w:color="auto"/>
              <w:right w:val="single" w:sz="8" w:space="0" w:color="auto"/>
            </w:tcBorders>
            <w:shd w:val="clear" w:color="auto" w:fill="244062"/>
            <w:vAlign w:val="center"/>
            <w:hideMark/>
          </w:tcPr>
          <w:p w14:paraId="438292E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83" w:type="dxa"/>
            <w:gridSpan w:val="3"/>
            <w:tcBorders>
              <w:top w:val="single" w:sz="8" w:space="0" w:color="auto"/>
              <w:left w:val="nil"/>
              <w:bottom w:val="single" w:sz="8" w:space="0" w:color="auto"/>
              <w:right w:val="single" w:sz="8" w:space="0" w:color="000000"/>
            </w:tcBorders>
            <w:vAlign w:val="center"/>
            <w:hideMark/>
          </w:tcPr>
          <w:p w14:paraId="0B8F7DE4" w14:textId="195FB24F" w:rsidR="00614438" w:rsidRPr="00AA7A53" w:rsidRDefault="007A515A"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EU funds, own funds and </w:t>
            </w:r>
            <w:r w:rsidR="005E24A0" w:rsidRPr="00AA7A53">
              <w:rPr>
                <w:rFonts w:ascii="Times New Roman" w:hAnsi="Times New Roman" w:cs="Times New Roman"/>
                <w:sz w:val="20"/>
                <w:szCs w:val="20"/>
                <w:lang w:val="en-GB"/>
              </w:rPr>
              <w:t xml:space="preserve">public </w:t>
            </w:r>
            <w:r w:rsidRPr="00AA7A53">
              <w:rPr>
                <w:rFonts w:ascii="Times New Roman" w:hAnsi="Times New Roman" w:cs="Times New Roman"/>
                <w:sz w:val="20"/>
                <w:szCs w:val="20"/>
                <w:lang w:val="en-GB"/>
              </w:rPr>
              <w:t>funds</w:t>
            </w:r>
          </w:p>
        </w:tc>
        <w:tc>
          <w:tcPr>
            <w:tcW w:w="1212" w:type="dxa"/>
            <w:vAlign w:val="center"/>
            <w:hideMark/>
          </w:tcPr>
          <w:p w14:paraId="1ADD44E9" w14:textId="77777777" w:rsidR="00614438" w:rsidRPr="00AA7A53" w:rsidRDefault="00614438" w:rsidP="00AA7A53">
            <w:pPr>
              <w:spacing w:after="0"/>
              <w:jc w:val="both"/>
              <w:rPr>
                <w:rFonts w:ascii="Times New Roman" w:hAnsi="Times New Roman" w:cs="Times New Roman"/>
                <w:sz w:val="20"/>
                <w:szCs w:val="20"/>
                <w:lang w:val="en-GB"/>
              </w:rPr>
            </w:pPr>
          </w:p>
        </w:tc>
      </w:tr>
    </w:tbl>
    <w:p w14:paraId="3B9AE29E"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70"/>
        <w:gridCol w:w="1139"/>
        <w:gridCol w:w="932"/>
        <w:gridCol w:w="4147"/>
        <w:gridCol w:w="1212"/>
      </w:tblGrid>
      <w:tr w:rsidR="00614438" w:rsidRPr="00AA7A53" w14:paraId="1A227B58" w14:textId="77777777" w:rsidTr="00614438">
        <w:trPr>
          <w:gridAfter w:val="1"/>
          <w:wAfter w:w="1212" w:type="dxa"/>
          <w:trHeight w:val="780"/>
        </w:trPr>
        <w:tc>
          <w:tcPr>
            <w:tcW w:w="3303"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FF489A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052" w:type="dxa"/>
            <w:tcBorders>
              <w:top w:val="single" w:sz="8" w:space="0" w:color="auto"/>
              <w:left w:val="nil"/>
              <w:bottom w:val="single" w:sz="8" w:space="0" w:color="auto"/>
              <w:right w:val="single" w:sz="8" w:space="0" w:color="auto"/>
            </w:tcBorders>
            <w:shd w:val="clear" w:color="auto" w:fill="E7E6E6" w:themeFill="background2"/>
            <w:vAlign w:val="center"/>
            <w:hideMark/>
          </w:tcPr>
          <w:p w14:paraId="2350FB9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PM_RIC19</w:t>
            </w:r>
          </w:p>
        </w:tc>
        <w:tc>
          <w:tcPr>
            <w:tcW w:w="937" w:type="dxa"/>
            <w:tcBorders>
              <w:top w:val="single" w:sz="8" w:space="0" w:color="auto"/>
              <w:left w:val="nil"/>
              <w:bottom w:val="single" w:sz="8" w:space="0" w:color="auto"/>
              <w:right w:val="single" w:sz="8" w:space="0" w:color="auto"/>
            </w:tcBorders>
            <w:shd w:val="clear" w:color="auto" w:fill="244062"/>
            <w:vAlign w:val="center"/>
            <w:hideMark/>
          </w:tcPr>
          <w:p w14:paraId="74CFE33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96" w:type="dxa"/>
            <w:tcBorders>
              <w:top w:val="single" w:sz="8" w:space="0" w:color="auto"/>
              <w:left w:val="nil"/>
              <w:bottom w:val="single" w:sz="8" w:space="0" w:color="auto"/>
              <w:right w:val="single" w:sz="8" w:space="0" w:color="auto"/>
            </w:tcBorders>
            <w:shd w:val="clear" w:color="auto" w:fill="E7E6E6" w:themeFill="background2"/>
            <w:vAlign w:val="center"/>
            <w:hideMark/>
          </w:tcPr>
          <w:p w14:paraId="664C59E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Strengthening competitiveness through the establishment and operation of Special Target Funds </w:t>
            </w:r>
          </w:p>
        </w:tc>
      </w:tr>
      <w:tr w:rsidR="00614438" w:rsidRPr="00AA7A53" w14:paraId="2145C3D6" w14:textId="77777777" w:rsidTr="00614438">
        <w:trPr>
          <w:gridAfter w:val="1"/>
          <w:wAfter w:w="1212" w:type="dxa"/>
          <w:trHeight w:val="313"/>
        </w:trPr>
        <w:tc>
          <w:tcPr>
            <w:tcW w:w="3303" w:type="dxa"/>
            <w:tcBorders>
              <w:top w:val="nil"/>
              <w:left w:val="single" w:sz="8" w:space="0" w:color="auto"/>
              <w:bottom w:val="single" w:sz="8" w:space="0" w:color="auto"/>
              <w:right w:val="nil"/>
            </w:tcBorders>
            <w:shd w:val="clear" w:color="auto" w:fill="244062"/>
            <w:vAlign w:val="center"/>
            <w:hideMark/>
          </w:tcPr>
          <w:p w14:paraId="37E292D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85" w:type="dxa"/>
            <w:gridSpan w:val="3"/>
            <w:tcBorders>
              <w:top w:val="single" w:sz="8" w:space="0" w:color="auto"/>
              <w:left w:val="nil"/>
              <w:bottom w:val="single" w:sz="8" w:space="0" w:color="auto"/>
              <w:right w:val="single" w:sz="8" w:space="0" w:color="000000"/>
            </w:tcBorders>
            <w:vAlign w:val="center"/>
            <w:hideMark/>
          </w:tcPr>
          <w:p w14:paraId="0A27507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Improvement of competitiveness</w:t>
            </w:r>
          </w:p>
        </w:tc>
      </w:tr>
      <w:tr w:rsidR="00614438" w:rsidRPr="00AA7A53" w14:paraId="63248F13" w14:textId="77777777" w:rsidTr="00614438">
        <w:trPr>
          <w:gridAfter w:val="1"/>
          <w:wAfter w:w="1212" w:type="dxa"/>
          <w:trHeight w:val="315"/>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0C76B8D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85" w:type="dxa"/>
            <w:gridSpan w:val="3"/>
            <w:tcBorders>
              <w:top w:val="single" w:sz="8" w:space="0" w:color="auto"/>
              <w:left w:val="nil"/>
              <w:bottom w:val="single" w:sz="8" w:space="0" w:color="auto"/>
              <w:right w:val="single" w:sz="8" w:space="0" w:color="000000"/>
            </w:tcBorders>
            <w:vAlign w:val="center"/>
            <w:hideMark/>
          </w:tcPr>
          <w:p w14:paraId="419DF09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 the level of competitiveness in the field of energy (Qualitative objective)</w:t>
            </w:r>
          </w:p>
        </w:tc>
      </w:tr>
      <w:tr w:rsidR="00614438" w:rsidRPr="00AA7A53" w14:paraId="708B8B1B" w14:textId="77777777" w:rsidTr="00614438">
        <w:trPr>
          <w:gridAfter w:val="1"/>
          <w:wAfter w:w="1212" w:type="dxa"/>
          <w:trHeight w:val="686"/>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0C91B62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85" w:type="dxa"/>
            <w:gridSpan w:val="3"/>
            <w:tcBorders>
              <w:top w:val="single" w:sz="8" w:space="0" w:color="auto"/>
              <w:left w:val="nil"/>
              <w:bottom w:val="single" w:sz="8" w:space="0" w:color="auto"/>
              <w:right w:val="single" w:sz="8" w:space="0" w:color="000000"/>
            </w:tcBorders>
            <w:vAlign w:val="center"/>
            <w:hideMark/>
          </w:tcPr>
          <w:p w14:paraId="4D05BF5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PM_RIC19 will strengthen the role of Special Target Funds through the establishment and operation of a new Fund for Entrepreneurship &amp; Competitiveness, in order to facilitate the provision of favourable financing to SMEs and to take part of the business risk not borne by financial institutions, while providing the necessary guarantees.</w:t>
            </w:r>
          </w:p>
        </w:tc>
      </w:tr>
      <w:tr w:rsidR="00614438" w:rsidRPr="00AA7A53" w14:paraId="4A8C0A49" w14:textId="77777777" w:rsidTr="00614438">
        <w:trPr>
          <w:gridAfter w:val="1"/>
          <w:wAfter w:w="1212" w:type="dxa"/>
          <w:trHeight w:val="315"/>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346484B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85" w:type="dxa"/>
            <w:gridSpan w:val="3"/>
            <w:tcBorders>
              <w:top w:val="single" w:sz="8" w:space="0" w:color="auto"/>
              <w:left w:val="nil"/>
              <w:bottom w:val="single" w:sz="8" w:space="0" w:color="auto"/>
              <w:right w:val="single" w:sz="8" w:space="0" w:color="000000"/>
            </w:tcBorders>
            <w:vAlign w:val="center"/>
            <w:hideMark/>
          </w:tcPr>
          <w:p w14:paraId="0F444EB4" w14:textId="7AC9AB34"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7A515A"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38A3BE03" w14:textId="77777777" w:rsidTr="00614438">
        <w:trPr>
          <w:gridAfter w:val="1"/>
          <w:wAfter w:w="1212" w:type="dxa"/>
          <w:trHeight w:val="315"/>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7973638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Type of measure</w:t>
            </w:r>
          </w:p>
        </w:tc>
        <w:tc>
          <w:tcPr>
            <w:tcW w:w="6185" w:type="dxa"/>
            <w:gridSpan w:val="3"/>
            <w:tcBorders>
              <w:top w:val="single" w:sz="8" w:space="0" w:color="auto"/>
              <w:left w:val="nil"/>
              <w:bottom w:val="single" w:sz="8" w:space="0" w:color="auto"/>
              <w:right w:val="single" w:sz="8" w:space="0" w:color="000000"/>
            </w:tcBorders>
            <w:vAlign w:val="center"/>
            <w:hideMark/>
          </w:tcPr>
          <w:p w14:paraId="5ABDA65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Reform</w:t>
            </w:r>
          </w:p>
        </w:tc>
      </w:tr>
      <w:tr w:rsidR="00614438" w:rsidRPr="00AA7A53" w14:paraId="342FFF4B" w14:textId="77777777" w:rsidTr="00614438">
        <w:trPr>
          <w:gridAfter w:val="1"/>
          <w:wAfter w:w="1212" w:type="dxa"/>
          <w:trHeight w:val="315"/>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7CBD417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85" w:type="dxa"/>
            <w:gridSpan w:val="3"/>
            <w:tcBorders>
              <w:top w:val="single" w:sz="8" w:space="0" w:color="auto"/>
              <w:left w:val="nil"/>
              <w:bottom w:val="single" w:sz="8" w:space="0" w:color="auto"/>
              <w:right w:val="single" w:sz="8" w:space="0" w:color="000000"/>
            </w:tcBorders>
            <w:vAlign w:val="center"/>
            <w:hideMark/>
          </w:tcPr>
          <w:p w14:paraId="0385844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INECP subject fields</w:t>
            </w:r>
          </w:p>
        </w:tc>
      </w:tr>
      <w:tr w:rsidR="00614438" w:rsidRPr="00AA7A53" w14:paraId="0E314CC2" w14:textId="77777777" w:rsidTr="00614438">
        <w:trPr>
          <w:gridAfter w:val="1"/>
          <w:wAfter w:w="1212" w:type="dxa"/>
          <w:trHeight w:val="315"/>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3061AAE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85" w:type="dxa"/>
            <w:gridSpan w:val="3"/>
            <w:tcBorders>
              <w:top w:val="single" w:sz="8" w:space="0" w:color="auto"/>
              <w:left w:val="nil"/>
              <w:bottom w:val="single" w:sz="8" w:space="0" w:color="auto"/>
              <w:right w:val="single" w:sz="8" w:space="0" w:color="000000"/>
            </w:tcBorders>
            <w:vAlign w:val="center"/>
            <w:hideMark/>
          </w:tcPr>
          <w:p w14:paraId="4B85EE58" w14:textId="77777777" w:rsidR="00614438" w:rsidRPr="00AA7A53" w:rsidRDefault="00614438" w:rsidP="00AA7A53">
            <w:pPr>
              <w:numPr>
                <w:ilvl w:val="0"/>
                <w:numId w:val="231"/>
              </w:numPr>
              <w:spacing w:after="0"/>
              <w:jc w:val="both"/>
              <w:rPr>
                <w:rFonts w:ascii="Times New Roman" w:hAnsi="Times New Roman" w:cs="Times New Roman"/>
                <w:sz w:val="20"/>
                <w:szCs w:val="20"/>
              </w:rPr>
            </w:pPr>
            <w:r w:rsidRPr="00AA7A53">
              <w:rPr>
                <w:rFonts w:ascii="Times New Roman" w:hAnsi="Times New Roman" w:cs="Times New Roman"/>
                <w:sz w:val="20"/>
                <w:szCs w:val="20"/>
              </w:rPr>
              <w:t>Science Fund</w:t>
            </w:r>
          </w:p>
          <w:p w14:paraId="6C1574DE" w14:textId="77777777" w:rsidR="00614438" w:rsidRPr="00AA7A53" w:rsidRDefault="00614438" w:rsidP="00AA7A53">
            <w:pPr>
              <w:numPr>
                <w:ilvl w:val="0"/>
                <w:numId w:val="231"/>
              </w:numPr>
              <w:spacing w:after="0"/>
              <w:jc w:val="both"/>
              <w:rPr>
                <w:rFonts w:ascii="Times New Roman" w:hAnsi="Times New Roman" w:cs="Times New Roman"/>
                <w:sz w:val="20"/>
                <w:szCs w:val="20"/>
              </w:rPr>
            </w:pPr>
            <w:r w:rsidRPr="00AA7A53">
              <w:rPr>
                <w:rFonts w:ascii="Times New Roman" w:hAnsi="Times New Roman" w:cs="Times New Roman"/>
                <w:sz w:val="20"/>
                <w:szCs w:val="20"/>
              </w:rPr>
              <w:t>Innovation Fund</w:t>
            </w:r>
          </w:p>
        </w:tc>
      </w:tr>
      <w:tr w:rsidR="00614438" w:rsidRPr="00AA7A53" w14:paraId="05F31BD3" w14:textId="77777777" w:rsidTr="00614438">
        <w:trPr>
          <w:gridAfter w:val="1"/>
          <w:wAfter w:w="1212" w:type="dxa"/>
          <w:trHeight w:val="315"/>
        </w:trPr>
        <w:tc>
          <w:tcPr>
            <w:tcW w:w="3303" w:type="dxa"/>
            <w:tcBorders>
              <w:top w:val="nil"/>
              <w:left w:val="single" w:sz="8" w:space="0" w:color="auto"/>
              <w:bottom w:val="single" w:sz="8" w:space="0" w:color="auto"/>
              <w:right w:val="nil"/>
            </w:tcBorders>
            <w:shd w:val="clear" w:color="auto" w:fill="244062"/>
            <w:vAlign w:val="center"/>
            <w:hideMark/>
          </w:tcPr>
          <w:p w14:paraId="145A555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85" w:type="dxa"/>
            <w:gridSpan w:val="3"/>
            <w:tcBorders>
              <w:top w:val="single" w:sz="8" w:space="0" w:color="auto"/>
              <w:left w:val="nil"/>
              <w:bottom w:val="single" w:sz="8" w:space="0" w:color="auto"/>
              <w:right w:val="single" w:sz="8" w:space="0" w:color="000000"/>
            </w:tcBorders>
            <w:vAlign w:val="center"/>
            <w:hideMark/>
          </w:tcPr>
          <w:p w14:paraId="6889B509" w14:textId="66CEB3B6" w:rsidR="00614438" w:rsidRPr="00AA7A53" w:rsidRDefault="00614438" w:rsidP="00AA7A53">
            <w:pPr>
              <w:numPr>
                <w:ilvl w:val="0"/>
                <w:numId w:val="231"/>
              </w:numPr>
              <w:spacing w:after="0"/>
              <w:jc w:val="both"/>
              <w:rPr>
                <w:rFonts w:ascii="Times New Roman" w:hAnsi="Times New Roman" w:cs="Times New Roman"/>
                <w:sz w:val="20"/>
                <w:szCs w:val="20"/>
              </w:rPr>
            </w:pPr>
          </w:p>
        </w:tc>
      </w:tr>
      <w:tr w:rsidR="00614438" w:rsidRPr="00AA7A53" w14:paraId="19B3EB9E" w14:textId="77777777" w:rsidTr="00614438">
        <w:trPr>
          <w:gridAfter w:val="1"/>
          <w:wAfter w:w="1212" w:type="dxa"/>
          <w:trHeight w:val="315"/>
        </w:trPr>
        <w:tc>
          <w:tcPr>
            <w:tcW w:w="3303" w:type="dxa"/>
            <w:tcBorders>
              <w:top w:val="nil"/>
              <w:left w:val="single" w:sz="8" w:space="0" w:color="auto"/>
              <w:bottom w:val="single" w:sz="8" w:space="0" w:color="auto"/>
              <w:right w:val="nil"/>
            </w:tcBorders>
            <w:shd w:val="clear" w:color="auto" w:fill="244062"/>
            <w:vAlign w:val="center"/>
            <w:hideMark/>
          </w:tcPr>
          <w:p w14:paraId="5A7F234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85" w:type="dxa"/>
            <w:gridSpan w:val="3"/>
            <w:tcBorders>
              <w:top w:val="single" w:sz="8" w:space="0" w:color="auto"/>
              <w:left w:val="nil"/>
              <w:bottom w:val="single" w:sz="8" w:space="0" w:color="auto"/>
              <w:right w:val="single" w:sz="8" w:space="0" w:color="000000"/>
            </w:tcBorders>
            <w:vAlign w:val="center"/>
            <w:hideMark/>
          </w:tcPr>
          <w:p w14:paraId="5A7A1CE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New regulations and/or Normative Acts</w:t>
            </w:r>
          </w:p>
        </w:tc>
      </w:tr>
      <w:tr w:rsidR="00614438" w:rsidRPr="00AA7A53" w14:paraId="1A6570D8" w14:textId="77777777" w:rsidTr="00614438">
        <w:trPr>
          <w:gridAfter w:val="1"/>
          <w:wAfter w:w="1212" w:type="dxa"/>
          <w:trHeight w:val="584"/>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2662BF2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85" w:type="dxa"/>
            <w:gridSpan w:val="3"/>
            <w:tcBorders>
              <w:top w:val="single" w:sz="8" w:space="0" w:color="auto"/>
              <w:left w:val="nil"/>
              <w:bottom w:val="single" w:sz="8" w:space="0" w:color="auto"/>
              <w:right w:val="single" w:sz="8" w:space="0" w:color="000000"/>
            </w:tcBorders>
            <w:vAlign w:val="center"/>
            <w:hideMark/>
          </w:tcPr>
          <w:p w14:paraId="354B0757" w14:textId="77777777" w:rsidR="00614438" w:rsidRPr="00AA7A53" w:rsidRDefault="00614438" w:rsidP="00AA7A53">
            <w:pPr>
              <w:numPr>
                <w:ilvl w:val="0"/>
                <w:numId w:val="232"/>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tc>
      </w:tr>
      <w:tr w:rsidR="00614438" w:rsidRPr="00AA7A53" w14:paraId="61F17A50" w14:textId="77777777" w:rsidTr="00614438">
        <w:trPr>
          <w:gridAfter w:val="1"/>
          <w:wAfter w:w="1212" w:type="dxa"/>
          <w:trHeight w:val="458"/>
        </w:trPr>
        <w:tc>
          <w:tcPr>
            <w:tcW w:w="3303" w:type="dxa"/>
            <w:vMerge w:val="restart"/>
            <w:tcBorders>
              <w:top w:val="nil"/>
              <w:left w:val="single" w:sz="8" w:space="0" w:color="auto"/>
              <w:bottom w:val="single" w:sz="8" w:space="0" w:color="000000"/>
              <w:right w:val="single" w:sz="8" w:space="0" w:color="auto"/>
            </w:tcBorders>
            <w:shd w:val="clear" w:color="auto" w:fill="244062"/>
            <w:vAlign w:val="center"/>
            <w:hideMark/>
          </w:tcPr>
          <w:p w14:paraId="40A6D8F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85"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BDDAAE2" w14:textId="77777777" w:rsidR="00614438" w:rsidRPr="00AA7A53" w:rsidRDefault="00614438" w:rsidP="00AA7A53">
            <w:pPr>
              <w:numPr>
                <w:ilvl w:val="0"/>
                <w:numId w:val="233"/>
              </w:numPr>
              <w:spacing w:after="0"/>
              <w:jc w:val="both"/>
              <w:rPr>
                <w:rFonts w:ascii="Times New Roman" w:hAnsi="Times New Roman" w:cs="Times New Roman"/>
                <w:sz w:val="20"/>
                <w:szCs w:val="20"/>
              </w:rPr>
            </w:pPr>
            <w:r w:rsidRPr="00AA7A53">
              <w:rPr>
                <w:rFonts w:ascii="Times New Roman" w:hAnsi="Times New Roman" w:cs="Times New Roman"/>
                <w:sz w:val="20"/>
                <w:szCs w:val="20"/>
              </w:rPr>
              <w:t>European legislation</w:t>
            </w:r>
          </w:p>
        </w:tc>
      </w:tr>
      <w:tr w:rsidR="00614438" w:rsidRPr="00AA7A53" w14:paraId="2E4D084C"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07EE4394"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AA3498C"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45497652"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536549FB" w14:textId="77777777" w:rsidTr="00614438">
        <w:trPr>
          <w:trHeight w:val="75"/>
        </w:trPr>
        <w:tc>
          <w:tcPr>
            <w:tcW w:w="0" w:type="auto"/>
            <w:vMerge/>
            <w:tcBorders>
              <w:top w:val="nil"/>
              <w:left w:val="single" w:sz="8" w:space="0" w:color="auto"/>
              <w:bottom w:val="single" w:sz="8" w:space="0" w:color="000000"/>
              <w:right w:val="single" w:sz="8" w:space="0" w:color="auto"/>
            </w:tcBorders>
            <w:vAlign w:val="center"/>
            <w:hideMark/>
          </w:tcPr>
          <w:p w14:paraId="5C4423A6"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D18818E"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702EEDCA"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28CF5AD3" w14:textId="77777777" w:rsidTr="00614438">
        <w:trPr>
          <w:trHeight w:val="303"/>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6FD3F5B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85" w:type="dxa"/>
            <w:gridSpan w:val="3"/>
            <w:tcBorders>
              <w:top w:val="single" w:sz="8" w:space="0" w:color="auto"/>
              <w:left w:val="nil"/>
              <w:bottom w:val="single" w:sz="8" w:space="0" w:color="auto"/>
              <w:right w:val="single" w:sz="8" w:space="0" w:color="000000"/>
            </w:tcBorders>
            <w:vAlign w:val="center"/>
            <w:hideMark/>
          </w:tcPr>
          <w:p w14:paraId="3186CEB7" w14:textId="77777777" w:rsidR="00614438" w:rsidRPr="00AA7A53" w:rsidRDefault="00614438" w:rsidP="00AA7A53">
            <w:pPr>
              <w:numPr>
                <w:ilvl w:val="0"/>
                <w:numId w:val="233"/>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the Science Fund</w:t>
            </w:r>
          </w:p>
          <w:p w14:paraId="1BB51CEC" w14:textId="77777777" w:rsidR="00614438" w:rsidRPr="00AA7A53" w:rsidRDefault="00614438" w:rsidP="00AA7A53">
            <w:pPr>
              <w:numPr>
                <w:ilvl w:val="0"/>
                <w:numId w:val="233"/>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Science and Research</w:t>
            </w:r>
          </w:p>
          <w:p w14:paraId="0E23466E" w14:textId="77777777" w:rsidR="00614438" w:rsidRPr="00AA7A53" w:rsidRDefault="00614438" w:rsidP="00AA7A53">
            <w:pPr>
              <w:numPr>
                <w:ilvl w:val="0"/>
                <w:numId w:val="233"/>
              </w:numPr>
              <w:spacing w:after="0"/>
              <w:jc w:val="both"/>
              <w:rPr>
                <w:rFonts w:ascii="Times New Roman" w:hAnsi="Times New Roman" w:cs="Times New Roman"/>
                <w:sz w:val="20"/>
                <w:szCs w:val="20"/>
              </w:rPr>
            </w:pPr>
            <w:r w:rsidRPr="00AA7A53">
              <w:rPr>
                <w:rFonts w:ascii="Times New Roman" w:hAnsi="Times New Roman" w:cs="Times New Roman"/>
                <w:sz w:val="20"/>
                <w:szCs w:val="20"/>
              </w:rPr>
              <w:t>Industrial Policy Strategy (2021-2030)</w:t>
            </w:r>
          </w:p>
        </w:tc>
        <w:tc>
          <w:tcPr>
            <w:tcW w:w="1212" w:type="dxa"/>
            <w:vAlign w:val="center"/>
            <w:hideMark/>
          </w:tcPr>
          <w:p w14:paraId="7A51A261"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7063585" w14:textId="77777777" w:rsidTr="00614438">
        <w:trPr>
          <w:trHeight w:val="315"/>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35DC269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85" w:type="dxa"/>
            <w:gridSpan w:val="3"/>
            <w:tcBorders>
              <w:top w:val="single" w:sz="8" w:space="0" w:color="auto"/>
              <w:left w:val="nil"/>
              <w:bottom w:val="single" w:sz="8" w:space="0" w:color="auto"/>
              <w:right w:val="single" w:sz="8" w:space="0" w:color="000000"/>
            </w:tcBorders>
            <w:vAlign w:val="center"/>
            <w:hideMark/>
          </w:tcPr>
          <w:p w14:paraId="59C17C2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0.1 M€</w:t>
            </w:r>
          </w:p>
        </w:tc>
        <w:tc>
          <w:tcPr>
            <w:tcW w:w="1212" w:type="dxa"/>
            <w:vAlign w:val="center"/>
            <w:hideMark/>
          </w:tcPr>
          <w:p w14:paraId="6EC56D7D"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B1E5B7B" w14:textId="77777777" w:rsidTr="00614438">
        <w:trPr>
          <w:trHeight w:val="315"/>
        </w:trPr>
        <w:tc>
          <w:tcPr>
            <w:tcW w:w="3303" w:type="dxa"/>
            <w:tcBorders>
              <w:top w:val="nil"/>
              <w:left w:val="single" w:sz="8" w:space="0" w:color="auto"/>
              <w:bottom w:val="single" w:sz="8" w:space="0" w:color="auto"/>
              <w:right w:val="single" w:sz="8" w:space="0" w:color="auto"/>
            </w:tcBorders>
            <w:shd w:val="clear" w:color="auto" w:fill="244062"/>
            <w:vAlign w:val="center"/>
            <w:hideMark/>
          </w:tcPr>
          <w:p w14:paraId="343FF26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85" w:type="dxa"/>
            <w:gridSpan w:val="3"/>
            <w:tcBorders>
              <w:top w:val="single" w:sz="8" w:space="0" w:color="auto"/>
              <w:left w:val="nil"/>
              <w:bottom w:val="single" w:sz="8" w:space="0" w:color="auto"/>
              <w:right w:val="single" w:sz="8" w:space="0" w:color="000000"/>
            </w:tcBorders>
            <w:vAlign w:val="center"/>
            <w:hideMark/>
          </w:tcPr>
          <w:p w14:paraId="63ED6BBD" w14:textId="7699C02D" w:rsidR="00614438" w:rsidRPr="00AA7A53" w:rsidRDefault="007A515A"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funds, own funds and p</w:t>
            </w:r>
            <w:r w:rsidR="005E24A0" w:rsidRPr="00AA7A53">
              <w:rPr>
                <w:rFonts w:ascii="Times New Roman" w:hAnsi="Times New Roman" w:cs="Times New Roman"/>
                <w:sz w:val="20"/>
                <w:szCs w:val="20"/>
                <w:lang w:val="en-GB"/>
              </w:rPr>
              <w:t>ublic</w:t>
            </w:r>
            <w:r w:rsidRPr="00AA7A53">
              <w:rPr>
                <w:rFonts w:ascii="Times New Roman" w:hAnsi="Times New Roman" w:cs="Times New Roman"/>
                <w:sz w:val="20"/>
                <w:szCs w:val="20"/>
                <w:lang w:val="en-GB"/>
              </w:rPr>
              <w:t xml:space="preserve"> funds</w:t>
            </w:r>
          </w:p>
        </w:tc>
        <w:tc>
          <w:tcPr>
            <w:tcW w:w="1212" w:type="dxa"/>
            <w:vAlign w:val="center"/>
            <w:hideMark/>
          </w:tcPr>
          <w:p w14:paraId="264B202E" w14:textId="77777777" w:rsidR="00614438" w:rsidRPr="00AA7A53" w:rsidRDefault="00614438" w:rsidP="00AA7A53">
            <w:pPr>
              <w:spacing w:after="0"/>
              <w:jc w:val="both"/>
              <w:rPr>
                <w:rFonts w:ascii="Times New Roman" w:hAnsi="Times New Roman" w:cs="Times New Roman"/>
                <w:sz w:val="20"/>
                <w:szCs w:val="20"/>
                <w:lang w:val="en-GB"/>
              </w:rPr>
            </w:pPr>
          </w:p>
        </w:tc>
      </w:tr>
    </w:tbl>
    <w:p w14:paraId="46A83E32" w14:textId="77777777" w:rsidR="00614438" w:rsidRPr="00AA7A53" w:rsidRDefault="00614438" w:rsidP="00AA7A53">
      <w:pPr>
        <w:spacing w:after="0"/>
        <w:jc w:val="both"/>
        <w:rPr>
          <w:rFonts w:ascii="Times New Roman" w:hAnsi="Times New Roman" w:cs="Times New Roman"/>
          <w:sz w:val="20"/>
          <w:szCs w:val="20"/>
          <w:lang w:val="en-GB"/>
        </w:rPr>
      </w:pPr>
    </w:p>
    <w:tbl>
      <w:tblPr>
        <w:tblW w:w="10700" w:type="dxa"/>
        <w:tblLook w:val="04A0" w:firstRow="1" w:lastRow="0" w:firstColumn="1" w:lastColumn="0" w:noHBand="0" w:noVBand="1"/>
      </w:tblPr>
      <w:tblGrid>
        <w:gridCol w:w="3272"/>
        <w:gridCol w:w="1139"/>
        <w:gridCol w:w="932"/>
        <w:gridCol w:w="4145"/>
        <w:gridCol w:w="1212"/>
      </w:tblGrid>
      <w:tr w:rsidR="00614438" w:rsidRPr="00AA7A53" w14:paraId="538B0DAE" w14:textId="77777777" w:rsidTr="00614438">
        <w:trPr>
          <w:gridAfter w:val="1"/>
          <w:wAfter w:w="1212" w:type="dxa"/>
          <w:trHeight w:val="780"/>
        </w:trPr>
        <w:tc>
          <w:tcPr>
            <w:tcW w:w="3305" w:type="dxa"/>
            <w:tcBorders>
              <w:top w:val="single" w:sz="8" w:space="0" w:color="auto"/>
              <w:left w:val="single" w:sz="8" w:space="0" w:color="auto"/>
              <w:bottom w:val="single" w:sz="8" w:space="0" w:color="auto"/>
              <w:right w:val="single" w:sz="8" w:space="0" w:color="auto"/>
            </w:tcBorders>
            <w:shd w:val="clear" w:color="auto" w:fill="244062"/>
            <w:vAlign w:val="center"/>
            <w:hideMark/>
          </w:tcPr>
          <w:p w14:paraId="3F66ED1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Policy measure code: </w:t>
            </w:r>
          </w:p>
        </w:tc>
        <w:tc>
          <w:tcPr>
            <w:tcW w:w="1052" w:type="dxa"/>
            <w:tcBorders>
              <w:top w:val="single" w:sz="8" w:space="0" w:color="auto"/>
              <w:left w:val="nil"/>
              <w:bottom w:val="single" w:sz="8" w:space="0" w:color="auto"/>
              <w:right w:val="single" w:sz="8" w:space="0" w:color="auto"/>
            </w:tcBorders>
            <w:shd w:val="clear" w:color="auto" w:fill="E7E6E6" w:themeFill="background2"/>
            <w:vAlign w:val="center"/>
            <w:hideMark/>
          </w:tcPr>
          <w:p w14:paraId="6AA1640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PM_RIC20</w:t>
            </w:r>
          </w:p>
        </w:tc>
        <w:tc>
          <w:tcPr>
            <w:tcW w:w="937" w:type="dxa"/>
            <w:tcBorders>
              <w:top w:val="single" w:sz="8" w:space="0" w:color="auto"/>
              <w:left w:val="nil"/>
              <w:bottom w:val="single" w:sz="8" w:space="0" w:color="auto"/>
              <w:right w:val="single" w:sz="8" w:space="0" w:color="auto"/>
            </w:tcBorders>
            <w:shd w:val="clear" w:color="auto" w:fill="244062"/>
            <w:vAlign w:val="center"/>
            <w:hideMark/>
          </w:tcPr>
          <w:p w14:paraId="4C87BCA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Title: </w:t>
            </w:r>
          </w:p>
        </w:tc>
        <w:tc>
          <w:tcPr>
            <w:tcW w:w="4194" w:type="dxa"/>
            <w:tcBorders>
              <w:top w:val="single" w:sz="8" w:space="0" w:color="auto"/>
              <w:left w:val="nil"/>
              <w:bottom w:val="single" w:sz="8" w:space="0" w:color="auto"/>
              <w:right w:val="single" w:sz="8" w:space="0" w:color="auto"/>
            </w:tcBorders>
            <w:shd w:val="clear" w:color="auto" w:fill="E7E6E6" w:themeFill="background2"/>
            <w:vAlign w:val="center"/>
            <w:hideMark/>
          </w:tcPr>
          <w:p w14:paraId="0E5E526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Promoting innovative circular economy technologies to improve businesses competitiveness </w:t>
            </w:r>
          </w:p>
        </w:tc>
      </w:tr>
      <w:tr w:rsidR="00614438" w:rsidRPr="00AA7A53" w14:paraId="64B17808" w14:textId="77777777" w:rsidTr="00614438">
        <w:trPr>
          <w:gridAfter w:val="1"/>
          <w:wAfter w:w="1212" w:type="dxa"/>
          <w:trHeight w:val="431"/>
        </w:trPr>
        <w:tc>
          <w:tcPr>
            <w:tcW w:w="3305" w:type="dxa"/>
            <w:tcBorders>
              <w:top w:val="nil"/>
              <w:left w:val="single" w:sz="8" w:space="0" w:color="auto"/>
              <w:bottom w:val="single" w:sz="8" w:space="0" w:color="auto"/>
              <w:right w:val="nil"/>
            </w:tcBorders>
            <w:shd w:val="clear" w:color="auto" w:fill="244062"/>
            <w:vAlign w:val="center"/>
            <w:hideMark/>
          </w:tcPr>
          <w:p w14:paraId="1898C02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Main objective: </w:t>
            </w:r>
          </w:p>
        </w:tc>
        <w:tc>
          <w:tcPr>
            <w:tcW w:w="6183" w:type="dxa"/>
            <w:gridSpan w:val="3"/>
            <w:tcBorders>
              <w:top w:val="single" w:sz="8" w:space="0" w:color="auto"/>
              <w:left w:val="nil"/>
              <w:bottom w:val="single" w:sz="8" w:space="0" w:color="auto"/>
              <w:right w:val="single" w:sz="8" w:space="0" w:color="000000"/>
            </w:tcBorders>
            <w:vAlign w:val="center"/>
            <w:hideMark/>
          </w:tcPr>
          <w:p w14:paraId="370F656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Improvement of competitiveness</w:t>
            </w:r>
          </w:p>
        </w:tc>
      </w:tr>
      <w:tr w:rsidR="00614438" w:rsidRPr="00AA7A53" w14:paraId="51782E7B" w14:textId="77777777" w:rsidTr="00614438">
        <w:trPr>
          <w:gridAfter w:val="1"/>
          <w:wAfter w:w="1212" w:type="dxa"/>
          <w:trHeight w:val="315"/>
        </w:trPr>
        <w:tc>
          <w:tcPr>
            <w:tcW w:w="3305" w:type="dxa"/>
            <w:tcBorders>
              <w:top w:val="nil"/>
              <w:left w:val="single" w:sz="8" w:space="0" w:color="auto"/>
              <w:bottom w:val="single" w:sz="8" w:space="0" w:color="auto"/>
              <w:right w:val="single" w:sz="8" w:space="0" w:color="auto"/>
            </w:tcBorders>
            <w:shd w:val="clear" w:color="auto" w:fill="244062"/>
            <w:vAlign w:val="center"/>
            <w:hideMark/>
          </w:tcPr>
          <w:p w14:paraId="0756A86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Quantified objective: </w:t>
            </w:r>
          </w:p>
        </w:tc>
        <w:tc>
          <w:tcPr>
            <w:tcW w:w="6183" w:type="dxa"/>
            <w:gridSpan w:val="3"/>
            <w:tcBorders>
              <w:top w:val="single" w:sz="8" w:space="0" w:color="auto"/>
              <w:left w:val="nil"/>
              <w:bottom w:val="single" w:sz="8" w:space="0" w:color="auto"/>
              <w:right w:val="single" w:sz="8" w:space="0" w:color="000000"/>
            </w:tcBorders>
            <w:vAlign w:val="center"/>
            <w:hideMark/>
          </w:tcPr>
          <w:p w14:paraId="2287DEB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Increase the level of competitiveness (Qualitative objective)</w:t>
            </w:r>
          </w:p>
        </w:tc>
      </w:tr>
      <w:tr w:rsidR="00614438" w:rsidRPr="00AA7A53" w14:paraId="1DF38C3F" w14:textId="77777777" w:rsidTr="00614438">
        <w:trPr>
          <w:gridAfter w:val="1"/>
          <w:wAfter w:w="1212" w:type="dxa"/>
          <w:trHeight w:val="768"/>
        </w:trPr>
        <w:tc>
          <w:tcPr>
            <w:tcW w:w="3305" w:type="dxa"/>
            <w:tcBorders>
              <w:top w:val="nil"/>
              <w:left w:val="single" w:sz="8" w:space="0" w:color="auto"/>
              <w:bottom w:val="single" w:sz="8" w:space="0" w:color="auto"/>
              <w:right w:val="single" w:sz="8" w:space="0" w:color="auto"/>
            </w:tcBorders>
            <w:shd w:val="clear" w:color="auto" w:fill="244062"/>
            <w:vAlign w:val="center"/>
            <w:hideMark/>
          </w:tcPr>
          <w:p w14:paraId="0A9C054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Description:</w:t>
            </w:r>
          </w:p>
        </w:tc>
        <w:tc>
          <w:tcPr>
            <w:tcW w:w="6183" w:type="dxa"/>
            <w:gridSpan w:val="3"/>
            <w:tcBorders>
              <w:top w:val="single" w:sz="8" w:space="0" w:color="auto"/>
              <w:left w:val="nil"/>
              <w:bottom w:val="single" w:sz="8" w:space="0" w:color="auto"/>
              <w:right w:val="single" w:sz="8" w:space="0" w:color="000000"/>
            </w:tcBorders>
            <w:vAlign w:val="center"/>
            <w:hideMark/>
          </w:tcPr>
          <w:p w14:paraId="1E82E0B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PM_RIC20 will promote specific actions, which focus on the development of innovative technologies in order to achieve the objectives of the roadmap for circular economy in Serbia.</w:t>
            </w:r>
          </w:p>
        </w:tc>
      </w:tr>
      <w:tr w:rsidR="00614438" w:rsidRPr="00AA7A53" w14:paraId="37B884A4" w14:textId="77777777" w:rsidTr="00614438">
        <w:trPr>
          <w:gridAfter w:val="1"/>
          <w:wAfter w:w="1212" w:type="dxa"/>
          <w:trHeight w:val="315"/>
        </w:trPr>
        <w:tc>
          <w:tcPr>
            <w:tcW w:w="3305" w:type="dxa"/>
            <w:tcBorders>
              <w:top w:val="nil"/>
              <w:left w:val="single" w:sz="8" w:space="0" w:color="auto"/>
              <w:bottom w:val="single" w:sz="8" w:space="0" w:color="auto"/>
              <w:right w:val="single" w:sz="8" w:space="0" w:color="auto"/>
            </w:tcBorders>
            <w:shd w:val="clear" w:color="auto" w:fill="244062"/>
            <w:vAlign w:val="center"/>
            <w:hideMark/>
          </w:tcPr>
          <w:p w14:paraId="2358167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Timeframe</w:t>
            </w:r>
          </w:p>
        </w:tc>
        <w:tc>
          <w:tcPr>
            <w:tcW w:w="6183" w:type="dxa"/>
            <w:gridSpan w:val="3"/>
            <w:tcBorders>
              <w:top w:val="single" w:sz="8" w:space="0" w:color="auto"/>
              <w:left w:val="nil"/>
              <w:bottom w:val="single" w:sz="8" w:space="0" w:color="auto"/>
              <w:right w:val="single" w:sz="8" w:space="0" w:color="000000"/>
            </w:tcBorders>
            <w:vAlign w:val="center"/>
            <w:hideMark/>
          </w:tcPr>
          <w:p w14:paraId="0562BB4F" w14:textId="420DAC8E"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w:t>
            </w:r>
            <w:r w:rsidR="007A515A" w:rsidRPr="00AA7A53">
              <w:rPr>
                <w:rFonts w:ascii="Times New Roman" w:hAnsi="Times New Roman" w:cs="Times New Roman"/>
                <w:sz w:val="20"/>
                <w:szCs w:val="20"/>
                <w:lang w:val="en-GB"/>
              </w:rPr>
              <w:t>4</w:t>
            </w:r>
            <w:r w:rsidRPr="00AA7A53">
              <w:rPr>
                <w:rFonts w:ascii="Times New Roman" w:hAnsi="Times New Roman" w:cs="Times New Roman"/>
                <w:sz w:val="20"/>
                <w:szCs w:val="20"/>
                <w:lang w:val="en-GB"/>
              </w:rPr>
              <w:t>-2030</w:t>
            </w:r>
          </w:p>
        </w:tc>
      </w:tr>
      <w:tr w:rsidR="00614438" w:rsidRPr="00AA7A53" w14:paraId="0025B082" w14:textId="77777777" w:rsidTr="00614438">
        <w:trPr>
          <w:gridAfter w:val="1"/>
          <w:wAfter w:w="1212" w:type="dxa"/>
          <w:trHeight w:val="315"/>
        </w:trPr>
        <w:tc>
          <w:tcPr>
            <w:tcW w:w="3305" w:type="dxa"/>
            <w:tcBorders>
              <w:top w:val="nil"/>
              <w:left w:val="single" w:sz="8" w:space="0" w:color="auto"/>
              <w:bottom w:val="single" w:sz="8" w:space="0" w:color="auto"/>
              <w:right w:val="single" w:sz="8" w:space="0" w:color="auto"/>
            </w:tcBorders>
            <w:shd w:val="clear" w:color="auto" w:fill="244062"/>
            <w:vAlign w:val="center"/>
            <w:hideMark/>
          </w:tcPr>
          <w:p w14:paraId="3CC5513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lastRenderedPageBreak/>
              <w:t>Type of measure</w:t>
            </w:r>
          </w:p>
        </w:tc>
        <w:tc>
          <w:tcPr>
            <w:tcW w:w="6183" w:type="dxa"/>
            <w:gridSpan w:val="3"/>
            <w:tcBorders>
              <w:top w:val="single" w:sz="8" w:space="0" w:color="auto"/>
              <w:left w:val="nil"/>
              <w:bottom w:val="single" w:sz="8" w:space="0" w:color="auto"/>
              <w:right w:val="single" w:sz="8" w:space="0" w:color="000000"/>
            </w:tcBorders>
            <w:vAlign w:val="center"/>
            <w:hideMark/>
          </w:tcPr>
          <w:p w14:paraId="78CA337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Investment</w:t>
            </w:r>
          </w:p>
        </w:tc>
      </w:tr>
      <w:tr w:rsidR="00614438" w:rsidRPr="00AA7A53" w14:paraId="4D59BD8C" w14:textId="77777777" w:rsidTr="00614438">
        <w:trPr>
          <w:gridAfter w:val="1"/>
          <w:wAfter w:w="1212" w:type="dxa"/>
          <w:trHeight w:val="315"/>
        </w:trPr>
        <w:tc>
          <w:tcPr>
            <w:tcW w:w="3305" w:type="dxa"/>
            <w:tcBorders>
              <w:top w:val="nil"/>
              <w:left w:val="single" w:sz="8" w:space="0" w:color="auto"/>
              <w:bottom w:val="single" w:sz="8" w:space="0" w:color="auto"/>
              <w:right w:val="single" w:sz="8" w:space="0" w:color="auto"/>
            </w:tcBorders>
            <w:shd w:val="clear" w:color="auto" w:fill="244062"/>
            <w:vAlign w:val="center"/>
            <w:hideMark/>
          </w:tcPr>
          <w:p w14:paraId="40F10EF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Sectors covered/affected</w:t>
            </w:r>
          </w:p>
        </w:tc>
        <w:tc>
          <w:tcPr>
            <w:tcW w:w="6183" w:type="dxa"/>
            <w:gridSpan w:val="3"/>
            <w:tcBorders>
              <w:top w:val="single" w:sz="8" w:space="0" w:color="auto"/>
              <w:left w:val="nil"/>
              <w:bottom w:val="single" w:sz="8" w:space="0" w:color="auto"/>
              <w:right w:val="single" w:sz="8" w:space="0" w:color="000000"/>
            </w:tcBorders>
            <w:vAlign w:val="center"/>
            <w:hideMark/>
          </w:tcPr>
          <w:p w14:paraId="7AD80C3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All INECP subject fields</w:t>
            </w:r>
          </w:p>
        </w:tc>
      </w:tr>
      <w:tr w:rsidR="00614438" w:rsidRPr="00AA7A53" w14:paraId="5AA63852" w14:textId="77777777" w:rsidTr="00614438">
        <w:trPr>
          <w:gridAfter w:val="1"/>
          <w:wAfter w:w="1212" w:type="dxa"/>
          <w:trHeight w:val="315"/>
        </w:trPr>
        <w:tc>
          <w:tcPr>
            <w:tcW w:w="3305" w:type="dxa"/>
            <w:tcBorders>
              <w:top w:val="nil"/>
              <w:left w:val="single" w:sz="8" w:space="0" w:color="auto"/>
              <w:bottom w:val="single" w:sz="8" w:space="0" w:color="auto"/>
              <w:right w:val="single" w:sz="8" w:space="0" w:color="auto"/>
            </w:tcBorders>
            <w:shd w:val="clear" w:color="auto" w:fill="244062"/>
            <w:vAlign w:val="center"/>
            <w:hideMark/>
          </w:tcPr>
          <w:p w14:paraId="06C991C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Implementing Entity</w:t>
            </w:r>
          </w:p>
        </w:tc>
        <w:tc>
          <w:tcPr>
            <w:tcW w:w="6183" w:type="dxa"/>
            <w:gridSpan w:val="3"/>
            <w:tcBorders>
              <w:top w:val="single" w:sz="8" w:space="0" w:color="auto"/>
              <w:left w:val="nil"/>
              <w:bottom w:val="single" w:sz="8" w:space="0" w:color="auto"/>
              <w:right w:val="single" w:sz="8" w:space="0" w:color="000000"/>
            </w:tcBorders>
            <w:vAlign w:val="center"/>
            <w:hideMark/>
          </w:tcPr>
          <w:p w14:paraId="2519401E" w14:textId="77777777" w:rsidR="00614438" w:rsidRPr="00AA7A53" w:rsidRDefault="00614438" w:rsidP="00AA7A53">
            <w:pPr>
              <w:numPr>
                <w:ilvl w:val="0"/>
                <w:numId w:val="234"/>
              </w:numPr>
              <w:spacing w:after="0"/>
              <w:jc w:val="both"/>
              <w:rPr>
                <w:rFonts w:ascii="Times New Roman" w:hAnsi="Times New Roman" w:cs="Times New Roman"/>
                <w:sz w:val="20"/>
                <w:szCs w:val="20"/>
              </w:rPr>
            </w:pPr>
            <w:r w:rsidRPr="00AA7A53">
              <w:rPr>
                <w:rFonts w:ascii="Times New Roman" w:hAnsi="Times New Roman" w:cs="Times New Roman"/>
                <w:sz w:val="20"/>
                <w:szCs w:val="20"/>
              </w:rPr>
              <w:t>Ministry of Finance</w:t>
            </w:r>
          </w:p>
          <w:p w14:paraId="54BD7E83" w14:textId="77777777" w:rsidR="00614438" w:rsidRPr="00AA7A53" w:rsidRDefault="00614438" w:rsidP="00AA7A53">
            <w:pPr>
              <w:numPr>
                <w:ilvl w:val="0"/>
                <w:numId w:val="234"/>
              </w:numPr>
              <w:spacing w:after="0"/>
              <w:jc w:val="both"/>
              <w:rPr>
                <w:rFonts w:ascii="Times New Roman" w:hAnsi="Times New Roman" w:cs="Times New Roman"/>
                <w:sz w:val="20"/>
                <w:szCs w:val="20"/>
              </w:rPr>
            </w:pPr>
            <w:r w:rsidRPr="00AA7A53">
              <w:rPr>
                <w:rFonts w:ascii="Times New Roman" w:hAnsi="Times New Roman" w:cs="Times New Roman"/>
                <w:sz w:val="20"/>
                <w:szCs w:val="20"/>
              </w:rPr>
              <w:t>Development Agency of Serbia</w:t>
            </w:r>
          </w:p>
          <w:p w14:paraId="04AB499A" w14:textId="77777777" w:rsidR="00614438" w:rsidRPr="00AA7A53" w:rsidRDefault="00614438" w:rsidP="00AA7A53">
            <w:pPr>
              <w:numPr>
                <w:ilvl w:val="0"/>
                <w:numId w:val="234"/>
              </w:numPr>
              <w:spacing w:after="0"/>
              <w:jc w:val="both"/>
              <w:rPr>
                <w:rFonts w:ascii="Times New Roman" w:hAnsi="Times New Roman" w:cs="Times New Roman"/>
                <w:sz w:val="20"/>
                <w:szCs w:val="20"/>
              </w:rPr>
            </w:pPr>
            <w:r w:rsidRPr="00AA7A53">
              <w:rPr>
                <w:rFonts w:ascii="Times New Roman" w:hAnsi="Times New Roman" w:cs="Times New Roman"/>
                <w:sz w:val="20"/>
                <w:szCs w:val="20"/>
              </w:rPr>
              <w:t>Chamber of Commerce and Industry of Serbia</w:t>
            </w:r>
          </w:p>
          <w:p w14:paraId="3A333C89" w14:textId="77777777" w:rsidR="00614438" w:rsidRPr="00AA7A53" w:rsidRDefault="00614438" w:rsidP="00AA7A53">
            <w:pPr>
              <w:numPr>
                <w:ilvl w:val="0"/>
                <w:numId w:val="234"/>
              </w:numPr>
              <w:spacing w:after="0"/>
              <w:jc w:val="both"/>
              <w:rPr>
                <w:rFonts w:ascii="Times New Roman" w:hAnsi="Times New Roman" w:cs="Times New Roman"/>
                <w:sz w:val="20"/>
                <w:szCs w:val="20"/>
              </w:rPr>
            </w:pPr>
            <w:r w:rsidRPr="00AA7A53">
              <w:rPr>
                <w:rFonts w:ascii="Times New Roman" w:hAnsi="Times New Roman" w:cs="Times New Roman"/>
                <w:sz w:val="20"/>
                <w:szCs w:val="20"/>
              </w:rPr>
              <w:t>Center for Promotion of Science</w:t>
            </w:r>
          </w:p>
        </w:tc>
      </w:tr>
      <w:tr w:rsidR="00614438" w:rsidRPr="00AA7A53" w14:paraId="2E42CCA5" w14:textId="77777777" w:rsidTr="00614438">
        <w:trPr>
          <w:gridAfter w:val="1"/>
          <w:wAfter w:w="1212" w:type="dxa"/>
          <w:trHeight w:val="315"/>
        </w:trPr>
        <w:tc>
          <w:tcPr>
            <w:tcW w:w="3305" w:type="dxa"/>
            <w:tcBorders>
              <w:top w:val="nil"/>
              <w:left w:val="single" w:sz="8" w:space="0" w:color="auto"/>
              <w:bottom w:val="single" w:sz="8" w:space="0" w:color="auto"/>
              <w:right w:val="nil"/>
            </w:tcBorders>
            <w:shd w:val="clear" w:color="auto" w:fill="244062"/>
            <w:vAlign w:val="center"/>
            <w:hideMark/>
          </w:tcPr>
          <w:p w14:paraId="35CB98D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Monitoring Entity</w:t>
            </w:r>
          </w:p>
        </w:tc>
        <w:tc>
          <w:tcPr>
            <w:tcW w:w="6183" w:type="dxa"/>
            <w:gridSpan w:val="3"/>
            <w:tcBorders>
              <w:top w:val="single" w:sz="8" w:space="0" w:color="auto"/>
              <w:left w:val="nil"/>
              <w:bottom w:val="single" w:sz="8" w:space="0" w:color="auto"/>
              <w:right w:val="single" w:sz="8" w:space="0" w:color="000000"/>
            </w:tcBorders>
            <w:vAlign w:val="center"/>
            <w:hideMark/>
          </w:tcPr>
          <w:p w14:paraId="5EB3AEB9" w14:textId="32316E70" w:rsidR="00614438" w:rsidRPr="00AA7A53" w:rsidRDefault="00614438" w:rsidP="00AA7A53">
            <w:pPr>
              <w:numPr>
                <w:ilvl w:val="0"/>
                <w:numId w:val="234"/>
              </w:numPr>
              <w:spacing w:after="0"/>
              <w:jc w:val="both"/>
              <w:rPr>
                <w:rFonts w:ascii="Times New Roman" w:hAnsi="Times New Roman" w:cs="Times New Roman"/>
                <w:sz w:val="20"/>
                <w:szCs w:val="20"/>
              </w:rPr>
            </w:pPr>
          </w:p>
        </w:tc>
      </w:tr>
      <w:tr w:rsidR="00614438" w:rsidRPr="00AA7A53" w14:paraId="4DBF9291" w14:textId="77777777" w:rsidTr="00614438">
        <w:trPr>
          <w:gridAfter w:val="1"/>
          <w:wAfter w:w="1212" w:type="dxa"/>
          <w:trHeight w:val="315"/>
        </w:trPr>
        <w:tc>
          <w:tcPr>
            <w:tcW w:w="3305" w:type="dxa"/>
            <w:tcBorders>
              <w:top w:val="nil"/>
              <w:left w:val="single" w:sz="8" w:space="0" w:color="auto"/>
              <w:bottom w:val="single" w:sz="8" w:space="0" w:color="auto"/>
              <w:right w:val="nil"/>
            </w:tcBorders>
            <w:shd w:val="clear" w:color="auto" w:fill="244062"/>
            <w:vAlign w:val="center"/>
            <w:hideMark/>
          </w:tcPr>
          <w:p w14:paraId="53B19CD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Progress indicators</w:t>
            </w:r>
          </w:p>
        </w:tc>
        <w:tc>
          <w:tcPr>
            <w:tcW w:w="6183" w:type="dxa"/>
            <w:gridSpan w:val="3"/>
            <w:tcBorders>
              <w:top w:val="single" w:sz="8" w:space="0" w:color="auto"/>
              <w:left w:val="nil"/>
              <w:bottom w:val="single" w:sz="8" w:space="0" w:color="auto"/>
              <w:right w:val="single" w:sz="8" w:space="0" w:color="000000"/>
            </w:tcBorders>
            <w:vAlign w:val="center"/>
            <w:hideMark/>
          </w:tcPr>
          <w:p w14:paraId="5FDA1E0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Number of actions related to recycling and secondary raw materials use on an annual basis</w:t>
            </w:r>
          </w:p>
        </w:tc>
      </w:tr>
      <w:tr w:rsidR="00614438" w:rsidRPr="00AA7A53" w14:paraId="0AD271D6" w14:textId="77777777" w:rsidTr="00614438">
        <w:trPr>
          <w:gridAfter w:val="1"/>
          <w:wAfter w:w="1212" w:type="dxa"/>
          <w:trHeight w:val="343"/>
        </w:trPr>
        <w:tc>
          <w:tcPr>
            <w:tcW w:w="3305" w:type="dxa"/>
            <w:tcBorders>
              <w:top w:val="nil"/>
              <w:left w:val="single" w:sz="8" w:space="0" w:color="auto"/>
              <w:bottom w:val="single" w:sz="8" w:space="0" w:color="auto"/>
              <w:right w:val="single" w:sz="8" w:space="0" w:color="auto"/>
            </w:tcBorders>
            <w:shd w:val="clear" w:color="auto" w:fill="244062"/>
            <w:vAlign w:val="center"/>
            <w:hideMark/>
          </w:tcPr>
          <w:p w14:paraId="4966A735"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Other relevant Energy Union dimension(s) affected</w:t>
            </w:r>
          </w:p>
        </w:tc>
        <w:tc>
          <w:tcPr>
            <w:tcW w:w="6183" w:type="dxa"/>
            <w:gridSpan w:val="3"/>
            <w:tcBorders>
              <w:top w:val="single" w:sz="8" w:space="0" w:color="auto"/>
              <w:left w:val="nil"/>
              <w:bottom w:val="single" w:sz="8" w:space="0" w:color="auto"/>
              <w:right w:val="single" w:sz="8" w:space="0" w:color="000000"/>
            </w:tcBorders>
            <w:vAlign w:val="center"/>
            <w:hideMark/>
          </w:tcPr>
          <w:p w14:paraId="022970A1" w14:textId="77777777" w:rsidR="00614438" w:rsidRPr="00AA7A53" w:rsidRDefault="00614438" w:rsidP="00AA7A53">
            <w:pPr>
              <w:numPr>
                <w:ilvl w:val="0"/>
                <w:numId w:val="235"/>
              </w:numPr>
              <w:spacing w:after="0"/>
              <w:jc w:val="both"/>
              <w:rPr>
                <w:rFonts w:ascii="Times New Roman" w:hAnsi="Times New Roman" w:cs="Times New Roman"/>
                <w:sz w:val="20"/>
                <w:szCs w:val="20"/>
              </w:rPr>
            </w:pPr>
            <w:r w:rsidRPr="00AA7A53">
              <w:rPr>
                <w:rFonts w:ascii="Times New Roman" w:hAnsi="Times New Roman" w:cs="Times New Roman"/>
                <w:sz w:val="20"/>
                <w:szCs w:val="20"/>
              </w:rPr>
              <w:t>Internal Energy Market</w:t>
            </w:r>
          </w:p>
        </w:tc>
      </w:tr>
      <w:tr w:rsidR="00614438" w:rsidRPr="00AA7A53" w14:paraId="414612A4" w14:textId="77777777" w:rsidTr="00614438">
        <w:trPr>
          <w:gridAfter w:val="1"/>
          <w:wAfter w:w="1212" w:type="dxa"/>
          <w:trHeight w:val="458"/>
        </w:trPr>
        <w:tc>
          <w:tcPr>
            <w:tcW w:w="3305" w:type="dxa"/>
            <w:vMerge w:val="restart"/>
            <w:tcBorders>
              <w:top w:val="nil"/>
              <w:left w:val="single" w:sz="8" w:space="0" w:color="auto"/>
              <w:bottom w:val="single" w:sz="8" w:space="0" w:color="000000"/>
              <w:right w:val="single" w:sz="8" w:space="0" w:color="auto"/>
            </w:tcBorders>
            <w:shd w:val="clear" w:color="auto" w:fill="244062"/>
            <w:vAlign w:val="center"/>
            <w:hideMark/>
          </w:tcPr>
          <w:p w14:paraId="4665CBB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Union policy which resulted in the implementation of the PaM</w:t>
            </w:r>
          </w:p>
        </w:tc>
        <w:tc>
          <w:tcPr>
            <w:tcW w:w="6183"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4A448243" w14:textId="77777777" w:rsidR="00614438" w:rsidRPr="00AA7A53" w:rsidRDefault="00614438" w:rsidP="00AA7A53">
            <w:pPr>
              <w:numPr>
                <w:ilvl w:val="0"/>
                <w:numId w:val="236"/>
              </w:numPr>
              <w:spacing w:after="0"/>
              <w:jc w:val="both"/>
              <w:rPr>
                <w:rFonts w:ascii="Times New Roman" w:hAnsi="Times New Roman" w:cs="Times New Roman"/>
                <w:sz w:val="20"/>
                <w:szCs w:val="20"/>
              </w:rPr>
            </w:pPr>
            <w:r w:rsidRPr="00AA7A53">
              <w:rPr>
                <w:rFonts w:ascii="Times New Roman" w:hAnsi="Times New Roman" w:cs="Times New Roman"/>
                <w:sz w:val="20"/>
                <w:szCs w:val="20"/>
              </w:rPr>
              <w:t>European legislation</w:t>
            </w:r>
          </w:p>
        </w:tc>
      </w:tr>
      <w:tr w:rsidR="00614438" w:rsidRPr="00AA7A53" w14:paraId="50B5E594" w14:textId="77777777" w:rsidTr="00614438">
        <w:trPr>
          <w:trHeight w:val="300"/>
        </w:trPr>
        <w:tc>
          <w:tcPr>
            <w:tcW w:w="0" w:type="auto"/>
            <w:vMerge/>
            <w:tcBorders>
              <w:top w:val="nil"/>
              <w:left w:val="single" w:sz="8" w:space="0" w:color="auto"/>
              <w:bottom w:val="single" w:sz="8" w:space="0" w:color="000000"/>
              <w:right w:val="single" w:sz="8" w:space="0" w:color="auto"/>
            </w:tcBorders>
            <w:vAlign w:val="center"/>
            <w:hideMark/>
          </w:tcPr>
          <w:p w14:paraId="3845F04D"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E2081D4"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70218345"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1D4A112C" w14:textId="77777777" w:rsidTr="00614438">
        <w:trPr>
          <w:trHeight w:val="75"/>
        </w:trPr>
        <w:tc>
          <w:tcPr>
            <w:tcW w:w="0" w:type="auto"/>
            <w:vMerge/>
            <w:tcBorders>
              <w:top w:val="nil"/>
              <w:left w:val="single" w:sz="8" w:space="0" w:color="auto"/>
              <w:bottom w:val="single" w:sz="8" w:space="0" w:color="000000"/>
              <w:right w:val="single" w:sz="8" w:space="0" w:color="auto"/>
            </w:tcBorders>
            <w:vAlign w:val="center"/>
            <w:hideMark/>
          </w:tcPr>
          <w:p w14:paraId="6D352DD0" w14:textId="77777777" w:rsidR="00614438" w:rsidRPr="00AA7A53" w:rsidRDefault="00614438" w:rsidP="00AA7A53">
            <w:pPr>
              <w:spacing w:after="0"/>
              <w:jc w:val="both"/>
              <w:rPr>
                <w:rFonts w:ascii="Times New Roman" w:hAnsi="Times New Roman" w:cs="Times New Roman"/>
                <w:sz w:val="20"/>
                <w:szCs w:val="20"/>
                <w:lang w:val="en-GB"/>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C2B769B" w14:textId="77777777" w:rsidR="00614438" w:rsidRPr="00AA7A53" w:rsidRDefault="00614438" w:rsidP="00AA7A53">
            <w:pPr>
              <w:spacing w:after="0"/>
              <w:jc w:val="both"/>
              <w:rPr>
                <w:rFonts w:ascii="Times New Roman" w:hAnsi="Times New Roman" w:cs="Times New Roman"/>
                <w:sz w:val="20"/>
                <w:szCs w:val="20"/>
                <w:lang w:val="en-GB"/>
              </w:rPr>
            </w:pPr>
          </w:p>
        </w:tc>
        <w:tc>
          <w:tcPr>
            <w:tcW w:w="1212" w:type="dxa"/>
            <w:noWrap/>
            <w:vAlign w:val="bottom"/>
            <w:hideMark/>
          </w:tcPr>
          <w:p w14:paraId="1A71DD78" w14:textId="77777777" w:rsidR="00614438" w:rsidRPr="00AA7A53" w:rsidRDefault="00614438" w:rsidP="00AA7A53">
            <w:pPr>
              <w:spacing w:after="0"/>
              <w:jc w:val="both"/>
              <w:rPr>
                <w:rFonts w:ascii="Times New Roman" w:hAnsi="Times New Roman" w:cs="Times New Roman"/>
                <w:sz w:val="20"/>
                <w:szCs w:val="20"/>
              </w:rPr>
            </w:pPr>
          </w:p>
        </w:tc>
      </w:tr>
      <w:tr w:rsidR="00614438" w:rsidRPr="00AA7A53" w14:paraId="6B1C55BF" w14:textId="77777777" w:rsidTr="00614438">
        <w:trPr>
          <w:trHeight w:val="249"/>
        </w:trPr>
        <w:tc>
          <w:tcPr>
            <w:tcW w:w="3305" w:type="dxa"/>
            <w:tcBorders>
              <w:top w:val="nil"/>
              <w:left w:val="single" w:sz="8" w:space="0" w:color="auto"/>
              <w:bottom w:val="single" w:sz="8" w:space="0" w:color="auto"/>
              <w:right w:val="single" w:sz="8" w:space="0" w:color="auto"/>
            </w:tcBorders>
            <w:shd w:val="clear" w:color="auto" w:fill="244062"/>
            <w:vAlign w:val="center"/>
            <w:hideMark/>
          </w:tcPr>
          <w:p w14:paraId="3D8190E3"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Relevant National Planning Document (Legal, Regulatory Acts etc)</w:t>
            </w:r>
          </w:p>
        </w:tc>
        <w:tc>
          <w:tcPr>
            <w:tcW w:w="6183" w:type="dxa"/>
            <w:gridSpan w:val="3"/>
            <w:tcBorders>
              <w:top w:val="single" w:sz="8" w:space="0" w:color="auto"/>
              <w:left w:val="nil"/>
              <w:bottom w:val="single" w:sz="8" w:space="0" w:color="auto"/>
              <w:right w:val="single" w:sz="8" w:space="0" w:color="000000"/>
            </w:tcBorders>
            <w:vAlign w:val="center"/>
            <w:hideMark/>
          </w:tcPr>
          <w:p w14:paraId="2EA02E61" w14:textId="77777777" w:rsidR="00614438" w:rsidRPr="00AA7A53" w:rsidRDefault="00614438" w:rsidP="00AA7A53">
            <w:pPr>
              <w:numPr>
                <w:ilvl w:val="0"/>
                <w:numId w:val="237"/>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the Science Fund</w:t>
            </w:r>
          </w:p>
          <w:p w14:paraId="522017E1" w14:textId="77777777" w:rsidR="00614438" w:rsidRPr="00AA7A53" w:rsidRDefault="00614438" w:rsidP="00AA7A53">
            <w:pPr>
              <w:numPr>
                <w:ilvl w:val="0"/>
                <w:numId w:val="237"/>
              </w:numPr>
              <w:spacing w:after="0"/>
              <w:jc w:val="both"/>
              <w:rPr>
                <w:rFonts w:ascii="Times New Roman" w:hAnsi="Times New Roman" w:cs="Times New Roman"/>
                <w:sz w:val="20"/>
                <w:szCs w:val="20"/>
              </w:rPr>
            </w:pPr>
            <w:r w:rsidRPr="00AA7A53">
              <w:rPr>
                <w:rFonts w:ascii="Times New Roman" w:hAnsi="Times New Roman" w:cs="Times New Roman"/>
                <w:sz w:val="20"/>
                <w:szCs w:val="20"/>
              </w:rPr>
              <w:t>Law on Science and Research</w:t>
            </w:r>
          </w:p>
          <w:p w14:paraId="3440E802" w14:textId="77777777" w:rsidR="00614438" w:rsidRPr="00AA7A53" w:rsidRDefault="00614438" w:rsidP="00AA7A53">
            <w:pPr>
              <w:numPr>
                <w:ilvl w:val="0"/>
                <w:numId w:val="237"/>
              </w:numPr>
              <w:spacing w:after="0"/>
              <w:jc w:val="both"/>
              <w:rPr>
                <w:rFonts w:ascii="Times New Roman" w:hAnsi="Times New Roman" w:cs="Times New Roman"/>
                <w:sz w:val="20"/>
                <w:szCs w:val="20"/>
              </w:rPr>
            </w:pPr>
            <w:r w:rsidRPr="00AA7A53">
              <w:rPr>
                <w:rFonts w:ascii="Times New Roman" w:hAnsi="Times New Roman" w:cs="Times New Roman"/>
                <w:sz w:val="20"/>
                <w:szCs w:val="20"/>
              </w:rPr>
              <w:t>Industrial Policy Strategy (2021-2030)</w:t>
            </w:r>
          </w:p>
        </w:tc>
        <w:tc>
          <w:tcPr>
            <w:tcW w:w="1212" w:type="dxa"/>
            <w:vAlign w:val="center"/>
            <w:hideMark/>
          </w:tcPr>
          <w:p w14:paraId="39116354"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799B032A" w14:textId="77777777" w:rsidTr="00614438">
        <w:trPr>
          <w:trHeight w:val="315"/>
        </w:trPr>
        <w:tc>
          <w:tcPr>
            <w:tcW w:w="3305" w:type="dxa"/>
            <w:tcBorders>
              <w:top w:val="nil"/>
              <w:left w:val="single" w:sz="8" w:space="0" w:color="auto"/>
              <w:bottom w:val="single" w:sz="8" w:space="0" w:color="auto"/>
              <w:right w:val="single" w:sz="8" w:space="0" w:color="auto"/>
            </w:tcBorders>
            <w:shd w:val="clear" w:color="auto" w:fill="244062"/>
            <w:vAlign w:val="center"/>
            <w:hideMark/>
          </w:tcPr>
          <w:p w14:paraId="39125E1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Implementation cost</w:t>
            </w:r>
          </w:p>
        </w:tc>
        <w:tc>
          <w:tcPr>
            <w:tcW w:w="6183" w:type="dxa"/>
            <w:gridSpan w:val="3"/>
            <w:tcBorders>
              <w:top w:val="single" w:sz="8" w:space="0" w:color="auto"/>
              <w:left w:val="nil"/>
              <w:bottom w:val="single" w:sz="8" w:space="0" w:color="auto"/>
              <w:right w:val="single" w:sz="8" w:space="0" w:color="000000"/>
            </w:tcBorders>
            <w:vAlign w:val="center"/>
            <w:hideMark/>
          </w:tcPr>
          <w:p w14:paraId="10B1AE1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4.5 M€</w:t>
            </w:r>
          </w:p>
        </w:tc>
        <w:tc>
          <w:tcPr>
            <w:tcW w:w="1212" w:type="dxa"/>
            <w:vAlign w:val="center"/>
            <w:hideMark/>
          </w:tcPr>
          <w:p w14:paraId="0B70989A" w14:textId="77777777" w:rsidR="00614438" w:rsidRPr="00AA7A53" w:rsidRDefault="00614438" w:rsidP="00AA7A53">
            <w:pPr>
              <w:spacing w:after="0"/>
              <w:jc w:val="both"/>
              <w:rPr>
                <w:rFonts w:ascii="Times New Roman" w:hAnsi="Times New Roman" w:cs="Times New Roman"/>
                <w:sz w:val="20"/>
                <w:szCs w:val="20"/>
                <w:lang w:val="en-GB"/>
              </w:rPr>
            </w:pPr>
          </w:p>
        </w:tc>
      </w:tr>
      <w:tr w:rsidR="00614438" w:rsidRPr="00AA7A53" w14:paraId="2534154C" w14:textId="77777777" w:rsidTr="00614438">
        <w:trPr>
          <w:trHeight w:val="315"/>
        </w:trPr>
        <w:tc>
          <w:tcPr>
            <w:tcW w:w="3305" w:type="dxa"/>
            <w:tcBorders>
              <w:top w:val="nil"/>
              <w:left w:val="single" w:sz="8" w:space="0" w:color="auto"/>
              <w:bottom w:val="single" w:sz="8" w:space="0" w:color="auto"/>
              <w:right w:val="single" w:sz="8" w:space="0" w:color="auto"/>
            </w:tcBorders>
            <w:shd w:val="clear" w:color="auto" w:fill="244062"/>
            <w:vAlign w:val="center"/>
            <w:hideMark/>
          </w:tcPr>
          <w:p w14:paraId="4AD55D7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Financing source(s)</w:t>
            </w:r>
          </w:p>
        </w:tc>
        <w:tc>
          <w:tcPr>
            <w:tcW w:w="6183" w:type="dxa"/>
            <w:gridSpan w:val="3"/>
            <w:tcBorders>
              <w:top w:val="single" w:sz="8" w:space="0" w:color="auto"/>
              <w:left w:val="nil"/>
              <w:bottom w:val="single" w:sz="8" w:space="0" w:color="auto"/>
              <w:right w:val="single" w:sz="8" w:space="0" w:color="000000"/>
            </w:tcBorders>
            <w:vAlign w:val="center"/>
            <w:hideMark/>
          </w:tcPr>
          <w:p w14:paraId="766E8333" w14:textId="2E367C8D" w:rsidR="00614438" w:rsidRPr="00AA7A53" w:rsidRDefault="007A515A"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 funds, own funds and p</w:t>
            </w:r>
            <w:r w:rsidR="005E24A0" w:rsidRPr="00AA7A53">
              <w:rPr>
                <w:rFonts w:ascii="Times New Roman" w:hAnsi="Times New Roman" w:cs="Times New Roman"/>
                <w:sz w:val="20"/>
                <w:szCs w:val="20"/>
                <w:lang w:val="en-GB"/>
              </w:rPr>
              <w:t>ublic</w:t>
            </w:r>
            <w:r w:rsidR="00614438" w:rsidRPr="00AA7A53">
              <w:rPr>
                <w:rFonts w:ascii="Times New Roman" w:hAnsi="Times New Roman" w:cs="Times New Roman"/>
                <w:sz w:val="20"/>
                <w:szCs w:val="20"/>
                <w:lang w:val="en-GB"/>
              </w:rPr>
              <w:t xml:space="preserve"> funds</w:t>
            </w:r>
          </w:p>
          <w:p w14:paraId="538D5A78" w14:textId="7CA46962" w:rsidR="00614438" w:rsidRPr="00AA7A53" w:rsidRDefault="00614438" w:rsidP="00AA7A53">
            <w:pPr>
              <w:spacing w:after="0"/>
              <w:jc w:val="both"/>
              <w:rPr>
                <w:rFonts w:ascii="Times New Roman" w:hAnsi="Times New Roman" w:cs="Times New Roman"/>
                <w:sz w:val="20"/>
                <w:szCs w:val="20"/>
                <w:lang w:val="en-GB"/>
              </w:rPr>
            </w:pPr>
          </w:p>
        </w:tc>
        <w:tc>
          <w:tcPr>
            <w:tcW w:w="1212" w:type="dxa"/>
            <w:vAlign w:val="center"/>
            <w:hideMark/>
          </w:tcPr>
          <w:p w14:paraId="70D48D0D" w14:textId="77777777" w:rsidR="00614438" w:rsidRPr="00AA7A53" w:rsidRDefault="00614438" w:rsidP="00AA7A53">
            <w:pPr>
              <w:spacing w:after="0"/>
              <w:jc w:val="both"/>
              <w:rPr>
                <w:rFonts w:ascii="Times New Roman" w:hAnsi="Times New Roman" w:cs="Times New Roman"/>
                <w:sz w:val="20"/>
                <w:szCs w:val="20"/>
                <w:lang w:val="en-GB"/>
              </w:rPr>
            </w:pPr>
          </w:p>
        </w:tc>
      </w:tr>
    </w:tbl>
    <w:p w14:paraId="7B5504CF" w14:textId="77777777" w:rsidR="007A515A" w:rsidRPr="00AA7A53" w:rsidRDefault="007A515A" w:rsidP="00AA7A53">
      <w:pPr>
        <w:spacing w:after="0"/>
        <w:jc w:val="both"/>
        <w:rPr>
          <w:rFonts w:ascii="Times New Roman" w:hAnsi="Times New Roman" w:cs="Times New Roman"/>
          <w:sz w:val="20"/>
          <w:szCs w:val="20"/>
          <w:lang w:val="en-GB"/>
        </w:rPr>
      </w:pPr>
    </w:p>
    <w:p w14:paraId="5A21DBE6" w14:textId="07A6865E" w:rsidR="00614438" w:rsidRPr="00614438" w:rsidRDefault="00614438" w:rsidP="007A515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Except </w:t>
      </w:r>
      <w:r w:rsidR="007A515A">
        <w:rPr>
          <w:rFonts w:ascii="Times New Roman" w:hAnsi="Times New Roman" w:cs="Times New Roman"/>
          <w:sz w:val="24"/>
          <w:szCs w:val="24"/>
          <w:lang w:val="en-GB"/>
        </w:rPr>
        <w:t xml:space="preserve">for </w:t>
      </w:r>
      <w:r w:rsidRPr="00614438">
        <w:rPr>
          <w:rFonts w:ascii="Times New Roman" w:hAnsi="Times New Roman" w:cs="Times New Roman"/>
          <w:sz w:val="24"/>
          <w:szCs w:val="24"/>
          <w:lang w:val="en-GB"/>
        </w:rPr>
        <w:t>the measures presented in the previous tables, the following measures related to the other dimensions also affect the research, innovation and competitiveness dimension and contribute to the achievement of the research, innovation and competitiveness targets:</w:t>
      </w:r>
    </w:p>
    <w:p w14:paraId="5FFDF7D8" w14:textId="29BD45B1" w:rsidR="00614438" w:rsidRPr="00614438" w:rsidRDefault="007A515A" w:rsidP="007A515A">
      <w:pPr>
        <w:ind w:firstLine="480"/>
        <w:jc w:val="both"/>
        <w:rPr>
          <w:rFonts w:ascii="Times New Roman" w:hAnsi="Times New Roman" w:cs="Times New Roman"/>
          <w:sz w:val="24"/>
          <w:szCs w:val="24"/>
          <w:u w:val="single"/>
          <w:lang w:val="en-GB"/>
        </w:rPr>
      </w:pPr>
      <w:r>
        <w:rPr>
          <w:rFonts w:ascii="Times New Roman" w:hAnsi="Times New Roman" w:cs="Times New Roman"/>
          <w:sz w:val="24"/>
          <w:szCs w:val="24"/>
        </w:rPr>
        <w:t xml:space="preserve">1) </w:t>
      </w:r>
      <w:r w:rsidR="00614438" w:rsidRPr="00614438">
        <w:rPr>
          <w:rFonts w:ascii="Times New Roman" w:hAnsi="Times New Roman" w:cs="Times New Roman"/>
          <w:sz w:val="24"/>
          <w:szCs w:val="24"/>
        </w:rPr>
        <w:t>Dimension energy efficiency: PM_EE38</w:t>
      </w:r>
    </w:p>
    <w:p w14:paraId="2D1A0BE3" w14:textId="309AF109" w:rsidR="00614438" w:rsidRPr="00614438" w:rsidRDefault="00BE3BF4" w:rsidP="00BE3BF4">
      <w:pPr>
        <w:ind w:firstLine="480"/>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3.5.2 </w:t>
      </w:r>
      <w:r w:rsidR="00614438" w:rsidRPr="00614438">
        <w:rPr>
          <w:rFonts w:ascii="Times New Roman" w:hAnsi="Times New Roman" w:cs="Times New Roman"/>
          <w:sz w:val="24"/>
          <w:szCs w:val="24"/>
          <w:lang w:val="en-GB"/>
        </w:rPr>
        <w:t>Cooperation with other Member States in this area, including information on how the SET Plan objectives and policies are being translated to a national context</w:t>
      </w:r>
    </w:p>
    <w:p w14:paraId="5B46C4F3" w14:textId="77777777" w:rsidR="00614438" w:rsidRPr="00614438" w:rsidRDefault="00614438" w:rsidP="00BE3BF4">
      <w:pPr>
        <w:ind w:firstLine="48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order to promote the cost-effective development of low-carbon technologies, the Republic of Serbia will rely on the SET Plan developed at EU level, which promotes cross-sector cooperation on innovation.</w:t>
      </w:r>
    </w:p>
    <w:p w14:paraId="44FE950A" w14:textId="77777777" w:rsidR="00614438" w:rsidRPr="00614438" w:rsidRDefault="00614438" w:rsidP="00BE3BF4">
      <w:pPr>
        <w:ind w:firstLine="48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Republic of Serbia has quadrupled since 2014 its performance in Horizon 2020 programme, being the most successful country from the region of the Western Balkans. Areas of particular success in Horizon 2020 include Information Communication Technologies (ICT) and agricultural research, as well as scientific cooperation in the area of energy. National efforts in supporting innovation have become highly successful and are complemented by a Smart Specialization Strategy.</w:t>
      </w:r>
    </w:p>
    <w:p w14:paraId="75A876A6" w14:textId="77777777" w:rsidR="00614438" w:rsidRPr="00614438" w:rsidRDefault="00614438" w:rsidP="00BE3BF4">
      <w:pPr>
        <w:ind w:firstLine="48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Furthermore, the Republic of Serbia has developed intensive cooperation at several levels, especially in the energy sector with Joint Research Centre (JCR) of the European Commission, and it also demonstrates a high level of activity in EUREKA program.</w:t>
      </w:r>
    </w:p>
    <w:p w14:paraId="5ADCAC39" w14:textId="01DEB0C8" w:rsidR="00614438" w:rsidRPr="00614438" w:rsidRDefault="00BE3BF4" w:rsidP="00BE3BF4">
      <w:pPr>
        <w:ind w:firstLine="480"/>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3.5.3 </w:t>
      </w:r>
      <w:r w:rsidR="00614438" w:rsidRPr="00614438">
        <w:rPr>
          <w:rFonts w:ascii="Times New Roman" w:hAnsi="Times New Roman" w:cs="Times New Roman"/>
          <w:sz w:val="24"/>
          <w:szCs w:val="24"/>
          <w:lang w:val="en-GB"/>
        </w:rPr>
        <w:t>Financing measures, including EU support and the use of EU funds, in this area at national level, if applicable</w:t>
      </w:r>
    </w:p>
    <w:p w14:paraId="5EC7F287" w14:textId="77777777" w:rsidR="00614438" w:rsidRPr="00614438" w:rsidRDefault="00614438" w:rsidP="00614438">
      <w:pPr>
        <w:jc w:val="both"/>
        <w:rPr>
          <w:rFonts w:ascii="Times New Roman" w:hAnsi="Times New Roman" w:cs="Times New Roman"/>
          <w:sz w:val="24"/>
          <w:szCs w:val="24"/>
          <w:lang w:val="en-GB"/>
        </w:rPr>
      </w:pPr>
    </w:p>
    <w:p w14:paraId="37B00D7E" w14:textId="77777777" w:rsidR="00614438" w:rsidRPr="00614438" w:rsidRDefault="00614438" w:rsidP="00BE3BF4">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key financial instruments in energy research, innovation and competitiveness include:</w:t>
      </w:r>
    </w:p>
    <w:p w14:paraId="78027C8D" w14:textId="15C8ABC2" w:rsidR="00614438" w:rsidRPr="00BE3BF4" w:rsidRDefault="00614438" w:rsidP="00485CA7">
      <w:pPr>
        <w:pStyle w:val="ListParagraph"/>
        <w:numPr>
          <w:ilvl w:val="0"/>
          <w:numId w:val="268"/>
        </w:numPr>
        <w:jc w:val="both"/>
        <w:rPr>
          <w:rFonts w:ascii="Times New Roman" w:hAnsi="Times New Roman" w:cs="Times New Roman"/>
          <w:sz w:val="24"/>
          <w:szCs w:val="24"/>
        </w:rPr>
      </w:pPr>
      <w:r w:rsidRPr="00BE3BF4">
        <w:rPr>
          <w:rFonts w:ascii="Times New Roman" w:hAnsi="Times New Roman" w:cs="Times New Roman"/>
          <w:sz w:val="24"/>
          <w:szCs w:val="24"/>
        </w:rPr>
        <w:t>Available budget or own resources</w:t>
      </w:r>
    </w:p>
    <w:p w14:paraId="12712F00" w14:textId="30EFBA51" w:rsidR="00614438" w:rsidRPr="00BE3BF4" w:rsidRDefault="00614438" w:rsidP="00485CA7">
      <w:pPr>
        <w:pStyle w:val="ListParagraph"/>
        <w:numPr>
          <w:ilvl w:val="0"/>
          <w:numId w:val="268"/>
        </w:numPr>
        <w:jc w:val="both"/>
        <w:rPr>
          <w:rFonts w:ascii="Times New Roman" w:hAnsi="Times New Roman" w:cs="Times New Roman"/>
          <w:sz w:val="24"/>
          <w:szCs w:val="24"/>
        </w:rPr>
      </w:pPr>
      <w:r w:rsidRPr="00BE3BF4">
        <w:rPr>
          <w:rFonts w:ascii="Times New Roman" w:hAnsi="Times New Roman" w:cs="Times New Roman"/>
          <w:sz w:val="24"/>
          <w:szCs w:val="24"/>
        </w:rPr>
        <w:t>Operational programmes under the new programming period 2021-2027</w:t>
      </w:r>
    </w:p>
    <w:p w14:paraId="1B24DD8E" w14:textId="77777777" w:rsidR="00614438" w:rsidRPr="00614438" w:rsidRDefault="00614438" w:rsidP="00485CA7">
      <w:pPr>
        <w:numPr>
          <w:ilvl w:val="0"/>
          <w:numId w:val="268"/>
        </w:numPr>
        <w:jc w:val="both"/>
        <w:rPr>
          <w:rFonts w:ascii="Times New Roman" w:hAnsi="Times New Roman" w:cs="Times New Roman"/>
          <w:sz w:val="24"/>
          <w:szCs w:val="24"/>
        </w:rPr>
      </w:pPr>
      <w:r w:rsidRPr="00614438">
        <w:rPr>
          <w:rFonts w:ascii="Times New Roman" w:hAnsi="Times New Roman" w:cs="Times New Roman"/>
          <w:sz w:val="24"/>
          <w:szCs w:val="24"/>
        </w:rPr>
        <w:t>Specific operational funds with public and private capital</w:t>
      </w:r>
    </w:p>
    <w:p w14:paraId="70546028" w14:textId="77777777" w:rsidR="00614438" w:rsidRPr="00614438" w:rsidRDefault="00614438" w:rsidP="00485CA7">
      <w:pPr>
        <w:numPr>
          <w:ilvl w:val="0"/>
          <w:numId w:val="268"/>
        </w:numPr>
        <w:jc w:val="both"/>
        <w:rPr>
          <w:rFonts w:ascii="Times New Roman" w:hAnsi="Times New Roman" w:cs="Times New Roman"/>
          <w:sz w:val="24"/>
          <w:szCs w:val="24"/>
        </w:rPr>
      </w:pPr>
      <w:r w:rsidRPr="00614438">
        <w:rPr>
          <w:rFonts w:ascii="Times New Roman" w:hAnsi="Times New Roman" w:cs="Times New Roman"/>
          <w:sz w:val="24"/>
          <w:szCs w:val="24"/>
        </w:rPr>
        <w:lastRenderedPageBreak/>
        <w:t>National, European, transnational and international programmes to support research actions and the implementation of innovative and pilot applications.</w:t>
      </w:r>
    </w:p>
    <w:p w14:paraId="14F2596D" w14:textId="71E3EEDC" w:rsidR="00614438" w:rsidRDefault="00614438" w:rsidP="00BE3BF4">
      <w:pPr>
        <w:jc w:val="center"/>
        <w:rPr>
          <w:rFonts w:ascii="Times New Roman" w:hAnsi="Times New Roman" w:cs="Times New Roman"/>
          <w:sz w:val="24"/>
          <w:szCs w:val="24"/>
          <w:lang w:val="en-GB"/>
        </w:rPr>
      </w:pPr>
      <w:r w:rsidRPr="00614438">
        <w:rPr>
          <w:rFonts w:ascii="Times New Roman" w:hAnsi="Times New Roman" w:cs="Times New Roman"/>
          <w:sz w:val="24"/>
          <w:szCs w:val="24"/>
          <w:lang w:val="da-DK"/>
        </w:rPr>
        <w:br w:type="page"/>
      </w:r>
      <w:r w:rsidRPr="00614438">
        <w:rPr>
          <w:rFonts w:ascii="Times New Roman" w:hAnsi="Times New Roman" w:cs="Times New Roman"/>
          <w:sz w:val="24"/>
          <w:szCs w:val="24"/>
          <w:lang w:val="en-GB"/>
        </w:rPr>
        <w:lastRenderedPageBreak/>
        <w:t>SECTION B: ANALYTICAL BASIS</w:t>
      </w:r>
    </w:p>
    <w:p w14:paraId="0AB4FC25" w14:textId="60B8EFA5" w:rsidR="00614438" w:rsidRPr="00614438" w:rsidRDefault="00BE3BF4" w:rsidP="00BE3BF4">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4. </w:t>
      </w:r>
      <w:bookmarkStart w:id="170" w:name="_Toc79772558"/>
      <w:bookmarkStart w:id="171" w:name="_Toc118991778"/>
      <w:bookmarkStart w:id="172" w:name="_Toc153545050"/>
      <w:r w:rsidR="00614438" w:rsidRPr="00614438">
        <w:rPr>
          <w:rFonts w:ascii="Times New Roman" w:hAnsi="Times New Roman" w:cs="Times New Roman"/>
          <w:sz w:val="24"/>
          <w:szCs w:val="24"/>
          <w:lang w:val="en-GB"/>
        </w:rPr>
        <w:t>CURRENT SITUATION AND PROJECTIONS WITH EXISTING POLICIES AND MEASURES</w:t>
      </w:r>
      <w:bookmarkEnd w:id="170"/>
      <w:bookmarkEnd w:id="171"/>
      <w:bookmarkEnd w:id="172"/>
    </w:p>
    <w:p w14:paraId="5C39CB84" w14:textId="77777777" w:rsidR="00614438" w:rsidRPr="00614438" w:rsidRDefault="00614438" w:rsidP="00BE3BF4">
      <w:pPr>
        <w:ind w:firstLine="360"/>
        <w:jc w:val="both"/>
        <w:rPr>
          <w:rFonts w:ascii="Times New Roman" w:hAnsi="Times New Roman" w:cs="Times New Roman"/>
          <w:sz w:val="24"/>
          <w:szCs w:val="24"/>
          <w:lang w:val="en-GB"/>
        </w:rPr>
      </w:pPr>
      <w:bookmarkStart w:id="173" w:name="_Hlk150862491"/>
      <w:r w:rsidRPr="00614438">
        <w:rPr>
          <w:rFonts w:ascii="Times New Roman" w:hAnsi="Times New Roman" w:cs="Times New Roman"/>
          <w:sz w:val="24"/>
          <w:szCs w:val="24"/>
          <w:lang w:val="en-GB"/>
        </w:rPr>
        <w:t>The impact analysis of the policies and measures described in detail in Chapter 2 was performed through the formulation of two alternative scenarios:</w:t>
      </w:r>
    </w:p>
    <w:p w14:paraId="30416A02" w14:textId="5CD8903C" w:rsidR="00614438" w:rsidRPr="00614438" w:rsidRDefault="00614438" w:rsidP="00485CA7">
      <w:pPr>
        <w:numPr>
          <w:ilvl w:val="0"/>
          <w:numId w:val="238"/>
        </w:numPr>
        <w:jc w:val="both"/>
        <w:rPr>
          <w:rFonts w:ascii="Times New Roman" w:hAnsi="Times New Roman" w:cs="Times New Roman"/>
          <w:sz w:val="24"/>
          <w:szCs w:val="24"/>
        </w:rPr>
      </w:pPr>
      <w:r w:rsidRPr="00614438">
        <w:rPr>
          <w:rFonts w:ascii="Times New Roman" w:hAnsi="Times New Roman" w:cs="Times New Roman"/>
          <w:sz w:val="24"/>
          <w:szCs w:val="24"/>
        </w:rPr>
        <w:t xml:space="preserve">With Existing Measures (WEM) scenario, which </w:t>
      </w:r>
      <w:r w:rsidR="005B0296">
        <w:rPr>
          <w:rFonts w:ascii="Times New Roman" w:hAnsi="Times New Roman" w:cs="Times New Roman"/>
          <w:sz w:val="24"/>
          <w:szCs w:val="24"/>
        </w:rPr>
        <w:t xml:space="preserve">has a </w:t>
      </w:r>
      <w:r w:rsidRPr="00614438">
        <w:rPr>
          <w:rFonts w:ascii="Times New Roman" w:hAnsi="Times New Roman" w:cs="Times New Roman"/>
          <w:sz w:val="24"/>
          <w:szCs w:val="24"/>
        </w:rPr>
        <w:t>project</w:t>
      </w:r>
      <w:r w:rsidR="005B0296">
        <w:rPr>
          <w:rFonts w:ascii="Times New Roman" w:hAnsi="Times New Roman" w:cs="Times New Roman"/>
          <w:sz w:val="24"/>
          <w:szCs w:val="24"/>
        </w:rPr>
        <w:t>ion of</w:t>
      </w:r>
      <w:r w:rsidRPr="00614438">
        <w:rPr>
          <w:rFonts w:ascii="Times New Roman" w:hAnsi="Times New Roman" w:cs="Times New Roman"/>
          <w:sz w:val="24"/>
          <w:szCs w:val="24"/>
        </w:rPr>
        <w:t xml:space="preserve"> the development of the energy sector and other emissions under existing policies and measures. This scenario does not lead to the accomplishment of the INECP targets and objectives, but i</w:t>
      </w:r>
      <w:r w:rsidR="005B0296">
        <w:rPr>
          <w:rFonts w:ascii="Times New Roman" w:hAnsi="Times New Roman" w:cs="Times New Roman"/>
          <w:sz w:val="24"/>
          <w:szCs w:val="24"/>
        </w:rPr>
        <w:t>s</w:t>
      </w:r>
      <w:r w:rsidRPr="00614438">
        <w:rPr>
          <w:rFonts w:ascii="Times New Roman" w:hAnsi="Times New Roman" w:cs="Times New Roman"/>
          <w:sz w:val="24"/>
          <w:szCs w:val="24"/>
        </w:rPr>
        <w:t xml:space="preserve"> used as a reference. The details of this scenario are presented in this Chapter.</w:t>
      </w:r>
    </w:p>
    <w:p w14:paraId="588CAD82" w14:textId="4331ED71" w:rsidR="00614438" w:rsidRPr="00614438" w:rsidRDefault="005B0296" w:rsidP="00485CA7">
      <w:pPr>
        <w:numPr>
          <w:ilvl w:val="0"/>
          <w:numId w:val="238"/>
        </w:numPr>
        <w:jc w:val="both"/>
        <w:rPr>
          <w:rFonts w:ascii="Times New Roman" w:hAnsi="Times New Roman" w:cs="Times New Roman"/>
          <w:sz w:val="24"/>
          <w:szCs w:val="24"/>
        </w:rPr>
      </w:pPr>
      <w:r>
        <w:rPr>
          <w:rFonts w:ascii="Times New Roman" w:hAnsi="Times New Roman" w:cs="Times New Roman"/>
          <w:sz w:val="24"/>
          <w:szCs w:val="24"/>
        </w:rPr>
        <w:t xml:space="preserve">With advanced </w:t>
      </w:r>
      <w:r w:rsidRPr="00614438">
        <w:rPr>
          <w:rFonts w:ascii="Times New Roman" w:hAnsi="Times New Roman" w:cs="Times New Roman"/>
          <w:sz w:val="24"/>
          <w:szCs w:val="24"/>
        </w:rPr>
        <w:t>measures</w:t>
      </w:r>
      <w:r>
        <w:rPr>
          <w:rFonts w:ascii="Times New Roman" w:hAnsi="Times New Roman" w:cs="Times New Roman"/>
          <w:sz w:val="24"/>
          <w:szCs w:val="24"/>
        </w:rPr>
        <w:t xml:space="preserve"> (WAM)</w:t>
      </w:r>
      <w:r w:rsidR="00614438" w:rsidRPr="00614438">
        <w:rPr>
          <w:rFonts w:ascii="Times New Roman" w:hAnsi="Times New Roman" w:cs="Times New Roman"/>
          <w:sz w:val="24"/>
          <w:szCs w:val="24"/>
        </w:rPr>
        <w:t xml:space="preserve"> </w:t>
      </w:r>
      <w:r>
        <w:rPr>
          <w:rFonts w:ascii="Times New Roman" w:hAnsi="Times New Roman" w:cs="Times New Roman"/>
          <w:sz w:val="24"/>
          <w:szCs w:val="24"/>
        </w:rPr>
        <w:t>scenario</w:t>
      </w:r>
      <w:r w:rsidR="00614438" w:rsidRPr="00614438">
        <w:rPr>
          <w:rFonts w:ascii="Times New Roman" w:hAnsi="Times New Roman" w:cs="Times New Roman"/>
          <w:sz w:val="24"/>
          <w:szCs w:val="24"/>
        </w:rPr>
        <w:t xml:space="preserve"> includes all the planed additional policies and measures that contribute to the achievement of the targets and the objectives of the IN</w:t>
      </w:r>
      <w:r w:rsidR="00835AFC">
        <w:rPr>
          <w:rFonts w:ascii="Times New Roman" w:hAnsi="Times New Roman" w:cs="Times New Roman"/>
          <w:sz w:val="24"/>
          <w:szCs w:val="24"/>
        </w:rPr>
        <w:t>E</w:t>
      </w:r>
      <w:r w:rsidR="00614438" w:rsidRPr="00614438">
        <w:rPr>
          <w:rFonts w:ascii="Times New Roman" w:hAnsi="Times New Roman" w:cs="Times New Roman"/>
          <w:sz w:val="24"/>
          <w:szCs w:val="24"/>
        </w:rPr>
        <w:t>CP. This scenario is called Scenario S, it is described in Chapter 5, and it is compared with the WEM scenario in order to show the additional effort which is needed for it to materialise.</w:t>
      </w:r>
    </w:p>
    <w:p w14:paraId="27E94BD0" w14:textId="747D7AD6" w:rsidR="00614438" w:rsidRPr="00614438" w:rsidRDefault="00614438" w:rsidP="00835AFC">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th</w:t>
      </w:r>
      <w:r w:rsidR="00835AFC">
        <w:rPr>
          <w:rFonts w:ascii="Times New Roman" w:hAnsi="Times New Roman" w:cs="Times New Roman"/>
          <w:sz w:val="24"/>
          <w:szCs w:val="24"/>
          <w:lang w:val="en-GB"/>
        </w:rPr>
        <w:t>is</w:t>
      </w:r>
      <w:r w:rsidRPr="00614438">
        <w:rPr>
          <w:rFonts w:ascii="Times New Roman" w:hAnsi="Times New Roman" w:cs="Times New Roman"/>
          <w:sz w:val="24"/>
          <w:szCs w:val="24"/>
          <w:lang w:val="en-GB"/>
        </w:rPr>
        <w:t xml:space="preserve"> analysis there are some exogenous factors which influence the development of the energy system and GHG emissions in general. These factors are used as common inputs to all the scenarios, and they are described in section 4.1.</w:t>
      </w:r>
    </w:p>
    <w:p w14:paraId="3C0E4081" w14:textId="0CDE503E" w:rsidR="00614438" w:rsidRPr="00614438" w:rsidRDefault="00614438" w:rsidP="00835AFC">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projections for the different dimensions under the WEM scenario, which means under the existing policies and measures</w:t>
      </w:r>
      <w:r w:rsidR="00835AFC">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are presented in sections 4.2 until 4.5, below.</w:t>
      </w:r>
    </w:p>
    <w:p w14:paraId="09CD7BD2" w14:textId="77777777" w:rsidR="00614438" w:rsidRPr="00614438" w:rsidRDefault="00614438" w:rsidP="00835AFC">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quantitative analysis of the scenario projections was based on the use of a suite of three modelling tools:</w:t>
      </w:r>
    </w:p>
    <w:p w14:paraId="2B13CA6F" w14:textId="77777777" w:rsidR="00614438" w:rsidRPr="00835AFC" w:rsidRDefault="00614438" w:rsidP="00485CA7">
      <w:pPr>
        <w:pStyle w:val="ListParagraph"/>
        <w:numPr>
          <w:ilvl w:val="0"/>
          <w:numId w:val="269"/>
        </w:numPr>
        <w:jc w:val="both"/>
        <w:rPr>
          <w:rFonts w:ascii="Times New Roman" w:hAnsi="Times New Roman" w:cs="Times New Roman"/>
          <w:sz w:val="24"/>
          <w:szCs w:val="24"/>
        </w:rPr>
      </w:pPr>
      <w:r w:rsidRPr="00835AFC">
        <w:rPr>
          <w:rFonts w:ascii="Times New Roman" w:hAnsi="Times New Roman" w:cs="Times New Roman"/>
          <w:sz w:val="24"/>
          <w:szCs w:val="24"/>
        </w:rPr>
        <w:t>the Serbian Energy Modelling System (SEMS), based on the TIMES framework, covering the development of the whole of the energy system,</w:t>
      </w:r>
    </w:p>
    <w:p w14:paraId="3149BF12" w14:textId="741D0338" w:rsidR="00614438" w:rsidRPr="00835AFC" w:rsidRDefault="00614438" w:rsidP="00485CA7">
      <w:pPr>
        <w:pStyle w:val="ListParagraph"/>
        <w:numPr>
          <w:ilvl w:val="0"/>
          <w:numId w:val="269"/>
        </w:numPr>
        <w:jc w:val="both"/>
        <w:rPr>
          <w:rFonts w:ascii="Times New Roman" w:hAnsi="Times New Roman" w:cs="Times New Roman"/>
          <w:sz w:val="24"/>
          <w:szCs w:val="24"/>
        </w:rPr>
      </w:pPr>
      <w:r w:rsidRPr="00835AFC">
        <w:rPr>
          <w:rFonts w:ascii="Times New Roman" w:hAnsi="Times New Roman" w:cs="Times New Roman"/>
          <w:sz w:val="24"/>
          <w:szCs w:val="24"/>
        </w:rPr>
        <w:t>a macro-economic analysis tool based on the Mitigation, Adaptation and New Technologies Applied General Equilibrium (MANAGE) Model, and</w:t>
      </w:r>
    </w:p>
    <w:p w14:paraId="7533D899" w14:textId="77777777" w:rsidR="00614438" w:rsidRPr="00835AFC" w:rsidRDefault="00614438" w:rsidP="00485CA7">
      <w:pPr>
        <w:pStyle w:val="ListParagraph"/>
        <w:numPr>
          <w:ilvl w:val="0"/>
          <w:numId w:val="269"/>
        </w:numPr>
        <w:jc w:val="both"/>
        <w:rPr>
          <w:rFonts w:ascii="Times New Roman" w:hAnsi="Times New Roman" w:cs="Times New Roman"/>
          <w:sz w:val="24"/>
          <w:szCs w:val="24"/>
        </w:rPr>
      </w:pPr>
      <w:r w:rsidRPr="00835AFC">
        <w:rPr>
          <w:rFonts w:ascii="Times New Roman" w:hAnsi="Times New Roman" w:cs="Times New Roman"/>
          <w:sz w:val="24"/>
          <w:szCs w:val="24"/>
        </w:rPr>
        <w:t>a High-RES penetration power system analysis tool based on the ANTARES software.</w:t>
      </w:r>
    </w:p>
    <w:bookmarkEnd w:id="173"/>
    <w:p w14:paraId="61095539" w14:textId="09F910DB" w:rsidR="00614438" w:rsidRPr="00614438" w:rsidRDefault="00614438" w:rsidP="00835AFC">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the framework of the IPA 2013 project “Development the Energy Planning Capacity”, the Serbian Energy Modelling System (SEMS) was developed and installed on a server of MoME</w:t>
      </w:r>
      <w:r w:rsidR="00835AFC">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SEMS is a national model based on the TIMES model generator, a bottom-up, technology rich, least cost optimisation framework, which is developed and maintained by the International Energy Agency (IEA). The model included the whole of the energy system, from extraction of energy commodities, imports, transformation sector and final energy consumption sectors. The time horizon of the analysis is until 2050 and can be readily extended to longer time periods. SEMS is used to perform projections of the development of the overall Serbian energy system under several alternative scenarios to explore future options and least cost reactions to specific policy inputs. The model is demand driven, which means that exogenous projections are provided for the key demand drivers which include population, GDP per sector, industrial production projections. Furthermore, SEMS was calibrated with the latest available statistical data, to represent the existing Serbian energy system.</w:t>
      </w:r>
    </w:p>
    <w:p w14:paraId="3E175E6C" w14:textId="77777777" w:rsidR="00614438" w:rsidRPr="00614438" w:rsidRDefault="00614438" w:rsidP="00835AFC">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order to study the economic impact assessment of energy and environmental policies, a multi-sector recursive dynamic computable general equilibrium (CGE) model was adopted to extend the scope of the SEMS scenario projection. The macro-economic tool was based on the Mitigation, Adaptation and New Technologies Applied General Equilibrium (MANAGE) Model, developed by GTAP (Purdue University). The model is specifically designed to analyse a variety of issues related to the economics of climate change and environmental policies, including baseline emissions of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lastRenderedPageBreak/>
        <w:t>and other greenhouse gases; greenhouse gas mitigation policies – taxes, caps and trade; economy wide and sectoral impacts assessment of environmental policies. Incorporation of the inter-sectoral linkages and high level of sectoral details provided in the MANAGE model, would enable accurate verification of different quantitative hypotheses related to the economic and environmental profiles of Serbian energy pathways.</w:t>
      </w:r>
    </w:p>
    <w:p w14:paraId="218E3299" w14:textId="2E85B663" w:rsidR="00614438" w:rsidRPr="00614438" w:rsidRDefault="00614438" w:rsidP="00835AFC">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Long term energy models like SEMS are used in studies analysing the energy transition towards a low carbon energy system. However, the operation of power systems with high penetration of variable energy sources, needs specialised software to be analysed in detail. Due to the intermittent character of wind and solar PV energies, their large deployment in the future will affect significantly the operation of the power system and this needs to be assessed appropriately so that policy makers can provide a realistic roadmap for their deployment in the INECP. For these reasons a power system model for Serbia was developed, based on the ANTARES tool (developed and maintained by RTE). This analysis for the development of the power system with large increase of RES in electricity generation provided the arguments for the establishment of a feasible roadmap under the INECP context </w:t>
      </w:r>
      <w:r w:rsidR="00835AFC">
        <w:rPr>
          <w:rFonts w:ascii="Times New Roman" w:hAnsi="Times New Roman" w:cs="Times New Roman"/>
          <w:sz w:val="24"/>
          <w:szCs w:val="24"/>
          <w:lang w:val="en-GB"/>
        </w:rPr>
        <w:t xml:space="preserve">until </w:t>
      </w:r>
      <w:r w:rsidRPr="00614438">
        <w:rPr>
          <w:rFonts w:ascii="Times New Roman" w:hAnsi="Times New Roman" w:cs="Times New Roman"/>
          <w:sz w:val="24"/>
          <w:szCs w:val="24"/>
          <w:lang w:val="en-GB"/>
        </w:rPr>
        <w:t>2030 with a long-term perspective of 2050.</w:t>
      </w:r>
    </w:p>
    <w:p w14:paraId="6737D77E" w14:textId="400574D4" w:rsidR="00614438" w:rsidRPr="00614438" w:rsidRDefault="00614438" w:rsidP="00835AFC">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An overview of the interconnections between the tools applied for the quantitative analysis presented in the INECP can be seen in the following figure and a more detailed description is presented in Annex III</w:t>
      </w:r>
      <w:r w:rsidR="00835AFC">
        <w:rPr>
          <w:rFonts w:ascii="Times New Roman" w:hAnsi="Times New Roman" w:cs="Times New Roman"/>
          <w:sz w:val="24"/>
          <w:szCs w:val="24"/>
          <w:lang w:val="en-GB"/>
        </w:rPr>
        <w:t>: ROOLS FOR A QUANTITATIVE ANALYSIS.</w:t>
      </w:r>
    </w:p>
    <w:p w14:paraId="6452FAA7" w14:textId="77777777" w:rsidR="00614438" w:rsidRPr="00614438" w:rsidRDefault="00614438" w:rsidP="00614438">
      <w:pPr>
        <w:jc w:val="both"/>
        <w:rPr>
          <w:rFonts w:ascii="Times New Roman" w:hAnsi="Times New Roman" w:cs="Times New Roman"/>
          <w:sz w:val="24"/>
          <w:szCs w:val="24"/>
        </w:rPr>
      </w:pPr>
      <w:bookmarkStart w:id="174" w:name="_Toc154575208"/>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Interconnections between modelling tools for the development of the INECP</w:t>
      </w:r>
      <w:bookmarkEnd w:id="174"/>
    </w:p>
    <w:p w14:paraId="5E66B880"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0D1C5FD8" wp14:editId="510D27F2">
            <wp:extent cx="5753100" cy="1981200"/>
            <wp:effectExtent l="0" t="0" r="0" b="0"/>
            <wp:docPr id="1367040147" name="Picture 342" descr="A diagram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2232738" descr="A diagram of a computer&#10;&#10;Description automatically generated with medium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3100" cy="1981200"/>
                    </a:xfrm>
                    <a:prstGeom prst="rect">
                      <a:avLst/>
                    </a:prstGeom>
                    <a:noFill/>
                    <a:ln>
                      <a:noFill/>
                    </a:ln>
                  </pic:spPr>
                </pic:pic>
              </a:graphicData>
            </a:graphic>
          </wp:inline>
        </w:drawing>
      </w:r>
    </w:p>
    <w:p w14:paraId="25C0EC8E" w14:textId="77777777" w:rsidR="00614438" w:rsidRPr="00614438" w:rsidRDefault="00614438" w:rsidP="00614438">
      <w:pPr>
        <w:jc w:val="both"/>
        <w:rPr>
          <w:rFonts w:ascii="Times New Roman" w:hAnsi="Times New Roman" w:cs="Times New Roman"/>
          <w:sz w:val="24"/>
          <w:szCs w:val="24"/>
          <w:lang w:val="en-GB"/>
        </w:rPr>
      </w:pPr>
    </w:p>
    <w:p w14:paraId="753FC632" w14:textId="5D6FF15C" w:rsidR="00614438" w:rsidRPr="00614438" w:rsidRDefault="00835AFC" w:rsidP="00835AFC">
      <w:pPr>
        <w:jc w:val="center"/>
        <w:rPr>
          <w:rFonts w:ascii="Times New Roman" w:hAnsi="Times New Roman" w:cs="Times New Roman"/>
          <w:sz w:val="24"/>
          <w:szCs w:val="24"/>
          <w:lang w:val="en-GB"/>
        </w:rPr>
      </w:pPr>
      <w:bookmarkStart w:id="175" w:name="_Toc79772559"/>
      <w:bookmarkStart w:id="176" w:name="_Toc118991779"/>
      <w:bookmarkStart w:id="177" w:name="_Toc153545051"/>
      <w:r>
        <w:rPr>
          <w:rFonts w:ascii="Times New Roman" w:hAnsi="Times New Roman" w:cs="Times New Roman"/>
          <w:sz w:val="24"/>
          <w:szCs w:val="24"/>
          <w:lang w:val="en-GB"/>
        </w:rPr>
        <w:t xml:space="preserve">4.1 </w:t>
      </w:r>
      <w:r w:rsidR="00614438" w:rsidRPr="00614438">
        <w:rPr>
          <w:rFonts w:ascii="Times New Roman" w:hAnsi="Times New Roman" w:cs="Times New Roman"/>
          <w:sz w:val="24"/>
          <w:szCs w:val="24"/>
          <w:lang w:val="en-GB"/>
        </w:rPr>
        <w:t>Projected evolution of main exogenous factors influencing energy system and GHG emission developments</w:t>
      </w:r>
      <w:bookmarkEnd w:id="175"/>
      <w:bookmarkEnd w:id="176"/>
      <w:bookmarkEnd w:id="177"/>
    </w:p>
    <w:p w14:paraId="2AA3585D" w14:textId="77777777" w:rsidR="00614438" w:rsidRPr="00614438" w:rsidRDefault="00614438" w:rsidP="00835AFC">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This section presents briefly the main input parameters and underlying assumptions, which are utilised in the formulation of the WEM scenario for the energy system of the Republic of Serbia. This scenario is used as a reference for comparison with the projections presented in Chapter 5, where all the additional measures are included in order to reach the targets for emissions reduction, renewable energy penetration and energy efficiency. The With Existing Measures (WEM) scenario does not include carbon prices, while there is a low-RES ambition (fixed capacities for projects), allowing of up to 200MW of wind and 200MW of PV additions per 5 years after 2030. It also includes low share of RES in district heating (about 3% of heat by RES in 2030) and low ambition of energy efficiency.</w:t>
      </w:r>
    </w:p>
    <w:p w14:paraId="5781A659" w14:textId="53CADD25" w:rsidR="00614438" w:rsidRPr="00835AFC" w:rsidRDefault="00614438" w:rsidP="00485CA7">
      <w:pPr>
        <w:pStyle w:val="ListParagraph"/>
        <w:numPr>
          <w:ilvl w:val="2"/>
          <w:numId w:val="270"/>
        </w:numPr>
        <w:jc w:val="center"/>
        <w:rPr>
          <w:rFonts w:ascii="Times New Roman" w:hAnsi="Times New Roman" w:cs="Times New Roman"/>
          <w:sz w:val="24"/>
          <w:szCs w:val="24"/>
          <w:lang w:val="en-GB"/>
        </w:rPr>
      </w:pPr>
      <w:r w:rsidRPr="00835AFC">
        <w:rPr>
          <w:rFonts w:ascii="Times New Roman" w:hAnsi="Times New Roman" w:cs="Times New Roman"/>
          <w:sz w:val="24"/>
          <w:szCs w:val="24"/>
          <w:lang w:val="en-GB"/>
        </w:rPr>
        <w:t>Macroeconomic forecasts (GDP and population growth)</w:t>
      </w:r>
    </w:p>
    <w:p w14:paraId="23D797E0" w14:textId="77777777" w:rsidR="00614438" w:rsidRPr="00614438" w:rsidRDefault="00614438" w:rsidP="00DE7E2C">
      <w:pPr>
        <w:ind w:firstLine="720"/>
        <w:jc w:val="both"/>
        <w:rPr>
          <w:rFonts w:ascii="Times New Roman" w:hAnsi="Times New Roman" w:cs="Times New Roman"/>
          <w:sz w:val="24"/>
          <w:szCs w:val="24"/>
          <w:lang w:val="en-GB"/>
        </w:rPr>
      </w:pPr>
      <w:bookmarkStart w:id="178" w:name="_Ref78444677"/>
      <w:r w:rsidRPr="00614438">
        <w:rPr>
          <w:rFonts w:ascii="Times New Roman" w:hAnsi="Times New Roman" w:cs="Times New Roman"/>
          <w:sz w:val="24"/>
          <w:szCs w:val="24"/>
          <w:lang w:val="en-GB"/>
        </w:rPr>
        <w:t xml:space="preserve">The most crucial drivers for the energy demand are the evolution of the GDP and the population trend until 2050. As shown in the </w:t>
      </w:r>
      <w:r w:rsidR="00FA29EF">
        <w:fldChar w:fldCharType="begin"/>
      </w:r>
      <w:r w:rsidR="00FA29EF">
        <w:instrText xml:space="preserve"> REF _Ref153461629 \h  \* MERGEFORMAT </w:instrText>
      </w:r>
      <w:r w:rsidR="00FA29EF">
        <w:fldChar w:fldCharType="separate"/>
      </w:r>
      <w:r w:rsidRPr="00614438">
        <w:rPr>
          <w:rFonts w:ascii="Times New Roman" w:hAnsi="Times New Roman" w:cs="Times New Roman"/>
          <w:sz w:val="24"/>
          <w:szCs w:val="24"/>
          <w:lang w:val="en-GB"/>
        </w:rPr>
        <w:t>Figure 4.2</w:t>
      </w:r>
      <w:r w:rsidR="00FA29EF">
        <w:fldChar w:fldCharType="end"/>
      </w:r>
      <w:r w:rsidRPr="00614438">
        <w:rPr>
          <w:rFonts w:ascii="Times New Roman" w:hAnsi="Times New Roman" w:cs="Times New Roman"/>
          <w:sz w:val="24"/>
          <w:szCs w:val="24"/>
          <w:lang w:val="en-GB"/>
        </w:rPr>
        <w:t xml:space="preserve">, the population of the Republic of Serbia </w:t>
      </w:r>
      <w:r w:rsidRPr="00614438">
        <w:rPr>
          <w:rFonts w:ascii="Times New Roman" w:hAnsi="Times New Roman" w:cs="Times New Roman"/>
          <w:sz w:val="24"/>
          <w:szCs w:val="24"/>
          <w:lang w:val="en-GB"/>
        </w:rPr>
        <w:lastRenderedPageBreak/>
        <w:t>decreased steadily over 2010-2020 from 7.3 million in 2010 to 6.93 million in 2020, while the annual GDP, at current prices, increased during the aforementioned period from €31.5 billion in 2010 to €466.8 billion in 2020.</w:t>
      </w:r>
    </w:p>
    <w:p w14:paraId="3F0E38C3" w14:textId="2A961DE1" w:rsidR="00DE7E2C" w:rsidRPr="00614438" w:rsidRDefault="00DE7E2C" w:rsidP="00DE7E2C">
      <w:pPr>
        <w:ind w:firstLine="720"/>
        <w:jc w:val="both"/>
        <w:rPr>
          <w:rFonts w:ascii="Times New Roman" w:hAnsi="Times New Roman" w:cs="Times New Roman"/>
          <w:sz w:val="24"/>
          <w:szCs w:val="24"/>
          <w:lang w:val="en-GB"/>
        </w:rPr>
      </w:pPr>
      <w:bookmarkStart w:id="179" w:name="_Ref153461629"/>
      <w:bookmarkStart w:id="180" w:name="_Toc154575209"/>
      <w:r w:rsidRPr="00614438">
        <w:rPr>
          <w:rFonts w:ascii="Times New Roman" w:hAnsi="Times New Roman" w:cs="Times New Roman"/>
          <w:sz w:val="24"/>
          <w:szCs w:val="24"/>
          <w:lang w:val="en-GB"/>
        </w:rPr>
        <w:t xml:space="preserve">The projection of population is shown in </w:t>
      </w:r>
      <w:r>
        <w:fldChar w:fldCharType="begin"/>
      </w:r>
      <w:r>
        <w:instrText xml:space="preserve"> REF _Ref153461714 \h  \* MERGEFORMAT </w:instrText>
      </w:r>
      <w:r>
        <w:fldChar w:fldCharType="separate"/>
      </w:r>
      <w:r w:rsidRPr="00614438">
        <w:rPr>
          <w:rFonts w:ascii="Times New Roman" w:hAnsi="Times New Roman" w:cs="Times New Roman"/>
          <w:sz w:val="24"/>
          <w:szCs w:val="24"/>
          <w:lang w:val="en-GB"/>
        </w:rPr>
        <w:t>Figure 4.3</w:t>
      </w:r>
      <w:r>
        <w:fldChar w:fldCharType="end"/>
      </w:r>
      <w:r w:rsidRPr="00614438">
        <w:rPr>
          <w:rFonts w:ascii="Times New Roman" w:hAnsi="Times New Roman" w:cs="Times New Roman"/>
          <w:sz w:val="24"/>
          <w:szCs w:val="24"/>
          <w:lang w:val="en-GB"/>
        </w:rPr>
        <w:t xml:space="preserve"> </w:t>
      </w:r>
      <w:r w:rsidRPr="00614438">
        <w:rPr>
          <w:rFonts w:ascii="Times New Roman" w:hAnsi="Times New Roman" w:cs="Times New Roman"/>
          <w:sz w:val="24"/>
          <w:szCs w:val="24"/>
          <w:lang w:val="da-DK"/>
        </w:rPr>
        <w:t xml:space="preserve">and </w:t>
      </w:r>
      <w:r>
        <w:fldChar w:fldCharType="begin"/>
      </w:r>
      <w:r>
        <w:instrText xml:space="preserve"> REF _Ref153461864 \h  \* MERGEFORMAT </w:instrText>
      </w:r>
      <w:r>
        <w:fldChar w:fldCharType="separate"/>
      </w:r>
      <w:r w:rsidRPr="00614438">
        <w:rPr>
          <w:rFonts w:ascii="Times New Roman" w:hAnsi="Times New Roman" w:cs="Times New Roman"/>
          <w:sz w:val="24"/>
          <w:szCs w:val="24"/>
          <w:lang w:val="en-GB"/>
        </w:rPr>
        <w:t>Table 4.1</w:t>
      </w:r>
      <w:r>
        <w:fldChar w:fldCharType="end"/>
      </w:r>
      <w:r w:rsidRPr="00614438">
        <w:rPr>
          <w:rFonts w:ascii="Times New Roman" w:hAnsi="Times New Roman" w:cs="Times New Roman"/>
          <w:sz w:val="24"/>
          <w:szCs w:val="24"/>
          <w:lang w:val="en-GB"/>
        </w:rPr>
        <w:t xml:space="preserve">. based on the median scenario of the Statistical Office of the Republic of Serbia (SORS). The projection of the GDP for the short term (up to </w:t>
      </w:r>
      <w:r w:rsidRPr="00DA7949">
        <w:rPr>
          <w:rFonts w:ascii="Times New Roman" w:hAnsi="Times New Roman" w:cs="Times New Roman"/>
          <w:sz w:val="24"/>
          <w:szCs w:val="24"/>
          <w:lang w:val="en-GB"/>
        </w:rPr>
        <w:t>2026) has been derived by the National Bank of Serbia, while the Shared Socioeconomic Pathways (SSP</w:t>
      </w:r>
      <w:r w:rsidR="00DA7949">
        <w:rPr>
          <w:rFonts w:ascii="Times New Roman" w:hAnsi="Times New Roman" w:cs="Times New Roman"/>
          <w:sz w:val="24"/>
          <w:szCs w:val="24"/>
          <w:lang w:val="en-GB"/>
        </w:rPr>
        <w:t xml:space="preserve"> -</w:t>
      </w:r>
      <w:r w:rsidR="00DA7949" w:rsidRPr="00DA7949">
        <w:rPr>
          <w:rFonts w:ascii="Times New Roman" w:hAnsi="Times New Roman" w:cs="Times New Roman"/>
          <w:sz w:val="24"/>
          <w:szCs w:val="24"/>
        </w:rPr>
        <w:t xml:space="preserve"> These are long term socioeconomic projections (GDP projections) per country, performed by IIASA for the IPCC scenarios</w:t>
      </w:r>
      <w:r w:rsidR="00DA7949">
        <w:rPr>
          <w:rFonts w:ascii="Times New Roman" w:hAnsi="Times New Roman" w:cs="Times New Roman"/>
          <w:sz w:val="24"/>
          <w:szCs w:val="24"/>
          <w:lang w:val="en-GB"/>
        </w:rPr>
        <w:t xml:space="preserve">) </w:t>
      </w:r>
      <w:r w:rsidRPr="00DA7949">
        <w:rPr>
          <w:rFonts w:ascii="Times New Roman" w:hAnsi="Times New Roman" w:cs="Times New Roman"/>
          <w:sz w:val="24"/>
          <w:szCs w:val="24"/>
          <w:lang w:val="en-GB"/>
        </w:rPr>
        <w:t>ha</w:t>
      </w:r>
      <w:r w:rsidR="00DA7949">
        <w:rPr>
          <w:rFonts w:ascii="Times New Roman" w:hAnsi="Times New Roman" w:cs="Times New Roman"/>
          <w:sz w:val="24"/>
          <w:szCs w:val="24"/>
          <w:lang w:val="en-GB"/>
        </w:rPr>
        <w:t>ve</w:t>
      </w:r>
      <w:r w:rsidRPr="00DA7949">
        <w:rPr>
          <w:rFonts w:ascii="Times New Roman" w:hAnsi="Times New Roman" w:cs="Times New Roman"/>
          <w:sz w:val="24"/>
          <w:szCs w:val="24"/>
          <w:lang w:val="en-GB"/>
        </w:rPr>
        <w:t xml:space="preserve"> been taken into consideration for the medium to long term projections of the GDP.</w:t>
      </w:r>
    </w:p>
    <w:p w14:paraId="20EA234D"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w:t>
      </w:r>
      <w:r w:rsidR="00C83251" w:rsidRPr="00614438">
        <w:rPr>
          <w:rFonts w:ascii="Times New Roman" w:hAnsi="Times New Roman" w:cs="Times New Roman"/>
          <w:sz w:val="24"/>
          <w:szCs w:val="24"/>
        </w:rPr>
        <w:fldChar w:fldCharType="end"/>
      </w:r>
      <w:bookmarkEnd w:id="179"/>
      <w:r w:rsidRPr="00614438">
        <w:rPr>
          <w:rFonts w:ascii="Times New Roman" w:hAnsi="Times New Roman" w:cs="Times New Roman"/>
          <w:sz w:val="24"/>
          <w:szCs w:val="24"/>
        </w:rPr>
        <w:t>: Historical data of GDP and population over 2010-2020 (Sources: Statistical Office of the Republic of Serbia, Ministry of Finance, National Bank)</w:t>
      </w:r>
      <w:bookmarkEnd w:id="180"/>
    </w:p>
    <w:p w14:paraId="5158F9EB"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4B5184A2" wp14:editId="115A2B2C">
            <wp:extent cx="4962525" cy="2876550"/>
            <wp:effectExtent l="0" t="0" r="9525" b="0"/>
            <wp:docPr id="906609383"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62525" cy="2876550"/>
                    </a:xfrm>
                    <a:prstGeom prst="rect">
                      <a:avLst/>
                    </a:prstGeom>
                    <a:noFill/>
                    <a:ln>
                      <a:noFill/>
                    </a:ln>
                  </pic:spPr>
                </pic:pic>
              </a:graphicData>
            </a:graphic>
          </wp:inline>
        </w:drawing>
      </w:r>
    </w:p>
    <w:p w14:paraId="5D788802" w14:textId="77777777" w:rsidR="00614438" w:rsidRPr="00614438" w:rsidRDefault="00614438" w:rsidP="00614438">
      <w:pPr>
        <w:jc w:val="both"/>
        <w:rPr>
          <w:rFonts w:ascii="Times New Roman" w:hAnsi="Times New Roman" w:cs="Times New Roman"/>
          <w:sz w:val="24"/>
          <w:szCs w:val="24"/>
          <w:lang w:val="en-GB"/>
        </w:rPr>
      </w:pPr>
    </w:p>
    <w:p w14:paraId="3B6FB8A6" w14:textId="77777777" w:rsidR="00614438" w:rsidRPr="00614438" w:rsidRDefault="00614438" w:rsidP="00614438">
      <w:pPr>
        <w:jc w:val="both"/>
        <w:rPr>
          <w:rFonts w:ascii="Times New Roman" w:hAnsi="Times New Roman" w:cs="Times New Roman"/>
          <w:sz w:val="24"/>
          <w:szCs w:val="24"/>
          <w:lang w:val="en-GB"/>
        </w:rPr>
      </w:pPr>
      <w:bookmarkStart w:id="181" w:name="_heading=h.1x0gk37"/>
      <w:bookmarkStart w:id="182" w:name="_Ref153461714"/>
      <w:bookmarkStart w:id="183" w:name="_Toc154575210"/>
      <w:bookmarkEnd w:id="181"/>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w:t>
      </w:r>
      <w:r w:rsidR="00C83251" w:rsidRPr="00614438">
        <w:rPr>
          <w:rFonts w:ascii="Times New Roman" w:hAnsi="Times New Roman" w:cs="Times New Roman"/>
          <w:sz w:val="24"/>
          <w:szCs w:val="24"/>
        </w:rPr>
        <w:fldChar w:fldCharType="end"/>
      </w:r>
      <w:bookmarkEnd w:id="182"/>
      <w:r w:rsidRPr="00614438">
        <w:rPr>
          <w:rFonts w:ascii="Times New Roman" w:hAnsi="Times New Roman" w:cs="Times New Roman"/>
          <w:sz w:val="24"/>
          <w:szCs w:val="24"/>
        </w:rPr>
        <w:t>: Evolution of GDP (in constant Euro 2015) and population until 2050 (Sources: Statistical Office of the Republic of Serbia, Ministry of Finance, National Bank, projections based on SSP)</w:t>
      </w:r>
      <w:bookmarkEnd w:id="183"/>
    </w:p>
    <w:p w14:paraId="480B8F99" w14:textId="77777777" w:rsidR="00614438" w:rsidRPr="00614438" w:rsidRDefault="00614438" w:rsidP="00614438">
      <w:pPr>
        <w:jc w:val="both"/>
        <w:rPr>
          <w:rFonts w:ascii="Times New Roman" w:hAnsi="Times New Roman" w:cs="Times New Roman"/>
          <w:sz w:val="24"/>
          <w:szCs w:val="24"/>
        </w:rPr>
      </w:pPr>
      <w:r w:rsidRPr="00013008">
        <w:rPr>
          <w:rFonts w:ascii="Times New Roman" w:hAnsi="Times New Roman" w:cs="Times New Roman"/>
          <w:noProof/>
          <w:sz w:val="24"/>
          <w:szCs w:val="24"/>
          <w:lang w:val="en-GB" w:eastAsia="en-GB"/>
        </w:rPr>
        <w:drawing>
          <wp:inline distT="0" distB="0" distL="0" distR="0" wp14:anchorId="4B36F52D" wp14:editId="1668900C">
            <wp:extent cx="4914900" cy="2409825"/>
            <wp:effectExtent l="0" t="0" r="0" b="9525"/>
            <wp:docPr id="1489930598"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14900" cy="2409825"/>
                    </a:xfrm>
                    <a:prstGeom prst="rect">
                      <a:avLst/>
                    </a:prstGeom>
                    <a:noFill/>
                    <a:ln>
                      <a:noFill/>
                    </a:ln>
                  </pic:spPr>
                </pic:pic>
              </a:graphicData>
            </a:graphic>
          </wp:inline>
        </w:drawing>
      </w:r>
    </w:p>
    <w:p w14:paraId="7E90AB82" w14:textId="77777777" w:rsidR="00614438" w:rsidRPr="00614438" w:rsidRDefault="00614438" w:rsidP="00614438">
      <w:pPr>
        <w:jc w:val="both"/>
        <w:rPr>
          <w:rFonts w:ascii="Times New Roman" w:hAnsi="Times New Roman" w:cs="Times New Roman"/>
          <w:sz w:val="24"/>
          <w:szCs w:val="24"/>
        </w:rPr>
      </w:pPr>
      <w:bookmarkStart w:id="184" w:name="_Ref153461864"/>
      <w:bookmarkStart w:id="185" w:name="_Toc153545072"/>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bookmarkEnd w:id="184"/>
      <w:r w:rsidRPr="00614438">
        <w:rPr>
          <w:rFonts w:ascii="Times New Roman" w:hAnsi="Times New Roman" w:cs="Times New Roman"/>
          <w:sz w:val="24"/>
          <w:szCs w:val="24"/>
        </w:rPr>
        <w:t>: Numerical evolution of GDP and population over 2020-2050 (Sources: Statistical Office of the Republic of Serbia, Ministry of Finance, National Bank, projections based on SSP)</w:t>
      </w:r>
      <w:bookmarkStart w:id="186" w:name="_Hlk134111986"/>
      <w:bookmarkEnd w:id="185"/>
    </w:p>
    <w:bookmarkEnd w:id="186"/>
    <w:tbl>
      <w:tblPr>
        <w:tblStyle w:val="TableGrid"/>
        <w:tblW w:w="0" w:type="auto"/>
        <w:jc w:val="center"/>
        <w:tblLook w:val="04A0" w:firstRow="1" w:lastRow="0" w:firstColumn="1" w:lastColumn="0" w:noHBand="0" w:noVBand="1"/>
      </w:tblPr>
      <w:tblGrid>
        <w:gridCol w:w="1414"/>
        <w:gridCol w:w="980"/>
        <w:gridCol w:w="980"/>
        <w:gridCol w:w="980"/>
        <w:gridCol w:w="980"/>
        <w:gridCol w:w="980"/>
        <w:gridCol w:w="980"/>
        <w:gridCol w:w="1000"/>
      </w:tblGrid>
      <w:tr w:rsidR="00614438" w:rsidRPr="00AA7A53" w14:paraId="345135BA" w14:textId="77777777" w:rsidTr="00614438">
        <w:trPr>
          <w:trHeight w:val="300"/>
          <w:jc w:val="center"/>
        </w:trPr>
        <w:tc>
          <w:tcPr>
            <w:tcW w:w="1414" w:type="dxa"/>
            <w:tcBorders>
              <w:top w:val="single" w:sz="4" w:space="0" w:color="auto"/>
              <w:left w:val="single" w:sz="4" w:space="0" w:color="auto"/>
              <w:bottom w:val="single" w:sz="4" w:space="0" w:color="auto"/>
              <w:right w:val="single" w:sz="4" w:space="0" w:color="auto"/>
            </w:tcBorders>
            <w:noWrap/>
            <w:vAlign w:val="center"/>
            <w:hideMark/>
          </w:tcPr>
          <w:p w14:paraId="0F108CA5" w14:textId="39F8113E" w:rsidR="00614438" w:rsidRPr="00AA7A53" w:rsidRDefault="00614438" w:rsidP="00AA7A53">
            <w:pPr>
              <w:spacing w:line="259" w:lineRule="auto"/>
              <w:jc w:val="both"/>
              <w:rPr>
                <w:rFonts w:ascii="Times New Roman" w:hAnsi="Times New Roman" w:cs="Times New Roman"/>
                <w:sz w:val="20"/>
                <w:szCs w:val="20"/>
                <w:lang w:val="en-GB"/>
              </w:rPr>
            </w:pPr>
          </w:p>
        </w:tc>
        <w:tc>
          <w:tcPr>
            <w:tcW w:w="980" w:type="dxa"/>
            <w:tcBorders>
              <w:top w:val="single" w:sz="4" w:space="0" w:color="auto"/>
              <w:left w:val="single" w:sz="4" w:space="0" w:color="auto"/>
              <w:bottom w:val="single" w:sz="4" w:space="0" w:color="auto"/>
              <w:right w:val="single" w:sz="4" w:space="0" w:color="auto"/>
            </w:tcBorders>
            <w:noWrap/>
            <w:vAlign w:val="center"/>
            <w:hideMark/>
          </w:tcPr>
          <w:p w14:paraId="08F05782" w14:textId="77777777" w:rsidR="00614438" w:rsidRPr="00AA7A53" w:rsidRDefault="00614438" w:rsidP="00AA7A53">
            <w:pPr>
              <w:spacing w:line="259" w:lineRule="auto"/>
              <w:jc w:val="both"/>
              <w:rPr>
                <w:rFonts w:ascii="Times New Roman" w:hAnsi="Times New Roman" w:cs="Times New Roman"/>
                <w:sz w:val="20"/>
                <w:szCs w:val="20"/>
                <w:lang w:val="en-GB"/>
              </w:rPr>
            </w:pPr>
            <w:r w:rsidRPr="00AA7A53">
              <w:rPr>
                <w:rFonts w:ascii="Times New Roman" w:hAnsi="Times New Roman" w:cs="Times New Roman"/>
                <w:sz w:val="20"/>
                <w:szCs w:val="20"/>
              </w:rPr>
              <w:t>2020</w:t>
            </w:r>
          </w:p>
        </w:tc>
        <w:tc>
          <w:tcPr>
            <w:tcW w:w="980" w:type="dxa"/>
            <w:tcBorders>
              <w:top w:val="single" w:sz="4" w:space="0" w:color="auto"/>
              <w:left w:val="single" w:sz="4" w:space="0" w:color="auto"/>
              <w:bottom w:val="single" w:sz="4" w:space="0" w:color="auto"/>
              <w:right w:val="single" w:sz="4" w:space="0" w:color="auto"/>
            </w:tcBorders>
            <w:noWrap/>
            <w:vAlign w:val="center"/>
            <w:hideMark/>
          </w:tcPr>
          <w:p w14:paraId="0759C73C" w14:textId="77777777" w:rsidR="00614438" w:rsidRPr="00AA7A53" w:rsidRDefault="00614438" w:rsidP="00AA7A53">
            <w:pPr>
              <w:spacing w:line="259" w:lineRule="auto"/>
              <w:jc w:val="both"/>
              <w:rPr>
                <w:rFonts w:ascii="Times New Roman" w:hAnsi="Times New Roman" w:cs="Times New Roman"/>
                <w:sz w:val="20"/>
                <w:szCs w:val="20"/>
              </w:rPr>
            </w:pPr>
            <w:r w:rsidRPr="00AA7A53">
              <w:rPr>
                <w:rFonts w:ascii="Times New Roman" w:hAnsi="Times New Roman" w:cs="Times New Roman"/>
                <w:sz w:val="20"/>
                <w:szCs w:val="20"/>
              </w:rPr>
              <w:t>2025</w:t>
            </w:r>
          </w:p>
        </w:tc>
        <w:tc>
          <w:tcPr>
            <w:tcW w:w="980" w:type="dxa"/>
            <w:tcBorders>
              <w:top w:val="single" w:sz="4" w:space="0" w:color="auto"/>
              <w:left w:val="single" w:sz="4" w:space="0" w:color="auto"/>
              <w:bottom w:val="single" w:sz="4" w:space="0" w:color="auto"/>
              <w:right w:val="single" w:sz="4" w:space="0" w:color="auto"/>
            </w:tcBorders>
            <w:noWrap/>
            <w:vAlign w:val="center"/>
            <w:hideMark/>
          </w:tcPr>
          <w:p w14:paraId="1A3CF455" w14:textId="77777777" w:rsidR="00614438" w:rsidRPr="00AA7A53" w:rsidRDefault="00614438" w:rsidP="00AA7A53">
            <w:pPr>
              <w:spacing w:line="259" w:lineRule="auto"/>
              <w:jc w:val="both"/>
              <w:rPr>
                <w:rFonts w:ascii="Times New Roman" w:hAnsi="Times New Roman" w:cs="Times New Roman"/>
                <w:sz w:val="20"/>
                <w:szCs w:val="20"/>
              </w:rPr>
            </w:pPr>
            <w:r w:rsidRPr="00AA7A53">
              <w:rPr>
                <w:rFonts w:ascii="Times New Roman" w:hAnsi="Times New Roman" w:cs="Times New Roman"/>
                <w:sz w:val="20"/>
                <w:szCs w:val="20"/>
              </w:rPr>
              <w:t>2030</w:t>
            </w:r>
          </w:p>
        </w:tc>
        <w:tc>
          <w:tcPr>
            <w:tcW w:w="980" w:type="dxa"/>
            <w:tcBorders>
              <w:top w:val="single" w:sz="4" w:space="0" w:color="auto"/>
              <w:left w:val="single" w:sz="4" w:space="0" w:color="auto"/>
              <w:bottom w:val="single" w:sz="4" w:space="0" w:color="auto"/>
              <w:right w:val="single" w:sz="4" w:space="0" w:color="auto"/>
            </w:tcBorders>
            <w:noWrap/>
            <w:vAlign w:val="center"/>
            <w:hideMark/>
          </w:tcPr>
          <w:p w14:paraId="2F7628D0" w14:textId="77777777" w:rsidR="00614438" w:rsidRPr="00AA7A53" w:rsidRDefault="00614438" w:rsidP="00AA7A53">
            <w:pPr>
              <w:spacing w:line="259" w:lineRule="auto"/>
              <w:jc w:val="both"/>
              <w:rPr>
                <w:rFonts w:ascii="Times New Roman" w:hAnsi="Times New Roman" w:cs="Times New Roman"/>
                <w:sz w:val="20"/>
                <w:szCs w:val="20"/>
              </w:rPr>
            </w:pPr>
            <w:r w:rsidRPr="00AA7A53">
              <w:rPr>
                <w:rFonts w:ascii="Times New Roman" w:hAnsi="Times New Roman" w:cs="Times New Roman"/>
                <w:sz w:val="20"/>
                <w:szCs w:val="20"/>
              </w:rPr>
              <w:t>2035</w:t>
            </w:r>
          </w:p>
        </w:tc>
        <w:tc>
          <w:tcPr>
            <w:tcW w:w="980" w:type="dxa"/>
            <w:tcBorders>
              <w:top w:val="single" w:sz="4" w:space="0" w:color="auto"/>
              <w:left w:val="single" w:sz="4" w:space="0" w:color="auto"/>
              <w:bottom w:val="single" w:sz="4" w:space="0" w:color="auto"/>
              <w:right w:val="single" w:sz="4" w:space="0" w:color="auto"/>
            </w:tcBorders>
            <w:noWrap/>
            <w:vAlign w:val="center"/>
            <w:hideMark/>
          </w:tcPr>
          <w:p w14:paraId="6308756C" w14:textId="77777777" w:rsidR="00614438" w:rsidRPr="00AA7A53" w:rsidRDefault="00614438" w:rsidP="00AA7A53">
            <w:pPr>
              <w:spacing w:line="259" w:lineRule="auto"/>
              <w:jc w:val="both"/>
              <w:rPr>
                <w:rFonts w:ascii="Times New Roman" w:hAnsi="Times New Roman" w:cs="Times New Roman"/>
                <w:sz w:val="20"/>
                <w:szCs w:val="20"/>
              </w:rPr>
            </w:pPr>
            <w:r w:rsidRPr="00AA7A53">
              <w:rPr>
                <w:rFonts w:ascii="Times New Roman" w:hAnsi="Times New Roman" w:cs="Times New Roman"/>
                <w:sz w:val="20"/>
                <w:szCs w:val="20"/>
              </w:rPr>
              <w:t>2040</w:t>
            </w:r>
          </w:p>
        </w:tc>
        <w:tc>
          <w:tcPr>
            <w:tcW w:w="980" w:type="dxa"/>
            <w:tcBorders>
              <w:top w:val="single" w:sz="4" w:space="0" w:color="auto"/>
              <w:left w:val="single" w:sz="4" w:space="0" w:color="auto"/>
              <w:bottom w:val="single" w:sz="4" w:space="0" w:color="auto"/>
              <w:right w:val="single" w:sz="4" w:space="0" w:color="auto"/>
            </w:tcBorders>
            <w:noWrap/>
            <w:vAlign w:val="center"/>
            <w:hideMark/>
          </w:tcPr>
          <w:p w14:paraId="568DA379" w14:textId="77777777" w:rsidR="00614438" w:rsidRPr="00AA7A53" w:rsidRDefault="00614438" w:rsidP="00AA7A53">
            <w:pPr>
              <w:spacing w:line="259" w:lineRule="auto"/>
              <w:jc w:val="both"/>
              <w:rPr>
                <w:rFonts w:ascii="Times New Roman" w:hAnsi="Times New Roman" w:cs="Times New Roman"/>
                <w:sz w:val="20"/>
                <w:szCs w:val="20"/>
              </w:rPr>
            </w:pPr>
            <w:r w:rsidRPr="00AA7A53">
              <w:rPr>
                <w:rFonts w:ascii="Times New Roman" w:hAnsi="Times New Roman" w:cs="Times New Roman"/>
                <w:sz w:val="20"/>
                <w:szCs w:val="20"/>
              </w:rPr>
              <w:t>2045</w:t>
            </w: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12C540BC" w14:textId="77777777" w:rsidR="00614438" w:rsidRPr="00AA7A53" w:rsidRDefault="00614438" w:rsidP="00AA7A53">
            <w:pPr>
              <w:spacing w:line="259" w:lineRule="auto"/>
              <w:jc w:val="both"/>
              <w:rPr>
                <w:rFonts w:ascii="Times New Roman" w:hAnsi="Times New Roman" w:cs="Times New Roman"/>
                <w:sz w:val="20"/>
                <w:szCs w:val="20"/>
              </w:rPr>
            </w:pPr>
            <w:r w:rsidRPr="00AA7A53">
              <w:rPr>
                <w:rFonts w:ascii="Times New Roman" w:hAnsi="Times New Roman" w:cs="Times New Roman"/>
                <w:sz w:val="20"/>
                <w:szCs w:val="20"/>
              </w:rPr>
              <w:t>2050</w:t>
            </w:r>
          </w:p>
        </w:tc>
      </w:tr>
      <w:tr w:rsidR="00614438" w:rsidRPr="00AA7A53" w14:paraId="3A77BFDB" w14:textId="77777777" w:rsidTr="00614438">
        <w:trPr>
          <w:trHeight w:val="300"/>
          <w:jc w:val="center"/>
        </w:trPr>
        <w:tc>
          <w:tcPr>
            <w:tcW w:w="1414" w:type="dxa"/>
            <w:tcBorders>
              <w:top w:val="single" w:sz="4" w:space="0" w:color="auto"/>
              <w:left w:val="single" w:sz="4" w:space="0" w:color="auto"/>
              <w:bottom w:val="single" w:sz="4" w:space="0" w:color="auto"/>
              <w:right w:val="single" w:sz="4" w:space="0" w:color="auto"/>
            </w:tcBorders>
            <w:noWrap/>
            <w:vAlign w:val="center"/>
            <w:hideMark/>
          </w:tcPr>
          <w:p w14:paraId="2A86FAB6" w14:textId="77777777" w:rsidR="00614438" w:rsidRPr="00AA7A53" w:rsidRDefault="00614438" w:rsidP="00AA7A53">
            <w:pPr>
              <w:spacing w:line="259" w:lineRule="auto"/>
              <w:jc w:val="both"/>
              <w:rPr>
                <w:rFonts w:ascii="Times New Roman" w:hAnsi="Times New Roman" w:cs="Times New Roman"/>
                <w:sz w:val="20"/>
                <w:szCs w:val="20"/>
              </w:rPr>
            </w:pPr>
            <w:r w:rsidRPr="00AA7A53">
              <w:rPr>
                <w:rFonts w:ascii="Times New Roman" w:hAnsi="Times New Roman" w:cs="Times New Roman"/>
                <w:sz w:val="20"/>
                <w:szCs w:val="20"/>
              </w:rPr>
              <w:t>Population (million)</w:t>
            </w:r>
          </w:p>
        </w:tc>
        <w:tc>
          <w:tcPr>
            <w:tcW w:w="980" w:type="dxa"/>
            <w:tcBorders>
              <w:top w:val="single" w:sz="4" w:space="0" w:color="auto"/>
              <w:left w:val="single" w:sz="4" w:space="0" w:color="auto"/>
              <w:bottom w:val="single" w:sz="4" w:space="0" w:color="auto"/>
              <w:right w:val="single" w:sz="4" w:space="0" w:color="auto"/>
            </w:tcBorders>
            <w:noWrap/>
            <w:vAlign w:val="center"/>
            <w:hideMark/>
          </w:tcPr>
          <w:p w14:paraId="174CDF4D" w14:textId="77777777" w:rsidR="00614438" w:rsidRPr="00AA7A53" w:rsidRDefault="00614438" w:rsidP="00AA7A53">
            <w:pPr>
              <w:spacing w:line="259" w:lineRule="auto"/>
              <w:jc w:val="both"/>
              <w:rPr>
                <w:rFonts w:ascii="Times New Roman" w:hAnsi="Times New Roman" w:cs="Times New Roman"/>
                <w:sz w:val="20"/>
                <w:szCs w:val="20"/>
              </w:rPr>
            </w:pPr>
            <w:r w:rsidRPr="00AA7A53">
              <w:rPr>
                <w:rFonts w:ascii="Times New Roman" w:hAnsi="Times New Roman" w:cs="Times New Roman"/>
                <w:sz w:val="20"/>
                <w:szCs w:val="20"/>
              </w:rPr>
              <w:t>6928,0</w:t>
            </w:r>
          </w:p>
        </w:tc>
        <w:tc>
          <w:tcPr>
            <w:tcW w:w="980" w:type="dxa"/>
            <w:tcBorders>
              <w:top w:val="single" w:sz="4" w:space="0" w:color="auto"/>
              <w:left w:val="single" w:sz="4" w:space="0" w:color="auto"/>
              <w:bottom w:val="single" w:sz="4" w:space="0" w:color="auto"/>
              <w:right w:val="single" w:sz="4" w:space="0" w:color="auto"/>
            </w:tcBorders>
            <w:noWrap/>
            <w:vAlign w:val="center"/>
            <w:hideMark/>
          </w:tcPr>
          <w:p w14:paraId="7B1F55E0" w14:textId="77777777" w:rsidR="00614438" w:rsidRPr="00AA7A53" w:rsidRDefault="00614438" w:rsidP="00AA7A53">
            <w:pPr>
              <w:spacing w:line="259" w:lineRule="auto"/>
              <w:jc w:val="both"/>
              <w:rPr>
                <w:rFonts w:ascii="Times New Roman" w:hAnsi="Times New Roman" w:cs="Times New Roman"/>
                <w:sz w:val="20"/>
                <w:szCs w:val="20"/>
              </w:rPr>
            </w:pPr>
            <w:r w:rsidRPr="00AA7A53">
              <w:rPr>
                <w:rFonts w:ascii="Times New Roman" w:hAnsi="Times New Roman" w:cs="Times New Roman"/>
                <w:sz w:val="20"/>
                <w:szCs w:val="20"/>
              </w:rPr>
              <w:t>6829,2</w:t>
            </w:r>
          </w:p>
        </w:tc>
        <w:tc>
          <w:tcPr>
            <w:tcW w:w="980" w:type="dxa"/>
            <w:tcBorders>
              <w:top w:val="single" w:sz="4" w:space="0" w:color="auto"/>
              <w:left w:val="single" w:sz="4" w:space="0" w:color="auto"/>
              <w:bottom w:val="single" w:sz="4" w:space="0" w:color="auto"/>
              <w:right w:val="single" w:sz="4" w:space="0" w:color="auto"/>
            </w:tcBorders>
            <w:noWrap/>
            <w:vAlign w:val="center"/>
            <w:hideMark/>
          </w:tcPr>
          <w:p w14:paraId="7C2E6875" w14:textId="77777777" w:rsidR="00614438" w:rsidRPr="00AA7A53" w:rsidRDefault="00614438" w:rsidP="00AA7A53">
            <w:pPr>
              <w:spacing w:line="259" w:lineRule="auto"/>
              <w:jc w:val="both"/>
              <w:rPr>
                <w:rFonts w:ascii="Times New Roman" w:hAnsi="Times New Roman" w:cs="Times New Roman"/>
                <w:sz w:val="20"/>
                <w:szCs w:val="20"/>
              </w:rPr>
            </w:pPr>
            <w:r w:rsidRPr="00AA7A53">
              <w:rPr>
                <w:rFonts w:ascii="Times New Roman" w:hAnsi="Times New Roman" w:cs="Times New Roman"/>
                <w:sz w:val="20"/>
                <w:szCs w:val="20"/>
              </w:rPr>
              <w:t>6815,0</w:t>
            </w:r>
          </w:p>
        </w:tc>
        <w:tc>
          <w:tcPr>
            <w:tcW w:w="980" w:type="dxa"/>
            <w:tcBorders>
              <w:top w:val="single" w:sz="4" w:space="0" w:color="auto"/>
              <w:left w:val="single" w:sz="4" w:space="0" w:color="auto"/>
              <w:bottom w:val="single" w:sz="4" w:space="0" w:color="auto"/>
              <w:right w:val="single" w:sz="4" w:space="0" w:color="auto"/>
            </w:tcBorders>
            <w:noWrap/>
            <w:vAlign w:val="center"/>
            <w:hideMark/>
          </w:tcPr>
          <w:p w14:paraId="1B6A5AE6" w14:textId="77777777" w:rsidR="00614438" w:rsidRPr="00AA7A53" w:rsidRDefault="00614438" w:rsidP="00AA7A53">
            <w:pPr>
              <w:spacing w:line="259" w:lineRule="auto"/>
              <w:jc w:val="both"/>
              <w:rPr>
                <w:rFonts w:ascii="Times New Roman" w:hAnsi="Times New Roman" w:cs="Times New Roman"/>
                <w:sz w:val="20"/>
                <w:szCs w:val="20"/>
              </w:rPr>
            </w:pPr>
            <w:r w:rsidRPr="00AA7A53">
              <w:rPr>
                <w:rFonts w:ascii="Times New Roman" w:hAnsi="Times New Roman" w:cs="Times New Roman"/>
                <w:sz w:val="20"/>
                <w:szCs w:val="20"/>
              </w:rPr>
              <w:t>6791,7</w:t>
            </w:r>
          </w:p>
        </w:tc>
        <w:tc>
          <w:tcPr>
            <w:tcW w:w="980" w:type="dxa"/>
            <w:tcBorders>
              <w:top w:val="single" w:sz="4" w:space="0" w:color="auto"/>
              <w:left w:val="single" w:sz="4" w:space="0" w:color="auto"/>
              <w:bottom w:val="single" w:sz="4" w:space="0" w:color="auto"/>
              <w:right w:val="single" w:sz="4" w:space="0" w:color="auto"/>
            </w:tcBorders>
            <w:noWrap/>
            <w:vAlign w:val="center"/>
            <w:hideMark/>
          </w:tcPr>
          <w:p w14:paraId="5A2DEFE9" w14:textId="77777777" w:rsidR="00614438" w:rsidRPr="00AA7A53" w:rsidRDefault="00614438" w:rsidP="00AA7A53">
            <w:pPr>
              <w:spacing w:line="259" w:lineRule="auto"/>
              <w:jc w:val="both"/>
              <w:rPr>
                <w:rFonts w:ascii="Times New Roman" w:hAnsi="Times New Roman" w:cs="Times New Roman"/>
                <w:sz w:val="20"/>
                <w:szCs w:val="20"/>
              </w:rPr>
            </w:pPr>
            <w:r w:rsidRPr="00AA7A53">
              <w:rPr>
                <w:rFonts w:ascii="Times New Roman" w:hAnsi="Times New Roman" w:cs="Times New Roman"/>
                <w:sz w:val="20"/>
                <w:szCs w:val="20"/>
              </w:rPr>
              <w:t>6830,0</w:t>
            </w:r>
          </w:p>
        </w:tc>
        <w:tc>
          <w:tcPr>
            <w:tcW w:w="980" w:type="dxa"/>
            <w:tcBorders>
              <w:top w:val="single" w:sz="4" w:space="0" w:color="auto"/>
              <w:left w:val="single" w:sz="4" w:space="0" w:color="auto"/>
              <w:bottom w:val="single" w:sz="4" w:space="0" w:color="auto"/>
              <w:right w:val="single" w:sz="4" w:space="0" w:color="auto"/>
            </w:tcBorders>
            <w:noWrap/>
            <w:vAlign w:val="center"/>
            <w:hideMark/>
          </w:tcPr>
          <w:p w14:paraId="2F59ACFD" w14:textId="77777777" w:rsidR="00614438" w:rsidRPr="00AA7A53" w:rsidRDefault="00614438" w:rsidP="00AA7A53">
            <w:pPr>
              <w:spacing w:line="259" w:lineRule="auto"/>
              <w:jc w:val="both"/>
              <w:rPr>
                <w:rFonts w:ascii="Times New Roman" w:hAnsi="Times New Roman" w:cs="Times New Roman"/>
                <w:sz w:val="20"/>
                <w:szCs w:val="20"/>
              </w:rPr>
            </w:pPr>
            <w:r w:rsidRPr="00AA7A53">
              <w:rPr>
                <w:rFonts w:ascii="Times New Roman" w:hAnsi="Times New Roman" w:cs="Times New Roman"/>
                <w:sz w:val="20"/>
                <w:szCs w:val="20"/>
              </w:rPr>
              <w:t>6843,6</w:t>
            </w: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1E4E3C9B" w14:textId="77777777" w:rsidR="00614438" w:rsidRPr="00AA7A53" w:rsidRDefault="00614438" w:rsidP="00AA7A53">
            <w:pPr>
              <w:spacing w:line="259" w:lineRule="auto"/>
              <w:jc w:val="both"/>
              <w:rPr>
                <w:rFonts w:ascii="Times New Roman" w:hAnsi="Times New Roman" w:cs="Times New Roman"/>
                <w:sz w:val="20"/>
                <w:szCs w:val="20"/>
              </w:rPr>
            </w:pPr>
            <w:r w:rsidRPr="00AA7A53">
              <w:rPr>
                <w:rFonts w:ascii="Times New Roman" w:hAnsi="Times New Roman" w:cs="Times New Roman"/>
                <w:sz w:val="20"/>
                <w:szCs w:val="20"/>
              </w:rPr>
              <w:t>6861,3</w:t>
            </w:r>
          </w:p>
        </w:tc>
      </w:tr>
      <w:tr w:rsidR="00614438" w:rsidRPr="00AA7A53" w14:paraId="3CD21654" w14:textId="77777777" w:rsidTr="00614438">
        <w:trPr>
          <w:trHeight w:val="300"/>
          <w:jc w:val="center"/>
        </w:trPr>
        <w:tc>
          <w:tcPr>
            <w:tcW w:w="1414" w:type="dxa"/>
            <w:tcBorders>
              <w:top w:val="single" w:sz="4" w:space="0" w:color="auto"/>
              <w:left w:val="single" w:sz="4" w:space="0" w:color="auto"/>
              <w:bottom w:val="single" w:sz="4" w:space="0" w:color="auto"/>
              <w:right w:val="single" w:sz="4" w:space="0" w:color="auto"/>
            </w:tcBorders>
            <w:noWrap/>
            <w:vAlign w:val="center"/>
            <w:hideMark/>
          </w:tcPr>
          <w:p w14:paraId="1F07FB38" w14:textId="77777777" w:rsidR="00614438" w:rsidRPr="00AA7A53" w:rsidRDefault="00614438" w:rsidP="00AA7A53">
            <w:pPr>
              <w:spacing w:line="259" w:lineRule="auto"/>
              <w:jc w:val="both"/>
              <w:rPr>
                <w:rFonts w:ascii="Times New Roman" w:hAnsi="Times New Roman" w:cs="Times New Roman"/>
                <w:sz w:val="20"/>
                <w:szCs w:val="20"/>
              </w:rPr>
            </w:pPr>
            <w:r w:rsidRPr="00AA7A53">
              <w:rPr>
                <w:rFonts w:ascii="Times New Roman" w:hAnsi="Times New Roman" w:cs="Times New Roman"/>
                <w:sz w:val="20"/>
                <w:szCs w:val="20"/>
              </w:rPr>
              <w:t>GDP (€ billion)</w:t>
            </w:r>
          </w:p>
        </w:tc>
        <w:tc>
          <w:tcPr>
            <w:tcW w:w="980" w:type="dxa"/>
            <w:tcBorders>
              <w:top w:val="single" w:sz="4" w:space="0" w:color="auto"/>
              <w:left w:val="single" w:sz="4" w:space="0" w:color="auto"/>
              <w:bottom w:val="single" w:sz="4" w:space="0" w:color="auto"/>
              <w:right w:val="single" w:sz="4" w:space="0" w:color="auto"/>
            </w:tcBorders>
            <w:noWrap/>
            <w:vAlign w:val="center"/>
            <w:hideMark/>
          </w:tcPr>
          <w:p w14:paraId="103D51D6" w14:textId="77777777" w:rsidR="00614438" w:rsidRPr="00AA7A53" w:rsidRDefault="00614438" w:rsidP="00AA7A53">
            <w:pPr>
              <w:spacing w:line="259" w:lineRule="auto"/>
              <w:jc w:val="both"/>
              <w:rPr>
                <w:rFonts w:ascii="Times New Roman" w:hAnsi="Times New Roman" w:cs="Times New Roman"/>
                <w:sz w:val="20"/>
                <w:szCs w:val="20"/>
              </w:rPr>
            </w:pPr>
            <w:r w:rsidRPr="00AA7A53">
              <w:rPr>
                <w:rFonts w:ascii="Times New Roman" w:hAnsi="Times New Roman" w:cs="Times New Roman"/>
                <w:sz w:val="20"/>
                <w:szCs w:val="20"/>
              </w:rPr>
              <w:t>40676,2</w:t>
            </w:r>
          </w:p>
        </w:tc>
        <w:tc>
          <w:tcPr>
            <w:tcW w:w="980" w:type="dxa"/>
            <w:tcBorders>
              <w:top w:val="single" w:sz="4" w:space="0" w:color="auto"/>
              <w:left w:val="single" w:sz="4" w:space="0" w:color="auto"/>
              <w:bottom w:val="single" w:sz="4" w:space="0" w:color="auto"/>
              <w:right w:val="single" w:sz="4" w:space="0" w:color="auto"/>
            </w:tcBorders>
            <w:noWrap/>
            <w:vAlign w:val="center"/>
            <w:hideMark/>
          </w:tcPr>
          <w:p w14:paraId="1B7944F4" w14:textId="77777777" w:rsidR="00614438" w:rsidRPr="00AA7A53" w:rsidRDefault="00614438" w:rsidP="00AA7A53">
            <w:pPr>
              <w:spacing w:line="259" w:lineRule="auto"/>
              <w:jc w:val="both"/>
              <w:rPr>
                <w:rFonts w:ascii="Times New Roman" w:hAnsi="Times New Roman" w:cs="Times New Roman"/>
                <w:sz w:val="20"/>
                <w:szCs w:val="20"/>
              </w:rPr>
            </w:pPr>
            <w:r w:rsidRPr="00AA7A53">
              <w:rPr>
                <w:rFonts w:ascii="Times New Roman" w:hAnsi="Times New Roman" w:cs="Times New Roman"/>
                <w:sz w:val="20"/>
                <w:szCs w:val="20"/>
              </w:rPr>
              <w:t>50689,9</w:t>
            </w:r>
          </w:p>
        </w:tc>
        <w:tc>
          <w:tcPr>
            <w:tcW w:w="980" w:type="dxa"/>
            <w:tcBorders>
              <w:top w:val="single" w:sz="4" w:space="0" w:color="auto"/>
              <w:left w:val="single" w:sz="4" w:space="0" w:color="auto"/>
              <w:bottom w:val="single" w:sz="4" w:space="0" w:color="auto"/>
              <w:right w:val="single" w:sz="4" w:space="0" w:color="auto"/>
            </w:tcBorders>
            <w:noWrap/>
            <w:vAlign w:val="center"/>
            <w:hideMark/>
          </w:tcPr>
          <w:p w14:paraId="1656FFB0" w14:textId="77777777" w:rsidR="00614438" w:rsidRPr="00AA7A53" w:rsidRDefault="00614438" w:rsidP="00AA7A53">
            <w:pPr>
              <w:spacing w:line="259" w:lineRule="auto"/>
              <w:jc w:val="both"/>
              <w:rPr>
                <w:rFonts w:ascii="Times New Roman" w:hAnsi="Times New Roman" w:cs="Times New Roman"/>
                <w:sz w:val="20"/>
                <w:szCs w:val="20"/>
              </w:rPr>
            </w:pPr>
            <w:r w:rsidRPr="00AA7A53">
              <w:rPr>
                <w:rFonts w:ascii="Times New Roman" w:hAnsi="Times New Roman" w:cs="Times New Roman"/>
                <w:sz w:val="20"/>
                <w:szCs w:val="20"/>
              </w:rPr>
              <w:t>60866,5</w:t>
            </w:r>
          </w:p>
        </w:tc>
        <w:tc>
          <w:tcPr>
            <w:tcW w:w="980" w:type="dxa"/>
            <w:tcBorders>
              <w:top w:val="single" w:sz="4" w:space="0" w:color="auto"/>
              <w:left w:val="single" w:sz="4" w:space="0" w:color="auto"/>
              <w:bottom w:val="single" w:sz="4" w:space="0" w:color="auto"/>
              <w:right w:val="single" w:sz="4" w:space="0" w:color="auto"/>
            </w:tcBorders>
            <w:noWrap/>
            <w:vAlign w:val="center"/>
            <w:hideMark/>
          </w:tcPr>
          <w:p w14:paraId="229BBB83" w14:textId="77777777" w:rsidR="00614438" w:rsidRPr="00AA7A53" w:rsidRDefault="00614438" w:rsidP="00AA7A53">
            <w:pPr>
              <w:spacing w:line="259" w:lineRule="auto"/>
              <w:jc w:val="both"/>
              <w:rPr>
                <w:rFonts w:ascii="Times New Roman" w:hAnsi="Times New Roman" w:cs="Times New Roman"/>
                <w:sz w:val="20"/>
                <w:szCs w:val="20"/>
              </w:rPr>
            </w:pPr>
            <w:r w:rsidRPr="00AA7A53">
              <w:rPr>
                <w:rFonts w:ascii="Times New Roman" w:hAnsi="Times New Roman" w:cs="Times New Roman"/>
                <w:sz w:val="20"/>
                <w:szCs w:val="20"/>
              </w:rPr>
              <w:t>71439,2</w:t>
            </w:r>
          </w:p>
        </w:tc>
        <w:tc>
          <w:tcPr>
            <w:tcW w:w="980" w:type="dxa"/>
            <w:tcBorders>
              <w:top w:val="single" w:sz="4" w:space="0" w:color="auto"/>
              <w:left w:val="single" w:sz="4" w:space="0" w:color="auto"/>
              <w:bottom w:val="single" w:sz="4" w:space="0" w:color="auto"/>
              <w:right w:val="single" w:sz="4" w:space="0" w:color="auto"/>
            </w:tcBorders>
            <w:noWrap/>
            <w:vAlign w:val="center"/>
            <w:hideMark/>
          </w:tcPr>
          <w:p w14:paraId="4B754963" w14:textId="77777777" w:rsidR="00614438" w:rsidRPr="00AA7A53" w:rsidRDefault="00614438" w:rsidP="00AA7A53">
            <w:pPr>
              <w:spacing w:line="259" w:lineRule="auto"/>
              <w:jc w:val="both"/>
              <w:rPr>
                <w:rFonts w:ascii="Times New Roman" w:hAnsi="Times New Roman" w:cs="Times New Roman"/>
                <w:sz w:val="20"/>
                <w:szCs w:val="20"/>
              </w:rPr>
            </w:pPr>
            <w:r w:rsidRPr="00AA7A53">
              <w:rPr>
                <w:rFonts w:ascii="Times New Roman" w:hAnsi="Times New Roman" w:cs="Times New Roman"/>
                <w:sz w:val="20"/>
                <w:szCs w:val="20"/>
              </w:rPr>
              <w:t>82595,9</w:t>
            </w:r>
          </w:p>
        </w:tc>
        <w:tc>
          <w:tcPr>
            <w:tcW w:w="980" w:type="dxa"/>
            <w:tcBorders>
              <w:top w:val="single" w:sz="4" w:space="0" w:color="auto"/>
              <w:left w:val="single" w:sz="4" w:space="0" w:color="auto"/>
              <w:bottom w:val="single" w:sz="4" w:space="0" w:color="auto"/>
              <w:right w:val="single" w:sz="4" w:space="0" w:color="auto"/>
            </w:tcBorders>
            <w:noWrap/>
            <w:vAlign w:val="center"/>
            <w:hideMark/>
          </w:tcPr>
          <w:p w14:paraId="6D8D28AA" w14:textId="77777777" w:rsidR="00614438" w:rsidRPr="00AA7A53" w:rsidRDefault="00614438" w:rsidP="00AA7A53">
            <w:pPr>
              <w:spacing w:line="259" w:lineRule="auto"/>
              <w:jc w:val="both"/>
              <w:rPr>
                <w:rFonts w:ascii="Times New Roman" w:hAnsi="Times New Roman" w:cs="Times New Roman"/>
                <w:sz w:val="20"/>
                <w:szCs w:val="20"/>
              </w:rPr>
            </w:pPr>
            <w:r w:rsidRPr="00AA7A53">
              <w:rPr>
                <w:rFonts w:ascii="Times New Roman" w:hAnsi="Times New Roman" w:cs="Times New Roman"/>
                <w:sz w:val="20"/>
                <w:szCs w:val="20"/>
              </w:rPr>
              <w:t>94064,2</w:t>
            </w: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5B5DE975" w14:textId="77777777" w:rsidR="00614438" w:rsidRPr="00AA7A53" w:rsidRDefault="00614438" w:rsidP="00AA7A53">
            <w:pPr>
              <w:spacing w:line="259" w:lineRule="auto"/>
              <w:jc w:val="both"/>
              <w:rPr>
                <w:rFonts w:ascii="Times New Roman" w:hAnsi="Times New Roman" w:cs="Times New Roman"/>
                <w:sz w:val="20"/>
                <w:szCs w:val="20"/>
              </w:rPr>
            </w:pPr>
            <w:r w:rsidRPr="00AA7A53">
              <w:rPr>
                <w:rFonts w:ascii="Times New Roman" w:hAnsi="Times New Roman" w:cs="Times New Roman"/>
                <w:sz w:val="20"/>
                <w:szCs w:val="20"/>
              </w:rPr>
              <w:t>105515,0</w:t>
            </w:r>
          </w:p>
        </w:tc>
      </w:tr>
    </w:tbl>
    <w:p w14:paraId="62AF72C6" w14:textId="77777777" w:rsidR="00614438" w:rsidRPr="00614438" w:rsidRDefault="00614438" w:rsidP="00614438">
      <w:pPr>
        <w:jc w:val="both"/>
        <w:rPr>
          <w:rFonts w:ascii="Times New Roman" w:hAnsi="Times New Roman" w:cs="Times New Roman"/>
          <w:sz w:val="24"/>
          <w:szCs w:val="24"/>
          <w:lang w:val="en-GB"/>
        </w:rPr>
      </w:pPr>
      <w:bookmarkStart w:id="187" w:name="_Ref153462024"/>
      <w:bookmarkStart w:id="188" w:name="_Toc154575211"/>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bookmarkEnd w:id="187"/>
      <w:r w:rsidRPr="00614438">
        <w:rPr>
          <w:rFonts w:ascii="Times New Roman" w:hAnsi="Times New Roman" w:cs="Times New Roman"/>
          <w:sz w:val="24"/>
          <w:szCs w:val="24"/>
        </w:rPr>
        <w:t>: Evolution of GVA for different sectors of economic activity until 2050 (Sources: Statistical Office of the Republic of Serbia, Ministry of Finance, National Bank, projections based on SSP)</w:t>
      </w:r>
      <w:bookmarkEnd w:id="188"/>
    </w:p>
    <w:p w14:paraId="7FD30319"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446AE7E3" wp14:editId="544ECCE6">
            <wp:extent cx="5429250" cy="2562225"/>
            <wp:effectExtent l="0" t="0" r="0" b="9525"/>
            <wp:docPr id="1773793980"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29250" cy="2562225"/>
                    </a:xfrm>
                    <a:prstGeom prst="rect">
                      <a:avLst/>
                    </a:prstGeom>
                    <a:noFill/>
                    <a:ln>
                      <a:noFill/>
                    </a:ln>
                  </pic:spPr>
                </pic:pic>
              </a:graphicData>
            </a:graphic>
          </wp:inline>
        </w:drawing>
      </w:r>
    </w:p>
    <w:p w14:paraId="5D2AC8DF" w14:textId="77777777" w:rsidR="00614438" w:rsidRPr="00614438" w:rsidRDefault="00614438" w:rsidP="00B246BC">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projections of the Gross Value Added (GVA) per sector of economic activity, according to the output of the macroeconomic model for Serbia based on the MANAGE model, are displayed in the above </w:t>
      </w:r>
      <w:r w:rsidR="00FA29EF">
        <w:fldChar w:fldCharType="begin"/>
      </w:r>
      <w:r w:rsidR="00FA29EF">
        <w:instrText xml:space="preserve"> REF _Ref153462024 \h  \* MERGEFORMAT </w:instrText>
      </w:r>
      <w:r w:rsidR="00FA29EF">
        <w:fldChar w:fldCharType="separate"/>
      </w:r>
      <w:r w:rsidRPr="00614438">
        <w:rPr>
          <w:rFonts w:ascii="Times New Roman" w:hAnsi="Times New Roman" w:cs="Times New Roman"/>
          <w:sz w:val="24"/>
          <w:szCs w:val="24"/>
          <w:lang w:val="en-GB"/>
        </w:rPr>
        <w:t>Figure 4.4</w:t>
      </w:r>
      <w:r w:rsidR="00FA29EF">
        <w:fldChar w:fldCharType="end"/>
      </w:r>
      <w:r w:rsidRPr="00614438">
        <w:rPr>
          <w:rFonts w:ascii="Times New Roman" w:hAnsi="Times New Roman" w:cs="Times New Roman"/>
          <w:sz w:val="24"/>
          <w:szCs w:val="24"/>
          <w:lang w:val="en-GB"/>
        </w:rPr>
        <w:t>. It should be noted that there is a lack of macroeconomic analysis studies with a medium to long-term horizon in the Republic of Serbia sector and more specifically there no quantitative projections for the industrial sub-sector gross value added. Therefore, the projections from the MANAGE model were used, together with the overall GDP projection trajectories discussed in the previous paragraph.</w:t>
      </w:r>
    </w:p>
    <w:p w14:paraId="4D68F757" w14:textId="77777777" w:rsidR="00614438" w:rsidRPr="00614438" w:rsidRDefault="00614438" w:rsidP="00B246BC">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For the energy intensive sectors of cement, iron and steel, copper, lead, zinc, other non-ferrous metals, glass, ceramics and other non-metallic minerals, the physical outputs have been used as the driver for energy demand in each subsector. The projection of physical output has been selected for the energy intensive sectors due to the fact that the physical quantity is considered as a more realistic driver for energy demand projections compared to the Value Added of the sector avoiding potential variation from other economic reasons (e.g. changes to the price of the product and not only to the actual change of the output).</w:t>
      </w:r>
    </w:p>
    <w:p w14:paraId="4EE5A6C3" w14:textId="53EB6D36" w:rsidR="00614438" w:rsidRPr="00614438" w:rsidRDefault="00614438" w:rsidP="00B246BC">
      <w:pPr>
        <w:ind w:firstLine="720"/>
        <w:jc w:val="both"/>
        <w:rPr>
          <w:rFonts w:ascii="Times New Roman" w:hAnsi="Times New Roman" w:cs="Times New Roman"/>
          <w:sz w:val="24"/>
          <w:szCs w:val="24"/>
          <w:lang w:val="en-GB"/>
        </w:rPr>
      </w:pPr>
      <w:bookmarkStart w:id="189" w:name="_heading=h.1baon6m"/>
      <w:bookmarkEnd w:id="189"/>
      <w:r w:rsidRPr="00614438">
        <w:rPr>
          <w:rFonts w:ascii="Times New Roman" w:hAnsi="Times New Roman" w:cs="Times New Roman"/>
          <w:sz w:val="24"/>
          <w:szCs w:val="24"/>
          <w:lang w:val="en-GB"/>
        </w:rPr>
        <w:t xml:space="preserve">For other industrial subsectors, the Value Added has been used as the demand driver and the corresponding projections are shown per subsector in the </w:t>
      </w:r>
      <w:r w:rsidR="00FA29EF">
        <w:fldChar w:fldCharType="begin"/>
      </w:r>
      <w:r w:rsidR="00FA29EF">
        <w:instrText xml:space="preserve"> REF _Ref113633586 \h  \* MERGEFORMAT </w:instrText>
      </w:r>
      <w:r w:rsidR="00FA29EF">
        <w:fldChar w:fldCharType="separate"/>
      </w:r>
      <w:r w:rsidRPr="00614438">
        <w:rPr>
          <w:rFonts w:ascii="Times New Roman" w:hAnsi="Times New Roman" w:cs="Times New Roman"/>
          <w:sz w:val="24"/>
          <w:szCs w:val="24"/>
          <w:lang w:val="en-GB"/>
        </w:rPr>
        <w:t>Figure 4.5</w:t>
      </w:r>
      <w:r w:rsidR="00FA29EF">
        <w:fldChar w:fldCharType="end"/>
      </w:r>
      <w:r w:rsidRPr="00614438">
        <w:rPr>
          <w:rFonts w:ascii="Times New Roman" w:hAnsi="Times New Roman" w:cs="Times New Roman"/>
          <w:sz w:val="24"/>
          <w:szCs w:val="24"/>
          <w:lang w:val="en-GB"/>
        </w:rPr>
        <w:t>.</w:t>
      </w:r>
    </w:p>
    <w:p w14:paraId="5B3B5EBB" w14:textId="77777777" w:rsidR="00614438" w:rsidRPr="00614438" w:rsidRDefault="00614438" w:rsidP="00614438">
      <w:pPr>
        <w:jc w:val="both"/>
        <w:rPr>
          <w:rFonts w:ascii="Times New Roman" w:hAnsi="Times New Roman" w:cs="Times New Roman"/>
          <w:sz w:val="24"/>
          <w:szCs w:val="24"/>
          <w:lang w:val="en-GB"/>
        </w:rPr>
      </w:pPr>
    </w:p>
    <w:p w14:paraId="0FAE0840" w14:textId="77777777" w:rsidR="00614438" w:rsidRPr="00614438" w:rsidRDefault="00614438" w:rsidP="00614438">
      <w:pPr>
        <w:jc w:val="both"/>
        <w:rPr>
          <w:rFonts w:ascii="Times New Roman" w:hAnsi="Times New Roman" w:cs="Times New Roman"/>
          <w:sz w:val="24"/>
          <w:szCs w:val="24"/>
          <w:lang w:val="en-GB"/>
        </w:rPr>
      </w:pPr>
      <w:bookmarkStart w:id="190" w:name="_Ref113633586"/>
      <w:bookmarkStart w:id="191" w:name="_Toc118992275"/>
      <w:bookmarkStart w:id="192" w:name="_Toc154575212"/>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bookmarkEnd w:id="190"/>
      <w:r w:rsidRPr="00614438">
        <w:rPr>
          <w:rFonts w:ascii="Times New Roman" w:hAnsi="Times New Roman" w:cs="Times New Roman"/>
          <w:sz w:val="24"/>
          <w:szCs w:val="24"/>
        </w:rPr>
        <w:t>: Evolution of value added of other industrial subsectors until 2050 (Sources: projections based on the SSP scenarios)</w:t>
      </w:r>
      <w:bookmarkEnd w:id="191"/>
      <w:bookmarkEnd w:id="192"/>
    </w:p>
    <w:p w14:paraId="227F2A56"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 xml:space="preserve"> </w:t>
      </w:r>
      <w:r w:rsidRPr="00013008">
        <w:rPr>
          <w:rFonts w:ascii="Times New Roman" w:hAnsi="Times New Roman" w:cs="Times New Roman"/>
          <w:noProof/>
          <w:sz w:val="24"/>
          <w:szCs w:val="24"/>
          <w:lang w:val="en-GB" w:eastAsia="en-GB"/>
        </w:rPr>
        <w:drawing>
          <wp:inline distT="0" distB="0" distL="0" distR="0" wp14:anchorId="6E1780CC" wp14:editId="16B50BDF">
            <wp:extent cx="4829175" cy="3619500"/>
            <wp:effectExtent l="0" t="0" r="9525" b="0"/>
            <wp:docPr id="333991311"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29175" cy="3619500"/>
                    </a:xfrm>
                    <a:prstGeom prst="rect">
                      <a:avLst/>
                    </a:prstGeom>
                    <a:noFill/>
                    <a:ln>
                      <a:noFill/>
                    </a:ln>
                  </pic:spPr>
                </pic:pic>
              </a:graphicData>
            </a:graphic>
          </wp:inline>
        </w:drawing>
      </w:r>
    </w:p>
    <w:bookmarkEnd w:id="178"/>
    <w:p w14:paraId="0387E9BB" w14:textId="2205DDBE" w:rsidR="00614438" w:rsidRPr="00B246BC" w:rsidRDefault="00B246BC" w:rsidP="00B246BC">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4.1.3 </w:t>
      </w:r>
      <w:r w:rsidR="00614438" w:rsidRPr="00B246BC">
        <w:rPr>
          <w:rFonts w:ascii="Times New Roman" w:hAnsi="Times New Roman" w:cs="Times New Roman"/>
          <w:sz w:val="24"/>
          <w:szCs w:val="24"/>
          <w:lang w:val="en-GB"/>
        </w:rPr>
        <w:t>Sectorial changes expected to impact the energy system and GHG emissions</w:t>
      </w:r>
    </w:p>
    <w:p w14:paraId="101E5F29" w14:textId="77777777" w:rsidR="00614438" w:rsidRDefault="00614438" w:rsidP="00B246BC">
      <w:pPr>
        <w:ind w:firstLine="48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As can been seen in the previous section the evolution of GVA per sector does not foresee any significant sectorial changes that could impact the energy system and the GHG emissions.</w:t>
      </w:r>
    </w:p>
    <w:p w14:paraId="29E96A66" w14:textId="77777777" w:rsidR="00B246BC" w:rsidRPr="00614438" w:rsidRDefault="00B246BC" w:rsidP="00B246BC">
      <w:pPr>
        <w:ind w:firstLine="480"/>
        <w:jc w:val="both"/>
        <w:rPr>
          <w:rFonts w:ascii="Times New Roman" w:hAnsi="Times New Roman" w:cs="Times New Roman"/>
          <w:sz w:val="24"/>
          <w:szCs w:val="24"/>
          <w:lang w:val="en-GB"/>
        </w:rPr>
      </w:pPr>
    </w:p>
    <w:p w14:paraId="78357285" w14:textId="2AF86E4A" w:rsidR="00614438" w:rsidRPr="00614438" w:rsidRDefault="00B246BC" w:rsidP="00B246BC">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4.1.4 </w:t>
      </w:r>
      <w:r w:rsidR="00614438" w:rsidRPr="00614438">
        <w:rPr>
          <w:rFonts w:ascii="Times New Roman" w:hAnsi="Times New Roman" w:cs="Times New Roman"/>
          <w:sz w:val="24"/>
          <w:szCs w:val="24"/>
          <w:lang w:val="en-GB"/>
        </w:rPr>
        <w:t>Global energy trends, international fossil fuel prices, ETS carbon price</w:t>
      </w:r>
    </w:p>
    <w:p w14:paraId="35775539" w14:textId="6DF50707" w:rsidR="00614438" w:rsidRPr="00614438" w:rsidRDefault="00614438" w:rsidP="00B246BC">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latest developments </w:t>
      </w:r>
      <w:r w:rsidR="00B246BC">
        <w:rPr>
          <w:rFonts w:ascii="Times New Roman" w:hAnsi="Times New Roman" w:cs="Times New Roman"/>
          <w:sz w:val="24"/>
          <w:szCs w:val="24"/>
          <w:lang w:val="en-GB"/>
        </w:rPr>
        <w:t>during</w:t>
      </w:r>
      <w:r w:rsidRPr="00614438">
        <w:rPr>
          <w:rFonts w:ascii="Times New Roman" w:hAnsi="Times New Roman" w:cs="Times New Roman"/>
          <w:sz w:val="24"/>
          <w:szCs w:val="24"/>
          <w:lang w:val="en-GB"/>
        </w:rPr>
        <w:t xml:space="preserve"> 2022 in the context of the war in Ukraine and the wider energy crisis in Europe make any price projection extremely uncertain. Within this uncertain situation, the INECP analysis was performed using the projections of international gas prices according to the study “Recommended parameters for reporting on GHG projections in 2023, EC DG Climate Action’’</w:t>
      </w:r>
      <w:r w:rsidR="00B246BC">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which was provided by the EU in order to support Member States and other bodies in the EU (e.g. the EnC Secretariat) to revise their INECPs.</w:t>
      </w:r>
    </w:p>
    <w:p w14:paraId="3E0D3DC1" w14:textId="7900F30F"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rPr>
        <w:t>Table 4.</w:t>
      </w:r>
      <w:r w:rsidR="00B246BC">
        <w:rPr>
          <w:rFonts w:ascii="Times New Roman" w:hAnsi="Times New Roman" w:cs="Times New Roman"/>
          <w:sz w:val="24"/>
          <w:szCs w:val="24"/>
        </w:rPr>
        <w:t>2</w:t>
      </w:r>
      <w:r w:rsidRPr="00614438">
        <w:rPr>
          <w:rFonts w:ascii="Times New Roman" w:hAnsi="Times New Roman" w:cs="Times New Roman"/>
          <w:sz w:val="24"/>
          <w:szCs w:val="24"/>
        </w:rPr>
        <w:t>: International fuel prices projections to 2050</w:t>
      </w:r>
    </w:p>
    <w:tbl>
      <w:tblPr>
        <w:tblW w:w="76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2"/>
        <w:gridCol w:w="772"/>
        <w:gridCol w:w="828"/>
        <w:gridCol w:w="828"/>
        <w:gridCol w:w="828"/>
        <w:gridCol w:w="828"/>
        <w:gridCol w:w="828"/>
        <w:gridCol w:w="828"/>
      </w:tblGrid>
      <w:tr w:rsidR="00614438" w:rsidRPr="00AA7A53" w14:paraId="7FCB03BD" w14:textId="77777777" w:rsidTr="00614438">
        <w:trPr>
          <w:trHeight w:val="300"/>
          <w:jc w:val="center"/>
        </w:trPr>
        <w:tc>
          <w:tcPr>
            <w:tcW w:w="1952" w:type="dxa"/>
            <w:tcBorders>
              <w:top w:val="single" w:sz="4" w:space="0" w:color="auto"/>
              <w:left w:val="single" w:sz="4" w:space="0" w:color="auto"/>
              <w:bottom w:val="single" w:sz="4" w:space="0" w:color="auto"/>
              <w:right w:val="single" w:sz="4" w:space="0" w:color="auto"/>
            </w:tcBorders>
            <w:noWrap/>
            <w:vAlign w:val="bottom"/>
            <w:hideMark/>
          </w:tcPr>
          <w:p w14:paraId="1D06EAF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Euro2015/GJ</w:t>
            </w:r>
          </w:p>
        </w:tc>
        <w:tc>
          <w:tcPr>
            <w:tcW w:w="772" w:type="dxa"/>
            <w:tcBorders>
              <w:top w:val="single" w:sz="4" w:space="0" w:color="auto"/>
              <w:left w:val="single" w:sz="4" w:space="0" w:color="auto"/>
              <w:bottom w:val="single" w:sz="4" w:space="0" w:color="auto"/>
              <w:right w:val="single" w:sz="4" w:space="0" w:color="auto"/>
            </w:tcBorders>
            <w:noWrap/>
            <w:vAlign w:val="bottom"/>
            <w:hideMark/>
          </w:tcPr>
          <w:p w14:paraId="2D717F2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2020</w:t>
            </w:r>
          </w:p>
        </w:tc>
        <w:tc>
          <w:tcPr>
            <w:tcW w:w="828" w:type="dxa"/>
            <w:tcBorders>
              <w:top w:val="single" w:sz="4" w:space="0" w:color="auto"/>
              <w:left w:val="single" w:sz="4" w:space="0" w:color="auto"/>
              <w:bottom w:val="single" w:sz="4" w:space="0" w:color="auto"/>
              <w:right w:val="single" w:sz="4" w:space="0" w:color="auto"/>
            </w:tcBorders>
            <w:noWrap/>
            <w:vAlign w:val="bottom"/>
            <w:hideMark/>
          </w:tcPr>
          <w:p w14:paraId="7628623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2025</w:t>
            </w:r>
          </w:p>
        </w:tc>
        <w:tc>
          <w:tcPr>
            <w:tcW w:w="828" w:type="dxa"/>
            <w:tcBorders>
              <w:top w:val="single" w:sz="4" w:space="0" w:color="auto"/>
              <w:left w:val="single" w:sz="4" w:space="0" w:color="auto"/>
              <w:bottom w:val="single" w:sz="4" w:space="0" w:color="auto"/>
              <w:right w:val="single" w:sz="4" w:space="0" w:color="auto"/>
            </w:tcBorders>
            <w:noWrap/>
            <w:vAlign w:val="bottom"/>
            <w:hideMark/>
          </w:tcPr>
          <w:p w14:paraId="064DEB9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2030</w:t>
            </w:r>
          </w:p>
        </w:tc>
        <w:tc>
          <w:tcPr>
            <w:tcW w:w="828" w:type="dxa"/>
            <w:tcBorders>
              <w:top w:val="single" w:sz="4" w:space="0" w:color="auto"/>
              <w:left w:val="single" w:sz="4" w:space="0" w:color="auto"/>
              <w:bottom w:val="single" w:sz="4" w:space="0" w:color="auto"/>
              <w:right w:val="single" w:sz="4" w:space="0" w:color="auto"/>
            </w:tcBorders>
            <w:noWrap/>
            <w:vAlign w:val="bottom"/>
            <w:hideMark/>
          </w:tcPr>
          <w:p w14:paraId="7654F96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2035</w:t>
            </w:r>
          </w:p>
        </w:tc>
        <w:tc>
          <w:tcPr>
            <w:tcW w:w="828" w:type="dxa"/>
            <w:tcBorders>
              <w:top w:val="single" w:sz="4" w:space="0" w:color="auto"/>
              <w:left w:val="single" w:sz="4" w:space="0" w:color="auto"/>
              <w:bottom w:val="single" w:sz="4" w:space="0" w:color="auto"/>
              <w:right w:val="single" w:sz="4" w:space="0" w:color="auto"/>
            </w:tcBorders>
            <w:noWrap/>
            <w:vAlign w:val="bottom"/>
            <w:hideMark/>
          </w:tcPr>
          <w:p w14:paraId="34F162B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2040</w:t>
            </w:r>
          </w:p>
        </w:tc>
        <w:tc>
          <w:tcPr>
            <w:tcW w:w="828" w:type="dxa"/>
            <w:tcBorders>
              <w:top w:val="single" w:sz="4" w:space="0" w:color="auto"/>
              <w:left w:val="single" w:sz="4" w:space="0" w:color="auto"/>
              <w:bottom w:val="single" w:sz="4" w:space="0" w:color="auto"/>
              <w:right w:val="single" w:sz="4" w:space="0" w:color="auto"/>
            </w:tcBorders>
            <w:noWrap/>
            <w:vAlign w:val="bottom"/>
            <w:hideMark/>
          </w:tcPr>
          <w:p w14:paraId="2B653FE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2045</w:t>
            </w:r>
          </w:p>
        </w:tc>
        <w:tc>
          <w:tcPr>
            <w:tcW w:w="828" w:type="dxa"/>
            <w:tcBorders>
              <w:top w:val="single" w:sz="4" w:space="0" w:color="auto"/>
              <w:left w:val="single" w:sz="4" w:space="0" w:color="auto"/>
              <w:bottom w:val="single" w:sz="4" w:space="0" w:color="auto"/>
              <w:right w:val="single" w:sz="4" w:space="0" w:color="auto"/>
            </w:tcBorders>
            <w:noWrap/>
            <w:vAlign w:val="bottom"/>
            <w:hideMark/>
          </w:tcPr>
          <w:p w14:paraId="6652567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2050</w:t>
            </w:r>
          </w:p>
        </w:tc>
      </w:tr>
      <w:tr w:rsidR="00614438" w:rsidRPr="00AA7A53" w14:paraId="675AEFED" w14:textId="77777777" w:rsidTr="00614438">
        <w:trPr>
          <w:trHeight w:val="300"/>
          <w:jc w:val="center"/>
        </w:trPr>
        <w:tc>
          <w:tcPr>
            <w:tcW w:w="1952" w:type="dxa"/>
            <w:tcBorders>
              <w:top w:val="single" w:sz="4" w:space="0" w:color="auto"/>
              <w:left w:val="single" w:sz="4" w:space="0" w:color="auto"/>
              <w:bottom w:val="single" w:sz="4" w:space="0" w:color="auto"/>
              <w:right w:val="single" w:sz="4" w:space="0" w:color="auto"/>
            </w:tcBorders>
            <w:noWrap/>
            <w:vAlign w:val="bottom"/>
            <w:hideMark/>
          </w:tcPr>
          <w:p w14:paraId="2A5B6FEF"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Crude Oil</w:t>
            </w:r>
          </w:p>
        </w:tc>
        <w:tc>
          <w:tcPr>
            <w:tcW w:w="772" w:type="dxa"/>
            <w:tcBorders>
              <w:top w:val="single" w:sz="4" w:space="0" w:color="auto"/>
              <w:left w:val="single" w:sz="4" w:space="0" w:color="auto"/>
              <w:bottom w:val="single" w:sz="4" w:space="0" w:color="auto"/>
              <w:right w:val="single" w:sz="4" w:space="0" w:color="auto"/>
            </w:tcBorders>
            <w:noWrap/>
            <w:hideMark/>
          </w:tcPr>
          <w:p w14:paraId="10E1EA7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6.04 </w:t>
            </w:r>
          </w:p>
        </w:tc>
        <w:tc>
          <w:tcPr>
            <w:tcW w:w="828" w:type="dxa"/>
            <w:tcBorders>
              <w:top w:val="single" w:sz="4" w:space="0" w:color="auto"/>
              <w:left w:val="single" w:sz="4" w:space="0" w:color="auto"/>
              <w:bottom w:val="single" w:sz="4" w:space="0" w:color="auto"/>
              <w:right w:val="single" w:sz="4" w:space="0" w:color="auto"/>
            </w:tcBorders>
            <w:noWrap/>
            <w:hideMark/>
          </w:tcPr>
          <w:p w14:paraId="45ED558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14.54 </w:t>
            </w:r>
          </w:p>
        </w:tc>
        <w:tc>
          <w:tcPr>
            <w:tcW w:w="828" w:type="dxa"/>
            <w:tcBorders>
              <w:top w:val="single" w:sz="4" w:space="0" w:color="auto"/>
              <w:left w:val="single" w:sz="4" w:space="0" w:color="auto"/>
              <w:bottom w:val="single" w:sz="4" w:space="0" w:color="auto"/>
              <w:right w:val="single" w:sz="4" w:space="0" w:color="auto"/>
            </w:tcBorders>
            <w:noWrap/>
            <w:hideMark/>
          </w:tcPr>
          <w:p w14:paraId="3CF7555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14.54 </w:t>
            </w:r>
          </w:p>
        </w:tc>
        <w:tc>
          <w:tcPr>
            <w:tcW w:w="828" w:type="dxa"/>
            <w:tcBorders>
              <w:top w:val="single" w:sz="4" w:space="0" w:color="auto"/>
              <w:left w:val="single" w:sz="4" w:space="0" w:color="auto"/>
              <w:bottom w:val="single" w:sz="4" w:space="0" w:color="auto"/>
              <w:right w:val="single" w:sz="4" w:space="0" w:color="auto"/>
            </w:tcBorders>
            <w:noWrap/>
            <w:hideMark/>
          </w:tcPr>
          <w:p w14:paraId="7791CC0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14.54 </w:t>
            </w:r>
          </w:p>
        </w:tc>
        <w:tc>
          <w:tcPr>
            <w:tcW w:w="828" w:type="dxa"/>
            <w:tcBorders>
              <w:top w:val="single" w:sz="4" w:space="0" w:color="auto"/>
              <w:left w:val="single" w:sz="4" w:space="0" w:color="auto"/>
              <w:bottom w:val="single" w:sz="4" w:space="0" w:color="auto"/>
              <w:right w:val="single" w:sz="4" w:space="0" w:color="auto"/>
            </w:tcBorders>
            <w:noWrap/>
            <w:hideMark/>
          </w:tcPr>
          <w:p w14:paraId="2F4C6E06"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15.39 </w:t>
            </w:r>
          </w:p>
        </w:tc>
        <w:tc>
          <w:tcPr>
            <w:tcW w:w="828" w:type="dxa"/>
            <w:tcBorders>
              <w:top w:val="single" w:sz="4" w:space="0" w:color="auto"/>
              <w:left w:val="single" w:sz="4" w:space="0" w:color="auto"/>
              <w:bottom w:val="single" w:sz="4" w:space="0" w:color="auto"/>
              <w:right w:val="single" w:sz="4" w:space="0" w:color="auto"/>
            </w:tcBorders>
            <w:noWrap/>
            <w:hideMark/>
          </w:tcPr>
          <w:p w14:paraId="2225BB6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16.61 </w:t>
            </w:r>
          </w:p>
        </w:tc>
        <w:tc>
          <w:tcPr>
            <w:tcW w:w="828" w:type="dxa"/>
            <w:tcBorders>
              <w:top w:val="single" w:sz="4" w:space="0" w:color="auto"/>
              <w:left w:val="single" w:sz="4" w:space="0" w:color="auto"/>
              <w:bottom w:val="single" w:sz="4" w:space="0" w:color="auto"/>
              <w:right w:val="single" w:sz="4" w:space="0" w:color="auto"/>
            </w:tcBorders>
            <w:noWrap/>
            <w:hideMark/>
          </w:tcPr>
          <w:p w14:paraId="1C93A62E"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18.60 </w:t>
            </w:r>
          </w:p>
        </w:tc>
      </w:tr>
      <w:tr w:rsidR="00614438" w:rsidRPr="00AA7A53" w14:paraId="0BE0CFA9" w14:textId="77777777" w:rsidTr="00614438">
        <w:trPr>
          <w:trHeight w:val="300"/>
          <w:jc w:val="center"/>
        </w:trPr>
        <w:tc>
          <w:tcPr>
            <w:tcW w:w="1952" w:type="dxa"/>
            <w:tcBorders>
              <w:top w:val="single" w:sz="4" w:space="0" w:color="auto"/>
              <w:left w:val="single" w:sz="4" w:space="0" w:color="auto"/>
              <w:bottom w:val="single" w:sz="4" w:space="0" w:color="auto"/>
              <w:right w:val="single" w:sz="4" w:space="0" w:color="auto"/>
            </w:tcBorders>
            <w:noWrap/>
            <w:vAlign w:val="bottom"/>
            <w:hideMark/>
          </w:tcPr>
          <w:p w14:paraId="26B3404D"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Natural Gas</w:t>
            </w:r>
          </w:p>
        </w:tc>
        <w:tc>
          <w:tcPr>
            <w:tcW w:w="772" w:type="dxa"/>
            <w:tcBorders>
              <w:top w:val="single" w:sz="4" w:space="0" w:color="auto"/>
              <w:left w:val="single" w:sz="4" w:space="0" w:color="auto"/>
              <w:bottom w:val="single" w:sz="4" w:space="0" w:color="auto"/>
              <w:right w:val="single" w:sz="4" w:space="0" w:color="auto"/>
            </w:tcBorders>
            <w:noWrap/>
            <w:hideMark/>
          </w:tcPr>
          <w:p w14:paraId="45B67E5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2.93 </w:t>
            </w:r>
          </w:p>
        </w:tc>
        <w:tc>
          <w:tcPr>
            <w:tcW w:w="828" w:type="dxa"/>
            <w:tcBorders>
              <w:top w:val="single" w:sz="4" w:space="0" w:color="auto"/>
              <w:left w:val="single" w:sz="4" w:space="0" w:color="auto"/>
              <w:bottom w:val="single" w:sz="4" w:space="0" w:color="auto"/>
              <w:right w:val="single" w:sz="4" w:space="0" w:color="auto"/>
            </w:tcBorders>
            <w:noWrap/>
            <w:hideMark/>
          </w:tcPr>
          <w:p w14:paraId="0519F4E7"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12.46 </w:t>
            </w:r>
          </w:p>
        </w:tc>
        <w:tc>
          <w:tcPr>
            <w:tcW w:w="828" w:type="dxa"/>
            <w:tcBorders>
              <w:top w:val="single" w:sz="4" w:space="0" w:color="auto"/>
              <w:left w:val="single" w:sz="4" w:space="0" w:color="auto"/>
              <w:bottom w:val="single" w:sz="4" w:space="0" w:color="auto"/>
              <w:right w:val="single" w:sz="4" w:space="0" w:color="auto"/>
            </w:tcBorders>
            <w:noWrap/>
            <w:hideMark/>
          </w:tcPr>
          <w:p w14:paraId="4FD4E9DB"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10.67 </w:t>
            </w:r>
          </w:p>
        </w:tc>
        <w:tc>
          <w:tcPr>
            <w:tcW w:w="828" w:type="dxa"/>
            <w:tcBorders>
              <w:top w:val="single" w:sz="4" w:space="0" w:color="auto"/>
              <w:left w:val="single" w:sz="4" w:space="0" w:color="auto"/>
              <w:bottom w:val="single" w:sz="4" w:space="0" w:color="auto"/>
              <w:right w:val="single" w:sz="4" w:space="0" w:color="auto"/>
            </w:tcBorders>
            <w:noWrap/>
            <w:hideMark/>
          </w:tcPr>
          <w:p w14:paraId="361C494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10.67 </w:t>
            </w:r>
          </w:p>
        </w:tc>
        <w:tc>
          <w:tcPr>
            <w:tcW w:w="828" w:type="dxa"/>
            <w:tcBorders>
              <w:top w:val="single" w:sz="4" w:space="0" w:color="auto"/>
              <w:left w:val="single" w:sz="4" w:space="0" w:color="auto"/>
              <w:bottom w:val="single" w:sz="4" w:space="0" w:color="auto"/>
              <w:right w:val="single" w:sz="4" w:space="0" w:color="auto"/>
            </w:tcBorders>
            <w:noWrap/>
            <w:hideMark/>
          </w:tcPr>
          <w:p w14:paraId="76341702"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10.67 </w:t>
            </w:r>
          </w:p>
        </w:tc>
        <w:tc>
          <w:tcPr>
            <w:tcW w:w="828" w:type="dxa"/>
            <w:tcBorders>
              <w:top w:val="single" w:sz="4" w:space="0" w:color="auto"/>
              <w:left w:val="single" w:sz="4" w:space="0" w:color="auto"/>
              <w:bottom w:val="single" w:sz="4" w:space="0" w:color="auto"/>
              <w:right w:val="single" w:sz="4" w:space="0" w:color="auto"/>
            </w:tcBorders>
            <w:noWrap/>
            <w:hideMark/>
          </w:tcPr>
          <w:p w14:paraId="4763AF59"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10.67 </w:t>
            </w:r>
          </w:p>
        </w:tc>
        <w:tc>
          <w:tcPr>
            <w:tcW w:w="828" w:type="dxa"/>
            <w:tcBorders>
              <w:top w:val="single" w:sz="4" w:space="0" w:color="auto"/>
              <w:left w:val="single" w:sz="4" w:space="0" w:color="auto"/>
              <w:bottom w:val="single" w:sz="4" w:space="0" w:color="auto"/>
              <w:right w:val="single" w:sz="4" w:space="0" w:color="auto"/>
            </w:tcBorders>
            <w:noWrap/>
            <w:hideMark/>
          </w:tcPr>
          <w:p w14:paraId="564ABA7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11.14 </w:t>
            </w:r>
          </w:p>
        </w:tc>
      </w:tr>
      <w:tr w:rsidR="00614438" w:rsidRPr="00AA7A53" w14:paraId="4B6BC752" w14:textId="77777777" w:rsidTr="00614438">
        <w:trPr>
          <w:trHeight w:val="300"/>
          <w:jc w:val="center"/>
        </w:trPr>
        <w:tc>
          <w:tcPr>
            <w:tcW w:w="1952" w:type="dxa"/>
            <w:tcBorders>
              <w:top w:val="single" w:sz="4" w:space="0" w:color="auto"/>
              <w:left w:val="single" w:sz="4" w:space="0" w:color="auto"/>
              <w:bottom w:val="single" w:sz="4" w:space="0" w:color="auto"/>
              <w:right w:val="single" w:sz="4" w:space="0" w:color="auto"/>
            </w:tcBorders>
            <w:noWrap/>
            <w:vAlign w:val="bottom"/>
            <w:hideMark/>
          </w:tcPr>
          <w:p w14:paraId="4A8B4B1A"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Hard Coal</w:t>
            </w:r>
          </w:p>
        </w:tc>
        <w:tc>
          <w:tcPr>
            <w:tcW w:w="772" w:type="dxa"/>
            <w:tcBorders>
              <w:top w:val="single" w:sz="4" w:space="0" w:color="auto"/>
              <w:left w:val="single" w:sz="4" w:space="0" w:color="auto"/>
              <w:bottom w:val="single" w:sz="4" w:space="0" w:color="auto"/>
              <w:right w:val="single" w:sz="4" w:space="0" w:color="auto"/>
            </w:tcBorders>
            <w:noWrap/>
            <w:hideMark/>
          </w:tcPr>
          <w:p w14:paraId="5CCD13F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1.51 </w:t>
            </w:r>
          </w:p>
        </w:tc>
        <w:tc>
          <w:tcPr>
            <w:tcW w:w="828" w:type="dxa"/>
            <w:tcBorders>
              <w:top w:val="single" w:sz="4" w:space="0" w:color="auto"/>
              <w:left w:val="single" w:sz="4" w:space="0" w:color="auto"/>
              <w:bottom w:val="single" w:sz="4" w:space="0" w:color="auto"/>
              <w:right w:val="single" w:sz="4" w:space="0" w:color="auto"/>
            </w:tcBorders>
            <w:noWrap/>
            <w:hideMark/>
          </w:tcPr>
          <w:p w14:paraId="4282C2D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2.93 </w:t>
            </w:r>
          </w:p>
        </w:tc>
        <w:tc>
          <w:tcPr>
            <w:tcW w:w="828" w:type="dxa"/>
            <w:tcBorders>
              <w:top w:val="single" w:sz="4" w:space="0" w:color="auto"/>
              <w:left w:val="single" w:sz="4" w:space="0" w:color="auto"/>
              <w:bottom w:val="single" w:sz="4" w:space="0" w:color="auto"/>
              <w:right w:val="single" w:sz="4" w:space="0" w:color="auto"/>
            </w:tcBorders>
            <w:noWrap/>
            <w:hideMark/>
          </w:tcPr>
          <w:p w14:paraId="2D78A398"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2.93 </w:t>
            </w:r>
          </w:p>
        </w:tc>
        <w:tc>
          <w:tcPr>
            <w:tcW w:w="828" w:type="dxa"/>
            <w:tcBorders>
              <w:top w:val="single" w:sz="4" w:space="0" w:color="auto"/>
              <w:left w:val="single" w:sz="4" w:space="0" w:color="auto"/>
              <w:bottom w:val="single" w:sz="4" w:space="0" w:color="auto"/>
              <w:right w:val="single" w:sz="4" w:space="0" w:color="auto"/>
            </w:tcBorders>
            <w:noWrap/>
            <w:hideMark/>
          </w:tcPr>
          <w:p w14:paraId="0828C5A1"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2.93 </w:t>
            </w:r>
          </w:p>
        </w:tc>
        <w:tc>
          <w:tcPr>
            <w:tcW w:w="828" w:type="dxa"/>
            <w:tcBorders>
              <w:top w:val="single" w:sz="4" w:space="0" w:color="auto"/>
              <w:left w:val="single" w:sz="4" w:space="0" w:color="auto"/>
              <w:bottom w:val="single" w:sz="4" w:space="0" w:color="auto"/>
              <w:right w:val="single" w:sz="4" w:space="0" w:color="auto"/>
            </w:tcBorders>
            <w:noWrap/>
            <w:hideMark/>
          </w:tcPr>
          <w:p w14:paraId="1F3268F0"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3.12 </w:t>
            </w:r>
          </w:p>
        </w:tc>
        <w:tc>
          <w:tcPr>
            <w:tcW w:w="828" w:type="dxa"/>
            <w:tcBorders>
              <w:top w:val="single" w:sz="4" w:space="0" w:color="auto"/>
              <w:left w:val="single" w:sz="4" w:space="0" w:color="auto"/>
              <w:bottom w:val="single" w:sz="4" w:space="0" w:color="auto"/>
              <w:right w:val="single" w:sz="4" w:space="0" w:color="auto"/>
            </w:tcBorders>
            <w:noWrap/>
            <w:hideMark/>
          </w:tcPr>
          <w:p w14:paraId="6BF0828C"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3.30 </w:t>
            </w:r>
          </w:p>
        </w:tc>
        <w:tc>
          <w:tcPr>
            <w:tcW w:w="828" w:type="dxa"/>
            <w:tcBorders>
              <w:top w:val="single" w:sz="4" w:space="0" w:color="auto"/>
              <w:left w:val="single" w:sz="4" w:space="0" w:color="auto"/>
              <w:bottom w:val="single" w:sz="4" w:space="0" w:color="auto"/>
              <w:right w:val="single" w:sz="4" w:space="0" w:color="auto"/>
            </w:tcBorders>
            <w:noWrap/>
            <w:hideMark/>
          </w:tcPr>
          <w:p w14:paraId="04CD1A04" w14:textId="77777777" w:rsidR="00614438" w:rsidRPr="00AA7A53" w:rsidRDefault="00614438" w:rsidP="00AA7A53">
            <w:pPr>
              <w:spacing w:after="0"/>
              <w:jc w:val="both"/>
              <w:rPr>
                <w:rFonts w:ascii="Times New Roman" w:hAnsi="Times New Roman" w:cs="Times New Roman"/>
                <w:sz w:val="20"/>
                <w:szCs w:val="20"/>
                <w:lang w:val="en-GB"/>
              </w:rPr>
            </w:pPr>
            <w:r w:rsidRPr="00AA7A53">
              <w:rPr>
                <w:rFonts w:ascii="Times New Roman" w:hAnsi="Times New Roman" w:cs="Times New Roman"/>
                <w:sz w:val="20"/>
                <w:szCs w:val="20"/>
                <w:lang w:val="en-GB"/>
              </w:rPr>
              <w:t xml:space="preserve"> 3.49 </w:t>
            </w:r>
          </w:p>
        </w:tc>
      </w:tr>
    </w:tbl>
    <w:p w14:paraId="35748350" w14:textId="77777777" w:rsidR="00B246BC" w:rsidRDefault="00B246BC" w:rsidP="00614438">
      <w:pPr>
        <w:jc w:val="both"/>
        <w:rPr>
          <w:rFonts w:ascii="Times New Roman" w:hAnsi="Times New Roman" w:cs="Times New Roman"/>
          <w:sz w:val="24"/>
          <w:szCs w:val="24"/>
          <w:lang w:val="en-GB"/>
        </w:rPr>
      </w:pPr>
    </w:p>
    <w:p w14:paraId="00CA73A7" w14:textId="696AD08C" w:rsidR="00614438" w:rsidRPr="00614438" w:rsidRDefault="00614438" w:rsidP="00B246BC">
      <w:pPr>
        <w:ind w:firstLine="48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the scenario analysis with existing measures (WEM) it is assumed that there are no carbon </w:t>
      </w:r>
      <w:r w:rsidR="00FB7454">
        <w:rPr>
          <w:rFonts w:ascii="Times New Roman" w:hAnsi="Times New Roman" w:cs="Times New Roman"/>
          <w:sz w:val="24"/>
          <w:szCs w:val="24"/>
          <w:lang w:val="en-GB"/>
        </w:rPr>
        <w:t>taxes</w:t>
      </w:r>
      <w:r w:rsidRPr="00614438">
        <w:rPr>
          <w:rFonts w:ascii="Times New Roman" w:hAnsi="Times New Roman" w:cs="Times New Roman"/>
          <w:sz w:val="24"/>
          <w:szCs w:val="24"/>
          <w:lang w:val="en-GB"/>
        </w:rPr>
        <w:t xml:space="preserve"> imposed in the Republic of Serbia.</w:t>
      </w:r>
    </w:p>
    <w:p w14:paraId="5AD2439E" w14:textId="77777777" w:rsidR="00B246BC" w:rsidRDefault="00B246BC" w:rsidP="00B246BC">
      <w:pPr>
        <w:jc w:val="both"/>
        <w:rPr>
          <w:rFonts w:ascii="Times New Roman" w:hAnsi="Times New Roman" w:cs="Times New Roman"/>
          <w:sz w:val="24"/>
          <w:szCs w:val="24"/>
          <w:lang w:val="en-GB"/>
        </w:rPr>
      </w:pPr>
    </w:p>
    <w:p w14:paraId="6D795EBB" w14:textId="77777777" w:rsidR="00B246BC" w:rsidRDefault="00B246BC" w:rsidP="00B246BC">
      <w:pPr>
        <w:jc w:val="both"/>
        <w:rPr>
          <w:rFonts w:ascii="Times New Roman" w:hAnsi="Times New Roman" w:cs="Times New Roman"/>
          <w:sz w:val="24"/>
          <w:szCs w:val="24"/>
          <w:lang w:val="en-GB"/>
        </w:rPr>
      </w:pPr>
    </w:p>
    <w:p w14:paraId="71C37F7E" w14:textId="14F7E5D9" w:rsidR="00614438" w:rsidRPr="00614438" w:rsidRDefault="00B246BC" w:rsidP="00B246BC">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4.1.5 </w:t>
      </w:r>
      <w:r w:rsidR="00614438" w:rsidRPr="00614438">
        <w:rPr>
          <w:rFonts w:ascii="Times New Roman" w:hAnsi="Times New Roman" w:cs="Times New Roman"/>
          <w:sz w:val="24"/>
          <w:szCs w:val="24"/>
          <w:lang w:val="en-GB"/>
        </w:rPr>
        <w:t>Technology cost developments</w:t>
      </w:r>
    </w:p>
    <w:p w14:paraId="73FEFCF5" w14:textId="2A5F7D10" w:rsidR="00614438" w:rsidRDefault="00614438" w:rsidP="00FB7454">
      <w:pPr>
        <w:pStyle w:val="FootnoteText"/>
        <w:ind w:firstLine="720"/>
        <w:jc w:val="both"/>
        <w:rPr>
          <w:sz w:val="24"/>
          <w:szCs w:val="24"/>
        </w:rPr>
      </w:pPr>
      <w:r w:rsidRPr="00614438">
        <w:rPr>
          <w:sz w:val="24"/>
          <w:szCs w:val="24"/>
          <w:lang w:val="en-GB"/>
        </w:rPr>
        <w:lastRenderedPageBreak/>
        <w:t>The projection of investment costs of RES technologies for electricity generation, which are expected to be the technologies with the largest potential for reduction of costs, are shown in table</w:t>
      </w:r>
      <w:r w:rsidR="00FB7454">
        <w:rPr>
          <w:sz w:val="24"/>
          <w:szCs w:val="24"/>
          <w:lang w:val="en-GB"/>
        </w:rPr>
        <w:t xml:space="preserve"> 4.3</w:t>
      </w:r>
      <w:r w:rsidRPr="00614438">
        <w:rPr>
          <w:sz w:val="24"/>
          <w:szCs w:val="24"/>
          <w:lang w:val="en-GB"/>
        </w:rPr>
        <w:t xml:space="preserve">. Three cost levels have been included for wind installations to model a “supply curve” for the wind potential. The underlying assumption is that the first cost level corresponds to sites which have easy access for installation (close to roads and the transmission network) and the next two cost levels are further </w:t>
      </w:r>
      <w:r w:rsidRPr="00FB7454">
        <w:rPr>
          <w:sz w:val="24"/>
          <w:szCs w:val="24"/>
          <w:lang w:val="en-GB"/>
        </w:rPr>
        <w:t>away and therefore require ten per cent higher investment costs compared to the previous cost level</w:t>
      </w:r>
      <w:r w:rsidR="00FB7454" w:rsidRPr="00FB7454">
        <w:rPr>
          <w:sz w:val="24"/>
          <w:szCs w:val="24"/>
          <w:lang w:val="en-GB"/>
        </w:rPr>
        <w:t>. (</w:t>
      </w:r>
      <w:r w:rsidR="00FB7454" w:rsidRPr="00FB7454">
        <w:rPr>
          <w:sz w:val="24"/>
          <w:szCs w:val="24"/>
        </w:rPr>
        <w:t>Note that the investment in balancing technologies and/or storage technologies is not included implicitly in the cost of renewable energy technologies, but it is calculated explicitly per kW of balancing or storage technology that is included in the system.)</w:t>
      </w:r>
      <w:r w:rsidR="00FB7454">
        <w:rPr>
          <w:sz w:val="24"/>
          <w:szCs w:val="24"/>
        </w:rPr>
        <w:t>.</w:t>
      </w:r>
    </w:p>
    <w:p w14:paraId="35DC736D" w14:textId="77777777" w:rsidR="00FB7454" w:rsidRPr="00FB7454" w:rsidRDefault="00FB7454" w:rsidP="00FB7454">
      <w:pPr>
        <w:pStyle w:val="FootnoteText"/>
        <w:ind w:firstLine="720"/>
        <w:jc w:val="both"/>
        <w:rPr>
          <w:sz w:val="24"/>
          <w:szCs w:val="24"/>
        </w:rPr>
      </w:pPr>
    </w:p>
    <w:p w14:paraId="183B35DF" w14:textId="622EB38B" w:rsidR="00614438" w:rsidRPr="00614438" w:rsidRDefault="00614438" w:rsidP="00614438">
      <w:pPr>
        <w:jc w:val="both"/>
        <w:rPr>
          <w:rFonts w:ascii="Times New Roman" w:hAnsi="Times New Roman" w:cs="Times New Roman"/>
          <w:sz w:val="24"/>
          <w:szCs w:val="24"/>
          <w:lang w:val="en-GB"/>
        </w:rPr>
      </w:pPr>
      <w:bookmarkStart w:id="193" w:name="_Toc153545073"/>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FB7454">
        <w:rPr>
          <w:rFonts w:ascii="Times New Roman" w:hAnsi="Times New Roman" w:cs="Times New Roman"/>
          <w:sz w:val="24"/>
          <w:szCs w:val="24"/>
        </w:rPr>
        <w:t>3</w:t>
      </w:r>
      <w:r w:rsidRPr="00614438">
        <w:rPr>
          <w:rFonts w:ascii="Times New Roman" w:hAnsi="Times New Roman" w:cs="Times New Roman"/>
          <w:sz w:val="24"/>
          <w:szCs w:val="24"/>
        </w:rPr>
        <w:t xml:space="preserve">: </w:t>
      </w:r>
      <w:r w:rsidR="00FB7454">
        <w:rPr>
          <w:rFonts w:ascii="Times New Roman" w:hAnsi="Times New Roman" w:cs="Times New Roman"/>
          <w:sz w:val="24"/>
          <w:szCs w:val="24"/>
        </w:rPr>
        <w:t>I</w:t>
      </w:r>
      <w:r w:rsidRPr="00614438">
        <w:rPr>
          <w:rFonts w:ascii="Times New Roman" w:hAnsi="Times New Roman" w:cs="Times New Roman"/>
          <w:sz w:val="24"/>
          <w:szCs w:val="24"/>
        </w:rPr>
        <w:t>nvestment costs projection for renewable energy technologies</w:t>
      </w:r>
      <w:bookmarkEnd w:id="193"/>
    </w:p>
    <w:tbl>
      <w:tblPr>
        <w:tblStyle w:val="PlainTable51"/>
        <w:tblW w:w="6979" w:type="dxa"/>
        <w:jc w:val="center"/>
        <w:tblLook w:val="04A0" w:firstRow="1" w:lastRow="0" w:firstColumn="1" w:lastColumn="0" w:noHBand="0" w:noVBand="1"/>
      </w:tblPr>
      <w:tblGrid>
        <w:gridCol w:w="4274"/>
        <w:gridCol w:w="677"/>
        <w:gridCol w:w="676"/>
        <w:gridCol w:w="676"/>
        <w:gridCol w:w="676"/>
      </w:tblGrid>
      <w:tr w:rsidR="00614438" w:rsidRPr="00AA7A53" w14:paraId="0AB94FD7" w14:textId="77777777" w:rsidTr="00614438">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891" w:type="dxa"/>
            <w:tcBorders>
              <w:top w:val="nil"/>
              <w:left w:val="nil"/>
            </w:tcBorders>
            <w:hideMark/>
          </w:tcPr>
          <w:p w14:paraId="328E7106" w14:textId="77777777" w:rsidR="00614438" w:rsidRPr="00AA7A53" w:rsidRDefault="00614438" w:rsidP="00AA7A53">
            <w:pPr>
              <w:spacing w:line="259" w:lineRule="auto"/>
              <w:jc w:val="both"/>
              <w:rPr>
                <w:rFonts w:ascii="Times New Roman" w:eastAsiaTheme="minorHAnsi" w:hAnsi="Times New Roman" w:cs="Times New Roman"/>
                <w:i w:val="0"/>
                <w:iCs w:val="0"/>
                <w:kern w:val="2"/>
                <w:sz w:val="20"/>
                <w:szCs w:val="20"/>
              </w:rPr>
            </w:pPr>
            <w:r w:rsidRPr="00AA7A53">
              <w:rPr>
                <w:rFonts w:ascii="Times New Roman" w:eastAsiaTheme="minorHAnsi" w:hAnsi="Times New Roman" w:cs="Times New Roman"/>
                <w:i w:val="0"/>
                <w:iCs w:val="0"/>
                <w:kern w:val="2"/>
                <w:sz w:val="20"/>
                <w:szCs w:val="20"/>
              </w:rPr>
              <w:t>Overnight Investment costs in Euro/kW</w:t>
            </w:r>
          </w:p>
        </w:tc>
        <w:tc>
          <w:tcPr>
            <w:tcW w:w="6" w:type="dxa"/>
            <w:tcBorders>
              <w:top w:val="nil"/>
              <w:left w:val="nil"/>
              <w:right w:val="nil"/>
            </w:tcBorders>
            <w:hideMark/>
          </w:tcPr>
          <w:p w14:paraId="1D92B1D2" w14:textId="77777777" w:rsidR="00614438" w:rsidRPr="00AA7A53" w:rsidRDefault="00614438" w:rsidP="00AA7A53">
            <w:pPr>
              <w:spacing w:line="259" w:lineRule="auto"/>
              <w:jc w:val="both"/>
              <w:cnfStyle w:val="100000000000" w:firstRow="1" w:lastRow="0" w:firstColumn="0" w:lastColumn="0" w:oddVBand="0" w:evenVBand="0" w:oddHBand="0" w:evenHBand="0" w:firstRowFirstColumn="0" w:firstRowLastColumn="0" w:lastRowFirstColumn="0" w:lastRowLastColumn="0"/>
              <w:rPr>
                <w:rFonts w:ascii="Times New Roman" w:eastAsiaTheme="minorHAnsi" w:hAnsi="Times New Roman" w:cs="Times New Roman"/>
                <w:i w:val="0"/>
                <w:iCs w:val="0"/>
                <w:kern w:val="2"/>
                <w:sz w:val="20"/>
                <w:szCs w:val="20"/>
              </w:rPr>
            </w:pPr>
            <w:r w:rsidRPr="00AA7A53">
              <w:rPr>
                <w:rFonts w:ascii="Times New Roman" w:eastAsiaTheme="minorHAnsi" w:hAnsi="Times New Roman" w:cs="Times New Roman"/>
                <w:i w:val="0"/>
                <w:iCs w:val="0"/>
                <w:kern w:val="2"/>
                <w:sz w:val="20"/>
                <w:szCs w:val="20"/>
              </w:rPr>
              <w:t>2025</w:t>
            </w:r>
          </w:p>
        </w:tc>
        <w:tc>
          <w:tcPr>
            <w:tcW w:w="6" w:type="dxa"/>
            <w:tcBorders>
              <w:top w:val="nil"/>
              <w:left w:val="nil"/>
              <w:right w:val="nil"/>
            </w:tcBorders>
            <w:hideMark/>
          </w:tcPr>
          <w:p w14:paraId="1FBC9970" w14:textId="77777777" w:rsidR="00614438" w:rsidRPr="00AA7A53" w:rsidRDefault="00614438" w:rsidP="00AA7A53">
            <w:pPr>
              <w:spacing w:line="259" w:lineRule="auto"/>
              <w:jc w:val="both"/>
              <w:cnfStyle w:val="100000000000" w:firstRow="1" w:lastRow="0" w:firstColumn="0" w:lastColumn="0" w:oddVBand="0" w:evenVBand="0" w:oddHBand="0" w:evenHBand="0" w:firstRowFirstColumn="0" w:firstRowLastColumn="0" w:lastRowFirstColumn="0" w:lastRowLastColumn="0"/>
              <w:rPr>
                <w:rFonts w:ascii="Times New Roman" w:eastAsiaTheme="minorHAnsi" w:hAnsi="Times New Roman" w:cs="Times New Roman"/>
                <w:i w:val="0"/>
                <w:iCs w:val="0"/>
                <w:kern w:val="2"/>
                <w:sz w:val="20"/>
                <w:szCs w:val="20"/>
              </w:rPr>
            </w:pPr>
            <w:r w:rsidRPr="00AA7A53">
              <w:rPr>
                <w:rFonts w:ascii="Times New Roman" w:eastAsiaTheme="minorHAnsi" w:hAnsi="Times New Roman" w:cs="Times New Roman"/>
                <w:i w:val="0"/>
                <w:iCs w:val="0"/>
                <w:kern w:val="2"/>
                <w:sz w:val="20"/>
                <w:szCs w:val="20"/>
              </w:rPr>
              <w:t>2030</w:t>
            </w:r>
          </w:p>
        </w:tc>
        <w:tc>
          <w:tcPr>
            <w:tcW w:w="6" w:type="dxa"/>
            <w:tcBorders>
              <w:top w:val="nil"/>
              <w:left w:val="nil"/>
              <w:right w:val="nil"/>
            </w:tcBorders>
            <w:hideMark/>
          </w:tcPr>
          <w:p w14:paraId="2157107E" w14:textId="77777777" w:rsidR="00614438" w:rsidRPr="00AA7A53" w:rsidRDefault="00614438" w:rsidP="00AA7A53">
            <w:pPr>
              <w:spacing w:line="259" w:lineRule="auto"/>
              <w:jc w:val="both"/>
              <w:cnfStyle w:val="100000000000" w:firstRow="1" w:lastRow="0" w:firstColumn="0" w:lastColumn="0" w:oddVBand="0" w:evenVBand="0" w:oddHBand="0" w:evenHBand="0" w:firstRowFirstColumn="0" w:firstRowLastColumn="0" w:lastRowFirstColumn="0" w:lastRowLastColumn="0"/>
              <w:rPr>
                <w:rFonts w:ascii="Times New Roman" w:eastAsiaTheme="minorHAnsi" w:hAnsi="Times New Roman" w:cs="Times New Roman"/>
                <w:i w:val="0"/>
                <w:iCs w:val="0"/>
                <w:kern w:val="2"/>
                <w:sz w:val="20"/>
                <w:szCs w:val="20"/>
              </w:rPr>
            </w:pPr>
            <w:r w:rsidRPr="00AA7A53">
              <w:rPr>
                <w:rFonts w:ascii="Times New Roman" w:eastAsiaTheme="minorHAnsi" w:hAnsi="Times New Roman" w:cs="Times New Roman"/>
                <w:i w:val="0"/>
                <w:iCs w:val="0"/>
                <w:kern w:val="2"/>
                <w:sz w:val="20"/>
                <w:szCs w:val="20"/>
              </w:rPr>
              <w:t>2040</w:t>
            </w:r>
          </w:p>
        </w:tc>
        <w:tc>
          <w:tcPr>
            <w:tcW w:w="6" w:type="dxa"/>
            <w:tcBorders>
              <w:top w:val="nil"/>
              <w:left w:val="nil"/>
              <w:right w:val="nil"/>
            </w:tcBorders>
            <w:hideMark/>
          </w:tcPr>
          <w:p w14:paraId="24206B18" w14:textId="77777777" w:rsidR="00614438" w:rsidRPr="00AA7A53" w:rsidRDefault="00614438" w:rsidP="00AA7A53">
            <w:pPr>
              <w:spacing w:line="259" w:lineRule="auto"/>
              <w:jc w:val="both"/>
              <w:cnfStyle w:val="100000000000" w:firstRow="1" w:lastRow="0" w:firstColumn="0" w:lastColumn="0" w:oddVBand="0" w:evenVBand="0" w:oddHBand="0" w:evenHBand="0" w:firstRowFirstColumn="0" w:firstRowLastColumn="0" w:lastRowFirstColumn="0" w:lastRowLastColumn="0"/>
              <w:rPr>
                <w:rFonts w:ascii="Times New Roman" w:eastAsiaTheme="minorHAnsi" w:hAnsi="Times New Roman" w:cs="Times New Roman"/>
                <w:i w:val="0"/>
                <w:iCs w:val="0"/>
                <w:kern w:val="2"/>
                <w:sz w:val="20"/>
                <w:szCs w:val="20"/>
              </w:rPr>
            </w:pPr>
            <w:r w:rsidRPr="00AA7A53">
              <w:rPr>
                <w:rFonts w:ascii="Times New Roman" w:eastAsiaTheme="minorHAnsi" w:hAnsi="Times New Roman" w:cs="Times New Roman"/>
                <w:i w:val="0"/>
                <w:iCs w:val="0"/>
                <w:kern w:val="2"/>
                <w:sz w:val="20"/>
                <w:szCs w:val="20"/>
              </w:rPr>
              <w:t>2050</w:t>
            </w:r>
          </w:p>
        </w:tc>
      </w:tr>
      <w:tr w:rsidR="00614438" w:rsidRPr="00AA7A53" w14:paraId="4D11C7F6" w14:textId="77777777" w:rsidTr="006144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91" w:type="dxa"/>
            <w:tcBorders>
              <w:top w:val="nil"/>
              <w:left w:val="nil"/>
              <w:bottom w:val="nil"/>
            </w:tcBorders>
            <w:hideMark/>
          </w:tcPr>
          <w:p w14:paraId="02388F9A" w14:textId="77777777" w:rsidR="00614438" w:rsidRPr="00AA7A53" w:rsidRDefault="00614438" w:rsidP="00AA7A53">
            <w:pPr>
              <w:spacing w:line="259" w:lineRule="auto"/>
              <w:jc w:val="both"/>
              <w:rPr>
                <w:rFonts w:ascii="Times New Roman" w:eastAsiaTheme="minorHAnsi" w:hAnsi="Times New Roman" w:cs="Times New Roman"/>
                <w:i w:val="0"/>
                <w:iCs w:val="0"/>
                <w:kern w:val="2"/>
                <w:sz w:val="20"/>
                <w:szCs w:val="20"/>
              </w:rPr>
            </w:pPr>
            <w:r w:rsidRPr="00AA7A53">
              <w:rPr>
                <w:rFonts w:ascii="Times New Roman" w:eastAsiaTheme="minorHAnsi" w:hAnsi="Times New Roman" w:cs="Times New Roman"/>
                <w:i w:val="0"/>
                <w:iCs w:val="0"/>
                <w:kern w:val="2"/>
                <w:sz w:val="20"/>
                <w:szCs w:val="20"/>
              </w:rPr>
              <w:t>Solar PV – Plant size</w:t>
            </w:r>
          </w:p>
        </w:tc>
        <w:tc>
          <w:tcPr>
            <w:tcW w:w="6" w:type="dxa"/>
            <w:hideMark/>
          </w:tcPr>
          <w:p w14:paraId="4EE9A5AA" w14:textId="77777777" w:rsidR="00614438" w:rsidRPr="00AA7A53" w:rsidRDefault="00614438" w:rsidP="00AA7A53">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rPr>
            </w:pPr>
            <w:r w:rsidRPr="00AA7A53">
              <w:rPr>
                <w:rFonts w:ascii="Times New Roman" w:hAnsi="Times New Roman" w:cs="Times New Roman"/>
                <w:kern w:val="2"/>
                <w:sz w:val="20"/>
                <w:szCs w:val="20"/>
              </w:rPr>
              <w:t>575</w:t>
            </w:r>
          </w:p>
        </w:tc>
        <w:tc>
          <w:tcPr>
            <w:tcW w:w="6" w:type="dxa"/>
            <w:hideMark/>
          </w:tcPr>
          <w:p w14:paraId="748556BB" w14:textId="77777777" w:rsidR="00614438" w:rsidRPr="00AA7A53" w:rsidRDefault="00614438" w:rsidP="00AA7A53">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rPr>
            </w:pPr>
            <w:r w:rsidRPr="00AA7A53">
              <w:rPr>
                <w:rFonts w:ascii="Times New Roman" w:hAnsi="Times New Roman" w:cs="Times New Roman"/>
                <w:kern w:val="2"/>
                <w:sz w:val="20"/>
                <w:szCs w:val="20"/>
              </w:rPr>
              <w:t>550</w:t>
            </w:r>
          </w:p>
        </w:tc>
        <w:tc>
          <w:tcPr>
            <w:tcW w:w="6" w:type="dxa"/>
            <w:hideMark/>
          </w:tcPr>
          <w:p w14:paraId="3A5D2AF6" w14:textId="77777777" w:rsidR="00614438" w:rsidRPr="00AA7A53" w:rsidRDefault="00614438" w:rsidP="00AA7A53">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rPr>
            </w:pPr>
            <w:r w:rsidRPr="00AA7A53">
              <w:rPr>
                <w:rFonts w:ascii="Times New Roman" w:hAnsi="Times New Roman" w:cs="Times New Roman"/>
                <w:kern w:val="2"/>
                <w:sz w:val="20"/>
                <w:szCs w:val="20"/>
              </w:rPr>
              <w:t>500</w:t>
            </w:r>
          </w:p>
        </w:tc>
        <w:tc>
          <w:tcPr>
            <w:tcW w:w="6" w:type="dxa"/>
            <w:hideMark/>
          </w:tcPr>
          <w:p w14:paraId="2345EFEB" w14:textId="77777777" w:rsidR="00614438" w:rsidRPr="00AA7A53" w:rsidRDefault="00614438" w:rsidP="00AA7A53">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rPr>
            </w:pPr>
            <w:r w:rsidRPr="00AA7A53">
              <w:rPr>
                <w:rFonts w:ascii="Times New Roman" w:hAnsi="Times New Roman" w:cs="Times New Roman"/>
                <w:kern w:val="2"/>
                <w:sz w:val="20"/>
                <w:szCs w:val="20"/>
              </w:rPr>
              <w:t>350</w:t>
            </w:r>
          </w:p>
        </w:tc>
      </w:tr>
      <w:tr w:rsidR="00614438" w:rsidRPr="00AA7A53" w14:paraId="00C3A12F" w14:textId="77777777" w:rsidTr="00614438">
        <w:trPr>
          <w:jc w:val="center"/>
        </w:trPr>
        <w:tc>
          <w:tcPr>
            <w:cnfStyle w:val="001000000000" w:firstRow="0" w:lastRow="0" w:firstColumn="1" w:lastColumn="0" w:oddVBand="0" w:evenVBand="0" w:oddHBand="0" w:evenHBand="0" w:firstRowFirstColumn="0" w:firstRowLastColumn="0" w:lastRowFirstColumn="0" w:lastRowLastColumn="0"/>
            <w:tcW w:w="3891" w:type="dxa"/>
            <w:tcBorders>
              <w:top w:val="nil"/>
              <w:left w:val="nil"/>
              <w:bottom w:val="nil"/>
            </w:tcBorders>
            <w:hideMark/>
          </w:tcPr>
          <w:p w14:paraId="3E310E0C" w14:textId="77777777" w:rsidR="00614438" w:rsidRPr="00AA7A53" w:rsidRDefault="00614438" w:rsidP="00AA7A53">
            <w:pPr>
              <w:spacing w:line="259" w:lineRule="auto"/>
              <w:jc w:val="both"/>
              <w:rPr>
                <w:rFonts w:ascii="Times New Roman" w:eastAsiaTheme="minorHAnsi" w:hAnsi="Times New Roman" w:cs="Times New Roman"/>
                <w:i w:val="0"/>
                <w:iCs w:val="0"/>
                <w:kern w:val="2"/>
                <w:sz w:val="20"/>
                <w:szCs w:val="20"/>
              </w:rPr>
            </w:pPr>
            <w:r w:rsidRPr="00AA7A53">
              <w:rPr>
                <w:rFonts w:ascii="Times New Roman" w:eastAsiaTheme="minorHAnsi" w:hAnsi="Times New Roman" w:cs="Times New Roman"/>
                <w:i w:val="0"/>
                <w:iCs w:val="0"/>
                <w:kern w:val="2"/>
                <w:sz w:val="20"/>
                <w:szCs w:val="20"/>
              </w:rPr>
              <w:t>Rooftop Solar PV</w:t>
            </w:r>
          </w:p>
        </w:tc>
        <w:tc>
          <w:tcPr>
            <w:tcW w:w="6" w:type="dxa"/>
            <w:hideMark/>
          </w:tcPr>
          <w:p w14:paraId="7AF4A87D" w14:textId="77777777" w:rsidR="00614438" w:rsidRPr="00AA7A53" w:rsidRDefault="00614438" w:rsidP="00AA7A53">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rPr>
            </w:pPr>
            <w:r w:rsidRPr="00AA7A53">
              <w:rPr>
                <w:rFonts w:ascii="Times New Roman" w:hAnsi="Times New Roman" w:cs="Times New Roman"/>
                <w:kern w:val="2"/>
                <w:sz w:val="20"/>
                <w:szCs w:val="20"/>
              </w:rPr>
              <w:t>690</w:t>
            </w:r>
          </w:p>
        </w:tc>
        <w:tc>
          <w:tcPr>
            <w:tcW w:w="6" w:type="dxa"/>
            <w:hideMark/>
          </w:tcPr>
          <w:p w14:paraId="16F0C437" w14:textId="77777777" w:rsidR="00614438" w:rsidRPr="00AA7A53" w:rsidRDefault="00614438" w:rsidP="00AA7A53">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rPr>
            </w:pPr>
            <w:r w:rsidRPr="00AA7A53">
              <w:rPr>
                <w:rFonts w:ascii="Times New Roman" w:hAnsi="Times New Roman" w:cs="Times New Roman"/>
                <w:kern w:val="2"/>
                <w:sz w:val="20"/>
                <w:szCs w:val="20"/>
              </w:rPr>
              <w:t>660</w:t>
            </w:r>
          </w:p>
        </w:tc>
        <w:tc>
          <w:tcPr>
            <w:tcW w:w="6" w:type="dxa"/>
            <w:hideMark/>
          </w:tcPr>
          <w:p w14:paraId="2DA42EC0" w14:textId="77777777" w:rsidR="00614438" w:rsidRPr="00AA7A53" w:rsidRDefault="00614438" w:rsidP="00AA7A53">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rPr>
            </w:pPr>
            <w:r w:rsidRPr="00AA7A53">
              <w:rPr>
                <w:rFonts w:ascii="Times New Roman" w:hAnsi="Times New Roman" w:cs="Times New Roman"/>
                <w:kern w:val="2"/>
                <w:sz w:val="20"/>
                <w:szCs w:val="20"/>
              </w:rPr>
              <w:t>600</w:t>
            </w:r>
          </w:p>
        </w:tc>
        <w:tc>
          <w:tcPr>
            <w:tcW w:w="6" w:type="dxa"/>
            <w:hideMark/>
          </w:tcPr>
          <w:p w14:paraId="0EA23B25" w14:textId="77777777" w:rsidR="00614438" w:rsidRPr="00AA7A53" w:rsidRDefault="00614438" w:rsidP="00AA7A53">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rPr>
            </w:pPr>
            <w:r w:rsidRPr="00AA7A53">
              <w:rPr>
                <w:rFonts w:ascii="Times New Roman" w:hAnsi="Times New Roman" w:cs="Times New Roman"/>
                <w:kern w:val="2"/>
                <w:sz w:val="20"/>
                <w:szCs w:val="20"/>
              </w:rPr>
              <w:t>420</w:t>
            </w:r>
          </w:p>
        </w:tc>
      </w:tr>
      <w:tr w:rsidR="00614438" w:rsidRPr="00AA7A53" w14:paraId="1EC1E95E" w14:textId="77777777" w:rsidTr="006144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91" w:type="dxa"/>
            <w:tcBorders>
              <w:top w:val="nil"/>
              <w:left w:val="nil"/>
              <w:bottom w:val="nil"/>
            </w:tcBorders>
            <w:hideMark/>
          </w:tcPr>
          <w:p w14:paraId="6C0B3807" w14:textId="77777777" w:rsidR="00614438" w:rsidRPr="00AA7A53" w:rsidRDefault="00614438" w:rsidP="00AA7A53">
            <w:pPr>
              <w:spacing w:line="259" w:lineRule="auto"/>
              <w:jc w:val="both"/>
              <w:rPr>
                <w:rFonts w:ascii="Times New Roman" w:eastAsiaTheme="minorHAnsi" w:hAnsi="Times New Roman" w:cs="Times New Roman"/>
                <w:i w:val="0"/>
                <w:iCs w:val="0"/>
                <w:kern w:val="2"/>
                <w:sz w:val="20"/>
                <w:szCs w:val="20"/>
              </w:rPr>
            </w:pPr>
            <w:r w:rsidRPr="00AA7A53">
              <w:rPr>
                <w:rFonts w:ascii="Times New Roman" w:eastAsiaTheme="minorHAnsi" w:hAnsi="Times New Roman" w:cs="Times New Roman"/>
                <w:i w:val="0"/>
                <w:iCs w:val="0"/>
                <w:kern w:val="2"/>
                <w:sz w:val="20"/>
                <w:szCs w:val="20"/>
              </w:rPr>
              <w:t>Wind plants Cost level 1</w:t>
            </w:r>
          </w:p>
        </w:tc>
        <w:tc>
          <w:tcPr>
            <w:tcW w:w="6" w:type="dxa"/>
            <w:hideMark/>
          </w:tcPr>
          <w:p w14:paraId="057147FA" w14:textId="77777777" w:rsidR="00614438" w:rsidRPr="00AA7A53" w:rsidRDefault="00614438" w:rsidP="00AA7A53">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rPr>
            </w:pPr>
            <w:r w:rsidRPr="00AA7A53">
              <w:rPr>
                <w:rFonts w:ascii="Times New Roman" w:hAnsi="Times New Roman" w:cs="Times New Roman"/>
                <w:kern w:val="2"/>
                <w:sz w:val="20"/>
                <w:szCs w:val="20"/>
              </w:rPr>
              <w:t>1150</w:t>
            </w:r>
          </w:p>
        </w:tc>
        <w:tc>
          <w:tcPr>
            <w:tcW w:w="6" w:type="dxa"/>
            <w:hideMark/>
          </w:tcPr>
          <w:p w14:paraId="65E30255" w14:textId="77777777" w:rsidR="00614438" w:rsidRPr="00AA7A53" w:rsidRDefault="00614438" w:rsidP="00AA7A53">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rPr>
            </w:pPr>
            <w:r w:rsidRPr="00AA7A53">
              <w:rPr>
                <w:rFonts w:ascii="Times New Roman" w:hAnsi="Times New Roman" w:cs="Times New Roman"/>
                <w:kern w:val="2"/>
                <w:sz w:val="20"/>
                <w:szCs w:val="20"/>
              </w:rPr>
              <w:t>1000</w:t>
            </w:r>
          </w:p>
        </w:tc>
        <w:tc>
          <w:tcPr>
            <w:tcW w:w="6" w:type="dxa"/>
            <w:hideMark/>
          </w:tcPr>
          <w:p w14:paraId="50DD5FC7" w14:textId="77777777" w:rsidR="00614438" w:rsidRPr="00AA7A53" w:rsidRDefault="00614438" w:rsidP="00AA7A53">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rPr>
            </w:pPr>
            <w:r w:rsidRPr="00AA7A53">
              <w:rPr>
                <w:rFonts w:ascii="Times New Roman" w:hAnsi="Times New Roman" w:cs="Times New Roman"/>
                <w:kern w:val="2"/>
                <w:sz w:val="20"/>
                <w:szCs w:val="20"/>
              </w:rPr>
              <w:t>950</w:t>
            </w:r>
          </w:p>
        </w:tc>
        <w:tc>
          <w:tcPr>
            <w:tcW w:w="6" w:type="dxa"/>
            <w:hideMark/>
          </w:tcPr>
          <w:p w14:paraId="57B03A85" w14:textId="77777777" w:rsidR="00614438" w:rsidRPr="00AA7A53" w:rsidRDefault="00614438" w:rsidP="00AA7A53">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rPr>
            </w:pPr>
            <w:r w:rsidRPr="00AA7A53">
              <w:rPr>
                <w:rFonts w:ascii="Times New Roman" w:hAnsi="Times New Roman" w:cs="Times New Roman"/>
                <w:kern w:val="2"/>
                <w:sz w:val="20"/>
                <w:szCs w:val="20"/>
              </w:rPr>
              <w:t>900</w:t>
            </w:r>
          </w:p>
        </w:tc>
      </w:tr>
      <w:tr w:rsidR="00614438" w:rsidRPr="00AA7A53" w14:paraId="7E3E3581" w14:textId="77777777" w:rsidTr="00614438">
        <w:trPr>
          <w:jc w:val="center"/>
        </w:trPr>
        <w:tc>
          <w:tcPr>
            <w:cnfStyle w:val="001000000000" w:firstRow="0" w:lastRow="0" w:firstColumn="1" w:lastColumn="0" w:oddVBand="0" w:evenVBand="0" w:oddHBand="0" w:evenHBand="0" w:firstRowFirstColumn="0" w:firstRowLastColumn="0" w:lastRowFirstColumn="0" w:lastRowLastColumn="0"/>
            <w:tcW w:w="3891" w:type="dxa"/>
            <w:tcBorders>
              <w:top w:val="nil"/>
              <w:left w:val="nil"/>
              <w:bottom w:val="nil"/>
            </w:tcBorders>
            <w:hideMark/>
          </w:tcPr>
          <w:p w14:paraId="102287F4" w14:textId="77777777" w:rsidR="00614438" w:rsidRPr="00AA7A53" w:rsidRDefault="00614438" w:rsidP="00AA7A53">
            <w:pPr>
              <w:spacing w:line="259" w:lineRule="auto"/>
              <w:jc w:val="both"/>
              <w:rPr>
                <w:rFonts w:ascii="Times New Roman" w:eastAsiaTheme="minorHAnsi" w:hAnsi="Times New Roman" w:cs="Times New Roman"/>
                <w:i w:val="0"/>
                <w:iCs w:val="0"/>
                <w:kern w:val="2"/>
                <w:sz w:val="20"/>
                <w:szCs w:val="20"/>
              </w:rPr>
            </w:pPr>
            <w:r w:rsidRPr="00AA7A53">
              <w:rPr>
                <w:rFonts w:ascii="Times New Roman" w:eastAsiaTheme="minorHAnsi" w:hAnsi="Times New Roman" w:cs="Times New Roman"/>
                <w:i w:val="0"/>
                <w:iCs w:val="0"/>
                <w:kern w:val="2"/>
                <w:sz w:val="20"/>
                <w:szCs w:val="20"/>
              </w:rPr>
              <w:t>Wind Plants Cost level 2</w:t>
            </w:r>
          </w:p>
        </w:tc>
        <w:tc>
          <w:tcPr>
            <w:tcW w:w="6" w:type="dxa"/>
            <w:hideMark/>
          </w:tcPr>
          <w:p w14:paraId="17C65616" w14:textId="77777777" w:rsidR="00614438" w:rsidRPr="00AA7A53" w:rsidRDefault="00614438" w:rsidP="00AA7A53">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rPr>
            </w:pPr>
            <w:r w:rsidRPr="00AA7A53">
              <w:rPr>
                <w:rFonts w:ascii="Times New Roman" w:hAnsi="Times New Roman" w:cs="Times New Roman"/>
                <w:kern w:val="2"/>
                <w:sz w:val="20"/>
                <w:szCs w:val="20"/>
              </w:rPr>
              <w:t>1265</w:t>
            </w:r>
          </w:p>
        </w:tc>
        <w:tc>
          <w:tcPr>
            <w:tcW w:w="6" w:type="dxa"/>
            <w:hideMark/>
          </w:tcPr>
          <w:p w14:paraId="2EE1578B" w14:textId="77777777" w:rsidR="00614438" w:rsidRPr="00AA7A53" w:rsidRDefault="00614438" w:rsidP="00AA7A53">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rPr>
            </w:pPr>
            <w:r w:rsidRPr="00AA7A53">
              <w:rPr>
                <w:rFonts w:ascii="Times New Roman" w:hAnsi="Times New Roman" w:cs="Times New Roman"/>
                <w:kern w:val="2"/>
                <w:sz w:val="20"/>
                <w:szCs w:val="20"/>
              </w:rPr>
              <w:t>1100</w:t>
            </w:r>
          </w:p>
        </w:tc>
        <w:tc>
          <w:tcPr>
            <w:tcW w:w="6" w:type="dxa"/>
            <w:hideMark/>
          </w:tcPr>
          <w:p w14:paraId="15E84943" w14:textId="77777777" w:rsidR="00614438" w:rsidRPr="00AA7A53" w:rsidRDefault="00614438" w:rsidP="00AA7A53">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rPr>
            </w:pPr>
            <w:r w:rsidRPr="00AA7A53">
              <w:rPr>
                <w:rFonts w:ascii="Times New Roman" w:hAnsi="Times New Roman" w:cs="Times New Roman"/>
                <w:kern w:val="2"/>
                <w:sz w:val="20"/>
                <w:szCs w:val="20"/>
              </w:rPr>
              <w:t>1045</w:t>
            </w:r>
          </w:p>
        </w:tc>
        <w:tc>
          <w:tcPr>
            <w:tcW w:w="6" w:type="dxa"/>
            <w:hideMark/>
          </w:tcPr>
          <w:p w14:paraId="0B4F5A0C" w14:textId="77777777" w:rsidR="00614438" w:rsidRPr="00AA7A53" w:rsidRDefault="00614438" w:rsidP="00AA7A53">
            <w:pPr>
              <w:spacing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
                <w:sz w:val="20"/>
                <w:szCs w:val="20"/>
              </w:rPr>
            </w:pPr>
            <w:r w:rsidRPr="00AA7A53">
              <w:rPr>
                <w:rFonts w:ascii="Times New Roman" w:hAnsi="Times New Roman" w:cs="Times New Roman"/>
                <w:kern w:val="2"/>
                <w:sz w:val="20"/>
                <w:szCs w:val="20"/>
              </w:rPr>
              <w:t>990</w:t>
            </w:r>
          </w:p>
        </w:tc>
      </w:tr>
      <w:tr w:rsidR="00614438" w:rsidRPr="00AA7A53" w14:paraId="0A2B6516" w14:textId="77777777" w:rsidTr="006144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91" w:type="dxa"/>
            <w:tcBorders>
              <w:top w:val="nil"/>
              <w:left w:val="nil"/>
              <w:bottom w:val="single" w:sz="4" w:space="0" w:color="auto"/>
            </w:tcBorders>
            <w:hideMark/>
          </w:tcPr>
          <w:p w14:paraId="33978A14" w14:textId="77777777" w:rsidR="00614438" w:rsidRPr="00AA7A53" w:rsidRDefault="00614438" w:rsidP="00AA7A53">
            <w:pPr>
              <w:spacing w:line="259" w:lineRule="auto"/>
              <w:jc w:val="both"/>
              <w:rPr>
                <w:rFonts w:ascii="Times New Roman" w:eastAsiaTheme="minorHAnsi" w:hAnsi="Times New Roman" w:cs="Times New Roman"/>
                <w:i w:val="0"/>
                <w:iCs w:val="0"/>
                <w:kern w:val="2"/>
                <w:sz w:val="20"/>
                <w:szCs w:val="20"/>
              </w:rPr>
            </w:pPr>
            <w:r w:rsidRPr="00AA7A53">
              <w:rPr>
                <w:rFonts w:ascii="Times New Roman" w:eastAsiaTheme="minorHAnsi" w:hAnsi="Times New Roman" w:cs="Times New Roman"/>
                <w:i w:val="0"/>
                <w:iCs w:val="0"/>
                <w:kern w:val="2"/>
                <w:sz w:val="20"/>
                <w:szCs w:val="20"/>
              </w:rPr>
              <w:t>Wind Plants Cost level 3</w:t>
            </w:r>
          </w:p>
        </w:tc>
        <w:tc>
          <w:tcPr>
            <w:tcW w:w="6" w:type="dxa"/>
            <w:tcBorders>
              <w:top w:val="nil"/>
              <w:left w:val="nil"/>
              <w:bottom w:val="single" w:sz="4" w:space="0" w:color="auto"/>
              <w:right w:val="nil"/>
            </w:tcBorders>
            <w:hideMark/>
          </w:tcPr>
          <w:p w14:paraId="5798F09D" w14:textId="77777777" w:rsidR="00614438" w:rsidRPr="00AA7A53" w:rsidRDefault="00614438" w:rsidP="00AA7A53">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rPr>
            </w:pPr>
            <w:r w:rsidRPr="00AA7A53">
              <w:rPr>
                <w:rFonts w:ascii="Times New Roman" w:hAnsi="Times New Roman" w:cs="Times New Roman"/>
                <w:kern w:val="2"/>
                <w:sz w:val="20"/>
                <w:szCs w:val="20"/>
              </w:rPr>
              <w:t>1520</w:t>
            </w:r>
          </w:p>
        </w:tc>
        <w:tc>
          <w:tcPr>
            <w:tcW w:w="6" w:type="dxa"/>
            <w:tcBorders>
              <w:top w:val="nil"/>
              <w:left w:val="nil"/>
              <w:bottom w:val="single" w:sz="4" w:space="0" w:color="auto"/>
              <w:right w:val="nil"/>
            </w:tcBorders>
            <w:hideMark/>
          </w:tcPr>
          <w:p w14:paraId="21539E97" w14:textId="77777777" w:rsidR="00614438" w:rsidRPr="00AA7A53" w:rsidRDefault="00614438" w:rsidP="00AA7A53">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rPr>
            </w:pPr>
            <w:r w:rsidRPr="00AA7A53">
              <w:rPr>
                <w:rFonts w:ascii="Times New Roman" w:hAnsi="Times New Roman" w:cs="Times New Roman"/>
                <w:kern w:val="2"/>
                <w:sz w:val="20"/>
                <w:szCs w:val="20"/>
              </w:rPr>
              <w:t>1320</w:t>
            </w:r>
          </w:p>
        </w:tc>
        <w:tc>
          <w:tcPr>
            <w:tcW w:w="6" w:type="dxa"/>
            <w:tcBorders>
              <w:top w:val="nil"/>
              <w:left w:val="nil"/>
              <w:bottom w:val="single" w:sz="4" w:space="0" w:color="auto"/>
              <w:right w:val="nil"/>
            </w:tcBorders>
            <w:hideMark/>
          </w:tcPr>
          <w:p w14:paraId="1FF7BB62" w14:textId="77777777" w:rsidR="00614438" w:rsidRPr="00AA7A53" w:rsidRDefault="00614438" w:rsidP="00AA7A53">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rPr>
            </w:pPr>
            <w:r w:rsidRPr="00AA7A53">
              <w:rPr>
                <w:rFonts w:ascii="Times New Roman" w:hAnsi="Times New Roman" w:cs="Times New Roman"/>
                <w:kern w:val="2"/>
                <w:sz w:val="20"/>
                <w:szCs w:val="20"/>
              </w:rPr>
              <w:t>1254</w:t>
            </w:r>
          </w:p>
        </w:tc>
        <w:tc>
          <w:tcPr>
            <w:tcW w:w="6" w:type="dxa"/>
            <w:tcBorders>
              <w:top w:val="nil"/>
              <w:left w:val="nil"/>
              <w:bottom w:val="single" w:sz="4" w:space="0" w:color="auto"/>
              <w:right w:val="nil"/>
            </w:tcBorders>
            <w:hideMark/>
          </w:tcPr>
          <w:p w14:paraId="7DDC5EBD" w14:textId="77777777" w:rsidR="00614438" w:rsidRPr="00AA7A53" w:rsidRDefault="00614438" w:rsidP="00AA7A53">
            <w:pPr>
              <w:spacing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2"/>
                <w:sz w:val="20"/>
                <w:szCs w:val="20"/>
              </w:rPr>
            </w:pPr>
            <w:r w:rsidRPr="00AA7A53">
              <w:rPr>
                <w:rFonts w:ascii="Times New Roman" w:hAnsi="Times New Roman" w:cs="Times New Roman"/>
                <w:kern w:val="2"/>
                <w:sz w:val="20"/>
                <w:szCs w:val="20"/>
              </w:rPr>
              <w:t>1188</w:t>
            </w:r>
          </w:p>
        </w:tc>
      </w:tr>
    </w:tbl>
    <w:p w14:paraId="3DD1AA2D" w14:textId="77777777" w:rsidR="00614438" w:rsidRPr="00614438" w:rsidRDefault="00614438" w:rsidP="00614438">
      <w:pPr>
        <w:jc w:val="both"/>
        <w:rPr>
          <w:rFonts w:ascii="Times New Roman" w:hAnsi="Times New Roman" w:cs="Times New Roman"/>
          <w:sz w:val="24"/>
          <w:szCs w:val="24"/>
          <w:lang w:val="en-GB"/>
        </w:rPr>
      </w:pPr>
    </w:p>
    <w:p w14:paraId="2F7A4821" w14:textId="09E50589" w:rsidR="00614438" w:rsidRPr="00614438" w:rsidRDefault="00FB7454" w:rsidP="00FB7454">
      <w:pPr>
        <w:jc w:val="center"/>
        <w:rPr>
          <w:rFonts w:ascii="Times New Roman" w:hAnsi="Times New Roman" w:cs="Times New Roman"/>
          <w:sz w:val="24"/>
          <w:szCs w:val="24"/>
          <w:lang w:val="en-GB"/>
        </w:rPr>
      </w:pPr>
      <w:bookmarkStart w:id="194" w:name="_Toc79772560"/>
      <w:bookmarkStart w:id="195" w:name="_Toc118991780"/>
      <w:bookmarkStart w:id="196" w:name="_Toc153545052"/>
      <w:r>
        <w:rPr>
          <w:rFonts w:ascii="Times New Roman" w:hAnsi="Times New Roman" w:cs="Times New Roman"/>
          <w:sz w:val="24"/>
          <w:szCs w:val="24"/>
          <w:lang w:val="en-GB"/>
        </w:rPr>
        <w:t xml:space="preserve">4.2 The </w:t>
      </w:r>
      <w:r w:rsidRPr="00614438">
        <w:rPr>
          <w:rFonts w:ascii="Times New Roman" w:hAnsi="Times New Roman" w:cs="Times New Roman"/>
          <w:sz w:val="24"/>
          <w:szCs w:val="24"/>
          <w:lang w:val="en-GB"/>
        </w:rPr>
        <w:t xml:space="preserve">Decarbonisation </w:t>
      </w:r>
      <w:r w:rsidR="00614438" w:rsidRPr="00614438">
        <w:rPr>
          <w:rFonts w:ascii="Times New Roman" w:hAnsi="Times New Roman" w:cs="Times New Roman"/>
          <w:sz w:val="24"/>
          <w:szCs w:val="24"/>
          <w:lang w:val="en-GB"/>
        </w:rPr>
        <w:t>Dimension</w:t>
      </w:r>
      <w:bookmarkEnd w:id="194"/>
      <w:bookmarkEnd w:id="195"/>
      <w:bookmarkEnd w:id="196"/>
    </w:p>
    <w:p w14:paraId="012DF448" w14:textId="5A126994" w:rsidR="00614438" w:rsidRPr="00FB7454" w:rsidRDefault="00614438" w:rsidP="00485CA7">
      <w:pPr>
        <w:pStyle w:val="ListParagraph"/>
        <w:numPr>
          <w:ilvl w:val="2"/>
          <w:numId w:val="271"/>
        </w:numPr>
        <w:jc w:val="center"/>
        <w:rPr>
          <w:rFonts w:ascii="Times New Roman" w:hAnsi="Times New Roman" w:cs="Times New Roman"/>
          <w:sz w:val="24"/>
          <w:szCs w:val="24"/>
          <w:lang w:val="en-GB"/>
        </w:rPr>
      </w:pPr>
      <w:r w:rsidRPr="00FB7454">
        <w:rPr>
          <w:rFonts w:ascii="Times New Roman" w:hAnsi="Times New Roman" w:cs="Times New Roman"/>
          <w:sz w:val="24"/>
          <w:szCs w:val="24"/>
          <w:lang w:val="en-GB"/>
        </w:rPr>
        <w:t>GHG emissions and removals</w:t>
      </w:r>
    </w:p>
    <w:p w14:paraId="5B011CE9" w14:textId="6A6EA879" w:rsidR="00614438" w:rsidRPr="00614438" w:rsidRDefault="00FB7454" w:rsidP="00FB7454">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4.2.1.1 </w:t>
      </w:r>
      <w:r w:rsidR="00614438" w:rsidRPr="00614438">
        <w:rPr>
          <w:rFonts w:ascii="Times New Roman" w:hAnsi="Times New Roman" w:cs="Times New Roman"/>
          <w:sz w:val="24"/>
          <w:szCs w:val="24"/>
          <w:lang w:val="en-GB"/>
        </w:rPr>
        <w:t>Trends in current GHG emissions and removals in ETS, Effort Sharing Regulation and LULUCF sectors and different energy sectors</w:t>
      </w:r>
    </w:p>
    <w:p w14:paraId="54BEFDAC" w14:textId="32421F85" w:rsidR="00614438" w:rsidRPr="00614438" w:rsidRDefault="00614438" w:rsidP="00FB7454">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evolution of the total GHG emissions, with and without LULUCF, follows a similar trend in the period 2010-2019. Although several fluctuations have been recorded over this decade, the total GHG emissions stood at 56.6 Mt CO</w:t>
      </w:r>
      <w:r w:rsidRPr="00614438">
        <w:rPr>
          <w:rFonts w:ascii="Times New Roman" w:hAnsi="Times New Roman" w:cs="Times New Roman"/>
          <w:sz w:val="24"/>
          <w:szCs w:val="24"/>
          <w:vertAlign w:val="subscript"/>
          <w:lang w:val="en-GB"/>
        </w:rPr>
        <w:t>2e</w:t>
      </w:r>
      <w:r w:rsidRPr="00614438">
        <w:rPr>
          <w:rFonts w:ascii="Times New Roman" w:hAnsi="Times New Roman" w:cs="Times New Roman"/>
          <w:sz w:val="24"/>
          <w:szCs w:val="24"/>
          <w:lang w:val="en-GB"/>
        </w:rPr>
        <w:t xml:space="preserve"> (including LULUCF) and at 61.5 Mt CO</w:t>
      </w:r>
      <w:r w:rsidRPr="00614438">
        <w:rPr>
          <w:rFonts w:ascii="Times New Roman" w:hAnsi="Times New Roman" w:cs="Times New Roman"/>
          <w:sz w:val="24"/>
          <w:szCs w:val="24"/>
          <w:vertAlign w:val="subscript"/>
          <w:lang w:val="en-GB"/>
        </w:rPr>
        <w:t>2e</w:t>
      </w:r>
      <w:r w:rsidRPr="00614438">
        <w:rPr>
          <w:rFonts w:ascii="Times New Roman" w:hAnsi="Times New Roman" w:cs="Times New Roman"/>
          <w:sz w:val="24"/>
          <w:szCs w:val="24"/>
          <w:lang w:val="en-GB"/>
        </w:rPr>
        <w:t xml:space="preserve"> (without LULUCF) in 2019, which are similar to 2010 levels at 57.2 Mt CO</w:t>
      </w:r>
      <w:r w:rsidRPr="00614438">
        <w:rPr>
          <w:rFonts w:ascii="Times New Roman" w:hAnsi="Times New Roman" w:cs="Times New Roman"/>
          <w:sz w:val="24"/>
          <w:szCs w:val="24"/>
          <w:vertAlign w:val="subscript"/>
          <w:lang w:val="en-GB"/>
        </w:rPr>
        <w:t>2e</w:t>
      </w:r>
      <w:r w:rsidRPr="00614438">
        <w:rPr>
          <w:rFonts w:ascii="Times New Roman" w:hAnsi="Times New Roman" w:cs="Times New Roman"/>
          <w:sz w:val="24"/>
          <w:szCs w:val="24"/>
          <w:lang w:val="en-GB"/>
        </w:rPr>
        <w:t xml:space="preserve"> (including LULUCF) and at 63.3 Mt CO</w:t>
      </w:r>
      <w:r w:rsidRPr="00614438">
        <w:rPr>
          <w:rFonts w:ascii="Times New Roman" w:hAnsi="Times New Roman" w:cs="Times New Roman"/>
          <w:sz w:val="24"/>
          <w:szCs w:val="24"/>
          <w:vertAlign w:val="subscript"/>
          <w:lang w:val="en-GB"/>
        </w:rPr>
        <w:t>2e</w:t>
      </w:r>
      <w:r w:rsidRPr="00614438">
        <w:rPr>
          <w:rFonts w:ascii="Times New Roman" w:hAnsi="Times New Roman" w:cs="Times New Roman"/>
          <w:sz w:val="24"/>
          <w:szCs w:val="24"/>
          <w:lang w:val="en-GB"/>
        </w:rPr>
        <w:t xml:space="preserve"> (without LULUCF), respectively, as presented in </w:t>
      </w:r>
      <w:r w:rsidR="00FA29EF">
        <w:fldChar w:fldCharType="begin"/>
      </w:r>
      <w:r w:rsidR="00FA29EF">
        <w:instrText xml:space="preserve"> REF _Ref113633616 \h  \* MERGEFORMAT </w:instrText>
      </w:r>
      <w:r w:rsidR="00FA29EF">
        <w:fldChar w:fldCharType="separate"/>
      </w:r>
      <w:r w:rsidRPr="00614438">
        <w:rPr>
          <w:rFonts w:ascii="Times New Roman" w:hAnsi="Times New Roman" w:cs="Times New Roman"/>
          <w:sz w:val="24"/>
          <w:szCs w:val="24"/>
          <w:lang w:val="en-GB"/>
        </w:rPr>
        <w:t>Figure 4.6</w:t>
      </w:r>
      <w:r w:rsidR="00FA29EF">
        <w:fldChar w:fldCharType="end"/>
      </w:r>
      <w:r w:rsidRPr="00614438">
        <w:rPr>
          <w:rFonts w:ascii="Times New Roman" w:hAnsi="Times New Roman" w:cs="Times New Roman"/>
          <w:sz w:val="24"/>
          <w:szCs w:val="24"/>
          <w:lang w:val="en-GB"/>
        </w:rPr>
        <w:t>, despite the considerable increase of the GDP. The further utilization of natural gas and the promotion of energy efficiency and RES technologies in all end-use sectors managed to restrain the increase of the GHG emissions.</w:t>
      </w:r>
    </w:p>
    <w:p w14:paraId="3E168B6C" w14:textId="37AFA586" w:rsidR="00614438" w:rsidRPr="00614438" w:rsidRDefault="00614438" w:rsidP="00614438">
      <w:pPr>
        <w:jc w:val="both"/>
        <w:rPr>
          <w:rFonts w:ascii="Times New Roman" w:hAnsi="Times New Roman" w:cs="Times New Roman"/>
          <w:sz w:val="24"/>
          <w:szCs w:val="24"/>
          <w:lang w:val="en-GB"/>
        </w:rPr>
      </w:pPr>
      <w:bookmarkStart w:id="197" w:name="_Ref113633616"/>
      <w:bookmarkStart w:id="198" w:name="_Toc118992276"/>
      <w:bookmarkStart w:id="199" w:name="_Toc154575213"/>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6</w:t>
      </w:r>
      <w:r w:rsidR="00C83251" w:rsidRPr="00614438">
        <w:rPr>
          <w:rFonts w:ascii="Times New Roman" w:hAnsi="Times New Roman" w:cs="Times New Roman"/>
          <w:sz w:val="24"/>
          <w:szCs w:val="24"/>
        </w:rPr>
        <w:fldChar w:fldCharType="end"/>
      </w:r>
      <w:bookmarkEnd w:id="197"/>
      <w:r w:rsidRPr="00614438">
        <w:rPr>
          <w:rFonts w:ascii="Times New Roman" w:hAnsi="Times New Roman" w:cs="Times New Roman"/>
          <w:sz w:val="24"/>
          <w:szCs w:val="24"/>
        </w:rPr>
        <w:t xml:space="preserve">: Total GHG emissions (with and without LULUCF) </w:t>
      </w:r>
      <w:r w:rsidR="00FB7454">
        <w:rPr>
          <w:rFonts w:ascii="Times New Roman" w:hAnsi="Times New Roman" w:cs="Times New Roman"/>
          <w:sz w:val="24"/>
          <w:szCs w:val="24"/>
        </w:rPr>
        <w:t>in the period</w:t>
      </w:r>
      <w:r w:rsidRPr="00614438">
        <w:rPr>
          <w:rFonts w:ascii="Times New Roman" w:hAnsi="Times New Roman" w:cs="Times New Roman"/>
          <w:sz w:val="24"/>
          <w:szCs w:val="24"/>
        </w:rPr>
        <w:t xml:space="preserve"> 2010-2019</w:t>
      </w:r>
      <w:bookmarkEnd w:id="198"/>
      <w:bookmarkEnd w:id="199"/>
    </w:p>
    <w:p w14:paraId="01EF8335"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3A9523EF" wp14:editId="06904AF7">
            <wp:extent cx="4810125" cy="2743200"/>
            <wp:effectExtent l="0" t="0" r="9525" b="0"/>
            <wp:docPr id="2096865355"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532970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10125" cy="2743200"/>
                    </a:xfrm>
                    <a:prstGeom prst="rect">
                      <a:avLst/>
                    </a:prstGeom>
                    <a:noFill/>
                    <a:ln>
                      <a:noFill/>
                    </a:ln>
                  </pic:spPr>
                </pic:pic>
              </a:graphicData>
            </a:graphic>
          </wp:inline>
        </w:drawing>
      </w:r>
    </w:p>
    <w:p w14:paraId="5C893AFB" w14:textId="321D6D4F" w:rsidR="00614438" w:rsidRPr="00614438" w:rsidRDefault="003229CE" w:rsidP="003229CE">
      <w:pPr>
        <w:jc w:val="center"/>
        <w:rPr>
          <w:rFonts w:ascii="Times New Roman" w:hAnsi="Times New Roman" w:cs="Times New Roman"/>
          <w:sz w:val="24"/>
          <w:szCs w:val="24"/>
          <w:lang w:val="en-GB"/>
        </w:rPr>
      </w:pPr>
      <w:r>
        <w:rPr>
          <w:rFonts w:ascii="Times New Roman" w:hAnsi="Times New Roman" w:cs="Times New Roman"/>
          <w:sz w:val="24"/>
          <w:szCs w:val="24"/>
          <w:lang w:val="en-GB"/>
        </w:rPr>
        <w:lastRenderedPageBreak/>
        <w:t xml:space="preserve">4.2.1.2 </w:t>
      </w:r>
      <w:r w:rsidR="00614438" w:rsidRPr="00614438">
        <w:rPr>
          <w:rFonts w:ascii="Times New Roman" w:hAnsi="Times New Roman" w:cs="Times New Roman"/>
          <w:sz w:val="24"/>
          <w:szCs w:val="24"/>
          <w:lang w:val="en-GB"/>
        </w:rPr>
        <w:t>Projections of sectorial developments with existing national and EU policies and measures at least until 2040 (including for the year 2030)</w:t>
      </w:r>
    </w:p>
    <w:p w14:paraId="17A887E7" w14:textId="29D2859F" w:rsidR="00614438" w:rsidRPr="00614438" w:rsidRDefault="00614438" w:rsidP="003229C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As presented in </w:t>
      </w:r>
      <w:r w:rsidR="00FA29EF">
        <w:fldChar w:fldCharType="begin"/>
      </w:r>
      <w:r w:rsidR="00FA29EF">
        <w:instrText xml:space="preserve"> REF _Ref113633645 \h  \* MERGEFORMAT </w:instrText>
      </w:r>
      <w:r w:rsidR="00FA29EF">
        <w:fldChar w:fldCharType="separate"/>
      </w:r>
      <w:r w:rsidRPr="00614438">
        <w:rPr>
          <w:rFonts w:ascii="Times New Roman" w:hAnsi="Times New Roman" w:cs="Times New Roman"/>
          <w:sz w:val="24"/>
          <w:szCs w:val="24"/>
          <w:lang w:val="en-GB"/>
        </w:rPr>
        <w:t>Figure 4.7</w:t>
      </w:r>
      <w:r w:rsidR="00FA29EF">
        <w:fldChar w:fldCharType="end"/>
      </w:r>
      <w:r w:rsidRPr="00614438">
        <w:rPr>
          <w:rFonts w:ascii="Times New Roman" w:hAnsi="Times New Roman" w:cs="Times New Roman"/>
          <w:sz w:val="24"/>
          <w:szCs w:val="24"/>
          <w:lang w:val="en-GB"/>
        </w:rPr>
        <w:t>, the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 emissions from energy use are projected to increase by 17.7% at 60.44 Mt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 in 2030, and by 32.3% at 67.9 Mt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 in 2040, compared to 2020 levels. An upward trend is foreseen between 2025 and 2045 mainly due to the economic development</w:t>
      </w:r>
      <w:r w:rsidR="003229CE">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as demonstrated by the increase of the various parameters such as GDP, sectoral GVA and GDP per capita and the continuation of the use of lignite fired power plants. The decline of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 emissions from 2045 to 2050 is explained by the considerable deployment of improved and advanced technologies and energy carriers that are less or no carbon-intensive, such as renewables and natural gas as part of the overall technological replacement. Finally, the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 emissions are projected to be stabilised at the level of 66.9 Mt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 in 2050.</w:t>
      </w:r>
    </w:p>
    <w:p w14:paraId="377275CC" w14:textId="7C6855CA" w:rsidR="00614438" w:rsidRPr="00614438" w:rsidRDefault="00614438" w:rsidP="003229C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electricity sector has the highest contribution to the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 emissions, and its share is projected to increase significantly from 35.0 Mt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 in 2030 to 38.9 Mt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 in 2040, </w:t>
      </w:r>
      <w:r w:rsidR="003229CE">
        <w:rPr>
          <w:rFonts w:ascii="Times New Roman" w:hAnsi="Times New Roman" w:cs="Times New Roman"/>
          <w:sz w:val="24"/>
          <w:szCs w:val="24"/>
          <w:lang w:val="en-GB"/>
        </w:rPr>
        <w:t xml:space="preserve">which is </w:t>
      </w:r>
      <w:r w:rsidRPr="00614438">
        <w:rPr>
          <w:rFonts w:ascii="Times New Roman" w:hAnsi="Times New Roman" w:cs="Times New Roman"/>
          <w:sz w:val="24"/>
          <w:szCs w:val="24"/>
          <w:lang w:val="en-GB"/>
        </w:rPr>
        <w:t>connected to the continuation of the use of lignite fired power plants. Nevertheless, the contribution of the electricity sector to the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 emissions decrease</w:t>
      </w:r>
      <w:r w:rsidR="003229CE">
        <w:rPr>
          <w:rFonts w:ascii="Times New Roman" w:hAnsi="Times New Roman" w:cs="Times New Roman"/>
          <w:sz w:val="24"/>
          <w:szCs w:val="24"/>
          <w:lang w:val="en-GB"/>
        </w:rPr>
        <w:t>s</w:t>
      </w:r>
      <w:r w:rsidRPr="00614438">
        <w:rPr>
          <w:rFonts w:ascii="Times New Roman" w:hAnsi="Times New Roman" w:cs="Times New Roman"/>
          <w:sz w:val="24"/>
          <w:szCs w:val="24"/>
          <w:lang w:val="en-GB"/>
        </w:rPr>
        <w:t xml:space="preserve"> at 34.4 Mt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 by 2050 mainly due to the further deployment of RES.</w:t>
      </w:r>
    </w:p>
    <w:p w14:paraId="3D1DD486" w14:textId="6A4EADC9" w:rsidR="00614438" w:rsidRPr="00614438" w:rsidRDefault="00614438" w:rsidP="003229C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 emissions from the industry and transport sectors are projected to rise from 2020 to 2050. More specifically, the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 emissions for the industry sector will be almost doubled; from 7.9 Mt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 in 2020 to 14.7 Mt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 in 2050</w:t>
      </w:r>
      <w:r w:rsidR="003229CE">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and the same trajectory roughly stands for the transport sector; from 7.0 Mt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 in 2020 to 10.7 Mt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 in 2050. The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 emissions of the industrial sector will increase, mainly due to the rise of the industrial sectors’ output and subsequently its increased activity.</w:t>
      </w:r>
      <w:bookmarkStart w:id="200" w:name="_Hlk110930733"/>
      <w:r w:rsidRPr="00614438">
        <w:rPr>
          <w:rFonts w:ascii="Times New Roman" w:hAnsi="Times New Roman" w:cs="Times New Roman"/>
          <w:sz w:val="24"/>
          <w:szCs w:val="24"/>
          <w:lang w:val="en-GB"/>
        </w:rPr>
        <w:t xml:space="preserve"> Similarly, the foreseen increase of the GDP will increase considerably also the transport activity. The implementation of energy efficiency measures and the utilization of environmentally friendly fuels, at the level considered in WEM, are not capable of restraining the increase of the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 emissions.</w:t>
      </w:r>
      <w:bookmarkEnd w:id="200"/>
    </w:p>
    <w:p w14:paraId="3C6EE21C" w14:textId="77777777" w:rsidR="00614438" w:rsidRPr="00614438" w:rsidRDefault="00614438" w:rsidP="00614438">
      <w:pPr>
        <w:jc w:val="both"/>
        <w:rPr>
          <w:rFonts w:ascii="Times New Roman" w:hAnsi="Times New Roman" w:cs="Times New Roman"/>
          <w:sz w:val="24"/>
          <w:szCs w:val="24"/>
          <w:lang w:val="en-GB"/>
        </w:rPr>
      </w:pPr>
      <w:bookmarkStart w:id="201" w:name="_Ref113633645"/>
      <w:bookmarkStart w:id="202" w:name="_Toc118992277"/>
      <w:bookmarkStart w:id="203" w:name="_Toc154575214"/>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7</w:t>
      </w:r>
      <w:r w:rsidR="00C83251" w:rsidRPr="00614438">
        <w:rPr>
          <w:rFonts w:ascii="Times New Roman" w:hAnsi="Times New Roman" w:cs="Times New Roman"/>
          <w:sz w:val="24"/>
          <w:szCs w:val="24"/>
        </w:rPr>
        <w:fldChar w:fldCharType="end"/>
      </w:r>
      <w:bookmarkEnd w:id="201"/>
      <w:r w:rsidRPr="00614438">
        <w:rPr>
          <w:rFonts w:ascii="Times New Roman" w:hAnsi="Times New Roman" w:cs="Times New Roman"/>
          <w:sz w:val="24"/>
          <w:szCs w:val="24"/>
        </w:rPr>
        <w:t>: CO2 emissions by sector over 2020-2050</w:t>
      </w:r>
      <w:bookmarkEnd w:id="202"/>
      <w:r w:rsidRPr="00614438">
        <w:rPr>
          <w:rFonts w:ascii="Times New Roman" w:hAnsi="Times New Roman" w:cs="Times New Roman"/>
          <w:sz w:val="24"/>
          <w:szCs w:val="24"/>
        </w:rPr>
        <w:t xml:space="preserve"> in the scenario with existing measures (WEM)</w:t>
      </w:r>
      <w:bookmarkEnd w:id="203"/>
    </w:p>
    <w:p w14:paraId="04E52651" w14:textId="45156F6C"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660288" behindDoc="0" locked="0" layoutInCell="1" allowOverlap="1" wp14:anchorId="68988F9D" wp14:editId="4850212C">
                <wp:simplePos x="0" y="0"/>
                <wp:positionH relativeFrom="column">
                  <wp:posOffset>1134745</wp:posOffset>
                </wp:positionH>
                <wp:positionV relativeFrom="paragraph">
                  <wp:posOffset>585470</wp:posOffset>
                </wp:positionV>
                <wp:extent cx="2803525" cy="2582545"/>
                <wp:effectExtent l="0" t="0" r="0" b="0"/>
                <wp:wrapNone/>
                <wp:docPr id="2145690286"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3525" cy="258254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62456A10" id="_x0000_t202" coordsize="21600,21600" o:spt="202" path="m,l,21600r21600,l21600,xe">
                <v:stroke joinstyle="miter"/>
                <v:path gradientshapeok="t" o:connecttype="rect"/>
              </v:shapetype>
              <v:shape id="Text Box 143" o:spid="_x0000_s1026" type="#_x0000_t202" style="position:absolute;margin-left:89.35pt;margin-top:46.1pt;width:220.75pt;height:203.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3FCA687B" wp14:editId="5317067B">
            <wp:extent cx="5962650" cy="4391025"/>
            <wp:effectExtent l="0" t="0" r="0" b="9525"/>
            <wp:docPr id="1884657815"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62650" cy="4391025"/>
                    </a:xfrm>
                    <a:prstGeom prst="rect">
                      <a:avLst/>
                    </a:prstGeom>
                    <a:noFill/>
                    <a:ln>
                      <a:noFill/>
                    </a:ln>
                  </pic:spPr>
                </pic:pic>
              </a:graphicData>
            </a:graphic>
          </wp:inline>
        </w:drawing>
      </w:r>
    </w:p>
    <w:p w14:paraId="65FB923E" w14:textId="77777777" w:rsidR="00614438" w:rsidRPr="00614438" w:rsidRDefault="00614438" w:rsidP="00614438">
      <w:pPr>
        <w:jc w:val="both"/>
        <w:rPr>
          <w:rFonts w:ascii="Times New Roman" w:hAnsi="Times New Roman" w:cs="Times New Roman"/>
          <w:sz w:val="24"/>
          <w:szCs w:val="24"/>
          <w:lang w:val="en-GB"/>
        </w:rPr>
      </w:pPr>
    </w:p>
    <w:p w14:paraId="7F2643CA" w14:textId="28355764" w:rsidR="00614438" w:rsidRPr="00614438" w:rsidRDefault="00614438" w:rsidP="006F3954">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As presented in </w:t>
      </w:r>
      <w:r w:rsidR="00FA29EF">
        <w:fldChar w:fldCharType="begin"/>
      </w:r>
      <w:r w:rsidR="00FA29EF">
        <w:instrText xml:space="preserve"> REF _Ref113633675 \h  \* MERGEFORMAT </w:instrText>
      </w:r>
      <w:r w:rsidR="00FA29EF">
        <w:fldChar w:fldCharType="separate"/>
      </w:r>
      <w:r w:rsidRPr="00614438">
        <w:rPr>
          <w:rFonts w:ascii="Times New Roman" w:hAnsi="Times New Roman" w:cs="Times New Roman"/>
          <w:sz w:val="24"/>
          <w:szCs w:val="24"/>
          <w:lang w:val="en-GB"/>
        </w:rPr>
        <w:t>Figure 4.8</w:t>
      </w:r>
      <w:r w:rsidR="00FA29EF">
        <w:fldChar w:fldCharType="end"/>
      </w:r>
      <w:r w:rsidRPr="00614438">
        <w:rPr>
          <w:rFonts w:ascii="Times New Roman" w:hAnsi="Times New Roman" w:cs="Times New Roman"/>
          <w:sz w:val="24"/>
          <w:szCs w:val="24"/>
          <w:lang w:val="en-GB"/>
        </w:rPr>
        <w:t>, CH</w:t>
      </w:r>
      <w:r w:rsidRPr="00614438">
        <w:rPr>
          <w:rFonts w:ascii="Times New Roman" w:hAnsi="Times New Roman" w:cs="Times New Roman"/>
          <w:sz w:val="24"/>
          <w:szCs w:val="24"/>
          <w:vertAlign w:val="subscript"/>
          <w:lang w:val="en-GB"/>
        </w:rPr>
        <w:t>4</w:t>
      </w:r>
      <w:r w:rsidRPr="00614438">
        <w:rPr>
          <w:rFonts w:ascii="Times New Roman" w:hAnsi="Times New Roman" w:cs="Times New Roman"/>
          <w:sz w:val="24"/>
          <w:szCs w:val="24"/>
          <w:lang w:val="en-GB"/>
        </w:rPr>
        <w:t xml:space="preserve"> emissions are expected to decrease considerably after 2027 due to the decarbonisation process, exhibiting an increase of 3.9% in 2030 and a reduction equal to 10.9% and 27% in 2040 and 2050 respectively, compared to 2020, resulting in 116.1 kt CH</w:t>
      </w:r>
      <w:r w:rsidRPr="00614438">
        <w:rPr>
          <w:rFonts w:ascii="Times New Roman" w:hAnsi="Times New Roman" w:cs="Times New Roman"/>
          <w:sz w:val="24"/>
          <w:szCs w:val="24"/>
          <w:vertAlign w:val="subscript"/>
          <w:lang w:val="en-GB"/>
        </w:rPr>
        <w:t>4</w:t>
      </w:r>
      <w:r w:rsidRPr="00614438">
        <w:rPr>
          <w:rFonts w:ascii="Times New Roman" w:hAnsi="Times New Roman" w:cs="Times New Roman"/>
          <w:sz w:val="24"/>
          <w:szCs w:val="24"/>
          <w:lang w:val="en-GB"/>
        </w:rPr>
        <w:t xml:space="preserve"> in 2030 and 81.8 kt CH</w:t>
      </w:r>
      <w:r w:rsidRPr="00614438">
        <w:rPr>
          <w:rFonts w:ascii="Times New Roman" w:hAnsi="Times New Roman" w:cs="Times New Roman"/>
          <w:sz w:val="24"/>
          <w:szCs w:val="24"/>
          <w:vertAlign w:val="subscript"/>
          <w:lang w:val="en-GB"/>
        </w:rPr>
        <w:t>4</w:t>
      </w:r>
      <w:r w:rsidRPr="00614438">
        <w:rPr>
          <w:rFonts w:ascii="Times New Roman" w:hAnsi="Times New Roman" w:cs="Times New Roman"/>
          <w:sz w:val="24"/>
          <w:szCs w:val="24"/>
          <w:lang w:val="en-GB"/>
        </w:rPr>
        <w:t xml:space="preserve"> in 2050. The coal extraction and treatment have the highest contribution to the CH</w:t>
      </w:r>
      <w:r w:rsidRPr="00614438">
        <w:rPr>
          <w:rFonts w:ascii="Times New Roman" w:hAnsi="Times New Roman" w:cs="Times New Roman"/>
          <w:sz w:val="24"/>
          <w:szCs w:val="24"/>
          <w:vertAlign w:val="subscript"/>
          <w:lang w:val="en-GB"/>
        </w:rPr>
        <w:t>4</w:t>
      </w:r>
      <w:r w:rsidRPr="00614438">
        <w:rPr>
          <w:rFonts w:ascii="Times New Roman" w:hAnsi="Times New Roman" w:cs="Times New Roman"/>
          <w:sz w:val="24"/>
          <w:szCs w:val="24"/>
          <w:lang w:val="en-GB"/>
        </w:rPr>
        <w:t xml:space="preserve"> emissions (methane is released as a direct result of the physical process of coal extraction as layers of the coal face are removed), ranging from 48.9 kt CH</w:t>
      </w:r>
      <w:r w:rsidRPr="00614438">
        <w:rPr>
          <w:rFonts w:ascii="Times New Roman" w:hAnsi="Times New Roman" w:cs="Times New Roman"/>
          <w:sz w:val="24"/>
          <w:szCs w:val="24"/>
          <w:vertAlign w:val="subscript"/>
          <w:lang w:val="en-GB"/>
        </w:rPr>
        <w:t>4</w:t>
      </w:r>
      <w:r w:rsidRPr="00614438">
        <w:rPr>
          <w:rFonts w:ascii="Times New Roman" w:hAnsi="Times New Roman" w:cs="Times New Roman"/>
          <w:sz w:val="24"/>
          <w:szCs w:val="24"/>
          <w:lang w:val="en-GB"/>
        </w:rPr>
        <w:t xml:space="preserve"> in 2020 to 53.08 kt CH</w:t>
      </w:r>
      <w:r w:rsidRPr="00614438">
        <w:rPr>
          <w:rFonts w:ascii="Times New Roman" w:hAnsi="Times New Roman" w:cs="Times New Roman"/>
          <w:sz w:val="24"/>
          <w:szCs w:val="24"/>
          <w:vertAlign w:val="subscript"/>
          <w:lang w:val="en-GB"/>
        </w:rPr>
        <w:t>4</w:t>
      </w:r>
      <w:r w:rsidRPr="00614438">
        <w:rPr>
          <w:rFonts w:ascii="Times New Roman" w:hAnsi="Times New Roman" w:cs="Times New Roman"/>
          <w:sz w:val="24"/>
          <w:szCs w:val="24"/>
          <w:lang w:val="en-GB"/>
        </w:rPr>
        <w:t xml:space="preserve"> in 2050, followed by the oil and gas extraction and treatment, which presents a decrease from 39.9 kt CH</w:t>
      </w:r>
      <w:r w:rsidRPr="00614438">
        <w:rPr>
          <w:rFonts w:ascii="Times New Roman" w:hAnsi="Times New Roman" w:cs="Times New Roman"/>
          <w:sz w:val="24"/>
          <w:szCs w:val="24"/>
          <w:vertAlign w:val="subscript"/>
          <w:lang w:val="en-GB"/>
        </w:rPr>
        <w:t>4</w:t>
      </w:r>
      <w:r w:rsidRPr="00614438">
        <w:rPr>
          <w:rFonts w:ascii="Times New Roman" w:hAnsi="Times New Roman" w:cs="Times New Roman"/>
          <w:sz w:val="24"/>
          <w:szCs w:val="24"/>
          <w:lang w:val="en-GB"/>
        </w:rPr>
        <w:t xml:space="preserve"> in 2020 to 8.55 kt CH</w:t>
      </w:r>
      <w:r w:rsidRPr="00614438">
        <w:rPr>
          <w:rFonts w:ascii="Times New Roman" w:hAnsi="Times New Roman" w:cs="Times New Roman"/>
          <w:sz w:val="24"/>
          <w:szCs w:val="24"/>
          <w:vertAlign w:val="subscript"/>
          <w:lang w:val="en-GB"/>
        </w:rPr>
        <w:t>4</w:t>
      </w:r>
      <w:r w:rsidRPr="00614438">
        <w:rPr>
          <w:rFonts w:ascii="Times New Roman" w:hAnsi="Times New Roman" w:cs="Times New Roman"/>
          <w:sz w:val="24"/>
          <w:szCs w:val="24"/>
          <w:lang w:val="en-GB"/>
        </w:rPr>
        <w:t xml:space="preserve"> in 2050.</w:t>
      </w:r>
    </w:p>
    <w:p w14:paraId="7A039277" w14:textId="77777777" w:rsidR="00614438" w:rsidRPr="00614438" w:rsidRDefault="00614438" w:rsidP="00614438">
      <w:pPr>
        <w:jc w:val="both"/>
        <w:rPr>
          <w:rFonts w:ascii="Times New Roman" w:hAnsi="Times New Roman" w:cs="Times New Roman"/>
          <w:sz w:val="24"/>
          <w:szCs w:val="24"/>
          <w:lang w:val="en-GB"/>
        </w:rPr>
      </w:pPr>
    </w:p>
    <w:p w14:paraId="7616E99F" w14:textId="37BCDB61" w:rsidR="00614438" w:rsidRPr="00614438" w:rsidRDefault="00614438" w:rsidP="00614438">
      <w:pPr>
        <w:jc w:val="both"/>
        <w:rPr>
          <w:rFonts w:ascii="Times New Roman" w:hAnsi="Times New Roman" w:cs="Times New Roman"/>
          <w:sz w:val="24"/>
          <w:szCs w:val="24"/>
          <w:lang w:val="en-GB"/>
        </w:rPr>
      </w:pPr>
      <w:bookmarkStart w:id="204" w:name="_Ref113633675"/>
      <w:bookmarkStart w:id="205" w:name="_Toc118992278"/>
      <w:bookmarkStart w:id="206" w:name="_Toc154575215"/>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8</w:t>
      </w:r>
      <w:r w:rsidR="00C83251" w:rsidRPr="00614438">
        <w:rPr>
          <w:rFonts w:ascii="Times New Roman" w:hAnsi="Times New Roman" w:cs="Times New Roman"/>
          <w:sz w:val="24"/>
          <w:szCs w:val="24"/>
        </w:rPr>
        <w:fldChar w:fldCharType="end"/>
      </w:r>
      <w:bookmarkEnd w:id="204"/>
      <w:r w:rsidRPr="00614438">
        <w:rPr>
          <w:rFonts w:ascii="Times New Roman" w:hAnsi="Times New Roman" w:cs="Times New Roman"/>
          <w:sz w:val="24"/>
          <w:szCs w:val="24"/>
        </w:rPr>
        <w:t xml:space="preserve">: </w:t>
      </w:r>
      <w:r w:rsidR="004130F4" w:rsidRPr="00614438">
        <w:rPr>
          <w:rFonts w:ascii="Times New Roman" w:hAnsi="Times New Roman" w:cs="Times New Roman"/>
          <w:sz w:val="24"/>
          <w:szCs w:val="24"/>
          <w:lang w:val="en-GB"/>
        </w:rPr>
        <w:t>CH</w:t>
      </w:r>
      <w:r w:rsidR="004130F4" w:rsidRPr="00614438">
        <w:rPr>
          <w:rFonts w:ascii="Times New Roman" w:hAnsi="Times New Roman" w:cs="Times New Roman"/>
          <w:sz w:val="24"/>
          <w:szCs w:val="24"/>
          <w:vertAlign w:val="subscript"/>
          <w:lang w:val="en-GB"/>
        </w:rPr>
        <w:t>4</w:t>
      </w:r>
      <w:r w:rsidR="004130F4" w:rsidRPr="00614438">
        <w:rPr>
          <w:rFonts w:ascii="Times New Roman" w:hAnsi="Times New Roman" w:cs="Times New Roman"/>
          <w:sz w:val="24"/>
          <w:szCs w:val="24"/>
          <w:lang w:val="en-GB"/>
        </w:rPr>
        <w:t xml:space="preserve"> </w:t>
      </w:r>
      <w:r w:rsidRPr="00614438">
        <w:rPr>
          <w:rFonts w:ascii="Times New Roman" w:hAnsi="Times New Roman" w:cs="Times New Roman"/>
          <w:sz w:val="24"/>
          <w:szCs w:val="24"/>
        </w:rPr>
        <w:t xml:space="preserve">emissions by sector </w:t>
      </w:r>
      <w:r w:rsidR="004130F4">
        <w:rPr>
          <w:rFonts w:ascii="Times New Roman" w:hAnsi="Times New Roman" w:cs="Times New Roman"/>
          <w:sz w:val="24"/>
          <w:szCs w:val="24"/>
        </w:rPr>
        <w:t>in the period</w:t>
      </w:r>
      <w:r w:rsidRPr="00614438">
        <w:rPr>
          <w:rFonts w:ascii="Times New Roman" w:hAnsi="Times New Roman" w:cs="Times New Roman"/>
          <w:sz w:val="24"/>
          <w:szCs w:val="24"/>
        </w:rPr>
        <w:t xml:space="preserve"> 2020-2050</w:t>
      </w:r>
      <w:bookmarkEnd w:id="205"/>
      <w:r w:rsidRPr="00614438">
        <w:rPr>
          <w:rFonts w:ascii="Times New Roman" w:hAnsi="Times New Roman" w:cs="Times New Roman"/>
          <w:sz w:val="24"/>
          <w:szCs w:val="24"/>
        </w:rPr>
        <w:t xml:space="preserve"> in the scenario with existing measures (WEM)</w:t>
      </w:r>
      <w:bookmarkEnd w:id="206"/>
    </w:p>
    <w:p w14:paraId="680D657B" w14:textId="39174EF3"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661312" behindDoc="0" locked="0" layoutInCell="1" allowOverlap="1" wp14:anchorId="356087AF" wp14:editId="4333E64F">
                <wp:simplePos x="0" y="0"/>
                <wp:positionH relativeFrom="column">
                  <wp:posOffset>1238250</wp:posOffset>
                </wp:positionH>
                <wp:positionV relativeFrom="paragraph">
                  <wp:posOffset>3175</wp:posOffset>
                </wp:positionV>
                <wp:extent cx="2630805" cy="2777490"/>
                <wp:effectExtent l="0" t="0" r="0" b="0"/>
                <wp:wrapNone/>
                <wp:docPr id="2042658580"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0805" cy="2777490"/>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D428EDA" id="Text Box 141" o:spid="_x0000_s1026" type="#_x0000_t202" style="position:absolute;margin-left:97.5pt;margin-top:.25pt;width:207.15pt;height:218.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534206BC" wp14:editId="2709430C">
            <wp:extent cx="5686425" cy="3943350"/>
            <wp:effectExtent l="0" t="0" r="9525" b="0"/>
            <wp:docPr id="402541363"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86425" cy="3943350"/>
                    </a:xfrm>
                    <a:prstGeom prst="rect">
                      <a:avLst/>
                    </a:prstGeom>
                    <a:noFill/>
                    <a:ln>
                      <a:noFill/>
                    </a:ln>
                  </pic:spPr>
                </pic:pic>
              </a:graphicData>
            </a:graphic>
          </wp:inline>
        </w:drawing>
      </w:r>
    </w:p>
    <w:p w14:paraId="64FB0F1A" w14:textId="0467B650" w:rsidR="00614438" w:rsidRPr="00614438" w:rsidRDefault="00614438" w:rsidP="004130F4">
      <w:pPr>
        <w:ind w:firstLine="720"/>
        <w:jc w:val="both"/>
        <w:rPr>
          <w:rFonts w:ascii="Times New Roman" w:hAnsi="Times New Roman" w:cs="Times New Roman"/>
          <w:sz w:val="24"/>
          <w:szCs w:val="24"/>
          <w:lang w:val="da-DK"/>
        </w:rPr>
      </w:pPr>
      <w:r w:rsidRPr="00614438">
        <w:rPr>
          <w:rFonts w:ascii="Times New Roman" w:hAnsi="Times New Roman" w:cs="Times New Roman"/>
          <w:sz w:val="24"/>
          <w:szCs w:val="24"/>
          <w:lang w:val="da-DK"/>
        </w:rPr>
        <w:t>The N</w:t>
      </w:r>
      <w:r w:rsidRPr="00614438">
        <w:rPr>
          <w:rFonts w:ascii="Times New Roman" w:hAnsi="Times New Roman" w:cs="Times New Roman"/>
          <w:sz w:val="24"/>
          <w:szCs w:val="24"/>
          <w:vertAlign w:val="subscript"/>
          <w:lang w:val="da-DK"/>
        </w:rPr>
        <w:t>2</w:t>
      </w:r>
      <w:r w:rsidRPr="00614438">
        <w:rPr>
          <w:rFonts w:ascii="Times New Roman" w:hAnsi="Times New Roman" w:cs="Times New Roman"/>
          <w:sz w:val="24"/>
          <w:szCs w:val="24"/>
          <w:lang w:val="da-DK"/>
        </w:rPr>
        <w:t>O emissions are anticipated to increase considerably in WEM, demonstrating a rise equal to 14.3%, 22.9% and 24.3% in 2030, 2040 and 2050 respectively, compared to 2020, resulting in 3.2 kt N</w:t>
      </w:r>
      <w:r w:rsidRPr="00614438">
        <w:rPr>
          <w:rFonts w:ascii="Times New Roman" w:hAnsi="Times New Roman" w:cs="Times New Roman"/>
          <w:sz w:val="24"/>
          <w:szCs w:val="24"/>
          <w:vertAlign w:val="subscript"/>
          <w:lang w:val="da-DK"/>
        </w:rPr>
        <w:t>2</w:t>
      </w:r>
      <w:r w:rsidRPr="00614438">
        <w:rPr>
          <w:rFonts w:ascii="Times New Roman" w:hAnsi="Times New Roman" w:cs="Times New Roman"/>
          <w:sz w:val="24"/>
          <w:szCs w:val="24"/>
          <w:lang w:val="da-DK"/>
        </w:rPr>
        <w:t>O in 2030 and 3.5 kt N</w:t>
      </w:r>
      <w:r w:rsidRPr="00614438">
        <w:rPr>
          <w:rFonts w:ascii="Times New Roman" w:hAnsi="Times New Roman" w:cs="Times New Roman"/>
          <w:sz w:val="24"/>
          <w:szCs w:val="24"/>
          <w:vertAlign w:val="subscript"/>
          <w:lang w:val="da-DK"/>
        </w:rPr>
        <w:t>2</w:t>
      </w:r>
      <w:r w:rsidRPr="00614438">
        <w:rPr>
          <w:rFonts w:ascii="Times New Roman" w:hAnsi="Times New Roman" w:cs="Times New Roman"/>
          <w:sz w:val="24"/>
          <w:szCs w:val="24"/>
          <w:lang w:val="da-DK"/>
        </w:rPr>
        <w:t xml:space="preserve">O in 2050, as shown in </w:t>
      </w:r>
      <w:r w:rsidR="00FA29EF">
        <w:fldChar w:fldCharType="begin"/>
      </w:r>
      <w:r w:rsidR="00FA29EF">
        <w:instrText xml:space="preserve"> REF _Ref153545168 \h  \* MERGEFORMAT </w:instrText>
      </w:r>
      <w:r w:rsidR="00FA29EF">
        <w:fldChar w:fldCharType="separate"/>
      </w:r>
      <w:r w:rsidRPr="00614438">
        <w:rPr>
          <w:rFonts w:ascii="Times New Roman" w:hAnsi="Times New Roman" w:cs="Times New Roman"/>
          <w:sz w:val="24"/>
          <w:szCs w:val="24"/>
          <w:lang w:val="da-DK"/>
        </w:rPr>
        <w:t>Figure 4.9</w:t>
      </w:r>
      <w:r w:rsidR="00FA29EF">
        <w:fldChar w:fldCharType="end"/>
      </w:r>
      <w:r w:rsidR="00C83251" w:rsidRPr="00614438">
        <w:rPr>
          <w:rFonts w:ascii="Times New Roman" w:hAnsi="Times New Roman" w:cs="Times New Roman"/>
          <w:sz w:val="24"/>
          <w:szCs w:val="24"/>
          <w:lang w:val="da-DK"/>
        </w:rPr>
        <w:fldChar w:fldCharType="begin"/>
      </w:r>
      <w:r w:rsidRPr="00614438">
        <w:rPr>
          <w:rFonts w:ascii="Times New Roman" w:hAnsi="Times New Roman" w:cs="Times New Roman"/>
          <w:sz w:val="24"/>
          <w:szCs w:val="24"/>
          <w:lang w:val="da-DK"/>
        </w:rPr>
        <w:instrText xml:space="preserve"> REF _Ref113633773 \h  \* MERGEFORMAT </w:instrText>
      </w:r>
      <w:r w:rsidR="00C83251" w:rsidRPr="00614438">
        <w:rPr>
          <w:rFonts w:ascii="Times New Roman" w:hAnsi="Times New Roman" w:cs="Times New Roman"/>
          <w:sz w:val="24"/>
          <w:szCs w:val="24"/>
          <w:lang w:val="da-DK"/>
        </w:rPr>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lang w:val="da-DK"/>
        </w:rPr>
        <w:t xml:space="preserve">. The </w:t>
      </w:r>
      <w:r w:rsidR="004130F4" w:rsidRPr="00614438">
        <w:rPr>
          <w:rFonts w:ascii="Times New Roman" w:hAnsi="Times New Roman" w:cs="Times New Roman"/>
          <w:sz w:val="24"/>
          <w:szCs w:val="24"/>
          <w:lang w:val="da-DK"/>
        </w:rPr>
        <w:t>N</w:t>
      </w:r>
      <w:r w:rsidR="004130F4" w:rsidRPr="00614438">
        <w:rPr>
          <w:rFonts w:ascii="Times New Roman" w:hAnsi="Times New Roman" w:cs="Times New Roman"/>
          <w:sz w:val="24"/>
          <w:szCs w:val="24"/>
          <w:vertAlign w:val="subscript"/>
          <w:lang w:val="da-DK"/>
        </w:rPr>
        <w:t>2</w:t>
      </w:r>
      <w:r w:rsidR="004130F4" w:rsidRPr="00614438">
        <w:rPr>
          <w:rFonts w:ascii="Times New Roman" w:hAnsi="Times New Roman" w:cs="Times New Roman"/>
          <w:sz w:val="24"/>
          <w:szCs w:val="24"/>
          <w:lang w:val="da-DK"/>
        </w:rPr>
        <w:t xml:space="preserve">O </w:t>
      </w:r>
      <w:r w:rsidRPr="00614438">
        <w:rPr>
          <w:rFonts w:ascii="Times New Roman" w:hAnsi="Times New Roman" w:cs="Times New Roman"/>
          <w:sz w:val="24"/>
          <w:szCs w:val="24"/>
          <w:lang w:val="da-DK"/>
        </w:rPr>
        <w:t xml:space="preserve">emissions of the industrial, transport and electricity production sectors appear </w:t>
      </w:r>
      <w:r w:rsidR="004130F4">
        <w:rPr>
          <w:rFonts w:ascii="Times New Roman" w:hAnsi="Times New Roman" w:cs="Times New Roman"/>
          <w:sz w:val="24"/>
          <w:szCs w:val="24"/>
          <w:lang w:val="da-DK"/>
        </w:rPr>
        <w:t xml:space="preserve">as </w:t>
      </w:r>
      <w:r w:rsidRPr="00614438">
        <w:rPr>
          <w:rFonts w:ascii="Times New Roman" w:hAnsi="Times New Roman" w:cs="Times New Roman"/>
          <w:sz w:val="24"/>
          <w:szCs w:val="24"/>
          <w:lang w:val="da-DK"/>
        </w:rPr>
        <w:t>the highest shares to</w:t>
      </w:r>
      <w:r w:rsidRPr="00614438">
        <w:rPr>
          <w:rFonts w:ascii="Times New Roman" w:hAnsi="Times New Roman" w:cs="Times New Roman"/>
          <w:sz w:val="24"/>
          <w:szCs w:val="24"/>
          <w:lang w:val="en-GB"/>
        </w:rPr>
        <w:t xml:space="preserve"> the overall N</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O emissions in 2050 (63%, 15% and 14%</w:t>
      </w:r>
      <w:r w:rsidR="004130F4">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respectively)</w:t>
      </w:r>
      <w:r w:rsidR="004130F4">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presenting a constantly increasing trend.</w:t>
      </w:r>
      <w:bookmarkStart w:id="207" w:name="_Ref113633773"/>
      <w:bookmarkStart w:id="208" w:name="_Toc118992279"/>
    </w:p>
    <w:bookmarkEnd w:id="207"/>
    <w:bookmarkEnd w:id="208"/>
    <w:p w14:paraId="5E093E61" w14:textId="23AAF644" w:rsidR="004130F4" w:rsidRPr="00614438" w:rsidRDefault="004130F4" w:rsidP="004130F4">
      <w:pPr>
        <w:ind w:firstLine="720"/>
        <w:jc w:val="both"/>
        <w:rPr>
          <w:rFonts w:ascii="Times New Roman" w:hAnsi="Times New Roman" w:cs="Times New Roman"/>
          <w:sz w:val="24"/>
          <w:szCs w:val="24"/>
          <w:lang w:val="da-DK"/>
        </w:rPr>
      </w:pPr>
      <w:r w:rsidRPr="00614438">
        <w:rPr>
          <w:rFonts w:ascii="Times New Roman" w:hAnsi="Times New Roman" w:cs="Times New Roman"/>
          <w:sz w:val="24"/>
          <w:szCs w:val="24"/>
          <w:lang w:val="da-DK"/>
        </w:rPr>
        <w:t>The total emissions including emissions from agriculture waste and LULUCF, are projected to increase in the WEM scenario towards 2030 by 15% compared to 2020</w:t>
      </w:r>
      <w:r>
        <w:rPr>
          <w:rFonts w:ascii="Times New Roman" w:hAnsi="Times New Roman" w:cs="Times New Roman"/>
          <w:sz w:val="24"/>
          <w:szCs w:val="24"/>
          <w:lang w:val="da-DK"/>
        </w:rPr>
        <w:t>,</w:t>
      </w:r>
      <w:r w:rsidRPr="00614438">
        <w:rPr>
          <w:rFonts w:ascii="Times New Roman" w:hAnsi="Times New Roman" w:cs="Times New Roman"/>
          <w:sz w:val="24"/>
          <w:szCs w:val="24"/>
          <w:lang w:val="da-DK"/>
        </w:rPr>
        <w:t xml:space="preserve"> and by 30% in 2050.</w:t>
      </w:r>
    </w:p>
    <w:p w14:paraId="0E7F361C" w14:textId="77777777" w:rsidR="00614438" w:rsidRPr="00614438" w:rsidRDefault="00614438" w:rsidP="00614438">
      <w:pPr>
        <w:jc w:val="both"/>
        <w:rPr>
          <w:rFonts w:ascii="Times New Roman" w:hAnsi="Times New Roman" w:cs="Times New Roman"/>
          <w:sz w:val="24"/>
          <w:szCs w:val="24"/>
          <w:lang w:val="en-GB"/>
        </w:rPr>
      </w:pPr>
    </w:p>
    <w:p w14:paraId="414B8599" w14:textId="1DBA94D8" w:rsidR="00614438" w:rsidRPr="00614438" w:rsidRDefault="00614438" w:rsidP="00614438">
      <w:pPr>
        <w:jc w:val="both"/>
        <w:rPr>
          <w:rFonts w:ascii="Times New Roman" w:hAnsi="Times New Roman" w:cs="Times New Roman"/>
          <w:sz w:val="24"/>
          <w:szCs w:val="24"/>
        </w:rPr>
      </w:pPr>
      <w:bookmarkStart w:id="209" w:name="_Ref153545168"/>
      <w:bookmarkStart w:id="210" w:name="_Toc154575216"/>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9</w:t>
      </w:r>
      <w:r w:rsidR="00C83251" w:rsidRPr="00614438">
        <w:rPr>
          <w:rFonts w:ascii="Times New Roman" w:hAnsi="Times New Roman" w:cs="Times New Roman"/>
          <w:sz w:val="24"/>
          <w:szCs w:val="24"/>
        </w:rPr>
        <w:fldChar w:fldCharType="end"/>
      </w:r>
      <w:bookmarkEnd w:id="209"/>
      <w:r w:rsidRPr="00614438">
        <w:rPr>
          <w:rFonts w:ascii="Times New Roman" w:hAnsi="Times New Roman" w:cs="Times New Roman"/>
          <w:sz w:val="24"/>
          <w:szCs w:val="24"/>
        </w:rPr>
        <w:t xml:space="preserve">: </w:t>
      </w:r>
      <w:r w:rsidR="004130F4" w:rsidRPr="00614438">
        <w:rPr>
          <w:rFonts w:ascii="Times New Roman" w:hAnsi="Times New Roman" w:cs="Times New Roman"/>
          <w:sz w:val="24"/>
          <w:szCs w:val="24"/>
          <w:lang w:val="da-DK"/>
        </w:rPr>
        <w:t>N</w:t>
      </w:r>
      <w:r w:rsidR="004130F4" w:rsidRPr="00614438">
        <w:rPr>
          <w:rFonts w:ascii="Times New Roman" w:hAnsi="Times New Roman" w:cs="Times New Roman"/>
          <w:sz w:val="24"/>
          <w:szCs w:val="24"/>
          <w:vertAlign w:val="subscript"/>
          <w:lang w:val="da-DK"/>
        </w:rPr>
        <w:t>2</w:t>
      </w:r>
      <w:r w:rsidR="004130F4" w:rsidRPr="00614438">
        <w:rPr>
          <w:rFonts w:ascii="Times New Roman" w:hAnsi="Times New Roman" w:cs="Times New Roman"/>
          <w:sz w:val="24"/>
          <w:szCs w:val="24"/>
          <w:lang w:val="da-DK"/>
        </w:rPr>
        <w:t xml:space="preserve">O </w:t>
      </w:r>
      <w:r w:rsidRPr="00614438">
        <w:rPr>
          <w:rFonts w:ascii="Times New Roman" w:hAnsi="Times New Roman" w:cs="Times New Roman"/>
          <w:sz w:val="24"/>
          <w:szCs w:val="24"/>
        </w:rPr>
        <w:t>emissions by sector over 2020-2050 in the scenario with existing measures (WEM)</w:t>
      </w:r>
      <w:bookmarkEnd w:id="210"/>
    </w:p>
    <w:p w14:paraId="0951059E" w14:textId="0B76DE0B"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662336" behindDoc="0" locked="0" layoutInCell="1" allowOverlap="1" wp14:anchorId="295DFAA7" wp14:editId="600719D5">
                <wp:simplePos x="0" y="0"/>
                <wp:positionH relativeFrom="column">
                  <wp:posOffset>1324610</wp:posOffset>
                </wp:positionH>
                <wp:positionV relativeFrom="paragraph">
                  <wp:posOffset>427355</wp:posOffset>
                </wp:positionV>
                <wp:extent cx="2501900" cy="2358390"/>
                <wp:effectExtent l="0" t="0" r="0" b="0"/>
                <wp:wrapNone/>
                <wp:docPr id="1540924413"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1900" cy="2358390"/>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74BDC6A" id="Text Box 139" o:spid="_x0000_s1026" type="#_x0000_t202" style="position:absolute;margin-left:104.3pt;margin-top:33.65pt;width:197pt;height:185.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1565A399" wp14:editId="7741F0A2">
            <wp:extent cx="5419725" cy="3629025"/>
            <wp:effectExtent l="0" t="0" r="9525" b="9525"/>
            <wp:docPr id="1255272406"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19725" cy="3629025"/>
                    </a:xfrm>
                    <a:prstGeom prst="rect">
                      <a:avLst/>
                    </a:prstGeom>
                    <a:noFill/>
                    <a:ln>
                      <a:noFill/>
                    </a:ln>
                  </pic:spPr>
                </pic:pic>
              </a:graphicData>
            </a:graphic>
          </wp:inline>
        </w:drawing>
      </w:r>
    </w:p>
    <w:p w14:paraId="3B12A31D" w14:textId="644A31E1" w:rsidR="00614438" w:rsidRPr="00614438" w:rsidRDefault="00614438" w:rsidP="00614438">
      <w:pPr>
        <w:jc w:val="both"/>
        <w:rPr>
          <w:rFonts w:ascii="Times New Roman" w:hAnsi="Times New Roman" w:cs="Times New Roman"/>
          <w:sz w:val="24"/>
          <w:szCs w:val="24"/>
          <w:lang w:val="en-GB"/>
        </w:rPr>
      </w:pPr>
      <w:bookmarkStart w:id="211" w:name="_Toc154575217"/>
      <w:r w:rsidRPr="00614438">
        <w:rPr>
          <w:rFonts w:ascii="Times New Roman" w:hAnsi="Times New Roman" w:cs="Times New Roman"/>
          <w:sz w:val="24"/>
          <w:szCs w:val="24"/>
          <w:lang w:val="en-GB"/>
        </w:rPr>
        <w:t xml:space="preserve">Figure </w:t>
      </w:r>
      <w:r w:rsidR="00C83251" w:rsidRPr="00614438">
        <w:rPr>
          <w:rFonts w:ascii="Times New Roman" w:hAnsi="Times New Roman" w:cs="Times New Roman"/>
          <w:sz w:val="24"/>
          <w:szCs w:val="24"/>
          <w:lang w:val="da-DK"/>
        </w:rPr>
        <w:fldChar w:fldCharType="begin"/>
      </w:r>
      <w:r w:rsidRPr="00614438">
        <w:rPr>
          <w:rFonts w:ascii="Times New Roman" w:hAnsi="Times New Roman" w:cs="Times New Roman"/>
          <w:sz w:val="24"/>
          <w:szCs w:val="24"/>
          <w:lang w:val="en-GB"/>
        </w:rPr>
        <w:instrText xml:space="preserve"> STYLEREF 1 \s </w:instrText>
      </w:r>
      <w:r w:rsidR="00C83251" w:rsidRPr="00614438">
        <w:rPr>
          <w:rFonts w:ascii="Times New Roman" w:hAnsi="Times New Roman" w:cs="Times New Roman"/>
          <w:sz w:val="24"/>
          <w:szCs w:val="24"/>
          <w:lang w:val="da-DK"/>
        </w:rPr>
        <w:fldChar w:fldCharType="separate"/>
      </w:r>
      <w:r w:rsidRPr="00614438">
        <w:rPr>
          <w:rFonts w:ascii="Times New Roman" w:hAnsi="Times New Roman" w:cs="Times New Roman"/>
          <w:sz w:val="24"/>
          <w:szCs w:val="24"/>
          <w:lang w:val="en-GB"/>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lang w:val="en-GB"/>
        </w:rPr>
        <w:t>.</w:t>
      </w:r>
      <w:r w:rsidR="00C83251" w:rsidRPr="00614438">
        <w:rPr>
          <w:rFonts w:ascii="Times New Roman" w:hAnsi="Times New Roman" w:cs="Times New Roman"/>
          <w:sz w:val="24"/>
          <w:szCs w:val="24"/>
          <w:lang w:val="da-DK"/>
        </w:rPr>
        <w:fldChar w:fldCharType="begin"/>
      </w:r>
      <w:r w:rsidRPr="00614438">
        <w:rPr>
          <w:rFonts w:ascii="Times New Roman" w:hAnsi="Times New Roman" w:cs="Times New Roman"/>
          <w:sz w:val="24"/>
          <w:szCs w:val="24"/>
          <w:lang w:val="en-GB"/>
        </w:rPr>
        <w:instrText xml:space="preserve"> SEQ Figure \* ARABIC \s 1 </w:instrText>
      </w:r>
      <w:r w:rsidR="00C83251" w:rsidRPr="00614438">
        <w:rPr>
          <w:rFonts w:ascii="Times New Roman" w:hAnsi="Times New Roman" w:cs="Times New Roman"/>
          <w:sz w:val="24"/>
          <w:szCs w:val="24"/>
          <w:lang w:val="da-DK"/>
        </w:rPr>
        <w:fldChar w:fldCharType="separate"/>
      </w:r>
      <w:r w:rsidRPr="00614438">
        <w:rPr>
          <w:rFonts w:ascii="Times New Roman" w:hAnsi="Times New Roman" w:cs="Times New Roman"/>
          <w:sz w:val="24"/>
          <w:szCs w:val="24"/>
          <w:lang w:val="en-GB"/>
        </w:rPr>
        <w:t>10</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lang w:val="en-GB"/>
        </w:rPr>
        <w:t xml:space="preserve">: Total GHG emissions </w:t>
      </w:r>
      <w:r w:rsidR="004130F4">
        <w:rPr>
          <w:rFonts w:ascii="Times New Roman" w:hAnsi="Times New Roman" w:cs="Times New Roman"/>
          <w:sz w:val="24"/>
          <w:szCs w:val="24"/>
          <w:lang w:val="en-GB"/>
        </w:rPr>
        <w:t xml:space="preserve">in </w:t>
      </w:r>
      <w:r w:rsidRPr="00614438">
        <w:rPr>
          <w:rFonts w:ascii="Times New Roman" w:hAnsi="Times New Roman" w:cs="Times New Roman"/>
          <w:sz w:val="24"/>
          <w:szCs w:val="24"/>
          <w:lang w:val="en-GB"/>
        </w:rPr>
        <w:t>2020-2050 in the scenario with existing measures (WEM)</w:t>
      </w:r>
      <w:bookmarkEnd w:id="211"/>
    </w:p>
    <w:p w14:paraId="550872D0" w14:textId="77777777" w:rsidR="00614438" w:rsidRPr="00614438" w:rsidRDefault="00614438" w:rsidP="00614438">
      <w:pPr>
        <w:jc w:val="both"/>
        <w:rPr>
          <w:rFonts w:ascii="Times New Roman" w:hAnsi="Times New Roman" w:cs="Times New Roman"/>
          <w:sz w:val="24"/>
          <w:szCs w:val="24"/>
          <w:lang w:val="da-DK"/>
        </w:rPr>
      </w:pPr>
      <w:r w:rsidRPr="00013008">
        <w:rPr>
          <w:rFonts w:ascii="Times New Roman" w:hAnsi="Times New Roman" w:cs="Times New Roman"/>
          <w:noProof/>
          <w:sz w:val="24"/>
          <w:szCs w:val="24"/>
          <w:lang w:val="en-GB" w:eastAsia="en-GB"/>
        </w:rPr>
        <w:drawing>
          <wp:inline distT="0" distB="0" distL="0" distR="0" wp14:anchorId="37B95EB4" wp14:editId="5D72EFF0">
            <wp:extent cx="4924425" cy="2914650"/>
            <wp:effectExtent l="0" t="0" r="9525" b="0"/>
            <wp:docPr id="882981408"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9540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24425" cy="2914650"/>
                    </a:xfrm>
                    <a:prstGeom prst="rect">
                      <a:avLst/>
                    </a:prstGeom>
                    <a:noFill/>
                    <a:ln>
                      <a:noFill/>
                    </a:ln>
                  </pic:spPr>
                </pic:pic>
              </a:graphicData>
            </a:graphic>
          </wp:inline>
        </w:drawing>
      </w:r>
    </w:p>
    <w:p w14:paraId="40298941" w14:textId="0D687955" w:rsidR="00614438" w:rsidRPr="00614438" w:rsidRDefault="00614438" w:rsidP="004130F4">
      <w:pPr>
        <w:ind w:firstLine="720"/>
        <w:jc w:val="both"/>
        <w:rPr>
          <w:rFonts w:ascii="Times New Roman" w:hAnsi="Times New Roman" w:cs="Times New Roman"/>
          <w:sz w:val="24"/>
          <w:szCs w:val="24"/>
          <w:lang w:val="da-DK"/>
        </w:rPr>
      </w:pPr>
      <w:r w:rsidRPr="00614438">
        <w:rPr>
          <w:rFonts w:ascii="Times New Roman" w:hAnsi="Times New Roman" w:cs="Times New Roman"/>
          <w:sz w:val="24"/>
          <w:szCs w:val="24"/>
          <w:lang w:val="da-DK"/>
        </w:rPr>
        <w:t>Emissions from agriculture are projected to decrease by 12% in 2030 compared to the 2020 levels reaching almost 4.5MtonCO2eq</w:t>
      </w:r>
      <w:r w:rsidR="004130F4">
        <w:rPr>
          <w:rFonts w:ascii="Times New Roman" w:hAnsi="Times New Roman" w:cs="Times New Roman"/>
          <w:sz w:val="24"/>
          <w:szCs w:val="24"/>
          <w:lang w:val="da-DK"/>
        </w:rPr>
        <w:t>,</w:t>
      </w:r>
      <w:r w:rsidRPr="00614438">
        <w:rPr>
          <w:rFonts w:ascii="Times New Roman" w:hAnsi="Times New Roman" w:cs="Times New Roman"/>
          <w:sz w:val="24"/>
          <w:szCs w:val="24"/>
          <w:lang w:val="da-DK"/>
        </w:rPr>
        <w:t xml:space="preserve"> but continue to increase, reaching 5.4Mtons CO2eq by 2050. The emissions from waste is projected to be reduced by 14% in 2030 compared to 2020 at the level of 2.4MtonsCO2eq, and further decrease to 1.9MtonsCO2eq by 2050.</w:t>
      </w:r>
    </w:p>
    <w:p w14:paraId="1483477A" w14:textId="77777777" w:rsidR="00614438" w:rsidRPr="00614438" w:rsidRDefault="00614438" w:rsidP="004130F4">
      <w:pPr>
        <w:ind w:firstLine="720"/>
        <w:jc w:val="both"/>
        <w:rPr>
          <w:rFonts w:ascii="Times New Roman" w:hAnsi="Times New Roman" w:cs="Times New Roman"/>
          <w:sz w:val="24"/>
          <w:szCs w:val="24"/>
          <w:lang w:val="da-DK"/>
        </w:rPr>
      </w:pPr>
      <w:r w:rsidRPr="00614438">
        <w:rPr>
          <w:rFonts w:ascii="Times New Roman" w:hAnsi="Times New Roman" w:cs="Times New Roman"/>
          <w:sz w:val="24"/>
          <w:szCs w:val="24"/>
          <w:lang w:val="da-DK"/>
        </w:rPr>
        <w:t>LULUCF is projected to contribute as a sink of GHG emissions for the whole time horizon towards 2050, but decreasing in volume, reaching -6.5MtonsCO2eq in 2030 and -4.4MtonsCO2eq in 2050.</w:t>
      </w:r>
    </w:p>
    <w:p w14:paraId="0B59C407" w14:textId="20828D08" w:rsidR="00614438" w:rsidRPr="00614438" w:rsidRDefault="00614438" w:rsidP="00614438">
      <w:pPr>
        <w:jc w:val="both"/>
        <w:rPr>
          <w:rFonts w:ascii="Times New Roman" w:hAnsi="Times New Roman" w:cs="Times New Roman"/>
          <w:sz w:val="24"/>
          <w:szCs w:val="24"/>
          <w:lang w:val="en-GB"/>
        </w:rPr>
      </w:pPr>
      <w:bookmarkStart w:id="212" w:name="_Toc154575218"/>
      <w:r w:rsidRPr="00614438">
        <w:rPr>
          <w:rFonts w:ascii="Times New Roman" w:hAnsi="Times New Roman" w:cs="Times New Roman"/>
          <w:sz w:val="24"/>
          <w:szCs w:val="24"/>
          <w:lang w:val="en-GB"/>
        </w:rPr>
        <w:t xml:space="preserve">Figure </w:t>
      </w:r>
      <w:r w:rsidR="00C83251" w:rsidRPr="00614438">
        <w:rPr>
          <w:rFonts w:ascii="Times New Roman" w:hAnsi="Times New Roman" w:cs="Times New Roman"/>
          <w:sz w:val="24"/>
          <w:szCs w:val="24"/>
          <w:lang w:val="da-DK"/>
        </w:rPr>
        <w:fldChar w:fldCharType="begin"/>
      </w:r>
      <w:r w:rsidRPr="00614438">
        <w:rPr>
          <w:rFonts w:ascii="Times New Roman" w:hAnsi="Times New Roman" w:cs="Times New Roman"/>
          <w:sz w:val="24"/>
          <w:szCs w:val="24"/>
          <w:lang w:val="en-GB"/>
        </w:rPr>
        <w:instrText xml:space="preserve"> STYLEREF 1 \s </w:instrText>
      </w:r>
      <w:r w:rsidR="00C83251" w:rsidRPr="00614438">
        <w:rPr>
          <w:rFonts w:ascii="Times New Roman" w:hAnsi="Times New Roman" w:cs="Times New Roman"/>
          <w:sz w:val="24"/>
          <w:szCs w:val="24"/>
          <w:lang w:val="da-DK"/>
        </w:rPr>
        <w:fldChar w:fldCharType="separate"/>
      </w:r>
      <w:r w:rsidRPr="00614438">
        <w:rPr>
          <w:rFonts w:ascii="Times New Roman" w:hAnsi="Times New Roman" w:cs="Times New Roman"/>
          <w:sz w:val="24"/>
          <w:szCs w:val="24"/>
          <w:lang w:val="en-GB"/>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lang w:val="en-GB"/>
        </w:rPr>
        <w:t>.</w:t>
      </w:r>
      <w:r w:rsidR="00C83251" w:rsidRPr="00614438">
        <w:rPr>
          <w:rFonts w:ascii="Times New Roman" w:hAnsi="Times New Roman" w:cs="Times New Roman"/>
          <w:sz w:val="24"/>
          <w:szCs w:val="24"/>
          <w:lang w:val="da-DK"/>
        </w:rPr>
        <w:fldChar w:fldCharType="begin"/>
      </w:r>
      <w:r w:rsidRPr="00614438">
        <w:rPr>
          <w:rFonts w:ascii="Times New Roman" w:hAnsi="Times New Roman" w:cs="Times New Roman"/>
          <w:sz w:val="24"/>
          <w:szCs w:val="24"/>
          <w:lang w:val="en-GB"/>
        </w:rPr>
        <w:instrText xml:space="preserve"> SEQ Figure \* ARABIC \s 1 </w:instrText>
      </w:r>
      <w:r w:rsidR="00C83251" w:rsidRPr="00614438">
        <w:rPr>
          <w:rFonts w:ascii="Times New Roman" w:hAnsi="Times New Roman" w:cs="Times New Roman"/>
          <w:sz w:val="24"/>
          <w:szCs w:val="24"/>
          <w:lang w:val="da-DK"/>
        </w:rPr>
        <w:fldChar w:fldCharType="separate"/>
      </w:r>
      <w:r w:rsidRPr="00614438">
        <w:rPr>
          <w:rFonts w:ascii="Times New Roman" w:hAnsi="Times New Roman" w:cs="Times New Roman"/>
          <w:sz w:val="24"/>
          <w:szCs w:val="24"/>
          <w:lang w:val="en-GB"/>
        </w:rPr>
        <w:t>11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lang w:val="en-GB"/>
        </w:rPr>
        <w:t xml:space="preserve">: GHG emissions </w:t>
      </w:r>
      <w:r w:rsidR="004130F4">
        <w:rPr>
          <w:rFonts w:ascii="Times New Roman" w:hAnsi="Times New Roman" w:cs="Times New Roman"/>
          <w:sz w:val="24"/>
          <w:szCs w:val="24"/>
          <w:lang w:val="en-GB"/>
        </w:rPr>
        <w:t xml:space="preserve">in </w:t>
      </w:r>
      <w:r w:rsidRPr="00614438">
        <w:rPr>
          <w:rFonts w:ascii="Times New Roman" w:hAnsi="Times New Roman" w:cs="Times New Roman"/>
          <w:sz w:val="24"/>
          <w:szCs w:val="24"/>
          <w:lang w:val="en-GB"/>
        </w:rPr>
        <w:t>2020-2050 from non-energy related sectors in the scenario with existing measures (WEM)</w:t>
      </w:r>
      <w:bookmarkEnd w:id="212"/>
    </w:p>
    <w:p w14:paraId="0DC1F692" w14:textId="77777777" w:rsidR="00614438" w:rsidRPr="00614438" w:rsidRDefault="00614438" w:rsidP="00614438">
      <w:pPr>
        <w:jc w:val="both"/>
        <w:rPr>
          <w:rFonts w:ascii="Times New Roman" w:hAnsi="Times New Roman" w:cs="Times New Roman"/>
          <w:sz w:val="24"/>
          <w:szCs w:val="24"/>
          <w:lang w:val="da-DK"/>
        </w:rPr>
      </w:pPr>
      <w:r w:rsidRPr="00614438">
        <w:rPr>
          <w:rFonts w:ascii="Times New Roman" w:hAnsi="Times New Roman" w:cs="Times New Roman"/>
          <w:sz w:val="24"/>
          <w:szCs w:val="24"/>
          <w:lang w:val="en-GB"/>
        </w:rPr>
        <w:lastRenderedPageBreak/>
        <w:t xml:space="preserve"> </w:t>
      </w:r>
      <w:r w:rsidRPr="00013008">
        <w:rPr>
          <w:rFonts w:ascii="Times New Roman" w:hAnsi="Times New Roman" w:cs="Times New Roman"/>
          <w:noProof/>
          <w:sz w:val="24"/>
          <w:szCs w:val="24"/>
          <w:lang w:val="en-GB" w:eastAsia="en-GB"/>
        </w:rPr>
        <w:drawing>
          <wp:inline distT="0" distB="0" distL="0" distR="0" wp14:anchorId="1D6BAE25" wp14:editId="470480C1">
            <wp:extent cx="5410200" cy="3619500"/>
            <wp:effectExtent l="0" t="0" r="0" b="0"/>
            <wp:docPr id="441947160" name="Picture 332" descr="A graph of a number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641789" descr="A graph of a number of different colored bars&#10;&#10;Description automatically generated with medium confidenc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10200" cy="3619500"/>
                    </a:xfrm>
                    <a:prstGeom prst="rect">
                      <a:avLst/>
                    </a:prstGeom>
                    <a:noFill/>
                    <a:ln>
                      <a:noFill/>
                    </a:ln>
                  </pic:spPr>
                </pic:pic>
              </a:graphicData>
            </a:graphic>
          </wp:inline>
        </w:drawing>
      </w:r>
    </w:p>
    <w:p w14:paraId="651CF117" w14:textId="02E01ED2"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As shown in </w:t>
      </w:r>
      <w:r w:rsidR="00FA29EF">
        <w:fldChar w:fldCharType="begin"/>
      </w:r>
      <w:r w:rsidR="00FA29EF">
        <w:instrText xml:space="preserve"> REF _Ref113633799 \h  \* MERGEFORMAT </w:instrText>
      </w:r>
      <w:r w:rsidR="00FA29EF">
        <w:fldChar w:fldCharType="separate"/>
      </w:r>
      <w:r w:rsidRPr="00614438">
        <w:rPr>
          <w:rFonts w:ascii="Times New Roman" w:hAnsi="Times New Roman" w:cs="Times New Roman"/>
          <w:sz w:val="24"/>
          <w:szCs w:val="24"/>
          <w:lang w:val="en-GB"/>
        </w:rPr>
        <w:t>Figure 4.12</w:t>
      </w:r>
      <w:r w:rsidR="00FA29EF">
        <w:fldChar w:fldCharType="end"/>
      </w:r>
      <w:r w:rsidRPr="00614438">
        <w:rPr>
          <w:rFonts w:ascii="Times New Roman" w:hAnsi="Times New Roman" w:cs="Times New Roman"/>
          <w:sz w:val="24"/>
          <w:szCs w:val="24"/>
          <w:lang w:val="en-GB"/>
        </w:rPr>
        <w:t>, the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 emissions intensity, which is the volume of CO</w:t>
      </w:r>
      <w:r w:rsidRPr="00614438">
        <w:rPr>
          <w:rFonts w:ascii="Times New Roman" w:hAnsi="Times New Roman" w:cs="Times New Roman"/>
          <w:sz w:val="24"/>
          <w:szCs w:val="24"/>
          <w:vertAlign w:val="subscript"/>
          <w:lang w:val="en-GB"/>
        </w:rPr>
        <w:t xml:space="preserve">2 </w:t>
      </w:r>
      <w:r w:rsidRPr="00614438">
        <w:rPr>
          <w:rFonts w:ascii="Times New Roman" w:hAnsi="Times New Roman" w:cs="Times New Roman"/>
          <w:sz w:val="24"/>
          <w:szCs w:val="24"/>
          <w:lang w:val="en-GB"/>
        </w:rPr>
        <w:t xml:space="preserve">emissions per unit of GDP, is projected to decline considerably until 2050, as it </w:t>
      </w:r>
      <w:r w:rsidR="004130F4">
        <w:rPr>
          <w:rFonts w:ascii="Times New Roman" w:hAnsi="Times New Roman" w:cs="Times New Roman"/>
          <w:sz w:val="24"/>
          <w:szCs w:val="24"/>
          <w:lang w:val="en-GB"/>
        </w:rPr>
        <w:t>shall</w:t>
      </w:r>
      <w:r w:rsidRPr="00614438">
        <w:rPr>
          <w:rFonts w:ascii="Times New Roman" w:hAnsi="Times New Roman" w:cs="Times New Roman"/>
          <w:sz w:val="24"/>
          <w:szCs w:val="24"/>
          <w:lang w:val="en-GB"/>
        </w:rPr>
        <w:t xml:space="preserve"> decrease by 20% in 2030, 34% in 2040 and 49% in 2050, compared to 2020. The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xml:space="preserve"> emissions intensity will be improved</w:t>
      </w:r>
      <w:r w:rsidR="004130F4">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demonstrating that the energy system of the Republic of Serbia is gradually </w:t>
      </w:r>
      <w:r w:rsidR="004130F4">
        <w:rPr>
          <w:rFonts w:ascii="Times New Roman" w:hAnsi="Times New Roman" w:cs="Times New Roman"/>
          <w:sz w:val="24"/>
          <w:szCs w:val="24"/>
          <w:lang w:val="en-GB"/>
        </w:rPr>
        <w:t xml:space="preserve">getting </w:t>
      </w:r>
      <w:r w:rsidRPr="00614438">
        <w:rPr>
          <w:rFonts w:ascii="Times New Roman" w:hAnsi="Times New Roman" w:cs="Times New Roman"/>
          <w:sz w:val="24"/>
          <w:szCs w:val="24"/>
          <w:lang w:val="en-GB"/>
        </w:rPr>
        <w:t>cleaner and efficient, at a relatively low pace, due to the technological progress and the deployment of energy efficiency and RES technologies in all end-use sectors.</w:t>
      </w:r>
    </w:p>
    <w:p w14:paraId="2259E616" w14:textId="3CDE88A8" w:rsidR="00614438" w:rsidRPr="00614438" w:rsidRDefault="00614438" w:rsidP="00614438">
      <w:pPr>
        <w:jc w:val="both"/>
        <w:rPr>
          <w:rFonts w:ascii="Times New Roman" w:hAnsi="Times New Roman" w:cs="Times New Roman"/>
          <w:sz w:val="24"/>
          <w:szCs w:val="24"/>
          <w:lang w:val="en-GB"/>
        </w:rPr>
      </w:pPr>
      <w:bookmarkStart w:id="213" w:name="_Ref113633799"/>
      <w:bookmarkStart w:id="214" w:name="_Toc118992280"/>
      <w:bookmarkStart w:id="215" w:name="_Toc154575219"/>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12</w:t>
      </w:r>
      <w:r w:rsidR="00C83251" w:rsidRPr="00614438">
        <w:rPr>
          <w:rFonts w:ascii="Times New Roman" w:hAnsi="Times New Roman" w:cs="Times New Roman"/>
          <w:sz w:val="24"/>
          <w:szCs w:val="24"/>
        </w:rPr>
        <w:fldChar w:fldCharType="end"/>
      </w:r>
      <w:bookmarkEnd w:id="213"/>
      <w:r w:rsidRPr="00614438">
        <w:rPr>
          <w:rFonts w:ascii="Times New Roman" w:hAnsi="Times New Roman" w:cs="Times New Roman"/>
          <w:sz w:val="24"/>
          <w:szCs w:val="24"/>
        </w:rPr>
        <w:t>:</w:t>
      </w:r>
      <w:r w:rsidR="004130F4" w:rsidRPr="004130F4">
        <w:rPr>
          <w:rFonts w:ascii="Times New Roman" w:hAnsi="Times New Roman" w:cs="Times New Roman"/>
          <w:sz w:val="24"/>
          <w:szCs w:val="24"/>
          <w:lang w:val="en-GB"/>
        </w:rPr>
        <w:t xml:space="preserve"> </w:t>
      </w:r>
      <w:r w:rsidR="004130F4" w:rsidRPr="00614438">
        <w:rPr>
          <w:rFonts w:ascii="Times New Roman" w:hAnsi="Times New Roman" w:cs="Times New Roman"/>
          <w:sz w:val="24"/>
          <w:szCs w:val="24"/>
          <w:lang w:val="en-GB"/>
        </w:rPr>
        <w:t>CO</w:t>
      </w:r>
      <w:r w:rsidR="004130F4" w:rsidRPr="00614438">
        <w:rPr>
          <w:rFonts w:ascii="Times New Roman" w:hAnsi="Times New Roman" w:cs="Times New Roman"/>
          <w:sz w:val="24"/>
          <w:szCs w:val="24"/>
          <w:vertAlign w:val="subscript"/>
          <w:lang w:val="en-GB"/>
        </w:rPr>
        <w:t>2</w:t>
      </w:r>
      <w:r w:rsidR="004130F4" w:rsidRPr="00614438">
        <w:rPr>
          <w:rFonts w:ascii="Times New Roman" w:hAnsi="Times New Roman" w:cs="Times New Roman"/>
          <w:sz w:val="24"/>
          <w:szCs w:val="24"/>
          <w:lang w:val="en-GB"/>
        </w:rPr>
        <w:t xml:space="preserve"> </w:t>
      </w:r>
      <w:r w:rsidRPr="00614438">
        <w:rPr>
          <w:rFonts w:ascii="Times New Roman" w:hAnsi="Times New Roman" w:cs="Times New Roman"/>
          <w:sz w:val="24"/>
          <w:szCs w:val="24"/>
        </w:rPr>
        <w:t xml:space="preserve">emissions intensity per unit of GDP (kg </w:t>
      </w:r>
      <w:r w:rsidR="004130F4" w:rsidRPr="00614438">
        <w:rPr>
          <w:rFonts w:ascii="Times New Roman" w:hAnsi="Times New Roman" w:cs="Times New Roman"/>
          <w:sz w:val="24"/>
          <w:szCs w:val="24"/>
          <w:lang w:val="en-GB"/>
        </w:rPr>
        <w:t>CO</w:t>
      </w:r>
      <w:r w:rsidR="004130F4" w:rsidRPr="00614438">
        <w:rPr>
          <w:rFonts w:ascii="Times New Roman" w:hAnsi="Times New Roman" w:cs="Times New Roman"/>
          <w:sz w:val="24"/>
          <w:szCs w:val="24"/>
          <w:vertAlign w:val="subscript"/>
          <w:lang w:val="en-GB"/>
        </w:rPr>
        <w:t>2</w:t>
      </w:r>
      <w:r w:rsidR="004130F4" w:rsidRPr="00614438">
        <w:rPr>
          <w:rFonts w:ascii="Times New Roman" w:hAnsi="Times New Roman" w:cs="Times New Roman"/>
          <w:sz w:val="24"/>
          <w:szCs w:val="24"/>
          <w:lang w:val="en-GB"/>
        </w:rPr>
        <w:t xml:space="preserve"> </w:t>
      </w:r>
      <w:r w:rsidRPr="00614438">
        <w:rPr>
          <w:rFonts w:ascii="Times New Roman" w:hAnsi="Times New Roman" w:cs="Times New Roman"/>
          <w:sz w:val="24"/>
          <w:szCs w:val="24"/>
        </w:rPr>
        <w:t>from energy sources / € GDP) over 2020-2050</w:t>
      </w:r>
      <w:bookmarkEnd w:id="214"/>
      <w:r w:rsidRPr="00614438">
        <w:rPr>
          <w:rFonts w:ascii="Times New Roman" w:hAnsi="Times New Roman" w:cs="Times New Roman"/>
          <w:sz w:val="24"/>
          <w:szCs w:val="24"/>
        </w:rPr>
        <w:t xml:space="preserve"> in the scenario with existing measures (WEM)</w:t>
      </w:r>
      <w:bookmarkEnd w:id="215"/>
    </w:p>
    <w:p w14:paraId="6DDC8E97" w14:textId="4D5C2AEE"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663360" behindDoc="0" locked="0" layoutInCell="1" allowOverlap="1" wp14:anchorId="12CC589D" wp14:editId="0E46CE11">
                <wp:simplePos x="0" y="0"/>
                <wp:positionH relativeFrom="column">
                  <wp:posOffset>1281430</wp:posOffset>
                </wp:positionH>
                <wp:positionV relativeFrom="paragraph">
                  <wp:posOffset>290195</wp:posOffset>
                </wp:positionV>
                <wp:extent cx="2501900" cy="2001520"/>
                <wp:effectExtent l="0" t="0" r="0" b="0"/>
                <wp:wrapNone/>
                <wp:docPr id="1446294762"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1900" cy="2001520"/>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28934F3" id="Text Box 137" o:spid="_x0000_s1026" type="#_x0000_t202" style="position:absolute;margin-left:100.9pt;margin-top:22.85pt;width:197pt;height:157.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4470331C" wp14:editId="1F659C3B">
            <wp:extent cx="5210175" cy="2800350"/>
            <wp:effectExtent l="0" t="0" r="9525" b="0"/>
            <wp:docPr id="521141807"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10175" cy="2800350"/>
                    </a:xfrm>
                    <a:prstGeom prst="rect">
                      <a:avLst/>
                    </a:prstGeom>
                    <a:noFill/>
                    <a:ln>
                      <a:noFill/>
                    </a:ln>
                  </pic:spPr>
                </pic:pic>
              </a:graphicData>
            </a:graphic>
          </wp:inline>
        </w:drawing>
      </w:r>
    </w:p>
    <w:p w14:paraId="55F1D709" w14:textId="77777777" w:rsidR="004130F4" w:rsidRDefault="004130F4" w:rsidP="004130F4">
      <w:pPr>
        <w:jc w:val="center"/>
        <w:rPr>
          <w:rFonts w:ascii="Times New Roman" w:hAnsi="Times New Roman" w:cs="Times New Roman"/>
          <w:sz w:val="24"/>
          <w:szCs w:val="24"/>
          <w:lang w:val="en-GB"/>
        </w:rPr>
      </w:pPr>
    </w:p>
    <w:p w14:paraId="7EA6E8F4" w14:textId="77777777" w:rsidR="004130F4" w:rsidRDefault="004130F4" w:rsidP="004130F4">
      <w:pPr>
        <w:jc w:val="center"/>
        <w:rPr>
          <w:rFonts w:ascii="Times New Roman" w:hAnsi="Times New Roman" w:cs="Times New Roman"/>
          <w:sz w:val="24"/>
          <w:szCs w:val="24"/>
          <w:lang w:val="en-GB"/>
        </w:rPr>
      </w:pPr>
    </w:p>
    <w:p w14:paraId="1C160EDF" w14:textId="77777777" w:rsidR="004130F4" w:rsidRDefault="004130F4" w:rsidP="004130F4">
      <w:pPr>
        <w:jc w:val="center"/>
        <w:rPr>
          <w:rFonts w:ascii="Times New Roman" w:hAnsi="Times New Roman" w:cs="Times New Roman"/>
          <w:sz w:val="24"/>
          <w:szCs w:val="24"/>
          <w:lang w:val="en-GB"/>
        </w:rPr>
      </w:pPr>
    </w:p>
    <w:p w14:paraId="41572453" w14:textId="1BA50974" w:rsidR="00614438" w:rsidRPr="004130F4" w:rsidRDefault="00614438" w:rsidP="00485CA7">
      <w:pPr>
        <w:pStyle w:val="ListParagraph"/>
        <w:numPr>
          <w:ilvl w:val="2"/>
          <w:numId w:val="271"/>
        </w:numPr>
        <w:jc w:val="center"/>
        <w:rPr>
          <w:rFonts w:ascii="Times New Roman" w:hAnsi="Times New Roman" w:cs="Times New Roman"/>
          <w:sz w:val="24"/>
          <w:szCs w:val="24"/>
          <w:lang w:val="en-GB"/>
        </w:rPr>
      </w:pPr>
      <w:r w:rsidRPr="004130F4">
        <w:rPr>
          <w:rFonts w:ascii="Times New Roman" w:hAnsi="Times New Roman" w:cs="Times New Roman"/>
          <w:sz w:val="24"/>
          <w:szCs w:val="24"/>
          <w:lang w:val="en-GB"/>
        </w:rPr>
        <w:lastRenderedPageBreak/>
        <w:t>Renewable Energy</w:t>
      </w:r>
    </w:p>
    <w:p w14:paraId="47196C87" w14:textId="6B666354" w:rsidR="00614438" w:rsidRPr="00614438" w:rsidRDefault="004130F4" w:rsidP="004130F4">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4.2.2.1 </w:t>
      </w:r>
      <w:r w:rsidR="00614438" w:rsidRPr="00614438">
        <w:rPr>
          <w:rFonts w:ascii="Times New Roman" w:hAnsi="Times New Roman" w:cs="Times New Roman"/>
          <w:sz w:val="24"/>
          <w:szCs w:val="24"/>
          <w:lang w:val="en-GB"/>
        </w:rPr>
        <w:t>Current share of renewable energy in gross final energy consumption and in different sectors (heating and cooling, electricity and transport)</w:t>
      </w:r>
      <w:r>
        <w:rPr>
          <w:rFonts w:ascii="Times New Roman" w:hAnsi="Times New Roman" w:cs="Times New Roman"/>
          <w:sz w:val="24"/>
          <w:szCs w:val="24"/>
          <w:lang w:val="en-GB"/>
        </w:rPr>
        <w:t>,</w:t>
      </w:r>
      <w:r w:rsidR="00614438" w:rsidRPr="00614438">
        <w:rPr>
          <w:rFonts w:ascii="Times New Roman" w:hAnsi="Times New Roman" w:cs="Times New Roman"/>
          <w:sz w:val="24"/>
          <w:szCs w:val="24"/>
          <w:lang w:val="en-GB"/>
        </w:rPr>
        <w:t xml:space="preserve"> as well as per technology in each of these sectors</w:t>
      </w:r>
    </w:p>
    <w:p w14:paraId="356551DB" w14:textId="77777777" w:rsidR="00614438" w:rsidRPr="00614438" w:rsidRDefault="00614438" w:rsidP="004130F4">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As presented in </w:t>
      </w:r>
      <w:r w:rsidR="00FA29EF">
        <w:fldChar w:fldCharType="begin"/>
      </w:r>
      <w:r w:rsidR="00FA29EF">
        <w:instrText xml:space="preserve"> REF _Ref118990269 \h  \* MERGEFORMAT </w:instrText>
      </w:r>
      <w:r w:rsidR="00FA29EF">
        <w:fldChar w:fldCharType="separate"/>
      </w:r>
      <w:r w:rsidRPr="00614438">
        <w:rPr>
          <w:rFonts w:ascii="Times New Roman" w:hAnsi="Times New Roman" w:cs="Times New Roman"/>
          <w:sz w:val="24"/>
          <w:szCs w:val="24"/>
          <w:lang w:val="en-GB"/>
        </w:rPr>
        <w:t>Figure 4.13</w:t>
      </w:r>
      <w:r w:rsidR="00FA29EF">
        <w:fldChar w:fldCharType="end"/>
      </w:r>
      <w:r w:rsidRPr="00614438">
        <w:rPr>
          <w:rFonts w:ascii="Times New Roman" w:hAnsi="Times New Roman" w:cs="Times New Roman"/>
          <w:sz w:val="24"/>
          <w:szCs w:val="24"/>
          <w:lang w:val="en-GB"/>
        </w:rPr>
        <w:t>, the gross electricity production remained almost stable in 2020, compared to 2010 at about 3.3 Mtoe, despite several fluctuations within the period. Solid fossil fuels and RES (mainly hydro power) are the major sources contributing substantially to the gross electricity production over the last decade, by 65.7% and 33% in 2010 and by 70% and 29% in 2020, respectively.</w:t>
      </w:r>
    </w:p>
    <w:p w14:paraId="0B021E19" w14:textId="77777777" w:rsidR="00614438" w:rsidRPr="00614438" w:rsidRDefault="00614438" w:rsidP="00614438">
      <w:pPr>
        <w:jc w:val="both"/>
        <w:rPr>
          <w:rFonts w:ascii="Times New Roman" w:hAnsi="Times New Roman" w:cs="Times New Roman"/>
          <w:sz w:val="24"/>
          <w:szCs w:val="24"/>
          <w:lang w:val="en-GB"/>
        </w:rPr>
      </w:pPr>
      <w:bookmarkStart w:id="216" w:name="_Ref118990269"/>
      <w:bookmarkStart w:id="217" w:name="_Toc118992281"/>
      <w:bookmarkStart w:id="218" w:name="_Toc154575220"/>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13</w:t>
      </w:r>
      <w:r w:rsidR="00C83251" w:rsidRPr="00614438">
        <w:rPr>
          <w:rFonts w:ascii="Times New Roman" w:hAnsi="Times New Roman" w:cs="Times New Roman"/>
          <w:sz w:val="24"/>
          <w:szCs w:val="24"/>
        </w:rPr>
        <w:fldChar w:fldCharType="end"/>
      </w:r>
      <w:bookmarkEnd w:id="216"/>
      <w:r w:rsidRPr="00614438">
        <w:rPr>
          <w:rFonts w:ascii="Times New Roman" w:hAnsi="Times New Roman" w:cs="Times New Roman"/>
          <w:sz w:val="24"/>
          <w:szCs w:val="24"/>
        </w:rPr>
        <w:t>: Gross electricity production over 2010-2020 (Source: Eurostat, 2023)</w:t>
      </w:r>
      <w:bookmarkEnd w:id="217"/>
      <w:bookmarkEnd w:id="218"/>
    </w:p>
    <w:p w14:paraId="6B4948E5"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18273BDB" wp14:editId="343011C8">
            <wp:extent cx="4895850" cy="2505075"/>
            <wp:effectExtent l="0" t="0" r="0" b="9525"/>
            <wp:docPr id="158135604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95850" cy="2505075"/>
                    </a:xfrm>
                    <a:prstGeom prst="rect">
                      <a:avLst/>
                    </a:prstGeom>
                    <a:noFill/>
                    <a:ln>
                      <a:noFill/>
                    </a:ln>
                  </pic:spPr>
                </pic:pic>
              </a:graphicData>
            </a:graphic>
          </wp:inline>
        </w:drawing>
      </w:r>
    </w:p>
    <w:p w14:paraId="757E72A6" w14:textId="3ED10DDA" w:rsidR="00614438" w:rsidRPr="00614438" w:rsidRDefault="00614438" w:rsidP="004130F4">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Furthermore, the gross heat production declined by 4.8% between 2010 and 2020; from 905.0 ktoe in 2010 to 861.1 ktoe in 2020, as shown in </w:t>
      </w:r>
      <w:r w:rsidR="00FA29EF">
        <w:fldChar w:fldCharType="begin"/>
      </w:r>
      <w:r w:rsidR="00FA29EF">
        <w:instrText xml:space="preserve"> REF _Ref113633813 \h  \* MERGEFORMAT </w:instrText>
      </w:r>
      <w:r w:rsidR="00FA29EF">
        <w:fldChar w:fldCharType="separate"/>
      </w:r>
      <w:r w:rsidRPr="00614438">
        <w:rPr>
          <w:rFonts w:ascii="Times New Roman" w:hAnsi="Times New Roman" w:cs="Times New Roman"/>
          <w:sz w:val="24"/>
          <w:szCs w:val="24"/>
          <w:lang w:val="en-GB"/>
        </w:rPr>
        <w:t>Figure 4.14</w:t>
      </w:r>
      <w:r w:rsidR="00FA29EF">
        <w:fldChar w:fldCharType="end"/>
      </w:r>
      <w:r w:rsidRPr="00614438">
        <w:rPr>
          <w:rFonts w:ascii="Times New Roman" w:hAnsi="Times New Roman" w:cs="Times New Roman"/>
          <w:sz w:val="24"/>
          <w:szCs w:val="24"/>
          <w:lang w:val="en-GB"/>
        </w:rPr>
        <w:t>. Natural gas and solid fossil fuels contributed substantially to the gross heat production over the last decade, by 48.8% and 16.8% in 2010 and by 66.09% and 17.01% in 2020, respectively.</w:t>
      </w:r>
    </w:p>
    <w:p w14:paraId="4C060544" w14:textId="77777777" w:rsidR="004130F4" w:rsidRPr="00614438" w:rsidRDefault="004130F4" w:rsidP="004130F4">
      <w:pPr>
        <w:ind w:firstLine="720"/>
        <w:jc w:val="both"/>
        <w:rPr>
          <w:rFonts w:ascii="Times New Roman" w:hAnsi="Times New Roman" w:cs="Times New Roman"/>
          <w:sz w:val="24"/>
          <w:szCs w:val="24"/>
          <w:lang w:val="en-GB"/>
        </w:rPr>
      </w:pPr>
      <w:bookmarkStart w:id="219" w:name="_Ref113633813"/>
      <w:bookmarkStart w:id="220" w:name="_Toc118992282"/>
      <w:bookmarkStart w:id="221" w:name="_Toc154575221"/>
      <w:r w:rsidRPr="00614438">
        <w:rPr>
          <w:rFonts w:ascii="Times New Roman" w:hAnsi="Times New Roman" w:cs="Times New Roman"/>
          <w:sz w:val="24"/>
          <w:szCs w:val="24"/>
          <w:lang w:val="en-GB"/>
        </w:rPr>
        <w:t xml:space="preserve">As illustrated in </w:t>
      </w:r>
      <w:r>
        <w:fldChar w:fldCharType="begin"/>
      </w:r>
      <w:r>
        <w:instrText xml:space="preserve"> REF _Ref153545243 \h  \* MERGEFORMAT </w:instrText>
      </w:r>
      <w:r>
        <w:fldChar w:fldCharType="separate"/>
      </w:r>
      <w:r w:rsidRPr="00614438">
        <w:rPr>
          <w:rFonts w:ascii="Times New Roman" w:hAnsi="Times New Roman" w:cs="Times New Roman"/>
          <w:sz w:val="24"/>
          <w:szCs w:val="24"/>
          <w:lang w:val="en-GB"/>
        </w:rPr>
        <w:t>Figure 4.15</w:t>
      </w:r>
      <w:r>
        <w:fldChar w:fldCharType="end"/>
      </w:r>
      <w:r w:rsidRPr="00614438">
        <w:rPr>
          <w:rFonts w:ascii="Times New Roman" w:hAnsi="Times New Roman" w:cs="Times New Roman"/>
          <w:sz w:val="24"/>
          <w:szCs w:val="24"/>
          <w:lang w:val="en-GB"/>
        </w:rPr>
        <w:fldChar w:fldCharType="begin"/>
      </w:r>
      <w:r w:rsidRPr="00614438">
        <w:rPr>
          <w:rFonts w:ascii="Times New Roman" w:hAnsi="Times New Roman" w:cs="Times New Roman"/>
          <w:sz w:val="24"/>
          <w:szCs w:val="24"/>
          <w:lang w:val="en-GB"/>
        </w:rPr>
        <w:instrText xml:space="preserve"> REF _Ref113633839 \h  \* MERGEFORMAT </w:instrText>
      </w:r>
      <w:r w:rsidRPr="00614438">
        <w:rPr>
          <w:rFonts w:ascii="Times New Roman" w:hAnsi="Times New Roman" w:cs="Times New Roman"/>
          <w:sz w:val="24"/>
          <w:szCs w:val="24"/>
          <w:lang w:val="en-GB"/>
        </w:rPr>
      </w:r>
      <w:r w:rsidRPr="00614438">
        <w:rPr>
          <w:rFonts w:ascii="Times New Roman" w:hAnsi="Times New Roman" w:cs="Times New Roman"/>
          <w:sz w:val="24"/>
          <w:szCs w:val="24"/>
        </w:rPr>
        <w:fldChar w:fldCharType="end"/>
      </w:r>
      <w:r w:rsidRPr="00614438">
        <w:rPr>
          <w:rFonts w:ascii="Times New Roman" w:hAnsi="Times New Roman" w:cs="Times New Roman"/>
          <w:sz w:val="24"/>
          <w:szCs w:val="24"/>
          <w:lang w:val="en-GB"/>
        </w:rPr>
        <w:t>, the share of RES in gross electricity consumption was increased over 2010-2020 from 28% in 2010 to 31% in 2020, while the share of energy from RES as a percentage of gross final energy consumption also increased from 19.8% in 2010 to 26.3% in 2020.</w:t>
      </w:r>
    </w:p>
    <w:p w14:paraId="0F013515"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14</w:t>
      </w:r>
      <w:r w:rsidR="00C83251" w:rsidRPr="00614438">
        <w:rPr>
          <w:rFonts w:ascii="Times New Roman" w:hAnsi="Times New Roman" w:cs="Times New Roman"/>
          <w:sz w:val="24"/>
          <w:szCs w:val="24"/>
        </w:rPr>
        <w:fldChar w:fldCharType="end"/>
      </w:r>
      <w:bookmarkEnd w:id="219"/>
      <w:r w:rsidRPr="00614438">
        <w:rPr>
          <w:rFonts w:ascii="Times New Roman" w:hAnsi="Times New Roman" w:cs="Times New Roman"/>
          <w:sz w:val="24"/>
          <w:szCs w:val="24"/>
        </w:rPr>
        <w:t>: Gross heat production over 2010-2020 (Source: Eurostat, 2023)</w:t>
      </w:r>
      <w:bookmarkEnd w:id="220"/>
      <w:bookmarkEnd w:id="221"/>
    </w:p>
    <w:p w14:paraId="3C5E13F6"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3326FB9A" wp14:editId="798F0388">
            <wp:extent cx="5048250" cy="2438400"/>
            <wp:effectExtent l="0" t="0" r="0" b="0"/>
            <wp:docPr id="761777348"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48250" cy="2438400"/>
                    </a:xfrm>
                    <a:prstGeom prst="rect">
                      <a:avLst/>
                    </a:prstGeom>
                    <a:noFill/>
                    <a:ln>
                      <a:noFill/>
                    </a:ln>
                  </pic:spPr>
                </pic:pic>
              </a:graphicData>
            </a:graphic>
          </wp:inline>
        </w:drawing>
      </w:r>
    </w:p>
    <w:p w14:paraId="63941009" w14:textId="1B4C8F4A" w:rsidR="00614438" w:rsidRPr="00614438" w:rsidRDefault="00614438" w:rsidP="00614438">
      <w:pPr>
        <w:jc w:val="both"/>
        <w:rPr>
          <w:rFonts w:ascii="Times New Roman" w:hAnsi="Times New Roman" w:cs="Times New Roman"/>
          <w:sz w:val="24"/>
          <w:szCs w:val="24"/>
        </w:rPr>
      </w:pPr>
      <w:bookmarkStart w:id="222" w:name="_Ref153545243"/>
      <w:bookmarkStart w:id="223" w:name="_Toc154575222"/>
      <w:r w:rsidRPr="00614438">
        <w:rPr>
          <w:rFonts w:ascii="Times New Roman" w:hAnsi="Times New Roman" w:cs="Times New Roman"/>
          <w:sz w:val="24"/>
          <w:szCs w:val="24"/>
        </w:rPr>
        <w:lastRenderedPageBreak/>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15</w:t>
      </w:r>
      <w:r w:rsidR="00C83251" w:rsidRPr="00614438">
        <w:rPr>
          <w:rFonts w:ascii="Times New Roman" w:hAnsi="Times New Roman" w:cs="Times New Roman"/>
          <w:sz w:val="24"/>
          <w:szCs w:val="24"/>
        </w:rPr>
        <w:fldChar w:fldCharType="end"/>
      </w:r>
      <w:bookmarkEnd w:id="222"/>
      <w:r w:rsidRPr="00614438">
        <w:rPr>
          <w:rFonts w:ascii="Times New Roman" w:hAnsi="Times New Roman" w:cs="Times New Roman"/>
          <w:sz w:val="24"/>
          <w:szCs w:val="24"/>
        </w:rPr>
        <w:t xml:space="preserve">: Shares of energy from RES </w:t>
      </w:r>
      <w:r w:rsidR="004130F4">
        <w:rPr>
          <w:rFonts w:ascii="Times New Roman" w:hAnsi="Times New Roman" w:cs="Times New Roman"/>
          <w:sz w:val="24"/>
          <w:szCs w:val="24"/>
        </w:rPr>
        <w:t>in the period</w:t>
      </w:r>
      <w:r w:rsidRPr="00614438">
        <w:rPr>
          <w:rFonts w:ascii="Times New Roman" w:hAnsi="Times New Roman" w:cs="Times New Roman"/>
          <w:sz w:val="24"/>
          <w:szCs w:val="24"/>
        </w:rPr>
        <w:t xml:space="preserve"> 2010-2020 (Source: Eurostat, 2023)</w:t>
      </w:r>
      <w:bookmarkEnd w:id="223"/>
    </w:p>
    <w:p w14:paraId="42382581"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7E876845" wp14:editId="2BB8269D">
            <wp:extent cx="4619625" cy="2686050"/>
            <wp:effectExtent l="0" t="0" r="9525" b="0"/>
            <wp:docPr id="175730889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19625" cy="2686050"/>
                    </a:xfrm>
                    <a:prstGeom prst="rect">
                      <a:avLst/>
                    </a:prstGeom>
                    <a:noFill/>
                    <a:ln>
                      <a:noFill/>
                    </a:ln>
                  </pic:spPr>
                </pic:pic>
              </a:graphicData>
            </a:graphic>
          </wp:inline>
        </w:drawing>
      </w:r>
    </w:p>
    <w:p w14:paraId="7F038DDE" w14:textId="5C68AF80" w:rsidR="00614438" w:rsidRPr="00614438" w:rsidRDefault="004130F4" w:rsidP="004130F4">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4.2.2.2 </w:t>
      </w:r>
      <w:r w:rsidR="00614438" w:rsidRPr="00614438">
        <w:rPr>
          <w:rFonts w:ascii="Times New Roman" w:hAnsi="Times New Roman" w:cs="Times New Roman"/>
          <w:sz w:val="24"/>
          <w:szCs w:val="24"/>
          <w:lang w:val="en-GB"/>
        </w:rPr>
        <w:t>Projections of development with existing policies and measures at least until 2040 (including for the year 2030)</w:t>
      </w:r>
    </w:p>
    <w:p w14:paraId="46666CD8" w14:textId="4439817D" w:rsidR="00614438" w:rsidRPr="00614438" w:rsidRDefault="00614438" w:rsidP="009D17D0">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share of RES in the gross final energy consumption (according to the Directive 2009/28/EC</w:t>
      </w:r>
      <w:r w:rsidR="00947F23">
        <w:rPr>
          <w:rFonts w:ascii="Times New Roman" w:hAnsi="Times New Roman" w:cs="Times New Roman"/>
          <w:sz w:val="24"/>
          <w:szCs w:val="24"/>
          <w:lang w:val="en-GB"/>
        </w:rPr>
        <w:t xml:space="preserve"> on the promotion of the use of energy from renewable en</w:t>
      </w:r>
      <w:r w:rsidRPr="00614438">
        <w:rPr>
          <w:rFonts w:ascii="Times New Roman" w:hAnsi="Times New Roman" w:cs="Times New Roman"/>
          <w:sz w:val="24"/>
          <w:szCs w:val="24"/>
          <w:lang w:val="en-GB"/>
        </w:rPr>
        <w:t xml:space="preserve">ergy sources) is expected to remain relatively constant between 2020 and 2050, ranging from 26% in 2020 to 27% in 2050, while a temporary decrease is expected between 2030 and 2045 (from 27% in 2030 to 24% in 2045), as presented in </w:t>
      </w:r>
      <w:r w:rsidR="00FA29EF">
        <w:fldChar w:fldCharType="begin"/>
      </w:r>
      <w:r w:rsidR="00FA29EF">
        <w:instrText xml:space="preserve"> REF _Ref113633875 \h  \* MERGEFORMAT </w:instrText>
      </w:r>
      <w:r w:rsidR="00FA29EF">
        <w:fldChar w:fldCharType="separate"/>
      </w:r>
      <w:r w:rsidRPr="00614438">
        <w:rPr>
          <w:rFonts w:ascii="Times New Roman" w:hAnsi="Times New Roman" w:cs="Times New Roman"/>
          <w:sz w:val="24"/>
          <w:szCs w:val="24"/>
          <w:lang w:val="en-GB"/>
        </w:rPr>
        <w:t>Figure 4.16</w:t>
      </w:r>
      <w:r w:rsidR="00FA29EF">
        <w:fldChar w:fldCharType="end"/>
      </w:r>
      <w:r w:rsidRPr="00614438">
        <w:rPr>
          <w:rFonts w:ascii="Times New Roman" w:hAnsi="Times New Roman" w:cs="Times New Roman"/>
          <w:sz w:val="24"/>
          <w:szCs w:val="24"/>
          <w:lang w:val="en-GB"/>
        </w:rPr>
        <w:t>.</w:t>
      </w:r>
    </w:p>
    <w:p w14:paraId="76624F6E" w14:textId="348E2473" w:rsidR="0008627D" w:rsidRPr="00614438" w:rsidRDefault="0008627D" w:rsidP="0008627D">
      <w:pPr>
        <w:ind w:firstLine="720"/>
        <w:jc w:val="both"/>
        <w:rPr>
          <w:rFonts w:ascii="Times New Roman" w:hAnsi="Times New Roman" w:cs="Times New Roman"/>
          <w:sz w:val="24"/>
          <w:szCs w:val="24"/>
          <w:lang w:val="en-GB"/>
        </w:rPr>
      </w:pPr>
      <w:bookmarkStart w:id="224" w:name="_Ref113633875"/>
      <w:bookmarkStart w:id="225" w:name="_Toc118992284"/>
      <w:bookmarkStart w:id="226" w:name="_Toc154575223"/>
      <w:r w:rsidRPr="00614438">
        <w:rPr>
          <w:rFonts w:ascii="Times New Roman" w:hAnsi="Times New Roman" w:cs="Times New Roman"/>
          <w:sz w:val="24"/>
          <w:szCs w:val="24"/>
          <w:lang w:val="en-GB"/>
        </w:rPr>
        <w:t xml:space="preserve">As shown in </w:t>
      </w:r>
      <w:r>
        <w:fldChar w:fldCharType="begin"/>
      </w:r>
      <w:r>
        <w:instrText xml:space="preserve"> REF _Ref153545325 \h  \* MERGEFORMAT </w:instrText>
      </w:r>
      <w:r>
        <w:fldChar w:fldCharType="separate"/>
      </w:r>
      <w:r w:rsidRPr="00614438">
        <w:rPr>
          <w:rFonts w:ascii="Times New Roman" w:hAnsi="Times New Roman" w:cs="Times New Roman"/>
          <w:sz w:val="24"/>
          <w:szCs w:val="24"/>
          <w:lang w:val="en-GB"/>
        </w:rPr>
        <w:t>Figure 4.17</w:t>
      </w:r>
      <w:r>
        <w:fldChar w:fldCharType="end"/>
      </w:r>
      <w:r w:rsidRPr="00614438">
        <w:rPr>
          <w:rFonts w:ascii="Times New Roman" w:hAnsi="Times New Roman" w:cs="Times New Roman"/>
          <w:sz w:val="24"/>
          <w:szCs w:val="24"/>
          <w:lang w:val="en-GB"/>
        </w:rPr>
        <w:fldChar w:fldCharType="begin"/>
      </w:r>
      <w:r w:rsidRPr="00614438">
        <w:rPr>
          <w:rFonts w:ascii="Times New Roman" w:hAnsi="Times New Roman" w:cs="Times New Roman"/>
          <w:sz w:val="24"/>
          <w:szCs w:val="24"/>
          <w:lang w:val="en-GB"/>
        </w:rPr>
        <w:instrText xml:space="preserve"> REF _Ref113633891 \h  \* MERGEFORMAT </w:instrText>
      </w:r>
      <w:r w:rsidRPr="00614438">
        <w:rPr>
          <w:rFonts w:ascii="Times New Roman" w:hAnsi="Times New Roman" w:cs="Times New Roman"/>
          <w:sz w:val="24"/>
          <w:szCs w:val="24"/>
          <w:lang w:val="en-GB"/>
        </w:rPr>
      </w:r>
      <w:r w:rsidRPr="00614438">
        <w:rPr>
          <w:rFonts w:ascii="Times New Roman" w:hAnsi="Times New Roman" w:cs="Times New Roman"/>
          <w:sz w:val="24"/>
          <w:szCs w:val="24"/>
        </w:rPr>
        <w:fldChar w:fldCharType="end"/>
      </w:r>
      <w:r w:rsidRPr="00614438">
        <w:rPr>
          <w:rFonts w:ascii="Times New Roman" w:hAnsi="Times New Roman" w:cs="Times New Roman"/>
          <w:sz w:val="24"/>
          <w:szCs w:val="24"/>
          <w:lang w:val="en-GB"/>
        </w:rPr>
        <w:t>, the share of RES in the total electricity production is projected to increase almost from 27% in 2020 to 38% in 2050</w:t>
      </w:r>
      <w:r>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indicating the contribution of the existing policies and measures. Nevertheless, the penetration of RES will remain relatively stable approximately at 30% on average over 2025-2045.</w:t>
      </w:r>
    </w:p>
    <w:p w14:paraId="626A6339"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16</w:t>
      </w:r>
      <w:r w:rsidR="00C83251" w:rsidRPr="00614438">
        <w:rPr>
          <w:rFonts w:ascii="Times New Roman" w:hAnsi="Times New Roman" w:cs="Times New Roman"/>
          <w:sz w:val="24"/>
          <w:szCs w:val="24"/>
        </w:rPr>
        <w:fldChar w:fldCharType="end"/>
      </w:r>
      <w:bookmarkEnd w:id="224"/>
      <w:r w:rsidRPr="00614438">
        <w:rPr>
          <w:rFonts w:ascii="Times New Roman" w:hAnsi="Times New Roman" w:cs="Times New Roman"/>
          <w:sz w:val="24"/>
          <w:szCs w:val="24"/>
        </w:rPr>
        <w:t>: Share of RES in gross final energy consumption over 2020-2050</w:t>
      </w:r>
      <w:bookmarkEnd w:id="225"/>
      <w:r w:rsidRPr="00614438">
        <w:rPr>
          <w:rFonts w:ascii="Times New Roman" w:hAnsi="Times New Roman" w:cs="Times New Roman"/>
          <w:sz w:val="24"/>
          <w:szCs w:val="24"/>
        </w:rPr>
        <w:t xml:space="preserve"> in the scenario with existing measures (WEM)</w:t>
      </w:r>
      <w:bookmarkEnd w:id="226"/>
    </w:p>
    <w:p w14:paraId="266D69DC" w14:textId="683B57AC"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664384" behindDoc="0" locked="0" layoutInCell="1" allowOverlap="1" wp14:anchorId="52AE1F23" wp14:editId="369AB5C0">
                <wp:simplePos x="0" y="0"/>
                <wp:positionH relativeFrom="column">
                  <wp:posOffset>1117600</wp:posOffset>
                </wp:positionH>
                <wp:positionV relativeFrom="paragraph">
                  <wp:posOffset>254635</wp:posOffset>
                </wp:positionV>
                <wp:extent cx="2613660" cy="2173605"/>
                <wp:effectExtent l="0" t="0" r="0" b="0"/>
                <wp:wrapNone/>
                <wp:docPr id="2024929534"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13660" cy="217360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65B4944" id="Text Box 135" o:spid="_x0000_s1026" type="#_x0000_t202" style="position:absolute;margin-left:88pt;margin-top:20.05pt;width:205.8pt;height:171.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7CED7434" wp14:editId="3C8FDDB6">
            <wp:extent cx="5495925" cy="2990850"/>
            <wp:effectExtent l="0" t="0" r="9525" b="0"/>
            <wp:docPr id="2039642088"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95925" cy="2990850"/>
                    </a:xfrm>
                    <a:prstGeom prst="rect">
                      <a:avLst/>
                    </a:prstGeom>
                    <a:noFill/>
                    <a:ln>
                      <a:noFill/>
                    </a:ln>
                  </pic:spPr>
                </pic:pic>
              </a:graphicData>
            </a:graphic>
          </wp:inline>
        </w:drawing>
      </w:r>
    </w:p>
    <w:p w14:paraId="0E44CAEA" w14:textId="77777777" w:rsidR="00614438" w:rsidRPr="00614438" w:rsidRDefault="00614438" w:rsidP="00614438">
      <w:pPr>
        <w:jc w:val="both"/>
        <w:rPr>
          <w:rFonts w:ascii="Times New Roman" w:hAnsi="Times New Roman" w:cs="Times New Roman"/>
          <w:sz w:val="24"/>
          <w:szCs w:val="24"/>
          <w:lang w:val="en-GB"/>
        </w:rPr>
      </w:pPr>
    </w:p>
    <w:p w14:paraId="00293C11" w14:textId="77777777" w:rsidR="00614438" w:rsidRPr="00614438" w:rsidRDefault="00614438" w:rsidP="00614438">
      <w:pPr>
        <w:jc w:val="both"/>
        <w:rPr>
          <w:rFonts w:ascii="Times New Roman" w:hAnsi="Times New Roman" w:cs="Times New Roman"/>
          <w:sz w:val="24"/>
          <w:szCs w:val="24"/>
        </w:rPr>
      </w:pPr>
      <w:bookmarkStart w:id="227" w:name="_Ref153545325"/>
      <w:bookmarkStart w:id="228" w:name="_Toc154575224"/>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17</w:t>
      </w:r>
      <w:r w:rsidR="00C83251" w:rsidRPr="00614438">
        <w:rPr>
          <w:rFonts w:ascii="Times New Roman" w:hAnsi="Times New Roman" w:cs="Times New Roman"/>
          <w:sz w:val="24"/>
          <w:szCs w:val="24"/>
        </w:rPr>
        <w:fldChar w:fldCharType="end"/>
      </w:r>
      <w:bookmarkEnd w:id="227"/>
      <w:r w:rsidRPr="00614438">
        <w:rPr>
          <w:rFonts w:ascii="Times New Roman" w:hAnsi="Times New Roman" w:cs="Times New Roman"/>
          <w:sz w:val="24"/>
          <w:szCs w:val="24"/>
        </w:rPr>
        <w:t>: Share of RES in total electricity production over 2020-2050 in the scenario with existing measures (WEM)</w:t>
      </w:r>
      <w:bookmarkEnd w:id="228"/>
    </w:p>
    <w:p w14:paraId="48F20F79" w14:textId="455D43F4"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665408" behindDoc="0" locked="0" layoutInCell="1" allowOverlap="1" wp14:anchorId="76395B77" wp14:editId="55980DFB">
                <wp:simplePos x="0" y="0"/>
                <wp:positionH relativeFrom="column">
                  <wp:posOffset>1082675</wp:posOffset>
                </wp:positionH>
                <wp:positionV relativeFrom="paragraph">
                  <wp:posOffset>251460</wp:posOffset>
                </wp:positionV>
                <wp:extent cx="2665730" cy="2259965"/>
                <wp:effectExtent l="0" t="0" r="0" b="0"/>
                <wp:wrapNone/>
                <wp:docPr id="1907715816"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5730" cy="225996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E899914" id="Text Box 133" o:spid="_x0000_s1026" type="#_x0000_t202" style="position:absolute;margin-left:85.25pt;margin-top:19.8pt;width:209.9pt;height:177.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1176E7F5" wp14:editId="19AD6212">
            <wp:extent cx="5600700" cy="3124200"/>
            <wp:effectExtent l="0" t="0" r="0" b="0"/>
            <wp:docPr id="729345021"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00700" cy="3124200"/>
                    </a:xfrm>
                    <a:prstGeom prst="rect">
                      <a:avLst/>
                    </a:prstGeom>
                    <a:noFill/>
                    <a:ln>
                      <a:noFill/>
                    </a:ln>
                  </pic:spPr>
                </pic:pic>
              </a:graphicData>
            </a:graphic>
          </wp:inline>
        </w:drawing>
      </w:r>
    </w:p>
    <w:p w14:paraId="094870C0" w14:textId="77777777" w:rsidR="00614438" w:rsidRPr="00614438" w:rsidRDefault="00614438" w:rsidP="0008627D">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total installed capacity for electricity production is projected to increase from 8.2 GW in 2020 and 9.3 GW in 2030 to 10.4 GW in 2040 and 13.4 GW in 2050, as presented in </w:t>
      </w:r>
      <w:r w:rsidR="00FA29EF">
        <w:fldChar w:fldCharType="begin"/>
      </w:r>
      <w:r w:rsidR="00FA29EF">
        <w:instrText xml:space="preserve"> REF _Ref153545430 \h  \* MERGEFORMAT </w:instrText>
      </w:r>
      <w:r w:rsidR="00FA29EF">
        <w:fldChar w:fldCharType="separate"/>
      </w:r>
      <w:r w:rsidRPr="00614438">
        <w:rPr>
          <w:rFonts w:ascii="Times New Roman" w:hAnsi="Times New Roman" w:cs="Times New Roman"/>
          <w:sz w:val="24"/>
          <w:szCs w:val="24"/>
          <w:lang w:val="en-GB"/>
        </w:rPr>
        <w:t>Figure 4.18</w:t>
      </w:r>
      <w:r w:rsidR="00FA29EF">
        <w:fldChar w:fldCharType="end"/>
      </w:r>
      <w:r w:rsidRPr="00614438">
        <w:rPr>
          <w:rFonts w:ascii="Times New Roman" w:hAnsi="Times New Roman" w:cs="Times New Roman"/>
          <w:sz w:val="24"/>
          <w:szCs w:val="24"/>
          <w:lang w:val="en-GB"/>
        </w:rPr>
        <w:t>. The expected increase is mainly attributed to the penetration of RES technologies for electricity generation, which generally have a lower utilization or capacity factor than conventional technologies and therefore require more capacity installed than conventional power plants for the same electricity production.</w:t>
      </w:r>
    </w:p>
    <w:p w14:paraId="3B1A24CE" w14:textId="77777777" w:rsidR="00614438" w:rsidRPr="00614438" w:rsidRDefault="00614438" w:rsidP="0008627D">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It is worth noting a greater transformation of the power sector will be exhibited with considerable reduction of conventional power plants and significant increase of renewables. More specifically, the installed capacity of electricity coming from lignite fired power plants is expected to increase at a low extent from 3.6 GW in 2020 to 4.5 GW in 2050 demonstrating the largest contribution in the overall installed capacity for electricity.</w:t>
      </w:r>
    </w:p>
    <w:p w14:paraId="7502CF5F" w14:textId="370FF737" w:rsidR="00614438" w:rsidRPr="00614438" w:rsidRDefault="00614438" w:rsidP="0008627D">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contribution of RES technologies to the total installed capacity of the Republic of Serbia is projected to amount to 43% in 2030 and 54% in 2050 compared to 40% in 2020. The installed RES capacity is expected to increase from 3.5 GW in 2020 to 4.2 GW in 2030 and to 7.3 GW in 2050 (</w:t>
      </w:r>
      <w:r w:rsidR="00FA29EF">
        <w:fldChar w:fldCharType="begin"/>
      </w:r>
      <w:r w:rsidR="00FA29EF">
        <w:instrText xml:space="preserve"> REF _Ref153545502 \h  \* MERGEFORMAT </w:instrText>
      </w:r>
      <w:r w:rsidR="00FA29EF">
        <w:fldChar w:fldCharType="separate"/>
      </w:r>
      <w:r w:rsidRPr="00614438">
        <w:rPr>
          <w:rFonts w:ascii="Times New Roman" w:hAnsi="Times New Roman" w:cs="Times New Roman"/>
          <w:sz w:val="24"/>
          <w:szCs w:val="24"/>
          <w:lang w:val="da-DK"/>
        </w:rPr>
        <w:t>Figure 4.19</w:t>
      </w:r>
      <w:r w:rsidR="00FA29EF">
        <w:fldChar w:fldCharType="end"/>
      </w:r>
      <w:r w:rsidRPr="00614438">
        <w:rPr>
          <w:rFonts w:ascii="Times New Roman" w:hAnsi="Times New Roman" w:cs="Times New Roman"/>
          <w:sz w:val="24"/>
          <w:szCs w:val="24"/>
          <w:lang w:val="en-GB"/>
        </w:rPr>
        <w:t>). A small additional investment in hydro plants is foreseen during the examined period, with their installed capacity to be increased from 2.5 GW in 2020 to 2.9 GW in 2040 remaining relatively constant until 2050 (3.3 GW). Moreover, the installed capacity of wind and solar PV stations is projected to be about 1.8 GW each in 2050 compared to the very low level of 2020.</w:t>
      </w:r>
      <w:bookmarkStart w:id="229" w:name="_heading=h.1tuee74"/>
      <w:bookmarkEnd w:id="229"/>
    </w:p>
    <w:p w14:paraId="07DA55DE" w14:textId="77777777" w:rsidR="00614438" w:rsidRPr="00614438" w:rsidRDefault="00614438" w:rsidP="00614438">
      <w:pPr>
        <w:jc w:val="both"/>
        <w:rPr>
          <w:rFonts w:ascii="Times New Roman" w:hAnsi="Times New Roman" w:cs="Times New Roman"/>
          <w:sz w:val="24"/>
          <w:szCs w:val="24"/>
        </w:rPr>
      </w:pPr>
      <w:bookmarkStart w:id="230" w:name="_Ref153545430"/>
      <w:bookmarkStart w:id="231" w:name="_Toc154575225"/>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18</w:t>
      </w:r>
      <w:r w:rsidR="00C83251" w:rsidRPr="00614438">
        <w:rPr>
          <w:rFonts w:ascii="Times New Roman" w:hAnsi="Times New Roman" w:cs="Times New Roman"/>
          <w:sz w:val="24"/>
          <w:szCs w:val="24"/>
        </w:rPr>
        <w:fldChar w:fldCharType="end"/>
      </w:r>
      <w:bookmarkEnd w:id="230"/>
      <w:r w:rsidRPr="00614438">
        <w:rPr>
          <w:rFonts w:ascii="Times New Roman" w:hAnsi="Times New Roman" w:cs="Times New Roman"/>
          <w:sz w:val="24"/>
          <w:szCs w:val="24"/>
        </w:rPr>
        <w:t>: Installed capacity per technology in the power sector over 2020-2050 in the scenario with existing measures (WEM)</w:t>
      </w:r>
      <w:bookmarkEnd w:id="231"/>
    </w:p>
    <w:p w14:paraId="5E1CDDEB" w14:textId="4DB9D0CC"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666432" behindDoc="0" locked="0" layoutInCell="1" allowOverlap="1" wp14:anchorId="2B980BA1" wp14:editId="5D98E5EE">
                <wp:simplePos x="0" y="0"/>
                <wp:positionH relativeFrom="column">
                  <wp:posOffset>934720</wp:posOffset>
                </wp:positionH>
                <wp:positionV relativeFrom="paragraph">
                  <wp:posOffset>1031875</wp:posOffset>
                </wp:positionV>
                <wp:extent cx="3010535" cy="2833370"/>
                <wp:effectExtent l="0" t="0" r="0" b="0"/>
                <wp:wrapNone/>
                <wp:docPr id="598002822"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0535" cy="2833370"/>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343D897B" id="Text Box 131" o:spid="_x0000_s1026" type="#_x0000_t202" style="position:absolute;margin-left:73.6pt;margin-top:81.25pt;width:237.05pt;height:223.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0302F715" wp14:editId="3BE165DA">
            <wp:extent cx="6115050" cy="4467225"/>
            <wp:effectExtent l="0" t="0" r="0" b="9525"/>
            <wp:docPr id="1913965118"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15050" cy="4467225"/>
                    </a:xfrm>
                    <a:prstGeom prst="rect">
                      <a:avLst/>
                    </a:prstGeom>
                    <a:noFill/>
                    <a:ln>
                      <a:noFill/>
                    </a:ln>
                  </pic:spPr>
                </pic:pic>
              </a:graphicData>
            </a:graphic>
          </wp:inline>
        </w:drawing>
      </w:r>
    </w:p>
    <w:p w14:paraId="147A6A06" w14:textId="77777777" w:rsidR="00614438" w:rsidRPr="00614438" w:rsidRDefault="00614438" w:rsidP="00614438">
      <w:pPr>
        <w:jc w:val="both"/>
        <w:rPr>
          <w:rFonts w:ascii="Times New Roman" w:hAnsi="Times New Roman" w:cs="Times New Roman"/>
          <w:sz w:val="24"/>
          <w:szCs w:val="24"/>
        </w:rPr>
      </w:pPr>
      <w:bookmarkStart w:id="232" w:name="_Ref153545502"/>
      <w:bookmarkStart w:id="233" w:name="_Toc154575226"/>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19</w:t>
      </w:r>
      <w:r w:rsidR="00C83251" w:rsidRPr="00614438">
        <w:rPr>
          <w:rFonts w:ascii="Times New Roman" w:hAnsi="Times New Roman" w:cs="Times New Roman"/>
          <w:sz w:val="24"/>
          <w:szCs w:val="24"/>
        </w:rPr>
        <w:fldChar w:fldCharType="end"/>
      </w:r>
      <w:bookmarkEnd w:id="232"/>
      <w:r w:rsidRPr="00614438">
        <w:rPr>
          <w:rFonts w:ascii="Times New Roman" w:hAnsi="Times New Roman" w:cs="Times New Roman"/>
          <w:sz w:val="24"/>
          <w:szCs w:val="24"/>
        </w:rPr>
        <w:t>: Installed RES capacity per technology over 2020-2050 in the scenario with existing measures (WEM)</w:t>
      </w:r>
      <w:bookmarkEnd w:id="233"/>
    </w:p>
    <w:p w14:paraId="37422001" w14:textId="63C330D3"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667456" behindDoc="0" locked="0" layoutInCell="1" allowOverlap="1" wp14:anchorId="22A8EB1D" wp14:editId="648BD6FA">
                <wp:simplePos x="0" y="0"/>
                <wp:positionH relativeFrom="column">
                  <wp:posOffset>1116965</wp:posOffset>
                </wp:positionH>
                <wp:positionV relativeFrom="paragraph">
                  <wp:posOffset>1733550</wp:posOffset>
                </wp:positionV>
                <wp:extent cx="2682875" cy="2315845"/>
                <wp:effectExtent l="0" t="0" r="0" b="0"/>
                <wp:wrapNone/>
                <wp:docPr id="539682784"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2875" cy="231584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66FD421" id="Text Box 129" o:spid="_x0000_s1026" type="#_x0000_t202" style="position:absolute;margin-left:87.95pt;margin-top:136.5pt;width:211.25pt;height:182.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45506B29" wp14:editId="392BE381">
            <wp:extent cx="5638800" cy="4429125"/>
            <wp:effectExtent l="0" t="0" r="0" b="9525"/>
            <wp:docPr id="159563868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38800" cy="4429125"/>
                    </a:xfrm>
                    <a:prstGeom prst="rect">
                      <a:avLst/>
                    </a:prstGeom>
                    <a:noFill/>
                    <a:ln>
                      <a:noFill/>
                    </a:ln>
                  </pic:spPr>
                </pic:pic>
              </a:graphicData>
            </a:graphic>
          </wp:inline>
        </w:drawing>
      </w:r>
    </w:p>
    <w:p w14:paraId="7ED28633" w14:textId="7A8BB718" w:rsidR="00614438" w:rsidRPr="00614438" w:rsidRDefault="00614438" w:rsidP="0008627D">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addition, the share of RES in the heating and cooling sector is projected to increase from 35.7% in 2020 to 37.9% in 2030, before reaching to 30.3% in 2050, as presented in </w:t>
      </w:r>
      <w:r w:rsidR="00FA29EF">
        <w:fldChar w:fldCharType="begin"/>
      </w:r>
      <w:r w:rsidR="00FA29EF">
        <w:instrText xml:space="preserve"> REF _Ref153463417 \h  \* MERGEFORMAT </w:instrText>
      </w:r>
      <w:r w:rsidR="00FA29EF">
        <w:fldChar w:fldCharType="separate"/>
      </w:r>
      <w:r w:rsidRPr="00614438">
        <w:rPr>
          <w:rFonts w:ascii="Times New Roman" w:hAnsi="Times New Roman" w:cs="Times New Roman"/>
          <w:sz w:val="24"/>
          <w:szCs w:val="24"/>
          <w:lang w:val="en-GB"/>
        </w:rPr>
        <w:t>Figure 4.20</w:t>
      </w:r>
      <w:r w:rsidR="00FA29EF">
        <w:fldChar w:fldCharType="end"/>
      </w:r>
      <w:r w:rsidRPr="00614438">
        <w:rPr>
          <w:rFonts w:ascii="Times New Roman" w:hAnsi="Times New Roman" w:cs="Times New Roman"/>
          <w:sz w:val="24"/>
          <w:szCs w:val="24"/>
          <w:lang w:val="en-GB"/>
        </w:rPr>
        <w:t>, mainly due to the considerable exploitation of biomass for heating. In the WEM scenario there are no new measures foreseen after 2030</w:t>
      </w:r>
      <w:r w:rsidR="0008627D">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so the projected increase in the heating demand is covered by conventional fuels, leading to a decrease in the percentage of RES in heating.</w:t>
      </w:r>
    </w:p>
    <w:p w14:paraId="7FD51019" w14:textId="77777777" w:rsidR="0008627D" w:rsidRPr="00614438" w:rsidRDefault="0008627D" w:rsidP="0008627D">
      <w:pPr>
        <w:ind w:firstLine="720"/>
        <w:jc w:val="both"/>
        <w:rPr>
          <w:rFonts w:ascii="Times New Roman" w:hAnsi="Times New Roman" w:cs="Times New Roman"/>
          <w:sz w:val="24"/>
          <w:szCs w:val="24"/>
          <w:lang w:val="da-DK"/>
        </w:rPr>
      </w:pPr>
      <w:bookmarkStart w:id="234" w:name="_Ref153463417"/>
      <w:bookmarkStart w:id="235" w:name="_Toc154575227"/>
      <w:r w:rsidRPr="00614438">
        <w:rPr>
          <w:rFonts w:ascii="Times New Roman" w:hAnsi="Times New Roman" w:cs="Times New Roman"/>
          <w:sz w:val="24"/>
          <w:szCs w:val="24"/>
          <w:lang w:val="en-GB"/>
        </w:rPr>
        <w:t xml:space="preserve">As presented in </w:t>
      </w:r>
      <w:r>
        <w:fldChar w:fldCharType="begin"/>
      </w:r>
      <w:r>
        <w:instrText xml:space="preserve"> REF _Ref153463510 \h  \* MERGEFORMAT </w:instrText>
      </w:r>
      <w:r>
        <w:fldChar w:fldCharType="separate"/>
      </w:r>
      <w:r w:rsidRPr="00614438">
        <w:rPr>
          <w:rFonts w:ascii="Times New Roman" w:hAnsi="Times New Roman" w:cs="Times New Roman"/>
          <w:sz w:val="24"/>
          <w:szCs w:val="24"/>
          <w:lang w:val="en-GB"/>
        </w:rPr>
        <w:t>Figure 4.21</w:t>
      </w:r>
      <w:r>
        <w:fldChar w:fldCharType="end"/>
      </w:r>
      <w:r w:rsidRPr="00614438">
        <w:rPr>
          <w:rFonts w:ascii="Times New Roman" w:hAnsi="Times New Roman" w:cs="Times New Roman"/>
          <w:sz w:val="24"/>
          <w:szCs w:val="24"/>
          <w:lang w:val="da-DK"/>
        </w:rPr>
        <w:fldChar w:fldCharType="begin"/>
      </w:r>
      <w:r w:rsidRPr="00614438">
        <w:rPr>
          <w:rFonts w:ascii="Times New Roman" w:hAnsi="Times New Roman" w:cs="Times New Roman"/>
          <w:sz w:val="24"/>
          <w:szCs w:val="24"/>
          <w:lang w:val="da-DK"/>
        </w:rPr>
        <w:instrText xml:space="preserve"> REF _Ref113633945 \h  \* MERGEFORMAT </w:instrText>
      </w:r>
      <w:r w:rsidRPr="00614438">
        <w:rPr>
          <w:rFonts w:ascii="Times New Roman" w:hAnsi="Times New Roman" w:cs="Times New Roman"/>
          <w:sz w:val="24"/>
          <w:szCs w:val="24"/>
          <w:lang w:val="da-DK"/>
        </w:rPr>
      </w:r>
      <w:r w:rsidRPr="00614438">
        <w:rPr>
          <w:rFonts w:ascii="Times New Roman" w:hAnsi="Times New Roman" w:cs="Times New Roman"/>
          <w:sz w:val="24"/>
          <w:szCs w:val="24"/>
        </w:rPr>
        <w:fldChar w:fldCharType="end"/>
      </w:r>
      <w:r w:rsidRPr="00614438">
        <w:rPr>
          <w:rFonts w:ascii="Times New Roman" w:hAnsi="Times New Roman" w:cs="Times New Roman"/>
          <w:sz w:val="24"/>
          <w:szCs w:val="24"/>
          <w:lang w:val="en-GB"/>
        </w:rPr>
        <w:t>, the share of RES in transportation (without multipliers) was negligible in 2020, before increasing at 3,7% in 2030, remaining stable at this level by 2045, reaching 5% in 2050. The electrification of the transport sector contributes to the increase of the share of RES in conjunction with the increase of the share of RES in electricity generation, which affects the electricity used in transport.</w:t>
      </w:r>
    </w:p>
    <w:p w14:paraId="6D734970"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20</w:t>
      </w:r>
      <w:r w:rsidR="00C83251" w:rsidRPr="00614438">
        <w:rPr>
          <w:rFonts w:ascii="Times New Roman" w:hAnsi="Times New Roman" w:cs="Times New Roman"/>
          <w:sz w:val="24"/>
          <w:szCs w:val="24"/>
        </w:rPr>
        <w:fldChar w:fldCharType="end"/>
      </w:r>
      <w:bookmarkEnd w:id="234"/>
      <w:r w:rsidRPr="00614438">
        <w:rPr>
          <w:rFonts w:ascii="Times New Roman" w:hAnsi="Times New Roman" w:cs="Times New Roman"/>
          <w:sz w:val="24"/>
          <w:szCs w:val="24"/>
        </w:rPr>
        <w:t>: Share of RES in Heating and Cooling over 2020-2050 in the scenario with existing measures (WEM)</w:t>
      </w:r>
      <w:bookmarkEnd w:id="235"/>
    </w:p>
    <w:p w14:paraId="7AD531B7" w14:textId="2E5933BD"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668480" behindDoc="0" locked="0" layoutInCell="1" allowOverlap="1" wp14:anchorId="63C39D02" wp14:editId="79B84C6F">
                <wp:simplePos x="0" y="0"/>
                <wp:positionH relativeFrom="column">
                  <wp:posOffset>1143000</wp:posOffset>
                </wp:positionH>
                <wp:positionV relativeFrom="paragraph">
                  <wp:posOffset>324485</wp:posOffset>
                </wp:positionV>
                <wp:extent cx="2665730" cy="2600325"/>
                <wp:effectExtent l="0" t="0" r="0" b="0"/>
                <wp:wrapNone/>
                <wp:docPr id="1649836734"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5730" cy="260032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26F1591" id="Text Box 127" o:spid="_x0000_s1026" type="#_x0000_t202" style="position:absolute;margin-left:90pt;margin-top:25.55pt;width:209.9pt;height:204.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626B4B10" wp14:editId="492B8FE3">
            <wp:extent cx="5553075" cy="3590925"/>
            <wp:effectExtent l="0" t="0" r="9525" b="9525"/>
            <wp:docPr id="1743767659"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75560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53075" cy="3590925"/>
                    </a:xfrm>
                    <a:prstGeom prst="rect">
                      <a:avLst/>
                    </a:prstGeom>
                    <a:noFill/>
                    <a:ln>
                      <a:noFill/>
                    </a:ln>
                  </pic:spPr>
                </pic:pic>
              </a:graphicData>
            </a:graphic>
          </wp:inline>
        </w:drawing>
      </w:r>
    </w:p>
    <w:p w14:paraId="5B8361F2" w14:textId="239F2BE9" w:rsidR="00614438" w:rsidRPr="00614438" w:rsidRDefault="00614438" w:rsidP="00614438">
      <w:pPr>
        <w:jc w:val="both"/>
        <w:rPr>
          <w:rFonts w:ascii="Times New Roman" w:hAnsi="Times New Roman" w:cs="Times New Roman"/>
          <w:sz w:val="24"/>
          <w:szCs w:val="24"/>
        </w:rPr>
      </w:pPr>
      <w:bookmarkStart w:id="236" w:name="_Ref153463510"/>
      <w:bookmarkStart w:id="237" w:name="_Toc154575228"/>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21</w:t>
      </w:r>
      <w:r w:rsidR="00C83251" w:rsidRPr="00614438">
        <w:rPr>
          <w:rFonts w:ascii="Times New Roman" w:hAnsi="Times New Roman" w:cs="Times New Roman"/>
          <w:sz w:val="24"/>
          <w:szCs w:val="24"/>
        </w:rPr>
        <w:fldChar w:fldCharType="end"/>
      </w:r>
      <w:bookmarkEnd w:id="236"/>
      <w:r w:rsidRPr="00614438">
        <w:rPr>
          <w:rFonts w:ascii="Times New Roman" w:hAnsi="Times New Roman" w:cs="Times New Roman"/>
          <w:sz w:val="24"/>
          <w:szCs w:val="24"/>
        </w:rPr>
        <w:t xml:space="preserve">: Share of RES in transportation (without multipliers) </w:t>
      </w:r>
      <w:r w:rsidR="004F55D7">
        <w:rPr>
          <w:rFonts w:ascii="Times New Roman" w:hAnsi="Times New Roman" w:cs="Times New Roman"/>
          <w:sz w:val="24"/>
          <w:szCs w:val="24"/>
        </w:rPr>
        <w:t>in the period</w:t>
      </w:r>
      <w:r w:rsidRPr="00614438">
        <w:rPr>
          <w:rFonts w:ascii="Times New Roman" w:hAnsi="Times New Roman" w:cs="Times New Roman"/>
          <w:sz w:val="24"/>
          <w:szCs w:val="24"/>
        </w:rPr>
        <w:t xml:space="preserve"> 2020-2050 in the scenario with existing measures (WEM)</w:t>
      </w:r>
      <w:bookmarkEnd w:id="237"/>
    </w:p>
    <w:p w14:paraId="5A515E93" w14:textId="2AEC3397"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669504" behindDoc="0" locked="0" layoutInCell="1" allowOverlap="1" wp14:anchorId="273BC099" wp14:editId="029F0E17">
                <wp:simplePos x="0" y="0"/>
                <wp:positionH relativeFrom="column">
                  <wp:posOffset>1078230</wp:posOffset>
                </wp:positionH>
                <wp:positionV relativeFrom="paragraph">
                  <wp:posOffset>485140</wp:posOffset>
                </wp:positionV>
                <wp:extent cx="2725420" cy="1945005"/>
                <wp:effectExtent l="0" t="0" r="0" b="0"/>
                <wp:wrapNone/>
                <wp:docPr id="1187658014"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5420" cy="194500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F849ABB" id="Text Box 125" o:spid="_x0000_s1026" type="#_x0000_t202" style="position:absolute;margin-left:84.9pt;margin-top:38.2pt;width:214.6pt;height:153.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3A586BD9" wp14:editId="6D2E3B7F">
            <wp:extent cx="5448300" cy="2933700"/>
            <wp:effectExtent l="0" t="0" r="0" b="0"/>
            <wp:docPr id="2062839047"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8881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48300" cy="2933700"/>
                    </a:xfrm>
                    <a:prstGeom prst="rect">
                      <a:avLst/>
                    </a:prstGeom>
                    <a:noFill/>
                    <a:ln>
                      <a:noFill/>
                    </a:ln>
                  </pic:spPr>
                </pic:pic>
              </a:graphicData>
            </a:graphic>
          </wp:inline>
        </w:drawing>
      </w:r>
    </w:p>
    <w:p w14:paraId="7EA60930" w14:textId="77777777" w:rsidR="00614438" w:rsidRPr="00614438" w:rsidRDefault="00614438" w:rsidP="00614438">
      <w:pPr>
        <w:jc w:val="both"/>
        <w:rPr>
          <w:rFonts w:ascii="Times New Roman" w:hAnsi="Times New Roman" w:cs="Times New Roman"/>
          <w:sz w:val="24"/>
          <w:szCs w:val="24"/>
          <w:lang w:val="en-GB"/>
        </w:rPr>
      </w:pPr>
    </w:p>
    <w:p w14:paraId="42BB63D5" w14:textId="77777777" w:rsidR="00614438" w:rsidRPr="00614438" w:rsidRDefault="00614438" w:rsidP="00614438">
      <w:pPr>
        <w:jc w:val="both"/>
        <w:rPr>
          <w:rFonts w:ascii="Times New Roman" w:hAnsi="Times New Roman" w:cs="Times New Roman"/>
          <w:sz w:val="24"/>
          <w:szCs w:val="24"/>
          <w:lang w:val="en-GB"/>
        </w:rPr>
      </w:pPr>
    </w:p>
    <w:p w14:paraId="29F1C3B6" w14:textId="2C644FA1" w:rsidR="00614438" w:rsidRPr="00614438" w:rsidRDefault="00614438" w:rsidP="004F55D7">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Moreover, the introduction of biofuels in transport sector will increase up to 2050</w:t>
      </w:r>
      <w:r w:rsidR="004F55D7">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demonstrating a penetration equal to 73.33 ktoe in 2030 and 94.11 ktoe in 2050, compared to zero levels in 2020, as illustrated in </w:t>
      </w:r>
      <w:r w:rsidR="00FA29EF">
        <w:fldChar w:fldCharType="begin"/>
      </w:r>
      <w:r w:rsidR="00FA29EF">
        <w:instrText xml:space="preserve"> REF _Ref113633957 \h  \* MERGEFORMAT </w:instrText>
      </w:r>
      <w:r w:rsidR="00FA29EF">
        <w:fldChar w:fldCharType="separate"/>
      </w:r>
      <w:r w:rsidRPr="00614438">
        <w:rPr>
          <w:rFonts w:ascii="Times New Roman" w:hAnsi="Times New Roman" w:cs="Times New Roman"/>
          <w:sz w:val="24"/>
          <w:szCs w:val="24"/>
          <w:lang w:val="en-GB"/>
        </w:rPr>
        <w:t>Figure 4.22</w:t>
      </w:r>
      <w:r w:rsidR="00FA29EF">
        <w:fldChar w:fldCharType="end"/>
      </w:r>
      <w:r w:rsidRPr="00614438">
        <w:rPr>
          <w:rFonts w:ascii="Times New Roman" w:hAnsi="Times New Roman" w:cs="Times New Roman"/>
          <w:sz w:val="24"/>
          <w:szCs w:val="24"/>
          <w:lang w:val="en-GB"/>
        </w:rPr>
        <w:t>. The non-road RES electricity consumption in transport is expected to rise from 9.6 ktoe in 2020 to 13.6 ktoe in 2030 and to 19.2 ktoe in 2050, connected with the partial electrification of rail.</w:t>
      </w:r>
    </w:p>
    <w:p w14:paraId="3AEDF515" w14:textId="77777777" w:rsidR="00614438" w:rsidRPr="00614438" w:rsidRDefault="00614438" w:rsidP="00614438">
      <w:pPr>
        <w:jc w:val="both"/>
        <w:rPr>
          <w:rFonts w:ascii="Times New Roman" w:hAnsi="Times New Roman" w:cs="Times New Roman"/>
          <w:sz w:val="24"/>
          <w:szCs w:val="24"/>
          <w:lang w:val="en-GB"/>
        </w:rPr>
      </w:pPr>
      <w:bookmarkStart w:id="238" w:name="_Ref113633957"/>
      <w:bookmarkStart w:id="239" w:name="_Toc118992290"/>
      <w:bookmarkStart w:id="240" w:name="_Toc154575229"/>
      <w:r w:rsidRPr="00614438">
        <w:rPr>
          <w:rFonts w:ascii="Times New Roman" w:hAnsi="Times New Roman" w:cs="Times New Roman"/>
          <w:sz w:val="24"/>
          <w:szCs w:val="24"/>
        </w:rPr>
        <w:lastRenderedPageBreak/>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22</w:t>
      </w:r>
      <w:r w:rsidR="00C83251" w:rsidRPr="00614438">
        <w:rPr>
          <w:rFonts w:ascii="Times New Roman" w:hAnsi="Times New Roman" w:cs="Times New Roman"/>
          <w:sz w:val="24"/>
          <w:szCs w:val="24"/>
        </w:rPr>
        <w:fldChar w:fldCharType="end"/>
      </w:r>
      <w:bookmarkEnd w:id="238"/>
      <w:r w:rsidRPr="00614438">
        <w:rPr>
          <w:rFonts w:ascii="Times New Roman" w:hAnsi="Times New Roman" w:cs="Times New Roman"/>
          <w:sz w:val="24"/>
          <w:szCs w:val="24"/>
        </w:rPr>
        <w:t>: Electricity consumption from RES in transport over 2020-2050</w:t>
      </w:r>
      <w:bookmarkEnd w:id="239"/>
      <w:r w:rsidRPr="00614438">
        <w:rPr>
          <w:rFonts w:ascii="Times New Roman" w:hAnsi="Times New Roman" w:cs="Times New Roman"/>
          <w:sz w:val="24"/>
          <w:szCs w:val="24"/>
        </w:rPr>
        <w:t xml:space="preserve"> in the scenario with existing measures (WEM)</w:t>
      </w:r>
      <w:bookmarkEnd w:id="240"/>
    </w:p>
    <w:p w14:paraId="55E009E8" w14:textId="61ABF157"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670528" behindDoc="0" locked="0" layoutInCell="1" allowOverlap="1" wp14:anchorId="21AD64E9" wp14:editId="3EE4916E">
                <wp:simplePos x="0" y="0"/>
                <wp:positionH relativeFrom="column">
                  <wp:posOffset>1117600</wp:posOffset>
                </wp:positionH>
                <wp:positionV relativeFrom="paragraph">
                  <wp:posOffset>1244600</wp:posOffset>
                </wp:positionV>
                <wp:extent cx="2700020" cy="1901825"/>
                <wp:effectExtent l="0" t="0" r="0" b="0"/>
                <wp:wrapNone/>
                <wp:docPr id="242470720"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0020" cy="190182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page">
                  <wp14:pctHeight>0</wp14:pctHeight>
                </wp14:sizeRelV>
              </wp:anchor>
            </w:drawing>
          </mc:Choice>
          <mc:Fallback xmlns:w16du="http://schemas.microsoft.com/office/word/2023/wordml/word16du">
            <w:pict>
              <v:shape w14:anchorId="74B31A8C" id="Text Box 123" o:spid="_x0000_s1026" type="#_x0000_t202" style="position:absolute;margin-left:88pt;margin-top:98pt;width:212.6pt;height:149.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1404F62B" wp14:editId="72D04B30">
            <wp:extent cx="5676900" cy="3524250"/>
            <wp:effectExtent l="0" t="0" r="0" b="0"/>
            <wp:docPr id="1456166139"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194507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76900" cy="3524250"/>
                    </a:xfrm>
                    <a:prstGeom prst="rect">
                      <a:avLst/>
                    </a:prstGeom>
                    <a:noFill/>
                    <a:ln>
                      <a:noFill/>
                    </a:ln>
                  </pic:spPr>
                </pic:pic>
              </a:graphicData>
            </a:graphic>
          </wp:inline>
        </w:drawing>
      </w:r>
    </w:p>
    <w:p w14:paraId="0EE8FCF9" w14:textId="13FED386" w:rsidR="00614438" w:rsidRPr="00614438" w:rsidRDefault="004F55D7" w:rsidP="004F55D7">
      <w:pPr>
        <w:ind w:firstLine="720"/>
        <w:jc w:val="both"/>
        <w:rPr>
          <w:rFonts w:ascii="Times New Roman" w:hAnsi="Times New Roman" w:cs="Times New Roman"/>
          <w:sz w:val="24"/>
          <w:szCs w:val="24"/>
          <w:lang w:val="en-GB"/>
        </w:rPr>
      </w:pPr>
      <w:r>
        <w:rPr>
          <w:rFonts w:ascii="Times New Roman" w:hAnsi="Times New Roman" w:cs="Times New Roman"/>
          <w:sz w:val="24"/>
          <w:szCs w:val="24"/>
          <w:lang w:val="en-GB"/>
        </w:rPr>
        <w:t>With</w:t>
      </w:r>
      <w:r w:rsidR="00614438" w:rsidRPr="00614438">
        <w:rPr>
          <w:rFonts w:ascii="Times New Roman" w:hAnsi="Times New Roman" w:cs="Times New Roman"/>
          <w:sz w:val="24"/>
          <w:szCs w:val="24"/>
          <w:lang w:val="en-GB"/>
        </w:rPr>
        <w:t xml:space="preserve"> regards </w:t>
      </w:r>
      <w:r>
        <w:rPr>
          <w:rFonts w:ascii="Times New Roman" w:hAnsi="Times New Roman" w:cs="Times New Roman"/>
          <w:sz w:val="24"/>
          <w:szCs w:val="24"/>
          <w:lang w:val="en-GB"/>
        </w:rPr>
        <w:t xml:space="preserve">to </w:t>
      </w:r>
      <w:r w:rsidR="00614438" w:rsidRPr="00614438">
        <w:rPr>
          <w:rFonts w:ascii="Times New Roman" w:hAnsi="Times New Roman" w:cs="Times New Roman"/>
          <w:sz w:val="24"/>
          <w:szCs w:val="24"/>
          <w:lang w:val="en-GB"/>
        </w:rPr>
        <w:t>the installed capacity per fuel source in district heating plants</w:t>
      </w:r>
      <w:r>
        <w:rPr>
          <w:rFonts w:ascii="Times New Roman" w:hAnsi="Times New Roman" w:cs="Times New Roman"/>
          <w:sz w:val="24"/>
          <w:szCs w:val="24"/>
          <w:lang w:val="en-GB"/>
        </w:rPr>
        <w:t xml:space="preserve"> (</w:t>
      </w:r>
      <w:r w:rsidRPr="004F55D7">
        <w:rPr>
          <w:rFonts w:ascii="Times New Roman" w:hAnsi="Times New Roman" w:cs="Times New Roman"/>
          <w:sz w:val="24"/>
          <w:szCs w:val="24"/>
          <w:lang w:val="en-GB"/>
        </w:rPr>
        <w:t>Take into account that this figure represents only heating plants connected to district heating systems, and not cogeneration plants that also provide heat to the district heating system.</w:t>
      </w:r>
      <w:r>
        <w:rPr>
          <w:rFonts w:ascii="Times New Roman" w:hAnsi="Times New Roman" w:cs="Times New Roman"/>
          <w:sz w:val="24"/>
          <w:szCs w:val="24"/>
          <w:lang w:val="en-GB"/>
        </w:rPr>
        <w:t>)</w:t>
      </w:r>
      <w:r w:rsidR="00614438" w:rsidRPr="00614438">
        <w:rPr>
          <w:rFonts w:ascii="Times New Roman" w:hAnsi="Times New Roman" w:cs="Times New Roman"/>
          <w:sz w:val="24"/>
          <w:szCs w:val="24"/>
          <w:lang w:val="en-GB"/>
        </w:rPr>
        <w:t>, natural gas will remain the dominant fuel throughout the examined period (2020-2050) and the shares of capacities of oil products and solid fuels will remain unchanged from 2020 to 2050, without additional measures for replacement.</w:t>
      </w:r>
    </w:p>
    <w:p w14:paraId="1B3DA152" w14:textId="53E4A533" w:rsidR="00614438" w:rsidRPr="004F55D7" w:rsidRDefault="00614438" w:rsidP="00485CA7">
      <w:pPr>
        <w:pStyle w:val="ListParagraph"/>
        <w:numPr>
          <w:ilvl w:val="1"/>
          <w:numId w:val="271"/>
        </w:numPr>
        <w:jc w:val="center"/>
        <w:rPr>
          <w:rFonts w:ascii="Times New Roman" w:hAnsi="Times New Roman" w:cs="Times New Roman"/>
          <w:sz w:val="24"/>
          <w:szCs w:val="24"/>
          <w:lang w:val="en-GB"/>
        </w:rPr>
      </w:pPr>
      <w:bookmarkStart w:id="241" w:name="_Toc151036053"/>
      <w:bookmarkStart w:id="242" w:name="_Toc151036054"/>
      <w:bookmarkStart w:id="243" w:name="_Toc151036055"/>
      <w:bookmarkStart w:id="244" w:name="_Toc153545053"/>
      <w:bookmarkStart w:id="245" w:name="_Toc118991781"/>
      <w:bookmarkStart w:id="246" w:name="_Toc79772561"/>
      <w:bookmarkEnd w:id="241"/>
      <w:bookmarkEnd w:id="242"/>
      <w:bookmarkEnd w:id="243"/>
      <w:r w:rsidRPr="004F55D7">
        <w:rPr>
          <w:rFonts w:ascii="Times New Roman" w:hAnsi="Times New Roman" w:cs="Times New Roman"/>
          <w:sz w:val="24"/>
          <w:szCs w:val="24"/>
          <w:lang w:val="en-GB"/>
        </w:rPr>
        <w:t>Dimension Energy Efficiency</w:t>
      </w:r>
      <w:bookmarkEnd w:id="244"/>
      <w:bookmarkEnd w:id="245"/>
      <w:bookmarkEnd w:id="246"/>
    </w:p>
    <w:p w14:paraId="2662777F" w14:textId="6580D87C" w:rsidR="00614438" w:rsidRPr="00614438" w:rsidRDefault="004F55D7" w:rsidP="004F55D7">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4.3.1 </w:t>
      </w:r>
      <w:r w:rsidR="00614438" w:rsidRPr="00614438">
        <w:rPr>
          <w:rFonts w:ascii="Times New Roman" w:hAnsi="Times New Roman" w:cs="Times New Roman"/>
          <w:sz w:val="24"/>
          <w:szCs w:val="24"/>
          <w:lang w:val="en-GB"/>
        </w:rPr>
        <w:t>Current primary and final energy consumption in the economy and per sector (including industry, residential, service and transport)</w:t>
      </w:r>
    </w:p>
    <w:p w14:paraId="2A8EF929" w14:textId="4D976B1F" w:rsidR="00614438" w:rsidRPr="00614438" w:rsidRDefault="00614438" w:rsidP="004F55D7">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Over 2010-2020, the gross inland energy consumption remained almost constant (from 15.6 Mtoe in 2010 to 15.9 Mtoe in 2020), recording only a sharp and temporary reduction in 2014 due to the temporary GDP decline. As presented in </w:t>
      </w:r>
      <w:r w:rsidR="00FA29EF">
        <w:fldChar w:fldCharType="begin"/>
      </w:r>
      <w:r w:rsidR="00FA29EF">
        <w:instrText xml:space="preserve"> REF _Ref153545565 \h  \* MERGEFORMAT </w:instrText>
      </w:r>
      <w:r w:rsidR="00FA29EF">
        <w:fldChar w:fldCharType="separate"/>
      </w:r>
      <w:r w:rsidRPr="00614438">
        <w:rPr>
          <w:rFonts w:ascii="Times New Roman" w:hAnsi="Times New Roman" w:cs="Times New Roman"/>
          <w:sz w:val="24"/>
          <w:szCs w:val="24"/>
          <w:lang w:val="en-GB"/>
        </w:rPr>
        <w:t>Figure 4.23</w:t>
      </w:r>
      <w:r w:rsidR="00FA29EF">
        <w:fldChar w:fldCharType="end"/>
      </w:r>
      <w:r w:rsidR="00C83251" w:rsidRPr="00614438">
        <w:rPr>
          <w:rFonts w:ascii="Times New Roman" w:hAnsi="Times New Roman" w:cs="Times New Roman"/>
          <w:sz w:val="24"/>
          <w:szCs w:val="24"/>
          <w:lang w:val="en-GB"/>
        </w:rPr>
        <w:fldChar w:fldCharType="begin"/>
      </w:r>
      <w:r w:rsidRPr="00614438">
        <w:rPr>
          <w:rFonts w:ascii="Times New Roman" w:hAnsi="Times New Roman" w:cs="Times New Roman"/>
          <w:sz w:val="24"/>
          <w:szCs w:val="24"/>
          <w:lang w:val="en-GB"/>
        </w:rPr>
        <w:instrText xml:space="preserve"> REF _Ref113633994 \h  \* MERGEFORMAT </w:instrText>
      </w:r>
      <w:r w:rsidR="00C83251" w:rsidRPr="00614438">
        <w:rPr>
          <w:rFonts w:ascii="Times New Roman" w:hAnsi="Times New Roman" w:cs="Times New Roman"/>
          <w:sz w:val="24"/>
          <w:szCs w:val="24"/>
          <w:lang w:val="en-GB"/>
        </w:rPr>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lang w:val="en-GB"/>
        </w:rPr>
        <w:t>, the solid fossil fuels and oil and petroleum products had a dominant role in the gross inland consumption, with respective shares of 50% and 25% in 2010</w:t>
      </w:r>
      <w:r w:rsidR="00DE4541">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and 50% and 23% in 2020, while the penetration of RES and biofuels, as well as natural gas was lower at about 16% and 12% in </w:t>
      </w:r>
      <w:r w:rsidR="00DE4541">
        <w:rPr>
          <w:rFonts w:ascii="Times New Roman" w:hAnsi="Times New Roman" w:cs="Times New Roman"/>
          <w:sz w:val="24"/>
          <w:szCs w:val="24"/>
          <w:lang w:val="en-GB"/>
        </w:rPr>
        <w:t xml:space="preserve">2010, and </w:t>
      </w:r>
      <w:r w:rsidRPr="00614438">
        <w:rPr>
          <w:rFonts w:ascii="Times New Roman" w:hAnsi="Times New Roman" w:cs="Times New Roman"/>
          <w:sz w:val="24"/>
          <w:szCs w:val="24"/>
          <w:lang w:val="en-GB"/>
        </w:rPr>
        <w:t>2020 correspondingly.</w:t>
      </w:r>
    </w:p>
    <w:p w14:paraId="49F9724F" w14:textId="77777777" w:rsidR="00614438" w:rsidRPr="00614438" w:rsidRDefault="00614438" w:rsidP="00614438">
      <w:pPr>
        <w:jc w:val="both"/>
        <w:rPr>
          <w:rFonts w:ascii="Times New Roman" w:hAnsi="Times New Roman" w:cs="Times New Roman"/>
          <w:sz w:val="24"/>
          <w:szCs w:val="24"/>
          <w:lang w:val="en-GB"/>
        </w:rPr>
      </w:pPr>
      <w:bookmarkStart w:id="247" w:name="_Ref153545565"/>
      <w:bookmarkStart w:id="248" w:name="_Toc154575230"/>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23</w:t>
      </w:r>
      <w:r w:rsidR="00C83251" w:rsidRPr="00614438">
        <w:rPr>
          <w:rFonts w:ascii="Times New Roman" w:hAnsi="Times New Roman" w:cs="Times New Roman"/>
          <w:sz w:val="24"/>
          <w:szCs w:val="24"/>
        </w:rPr>
        <w:fldChar w:fldCharType="end"/>
      </w:r>
      <w:bookmarkEnd w:id="247"/>
      <w:r w:rsidRPr="00614438">
        <w:rPr>
          <w:rFonts w:ascii="Times New Roman" w:hAnsi="Times New Roman" w:cs="Times New Roman"/>
          <w:sz w:val="24"/>
          <w:szCs w:val="24"/>
        </w:rPr>
        <w:t>: Gross inland consumption over 2010-2020 (Source: Eurostat, 2023)</w:t>
      </w:r>
      <w:bookmarkEnd w:id="248"/>
    </w:p>
    <w:p w14:paraId="01A3276E"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lastRenderedPageBreak/>
        <w:drawing>
          <wp:inline distT="0" distB="0" distL="0" distR="0" wp14:anchorId="3772E04F" wp14:editId="4D141928">
            <wp:extent cx="6010275" cy="2733675"/>
            <wp:effectExtent l="0" t="0" r="9525" b="9525"/>
            <wp:docPr id="1935939274"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010275" cy="2733675"/>
                    </a:xfrm>
                    <a:prstGeom prst="rect">
                      <a:avLst/>
                    </a:prstGeom>
                    <a:noFill/>
                    <a:ln>
                      <a:noFill/>
                    </a:ln>
                  </pic:spPr>
                </pic:pic>
              </a:graphicData>
            </a:graphic>
          </wp:inline>
        </w:drawing>
      </w:r>
    </w:p>
    <w:p w14:paraId="6B2C5B8F" w14:textId="1A955A84" w:rsidR="00614438" w:rsidRPr="00614438" w:rsidRDefault="00614438" w:rsidP="00A147C2">
      <w:pPr>
        <w:ind w:firstLine="720"/>
        <w:jc w:val="both"/>
        <w:rPr>
          <w:rFonts w:ascii="Times New Roman" w:hAnsi="Times New Roman" w:cs="Times New Roman"/>
          <w:sz w:val="24"/>
          <w:szCs w:val="24"/>
          <w:lang w:val="en-GB"/>
        </w:rPr>
      </w:pPr>
      <w:r w:rsidRPr="00A147C2">
        <w:rPr>
          <w:rFonts w:ascii="Times New Roman" w:hAnsi="Times New Roman" w:cs="Times New Roman"/>
          <w:sz w:val="24"/>
          <w:szCs w:val="24"/>
          <w:lang w:val="en-GB"/>
        </w:rPr>
        <w:t xml:space="preserve">The primary and final energy consumption were stable at about 15.0 Mtoe and 9.0 Mtoe respectively during 2010-2020, as presented in </w:t>
      </w:r>
      <w:r w:rsidR="00FA29EF" w:rsidRPr="00A147C2">
        <w:fldChar w:fldCharType="begin"/>
      </w:r>
      <w:r w:rsidR="00FA29EF" w:rsidRPr="00A147C2">
        <w:instrText xml:space="preserve"> REF _Ref113634010 \h  \* MERGEFORMAT </w:instrText>
      </w:r>
      <w:r w:rsidR="00FA29EF" w:rsidRPr="00A147C2">
        <w:fldChar w:fldCharType="separate"/>
      </w:r>
      <w:r w:rsidRPr="00A147C2">
        <w:rPr>
          <w:rFonts w:ascii="Times New Roman" w:hAnsi="Times New Roman" w:cs="Times New Roman"/>
          <w:sz w:val="24"/>
          <w:szCs w:val="24"/>
          <w:lang w:val="en-GB"/>
        </w:rPr>
        <w:t>Figure 4.24</w:t>
      </w:r>
      <w:r w:rsidR="00FA29EF" w:rsidRPr="00A147C2">
        <w:fldChar w:fldCharType="end"/>
      </w:r>
      <w:r w:rsidRPr="00A147C2">
        <w:rPr>
          <w:rFonts w:ascii="Times New Roman" w:hAnsi="Times New Roman" w:cs="Times New Roman"/>
          <w:sz w:val="24"/>
          <w:szCs w:val="24"/>
          <w:lang w:val="en-GB"/>
        </w:rPr>
        <w:t>. More specifically, the primary and final energy consumption increased from 2010 to 2011 and then a downward trend was recorded by 2014. Since 2015, a slight increase was experienced until 2020; from 14.2 Mtoe in 2015 to 15.2 Mtoe in 2020 for primary energy consumption and from 8.2 Mtoe in 2015 to 9.1 Mtoe in 2020 for final energy consumption. It should be noted that the primary energy consumption is derived from the gross inland consumption, excluding all non-energy use of energy carriers (e.g. natural gas used not for combustion but for producing chemicals).</w:t>
      </w:r>
    </w:p>
    <w:p w14:paraId="1FC16A6C" w14:textId="77777777" w:rsidR="00614438" w:rsidRPr="00614438" w:rsidRDefault="00614438" w:rsidP="00614438">
      <w:pPr>
        <w:jc w:val="both"/>
        <w:rPr>
          <w:rFonts w:ascii="Times New Roman" w:hAnsi="Times New Roman" w:cs="Times New Roman"/>
          <w:sz w:val="24"/>
          <w:szCs w:val="24"/>
          <w:lang w:val="en-GB"/>
        </w:rPr>
      </w:pPr>
      <w:bookmarkStart w:id="249" w:name="_Ref113634010"/>
      <w:bookmarkStart w:id="250" w:name="_Toc118992293"/>
      <w:bookmarkStart w:id="251" w:name="_Toc154575231"/>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24</w:t>
      </w:r>
      <w:r w:rsidR="00C83251" w:rsidRPr="00614438">
        <w:rPr>
          <w:rFonts w:ascii="Times New Roman" w:hAnsi="Times New Roman" w:cs="Times New Roman"/>
          <w:sz w:val="24"/>
          <w:szCs w:val="24"/>
        </w:rPr>
        <w:fldChar w:fldCharType="end"/>
      </w:r>
      <w:bookmarkEnd w:id="249"/>
      <w:r w:rsidRPr="00614438">
        <w:rPr>
          <w:rFonts w:ascii="Times New Roman" w:hAnsi="Times New Roman" w:cs="Times New Roman"/>
          <w:sz w:val="24"/>
          <w:szCs w:val="24"/>
        </w:rPr>
        <w:t>: Primary and final energy consumption over 2010-2020 (Source: Eurostat, 2023)</w:t>
      </w:r>
      <w:bookmarkEnd w:id="250"/>
      <w:bookmarkEnd w:id="251"/>
    </w:p>
    <w:p w14:paraId="5A1C7EC9"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1715E0EF" wp14:editId="3D62FCA7">
            <wp:extent cx="4486275" cy="2705100"/>
            <wp:effectExtent l="0" t="0" r="9525" b="0"/>
            <wp:docPr id="2083677315"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86275" cy="2705100"/>
                    </a:xfrm>
                    <a:prstGeom prst="rect">
                      <a:avLst/>
                    </a:prstGeom>
                    <a:noFill/>
                    <a:ln>
                      <a:noFill/>
                    </a:ln>
                  </pic:spPr>
                </pic:pic>
              </a:graphicData>
            </a:graphic>
          </wp:inline>
        </w:drawing>
      </w:r>
    </w:p>
    <w:p w14:paraId="1238BEC9" w14:textId="77777777" w:rsidR="00614438" w:rsidRPr="00614438" w:rsidRDefault="00614438" w:rsidP="00A147C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As shown in </w:t>
      </w:r>
      <w:r w:rsidR="00FA29EF">
        <w:fldChar w:fldCharType="begin"/>
      </w:r>
      <w:r w:rsidR="00FA29EF">
        <w:instrText xml:space="preserve"> REF _Ref153545638 \h  \* MERGEFORMAT </w:instrText>
      </w:r>
      <w:r w:rsidR="00FA29EF">
        <w:fldChar w:fldCharType="separate"/>
      </w:r>
      <w:r w:rsidRPr="00614438">
        <w:rPr>
          <w:rFonts w:ascii="Times New Roman" w:hAnsi="Times New Roman" w:cs="Times New Roman"/>
          <w:sz w:val="24"/>
          <w:szCs w:val="24"/>
          <w:lang w:val="en-GB"/>
        </w:rPr>
        <w:t>Figure 4.25</w:t>
      </w:r>
      <w:r w:rsidR="00FA29EF">
        <w:fldChar w:fldCharType="end"/>
      </w:r>
      <w:r w:rsidR="00C83251" w:rsidRPr="00614438">
        <w:rPr>
          <w:rFonts w:ascii="Times New Roman" w:hAnsi="Times New Roman" w:cs="Times New Roman"/>
          <w:sz w:val="24"/>
          <w:szCs w:val="24"/>
          <w:lang w:val="en-GB"/>
        </w:rPr>
        <w:fldChar w:fldCharType="begin"/>
      </w:r>
      <w:r w:rsidRPr="00614438">
        <w:rPr>
          <w:rFonts w:ascii="Times New Roman" w:hAnsi="Times New Roman" w:cs="Times New Roman"/>
          <w:sz w:val="24"/>
          <w:szCs w:val="24"/>
          <w:lang w:val="en-GB"/>
        </w:rPr>
        <w:instrText xml:space="preserve"> REF _Ref113634025 \h  \* MERGEFORMAT </w:instrText>
      </w:r>
      <w:r w:rsidR="00C83251" w:rsidRPr="00614438">
        <w:rPr>
          <w:rFonts w:ascii="Times New Roman" w:hAnsi="Times New Roman" w:cs="Times New Roman"/>
          <w:sz w:val="24"/>
          <w:szCs w:val="24"/>
          <w:lang w:val="en-GB"/>
        </w:rPr>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lang w:val="en-GB"/>
        </w:rPr>
        <w:t>, the final energy consumption decreased by 0.5% in the period 2010-2020. More specifically, the final energy consumption was reduced in the period 2012-2014 after a temporary increase in 2011, while an increasing trend has been observed from 2015 to 2020. The shares of the different energy carriers remained almost identical in 2020 in comparison with 2010.</w:t>
      </w:r>
    </w:p>
    <w:p w14:paraId="25FBEFBA" w14:textId="77777777" w:rsidR="00614438" w:rsidRPr="00614438" w:rsidRDefault="00614438" w:rsidP="00A147C2">
      <w:pPr>
        <w:ind w:firstLine="720"/>
        <w:jc w:val="both"/>
        <w:rPr>
          <w:rFonts w:ascii="Times New Roman" w:hAnsi="Times New Roman" w:cs="Times New Roman"/>
          <w:sz w:val="24"/>
          <w:szCs w:val="24"/>
          <w:lang w:val="en-GB"/>
        </w:rPr>
      </w:pPr>
      <w:bookmarkStart w:id="252" w:name="_Hlk110937900"/>
      <w:r w:rsidRPr="00614438">
        <w:rPr>
          <w:rFonts w:ascii="Times New Roman" w:hAnsi="Times New Roman" w:cs="Times New Roman"/>
          <w:sz w:val="24"/>
          <w:szCs w:val="24"/>
          <w:lang w:val="en-GB"/>
        </w:rPr>
        <w:t>The fact that the primary and final energy consumption remained relatively constant despite the considerable increase of the GDP is an indication for the contribution of the promoted energy efficiency technologies and equipment in all end-use sectors.</w:t>
      </w:r>
      <w:bookmarkEnd w:id="252"/>
    </w:p>
    <w:p w14:paraId="4D2869B8" w14:textId="77777777" w:rsidR="00614438" w:rsidRPr="00614438" w:rsidRDefault="00614438" w:rsidP="00614438">
      <w:pPr>
        <w:jc w:val="both"/>
        <w:rPr>
          <w:rFonts w:ascii="Times New Roman" w:hAnsi="Times New Roman" w:cs="Times New Roman"/>
          <w:sz w:val="24"/>
          <w:szCs w:val="24"/>
          <w:lang w:val="en-GB"/>
        </w:rPr>
      </w:pPr>
      <w:bookmarkStart w:id="253" w:name="_Ref153545638"/>
      <w:bookmarkStart w:id="254" w:name="_Toc154575232"/>
      <w:r w:rsidRPr="00614438">
        <w:rPr>
          <w:rFonts w:ascii="Times New Roman" w:hAnsi="Times New Roman" w:cs="Times New Roman"/>
          <w:sz w:val="24"/>
          <w:szCs w:val="24"/>
        </w:rPr>
        <w:lastRenderedPageBreak/>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25</w:t>
      </w:r>
      <w:r w:rsidR="00C83251" w:rsidRPr="00614438">
        <w:rPr>
          <w:rFonts w:ascii="Times New Roman" w:hAnsi="Times New Roman" w:cs="Times New Roman"/>
          <w:sz w:val="24"/>
          <w:szCs w:val="24"/>
        </w:rPr>
        <w:fldChar w:fldCharType="end"/>
      </w:r>
      <w:bookmarkEnd w:id="253"/>
      <w:r w:rsidRPr="00614438">
        <w:rPr>
          <w:rFonts w:ascii="Times New Roman" w:hAnsi="Times New Roman" w:cs="Times New Roman"/>
          <w:sz w:val="24"/>
          <w:szCs w:val="24"/>
        </w:rPr>
        <w:t>: Final energy consumption by fuel over 2010-2020 (Source: Eurostat, 2023)</w:t>
      </w:r>
      <w:bookmarkEnd w:id="254"/>
    </w:p>
    <w:p w14:paraId="226C85B2"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1983659E" wp14:editId="60DE14CB">
            <wp:extent cx="6000750" cy="3209925"/>
            <wp:effectExtent l="0" t="0" r="0" b="9525"/>
            <wp:docPr id="251866865"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21649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000750" cy="3209925"/>
                    </a:xfrm>
                    <a:prstGeom prst="rect">
                      <a:avLst/>
                    </a:prstGeom>
                    <a:noFill/>
                    <a:ln>
                      <a:noFill/>
                    </a:ln>
                  </pic:spPr>
                </pic:pic>
              </a:graphicData>
            </a:graphic>
          </wp:inline>
        </w:drawing>
      </w:r>
    </w:p>
    <w:p w14:paraId="3851CCF0"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2020, the residential sector was responsible for 40% of the final energy consumption, while the industrial and transport sectors had shares equal to 23% and 25% respectively, as presented in </w:t>
      </w:r>
      <w:r w:rsidR="00FA29EF">
        <w:fldChar w:fldCharType="begin"/>
      </w:r>
      <w:r w:rsidR="00FA29EF">
        <w:instrText xml:space="preserve"> REF _Ref113634045 \h  \* MERGEFORMAT </w:instrText>
      </w:r>
      <w:r w:rsidR="00FA29EF">
        <w:fldChar w:fldCharType="separate"/>
      </w:r>
      <w:r w:rsidRPr="00614438">
        <w:rPr>
          <w:rFonts w:ascii="Times New Roman" w:hAnsi="Times New Roman" w:cs="Times New Roman"/>
          <w:sz w:val="24"/>
          <w:szCs w:val="24"/>
          <w:lang w:val="en-GB"/>
        </w:rPr>
        <w:t>Figure 4.26</w:t>
      </w:r>
      <w:r w:rsidR="00FA29EF">
        <w:fldChar w:fldCharType="end"/>
      </w:r>
      <w:r w:rsidRPr="00614438">
        <w:rPr>
          <w:rFonts w:ascii="Times New Roman" w:hAnsi="Times New Roman" w:cs="Times New Roman"/>
          <w:sz w:val="24"/>
          <w:szCs w:val="24"/>
          <w:lang w:val="en-GB"/>
        </w:rPr>
        <w:t>. The final energy consumption of the industrial and transport sectors decreased in the period 2010-2020 by 17% and 1.5% respectively, while the final energy consumption of the residential sector increased by 13.3% over the same period. The contribution of the services and agricultural sectors to the final energy consumption was considerably lower in the period 2010-2020 compared to the other end-use sectors.</w:t>
      </w:r>
    </w:p>
    <w:p w14:paraId="352FF3C5" w14:textId="77777777" w:rsidR="00614438" w:rsidRPr="00614438" w:rsidRDefault="00614438" w:rsidP="00614438">
      <w:pPr>
        <w:jc w:val="both"/>
        <w:rPr>
          <w:rFonts w:ascii="Times New Roman" w:hAnsi="Times New Roman" w:cs="Times New Roman"/>
          <w:sz w:val="24"/>
          <w:szCs w:val="24"/>
          <w:lang w:val="en-GB"/>
        </w:rPr>
      </w:pPr>
      <w:bookmarkStart w:id="255" w:name="_Ref113634045"/>
      <w:bookmarkStart w:id="256" w:name="_Toc118992295"/>
      <w:bookmarkStart w:id="257" w:name="_Toc154575233"/>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26</w:t>
      </w:r>
      <w:r w:rsidR="00C83251" w:rsidRPr="00614438">
        <w:rPr>
          <w:rFonts w:ascii="Times New Roman" w:hAnsi="Times New Roman" w:cs="Times New Roman"/>
          <w:sz w:val="24"/>
          <w:szCs w:val="24"/>
        </w:rPr>
        <w:fldChar w:fldCharType="end"/>
      </w:r>
      <w:bookmarkEnd w:id="255"/>
      <w:r w:rsidRPr="00614438">
        <w:rPr>
          <w:rFonts w:ascii="Times New Roman" w:hAnsi="Times New Roman" w:cs="Times New Roman"/>
          <w:sz w:val="24"/>
          <w:szCs w:val="24"/>
        </w:rPr>
        <w:t>: Final energy consumption by end-use sector over 2010-2020 (Source: Eurostat, 2023)</w:t>
      </w:r>
      <w:bookmarkEnd w:id="256"/>
      <w:bookmarkEnd w:id="257"/>
    </w:p>
    <w:p w14:paraId="0BA7AB94"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42D0AB01" wp14:editId="5A3D177C">
            <wp:extent cx="5391150" cy="3076575"/>
            <wp:effectExtent l="0" t="0" r="0" b="9525"/>
            <wp:docPr id="1798653445"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18597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91150" cy="3076575"/>
                    </a:xfrm>
                    <a:prstGeom prst="rect">
                      <a:avLst/>
                    </a:prstGeom>
                    <a:noFill/>
                    <a:ln>
                      <a:noFill/>
                    </a:ln>
                  </pic:spPr>
                </pic:pic>
              </a:graphicData>
            </a:graphic>
          </wp:inline>
        </w:drawing>
      </w:r>
    </w:p>
    <w:p w14:paraId="3A6E0C88" w14:textId="1B4674A1" w:rsidR="00614438" w:rsidRPr="00614438" w:rsidRDefault="00A147C2" w:rsidP="00A147C2">
      <w:pPr>
        <w:ind w:firstLine="480"/>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4.3.2 </w:t>
      </w:r>
      <w:r w:rsidR="00614438" w:rsidRPr="00614438">
        <w:rPr>
          <w:rFonts w:ascii="Times New Roman" w:hAnsi="Times New Roman" w:cs="Times New Roman"/>
          <w:sz w:val="24"/>
          <w:szCs w:val="24"/>
          <w:lang w:val="en-GB"/>
        </w:rPr>
        <w:t>Current potential for the application of high-efficiency cogeneration and efficient district heating and cooling</w:t>
      </w:r>
    </w:p>
    <w:p w14:paraId="4651769F" w14:textId="77777777" w:rsidR="00A147C2" w:rsidRDefault="00614438" w:rsidP="00A147C2">
      <w:pPr>
        <w:ind w:firstLine="48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District cooling is not considered as an option in the period until 2030.</w:t>
      </w:r>
      <w:r w:rsidR="00A147C2" w:rsidRPr="00A147C2">
        <w:rPr>
          <w:rFonts w:ascii="Times New Roman" w:hAnsi="Times New Roman" w:cs="Times New Roman"/>
          <w:sz w:val="24"/>
          <w:szCs w:val="24"/>
          <w:lang w:val="en-GB"/>
        </w:rPr>
        <w:t xml:space="preserve"> </w:t>
      </w:r>
    </w:p>
    <w:p w14:paraId="67A0DA55" w14:textId="2F901A66" w:rsidR="00A147C2" w:rsidRPr="00A147C2" w:rsidRDefault="00A147C2" w:rsidP="00A147C2">
      <w:pPr>
        <w:ind w:firstLine="480"/>
        <w:jc w:val="both"/>
        <w:rPr>
          <w:rFonts w:ascii="Times New Roman" w:hAnsi="Times New Roman" w:cs="Times New Roman"/>
          <w:sz w:val="24"/>
          <w:szCs w:val="24"/>
          <w:lang w:val="en-GB"/>
        </w:rPr>
      </w:pPr>
      <w:r w:rsidRPr="00A147C2">
        <w:rPr>
          <w:rFonts w:ascii="Times New Roman" w:hAnsi="Times New Roman" w:cs="Times New Roman"/>
          <w:sz w:val="24"/>
          <w:szCs w:val="24"/>
          <w:lang w:val="en-GB"/>
        </w:rPr>
        <w:t>High efficiency gas-fired cogeneration units are considered as an option for the district heating systems together with biomass and biogas fired units. The penetration in the WEM scenario is expected to be limited</w:t>
      </w:r>
      <w:r>
        <w:rPr>
          <w:rFonts w:ascii="Times New Roman" w:hAnsi="Times New Roman" w:cs="Times New Roman"/>
          <w:sz w:val="24"/>
          <w:szCs w:val="24"/>
          <w:lang w:val="en-GB"/>
        </w:rPr>
        <w:t>,</w:t>
      </w:r>
      <w:r w:rsidRPr="00A147C2">
        <w:rPr>
          <w:rFonts w:ascii="Times New Roman" w:hAnsi="Times New Roman" w:cs="Times New Roman"/>
          <w:sz w:val="24"/>
          <w:szCs w:val="24"/>
          <w:lang w:val="en-GB"/>
        </w:rPr>
        <w:t xml:space="preserve"> but in the scenario with addition measures</w:t>
      </w:r>
      <w:r>
        <w:rPr>
          <w:rFonts w:ascii="Times New Roman" w:hAnsi="Times New Roman" w:cs="Times New Roman"/>
          <w:sz w:val="24"/>
          <w:szCs w:val="24"/>
          <w:lang w:val="en-GB"/>
        </w:rPr>
        <w:t xml:space="preserve"> (WAM)</w:t>
      </w:r>
      <w:r w:rsidRPr="00A147C2">
        <w:rPr>
          <w:rFonts w:ascii="Times New Roman" w:hAnsi="Times New Roman" w:cs="Times New Roman"/>
          <w:sz w:val="24"/>
          <w:szCs w:val="24"/>
          <w:lang w:val="en-GB"/>
        </w:rPr>
        <w:t>, there is a potential of gas fired CHP covering up to 3% of total district heat production and a potential of heat produced in bioenergy CHPs to cover up to 5% of the total heat generation in DH systems.</w:t>
      </w:r>
    </w:p>
    <w:p w14:paraId="4F8B69D9" w14:textId="77777777" w:rsidR="00A147C2" w:rsidRDefault="00A147C2" w:rsidP="00A147C2">
      <w:pPr>
        <w:jc w:val="both"/>
        <w:rPr>
          <w:rFonts w:ascii="Times New Roman" w:hAnsi="Times New Roman" w:cs="Times New Roman"/>
          <w:sz w:val="24"/>
          <w:szCs w:val="24"/>
          <w:lang w:val="en-GB"/>
        </w:rPr>
      </w:pPr>
    </w:p>
    <w:p w14:paraId="22810E11" w14:textId="658CADD9" w:rsidR="00614438" w:rsidRPr="00614438" w:rsidRDefault="00A147C2" w:rsidP="00A147C2">
      <w:pPr>
        <w:ind w:firstLine="480"/>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4.3.3 </w:t>
      </w:r>
      <w:r w:rsidR="00614438" w:rsidRPr="00614438">
        <w:rPr>
          <w:rFonts w:ascii="Times New Roman" w:hAnsi="Times New Roman" w:cs="Times New Roman"/>
          <w:sz w:val="24"/>
          <w:szCs w:val="24"/>
          <w:lang w:val="en-GB"/>
        </w:rPr>
        <w:t>Projections considering existing energy efficiency policies, measures and programmes as described under 1.2. ii) for primary and final energy consumption for each sector at least until 2040 (including for the year 2030)</w:t>
      </w:r>
    </w:p>
    <w:p w14:paraId="4C056BD4" w14:textId="06D18336" w:rsidR="00614438" w:rsidRPr="00614438" w:rsidRDefault="00614438" w:rsidP="00A147C2">
      <w:pPr>
        <w:ind w:firstLine="48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As presented in </w:t>
      </w:r>
      <w:r w:rsidR="00FA29EF">
        <w:fldChar w:fldCharType="begin"/>
      </w:r>
      <w:r w:rsidR="00FA29EF">
        <w:instrText xml:space="preserve"> REF _Ref113634061 \h  \* MERGEFORMAT </w:instrText>
      </w:r>
      <w:r w:rsidR="00FA29EF">
        <w:fldChar w:fldCharType="separate"/>
      </w:r>
      <w:r w:rsidRPr="00614438">
        <w:rPr>
          <w:rFonts w:ascii="Times New Roman" w:hAnsi="Times New Roman" w:cs="Times New Roman"/>
          <w:sz w:val="24"/>
          <w:szCs w:val="24"/>
          <w:lang w:val="en-GB"/>
        </w:rPr>
        <w:t>Figure 4.27</w:t>
      </w:r>
      <w:r w:rsidR="00FA29EF">
        <w:fldChar w:fldCharType="end"/>
      </w:r>
      <w:r w:rsidRPr="00614438">
        <w:rPr>
          <w:rFonts w:ascii="Times New Roman" w:hAnsi="Times New Roman" w:cs="Times New Roman"/>
          <w:sz w:val="24"/>
          <w:szCs w:val="24"/>
          <w:lang w:val="en-GB"/>
        </w:rPr>
        <w:t>, both primary and final energy consumption are expected to follow almost the same upward trend in the period 2020-2050. More specifically, the final energy consumption is projected to increase from 8.9 Mtoe in 2020 to 10.8 Mtoe in 2030 and to 13.2 Mtoe in 2050, exhibiting a more stable upward trend, compared to the primary energy consumption, which will be characterized by a reduction from 19.6</w:t>
      </w:r>
      <w:r w:rsidR="00A147C2">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Mtoe in 2045 to 19.3</w:t>
      </w:r>
      <w:r w:rsidR="00A147C2">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Mtoe in 2050. However, the primary energy consumption is anticipated to rise from 15.0 Mtoe in 2020 to 17.5 Mtoe in 2030 and to 19.3 Mtoe</w:t>
      </w:r>
      <w:r w:rsidR="00A147C2">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in 2050 to cover the increased FEC. The slight reduction between 2045 and 2050 is mainly due to the penetration of RES for electricity production. Obviously, the implementation of the existing energy efficient policies and measures is not capable of restraining the impact of the increased GDP to the energy consumption, which is expected until 2050.</w:t>
      </w:r>
    </w:p>
    <w:p w14:paraId="07069310" w14:textId="77777777" w:rsidR="00614438" w:rsidRPr="00614438" w:rsidRDefault="00614438" w:rsidP="00485CA7">
      <w:pPr>
        <w:numPr>
          <w:ilvl w:val="0"/>
          <w:numId w:val="239"/>
        </w:numPr>
        <w:jc w:val="both"/>
        <w:rPr>
          <w:rFonts w:ascii="Times New Roman" w:hAnsi="Times New Roman" w:cs="Times New Roman"/>
          <w:sz w:val="24"/>
          <w:szCs w:val="24"/>
          <w:lang w:val="en-GB"/>
        </w:rPr>
      </w:pPr>
      <w:bookmarkStart w:id="258" w:name="_Ref113634061"/>
      <w:bookmarkStart w:id="259" w:name="_Toc118992296"/>
      <w:bookmarkStart w:id="260" w:name="_Toc154575234"/>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27</w:t>
      </w:r>
      <w:r w:rsidR="00C83251" w:rsidRPr="00614438">
        <w:rPr>
          <w:rFonts w:ascii="Times New Roman" w:hAnsi="Times New Roman" w:cs="Times New Roman"/>
          <w:sz w:val="24"/>
          <w:szCs w:val="24"/>
        </w:rPr>
        <w:fldChar w:fldCharType="end"/>
      </w:r>
      <w:bookmarkEnd w:id="258"/>
      <w:r w:rsidRPr="00614438">
        <w:rPr>
          <w:rFonts w:ascii="Times New Roman" w:hAnsi="Times New Roman" w:cs="Times New Roman"/>
          <w:sz w:val="24"/>
          <w:szCs w:val="24"/>
        </w:rPr>
        <w:t>: Primary and final energy consumption over 2020-2050</w:t>
      </w:r>
      <w:bookmarkEnd w:id="259"/>
      <w:r w:rsidRPr="00614438">
        <w:rPr>
          <w:rFonts w:ascii="Times New Roman" w:hAnsi="Times New Roman" w:cs="Times New Roman"/>
          <w:sz w:val="24"/>
          <w:szCs w:val="24"/>
        </w:rPr>
        <w:t xml:space="preserve"> in the scenario with existing measures (WEM)</w:t>
      </w:r>
      <w:bookmarkEnd w:id="260"/>
    </w:p>
    <w:p w14:paraId="224487A2" w14:textId="06767353"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671552" behindDoc="0" locked="0" layoutInCell="1" allowOverlap="1" wp14:anchorId="74BACCE1" wp14:editId="68AE6C1D">
                <wp:simplePos x="0" y="0"/>
                <wp:positionH relativeFrom="column">
                  <wp:posOffset>1496695</wp:posOffset>
                </wp:positionH>
                <wp:positionV relativeFrom="paragraph">
                  <wp:posOffset>464820</wp:posOffset>
                </wp:positionV>
                <wp:extent cx="2346325" cy="2057400"/>
                <wp:effectExtent l="0" t="0" r="0" b="0"/>
                <wp:wrapNone/>
                <wp:docPr id="1717307575"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6325" cy="2057400"/>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85A30EA" id="Text Box 121" o:spid="_x0000_s1026" type="#_x0000_t202" style="position:absolute;margin-left:117.85pt;margin-top:36.6pt;width:184.75pt;height:16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3D52D5F7" wp14:editId="2DE732E2">
            <wp:extent cx="4953000" cy="3038475"/>
            <wp:effectExtent l="0" t="0" r="0" b="9525"/>
            <wp:docPr id="559842495"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63594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53000" cy="3038475"/>
                    </a:xfrm>
                    <a:prstGeom prst="rect">
                      <a:avLst/>
                    </a:prstGeom>
                    <a:noFill/>
                    <a:ln>
                      <a:noFill/>
                    </a:ln>
                  </pic:spPr>
                </pic:pic>
              </a:graphicData>
            </a:graphic>
          </wp:inline>
        </w:drawing>
      </w:r>
    </w:p>
    <w:p w14:paraId="3A141BE2" w14:textId="23B97306"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final energy consumption is currently dominated by oil and petroleum products, which satisfy 33% of the total demand, followed by electricity that covers 26% in 2020 (</w:t>
      </w:r>
      <w:r w:rsidR="00FA29EF">
        <w:fldChar w:fldCharType="begin"/>
      </w:r>
      <w:r w:rsidR="00FA29EF">
        <w:instrText xml:space="preserve"> REF _Ref153545761 \h  \* MERGEFORMAT </w:instrText>
      </w:r>
      <w:r w:rsidR="00FA29EF">
        <w:fldChar w:fldCharType="separate"/>
      </w:r>
      <w:r w:rsidRPr="00614438">
        <w:rPr>
          <w:rFonts w:ascii="Times New Roman" w:hAnsi="Times New Roman" w:cs="Times New Roman"/>
          <w:sz w:val="24"/>
          <w:szCs w:val="24"/>
          <w:lang w:val="en-GB"/>
        </w:rPr>
        <w:t>Figure 4.28</w:t>
      </w:r>
      <w:r w:rsidR="00FA29EF">
        <w:fldChar w:fldCharType="end"/>
      </w:r>
      <w:r w:rsidR="00C83251" w:rsidRPr="00614438">
        <w:rPr>
          <w:rFonts w:ascii="Times New Roman" w:hAnsi="Times New Roman" w:cs="Times New Roman"/>
          <w:sz w:val="24"/>
          <w:szCs w:val="24"/>
          <w:lang w:val="en-GB"/>
        </w:rPr>
        <w:fldChar w:fldCharType="begin"/>
      </w:r>
      <w:r w:rsidRPr="00614438">
        <w:rPr>
          <w:rFonts w:ascii="Times New Roman" w:hAnsi="Times New Roman" w:cs="Times New Roman"/>
          <w:sz w:val="24"/>
          <w:szCs w:val="24"/>
          <w:lang w:val="en-GB"/>
        </w:rPr>
        <w:instrText xml:space="preserve"> REF _Ref113634077 \h  \* MERGEFORMAT </w:instrText>
      </w:r>
      <w:r w:rsidR="00C83251" w:rsidRPr="00614438">
        <w:rPr>
          <w:rFonts w:ascii="Times New Roman" w:hAnsi="Times New Roman" w:cs="Times New Roman"/>
          <w:sz w:val="24"/>
          <w:szCs w:val="24"/>
          <w:lang w:val="en-GB"/>
        </w:rPr>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lang w:val="en-GB"/>
        </w:rPr>
        <w:t>). The consumption of oil and petroleum products is expected to steadily rise from 2.9 Mtoe in 2020 to 3.3 Mtoe in 2030 and to 4.1 Mtoe in 2050</w:t>
      </w:r>
      <w:r w:rsidR="001B7407">
        <w:rPr>
          <w:rFonts w:ascii="Times New Roman" w:hAnsi="Times New Roman" w:cs="Times New Roman"/>
          <w:sz w:val="24"/>
          <w:szCs w:val="24"/>
          <w:lang w:val="en-GB"/>
        </w:rPr>
        <w:t>, which</w:t>
      </w:r>
      <w:r w:rsidRPr="00614438">
        <w:rPr>
          <w:rFonts w:ascii="Times New Roman" w:hAnsi="Times New Roman" w:cs="Times New Roman"/>
          <w:sz w:val="24"/>
          <w:szCs w:val="24"/>
          <w:lang w:val="en-GB"/>
        </w:rPr>
        <w:t xml:space="preserve"> represent</w:t>
      </w:r>
      <w:r w:rsidR="001B7407">
        <w:rPr>
          <w:rFonts w:ascii="Times New Roman" w:hAnsi="Times New Roman" w:cs="Times New Roman"/>
          <w:sz w:val="24"/>
          <w:szCs w:val="24"/>
          <w:lang w:val="en-GB"/>
        </w:rPr>
        <w:t>s</w:t>
      </w:r>
      <w:r w:rsidRPr="00614438">
        <w:rPr>
          <w:rFonts w:ascii="Times New Roman" w:hAnsi="Times New Roman" w:cs="Times New Roman"/>
          <w:sz w:val="24"/>
          <w:szCs w:val="24"/>
          <w:lang w:val="en-GB"/>
        </w:rPr>
        <w:t xml:space="preserve"> a slightly reduced share (</w:t>
      </w:r>
      <w:r w:rsidR="001B7407">
        <w:rPr>
          <w:rFonts w:ascii="Times New Roman" w:hAnsi="Times New Roman" w:cs="Times New Roman"/>
          <w:sz w:val="24"/>
          <w:szCs w:val="24"/>
          <w:lang w:val="en-GB"/>
        </w:rPr>
        <w:t>3</w:t>
      </w:r>
      <w:r w:rsidRPr="00614438">
        <w:rPr>
          <w:rFonts w:ascii="Times New Roman" w:hAnsi="Times New Roman" w:cs="Times New Roman"/>
          <w:sz w:val="24"/>
          <w:szCs w:val="24"/>
          <w:lang w:val="en-GB"/>
        </w:rPr>
        <w:t>2%). Similarly, the electricity consumption is expected to increase from 2.2 Mtoe in 2020 to 3.0 Mtoe in 2030 and to 3.6 Mtoe in 2050</w:t>
      </w:r>
      <w:r w:rsidR="001B7407">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leading to a 28% share. The share of RES in the final energy consumption remains </w:t>
      </w:r>
      <w:r w:rsidRPr="00614438">
        <w:rPr>
          <w:rFonts w:ascii="Times New Roman" w:hAnsi="Times New Roman" w:cs="Times New Roman"/>
          <w:sz w:val="24"/>
          <w:szCs w:val="24"/>
          <w:lang w:val="en-GB"/>
        </w:rPr>
        <w:lastRenderedPageBreak/>
        <w:t>relatively constant (around 17% on average) reaching 1.6 Mtoe in 2050. Finally, the consumption of natural gas will increase from 938 ktoe in 2020 to 1.2 Mtoe in 2030 and to 2.2 Mtoe in 2050</w:t>
      </w:r>
      <w:r w:rsidR="001B7407">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reaching a 17% share in the final energy consumption in 2050.</w:t>
      </w:r>
    </w:p>
    <w:p w14:paraId="307E7243" w14:textId="77777777" w:rsidR="00614438" w:rsidRPr="00614438" w:rsidRDefault="00614438" w:rsidP="00614438">
      <w:pPr>
        <w:jc w:val="both"/>
        <w:rPr>
          <w:rFonts w:ascii="Times New Roman" w:hAnsi="Times New Roman" w:cs="Times New Roman"/>
          <w:sz w:val="24"/>
          <w:szCs w:val="24"/>
          <w:lang w:val="en-GB"/>
        </w:rPr>
      </w:pPr>
      <w:bookmarkStart w:id="261" w:name="_Ref153545761"/>
      <w:bookmarkStart w:id="262" w:name="_Toc154575235"/>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28</w:t>
      </w:r>
      <w:r w:rsidR="00C83251" w:rsidRPr="00614438">
        <w:rPr>
          <w:rFonts w:ascii="Times New Roman" w:hAnsi="Times New Roman" w:cs="Times New Roman"/>
          <w:sz w:val="24"/>
          <w:szCs w:val="24"/>
        </w:rPr>
        <w:fldChar w:fldCharType="end"/>
      </w:r>
      <w:bookmarkEnd w:id="261"/>
      <w:r w:rsidRPr="00614438">
        <w:rPr>
          <w:rFonts w:ascii="Times New Roman" w:hAnsi="Times New Roman" w:cs="Times New Roman"/>
          <w:sz w:val="24"/>
          <w:szCs w:val="24"/>
        </w:rPr>
        <w:t>: Final energy consumption by fuel over 2020-2050 in the scenario with existing measures (WEM)</w:t>
      </w:r>
      <w:bookmarkEnd w:id="262"/>
    </w:p>
    <w:p w14:paraId="7DF240EA" w14:textId="7120D8FF"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672576" behindDoc="0" locked="0" layoutInCell="1" allowOverlap="1" wp14:anchorId="1997CCE3" wp14:editId="7D062E08">
                <wp:simplePos x="0" y="0"/>
                <wp:positionH relativeFrom="column">
                  <wp:posOffset>1042035</wp:posOffset>
                </wp:positionH>
                <wp:positionV relativeFrom="paragraph">
                  <wp:posOffset>537845</wp:posOffset>
                </wp:positionV>
                <wp:extent cx="2691130" cy="2074545"/>
                <wp:effectExtent l="0" t="0" r="0" b="0"/>
                <wp:wrapNone/>
                <wp:docPr id="1596999561"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1130" cy="207454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36E4B2A" id="Text Box 119" o:spid="_x0000_s1026" type="#_x0000_t202" style="position:absolute;margin-left:82.05pt;margin-top:42.35pt;width:211.9pt;height:163.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6F9BF090" wp14:editId="4C68A4D2">
            <wp:extent cx="5705475" cy="3209925"/>
            <wp:effectExtent l="0" t="0" r="9525" b="9525"/>
            <wp:docPr id="1404761364"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05475" cy="3209925"/>
                    </a:xfrm>
                    <a:prstGeom prst="rect">
                      <a:avLst/>
                    </a:prstGeom>
                    <a:noFill/>
                    <a:ln>
                      <a:noFill/>
                    </a:ln>
                  </pic:spPr>
                </pic:pic>
              </a:graphicData>
            </a:graphic>
          </wp:inline>
        </w:drawing>
      </w:r>
    </w:p>
    <w:p w14:paraId="51B14346" w14:textId="77777777" w:rsidR="00614438" w:rsidRDefault="00614438" w:rsidP="001B7407">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final energy intensity is projected to decrease until 2050, as it will be reduced by 18% in 2030, 33% in 2040 and 42% in 2050, compared to 2020, as presented in </w:t>
      </w:r>
      <w:r w:rsidR="00FA29EF">
        <w:fldChar w:fldCharType="begin"/>
      </w:r>
      <w:r w:rsidR="00FA29EF">
        <w:instrText xml:space="preserve"> REF _Ref113634104 \h  \* MERGEFORMAT </w:instrText>
      </w:r>
      <w:r w:rsidR="00FA29EF">
        <w:fldChar w:fldCharType="separate"/>
      </w:r>
      <w:r w:rsidRPr="00614438">
        <w:rPr>
          <w:rFonts w:ascii="Times New Roman" w:hAnsi="Times New Roman" w:cs="Times New Roman"/>
          <w:sz w:val="24"/>
          <w:szCs w:val="24"/>
          <w:lang w:val="en-GB"/>
        </w:rPr>
        <w:t>Figure 4.29</w:t>
      </w:r>
      <w:r w:rsidR="00FA29EF">
        <w:fldChar w:fldCharType="end"/>
      </w:r>
      <w:r w:rsidRPr="00614438">
        <w:rPr>
          <w:rFonts w:ascii="Times New Roman" w:hAnsi="Times New Roman" w:cs="Times New Roman"/>
          <w:sz w:val="24"/>
          <w:szCs w:val="24"/>
          <w:lang w:val="en-GB"/>
        </w:rPr>
        <w:t>, highlighting the essential contribution of the existing energy efficiency policies and measures.</w:t>
      </w:r>
    </w:p>
    <w:p w14:paraId="327DB183" w14:textId="2786F386" w:rsidR="001B7407" w:rsidRPr="001B7407" w:rsidRDefault="001B7407" w:rsidP="001B7407">
      <w:pPr>
        <w:ind w:firstLine="720"/>
        <w:jc w:val="both"/>
        <w:rPr>
          <w:rFonts w:ascii="Times New Roman" w:hAnsi="Times New Roman" w:cs="Times New Roman"/>
          <w:sz w:val="24"/>
          <w:szCs w:val="24"/>
          <w:lang w:val="en-GB"/>
        </w:rPr>
      </w:pPr>
      <w:bookmarkStart w:id="263" w:name="_heading=h.1yyy98l"/>
      <w:bookmarkStart w:id="264" w:name="_Ref113634104"/>
      <w:bookmarkStart w:id="265" w:name="_Toc118992298"/>
      <w:bookmarkStart w:id="266" w:name="_Toc154575236"/>
      <w:bookmarkEnd w:id="263"/>
      <w:r w:rsidRPr="001B7407">
        <w:rPr>
          <w:rFonts w:ascii="Times New Roman" w:hAnsi="Times New Roman" w:cs="Times New Roman"/>
          <w:sz w:val="24"/>
          <w:szCs w:val="24"/>
          <w:lang w:val="en-GB"/>
        </w:rPr>
        <w:t xml:space="preserve">As illustrated in </w:t>
      </w:r>
      <w:r>
        <w:fldChar w:fldCharType="begin"/>
      </w:r>
      <w:r>
        <w:instrText xml:space="preserve"> REF _Ref153902793 \h  \* MERGEFORMAT </w:instrText>
      </w:r>
      <w:r>
        <w:fldChar w:fldCharType="separate"/>
      </w:r>
      <w:r w:rsidRPr="001B7407">
        <w:rPr>
          <w:rFonts w:ascii="Times New Roman" w:hAnsi="Times New Roman" w:cs="Times New Roman"/>
          <w:sz w:val="24"/>
          <w:szCs w:val="24"/>
          <w:lang w:val="en-GB"/>
        </w:rPr>
        <w:t>Figure 4.30</w:t>
      </w:r>
      <w:r>
        <w:fldChar w:fldCharType="end"/>
      </w:r>
      <w:r w:rsidRPr="001B7407">
        <w:rPr>
          <w:rFonts w:ascii="Times New Roman" w:hAnsi="Times New Roman" w:cs="Times New Roman"/>
          <w:sz w:val="24"/>
          <w:szCs w:val="24"/>
          <w:lang w:val="en-GB"/>
        </w:rPr>
        <w:t>, the gross inland consumption is expected to increase by 31% at 20.6 Mtoe by 2050, compared to 2020, recording only a temporary reduction between 2045 and 2050; from 20.9 Mtoe in 2045 to 20.6 Mtoe in 2050. Solid fossil fuels and oil and petroleum products have a dominant role in the gross inland consumption, with respective shares of 48% and 23% in 2020, 45% and 24% in 2030, 45% and 23% in 2040 and 39% and 26% in 2050. The penetration of natural gas as well as RES and Wastes is also anticipated to increase throughout the examined period; from 14% and 16% correspondingly in 2020 to 20% and 17% in 2050.</w:t>
      </w:r>
    </w:p>
    <w:p w14:paraId="186EAE6C" w14:textId="77777777" w:rsidR="00614438" w:rsidRPr="00614438" w:rsidRDefault="00614438" w:rsidP="00485CA7">
      <w:pPr>
        <w:numPr>
          <w:ilvl w:val="0"/>
          <w:numId w:val="240"/>
        </w:numPr>
        <w:jc w:val="both"/>
        <w:rPr>
          <w:rFonts w:ascii="Times New Roman" w:hAnsi="Times New Roman" w:cs="Times New Roman"/>
          <w:sz w:val="24"/>
          <w:szCs w:val="24"/>
          <w:lang w:val="en-GB"/>
        </w:rPr>
      </w:pPr>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29</w:t>
      </w:r>
      <w:r w:rsidR="00C83251" w:rsidRPr="00614438">
        <w:rPr>
          <w:rFonts w:ascii="Times New Roman" w:hAnsi="Times New Roman" w:cs="Times New Roman"/>
          <w:sz w:val="24"/>
          <w:szCs w:val="24"/>
        </w:rPr>
        <w:fldChar w:fldCharType="end"/>
      </w:r>
      <w:bookmarkEnd w:id="264"/>
      <w:r w:rsidRPr="00614438">
        <w:rPr>
          <w:rFonts w:ascii="Times New Roman" w:hAnsi="Times New Roman" w:cs="Times New Roman"/>
          <w:sz w:val="24"/>
          <w:szCs w:val="24"/>
        </w:rPr>
        <w:t>: Final energy intensity over 2020-2050</w:t>
      </w:r>
      <w:bookmarkEnd w:id="265"/>
      <w:r w:rsidRPr="00614438">
        <w:rPr>
          <w:rFonts w:ascii="Times New Roman" w:hAnsi="Times New Roman" w:cs="Times New Roman"/>
          <w:sz w:val="24"/>
          <w:szCs w:val="24"/>
        </w:rPr>
        <w:t xml:space="preserve"> in the scenario with existing measures (WEM)</w:t>
      </w:r>
      <w:bookmarkEnd w:id="266"/>
    </w:p>
    <w:p w14:paraId="69261E7A" w14:textId="7C54E1D5"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673600" behindDoc="0" locked="0" layoutInCell="1" allowOverlap="1" wp14:anchorId="6587E454" wp14:editId="13609C32">
                <wp:simplePos x="0" y="0"/>
                <wp:positionH relativeFrom="column">
                  <wp:posOffset>1488440</wp:posOffset>
                </wp:positionH>
                <wp:positionV relativeFrom="paragraph">
                  <wp:posOffset>268605</wp:posOffset>
                </wp:positionV>
                <wp:extent cx="2182495" cy="2108835"/>
                <wp:effectExtent l="0" t="0" r="0" b="0"/>
                <wp:wrapNone/>
                <wp:docPr id="514035679"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2495" cy="210883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8DA340D" id="Text Box 117" o:spid="_x0000_s1026" type="#_x0000_t202" style="position:absolute;margin-left:117.2pt;margin-top:21.15pt;width:171.85pt;height:166.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294F54C4" wp14:editId="6373AC68">
            <wp:extent cx="4543425" cy="2914650"/>
            <wp:effectExtent l="0" t="0" r="9525" b="0"/>
            <wp:docPr id="693998438"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771668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543425" cy="2914650"/>
                    </a:xfrm>
                    <a:prstGeom prst="rect">
                      <a:avLst/>
                    </a:prstGeom>
                    <a:noFill/>
                    <a:ln>
                      <a:noFill/>
                    </a:ln>
                  </pic:spPr>
                </pic:pic>
              </a:graphicData>
            </a:graphic>
          </wp:inline>
        </w:drawing>
      </w:r>
    </w:p>
    <w:p w14:paraId="2DF42B5B" w14:textId="77777777" w:rsidR="00614438" w:rsidRPr="00614438" w:rsidRDefault="00614438" w:rsidP="00614438">
      <w:pPr>
        <w:jc w:val="both"/>
        <w:rPr>
          <w:rFonts w:ascii="Times New Roman" w:hAnsi="Times New Roman" w:cs="Times New Roman"/>
          <w:sz w:val="24"/>
          <w:szCs w:val="24"/>
          <w:lang w:val="en-GB"/>
        </w:rPr>
      </w:pPr>
      <w:bookmarkStart w:id="267" w:name="_Ref153902793"/>
      <w:bookmarkStart w:id="268" w:name="_Toc154575237"/>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30</w:t>
      </w:r>
      <w:r w:rsidR="00C83251" w:rsidRPr="00614438">
        <w:rPr>
          <w:rFonts w:ascii="Times New Roman" w:hAnsi="Times New Roman" w:cs="Times New Roman"/>
          <w:sz w:val="24"/>
          <w:szCs w:val="24"/>
        </w:rPr>
        <w:fldChar w:fldCharType="end"/>
      </w:r>
      <w:bookmarkEnd w:id="267"/>
      <w:r w:rsidRPr="00614438">
        <w:rPr>
          <w:rFonts w:ascii="Times New Roman" w:hAnsi="Times New Roman" w:cs="Times New Roman"/>
          <w:sz w:val="24"/>
          <w:szCs w:val="24"/>
        </w:rPr>
        <w:t>: Gross inland consumption by fuel over 2020-2050 in the scenario with existing measures (WEM)</w:t>
      </w:r>
      <w:bookmarkEnd w:id="268"/>
    </w:p>
    <w:p w14:paraId="0B3006EC" w14:textId="08D3412E"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674624" behindDoc="0" locked="0" layoutInCell="1" allowOverlap="1" wp14:anchorId="67A9FD60" wp14:editId="580D145E">
                <wp:simplePos x="0" y="0"/>
                <wp:positionH relativeFrom="column">
                  <wp:posOffset>1120140</wp:posOffset>
                </wp:positionH>
                <wp:positionV relativeFrom="paragraph">
                  <wp:posOffset>284480</wp:posOffset>
                </wp:positionV>
                <wp:extent cx="2545080" cy="1901825"/>
                <wp:effectExtent l="0" t="0" r="0" b="0"/>
                <wp:wrapNone/>
                <wp:docPr id="1493290875"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5080" cy="190182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page">
                  <wp14:pctHeight>0</wp14:pctHeight>
                </wp14:sizeRelV>
              </wp:anchor>
            </w:drawing>
          </mc:Choice>
          <mc:Fallback xmlns:w16du="http://schemas.microsoft.com/office/word/2023/wordml/word16du">
            <w:pict>
              <v:shape w14:anchorId="26DEB18E" id="Text Box 115" o:spid="_x0000_s1026" type="#_x0000_t202" style="position:absolute;margin-left:88.2pt;margin-top:22.4pt;width:200.4pt;height:149.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7F6A45C8" wp14:editId="36443C76">
            <wp:extent cx="5724525" cy="2667000"/>
            <wp:effectExtent l="0" t="0" r="9525" b="0"/>
            <wp:docPr id="673885578"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24525" cy="2667000"/>
                    </a:xfrm>
                    <a:prstGeom prst="rect">
                      <a:avLst/>
                    </a:prstGeom>
                    <a:noFill/>
                    <a:ln>
                      <a:noFill/>
                    </a:ln>
                  </pic:spPr>
                </pic:pic>
              </a:graphicData>
            </a:graphic>
          </wp:inline>
        </w:drawing>
      </w:r>
    </w:p>
    <w:p w14:paraId="4C863C70" w14:textId="7F3915E5" w:rsidR="00614438" w:rsidRPr="00614438" w:rsidRDefault="00614438" w:rsidP="001B7407">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final energy consumption per end-use sector will increase (21% in 2030, 35% in 2040 and 48% in 2050, compared to 2020), resulting in approximately 12.9 Mtoe in 2050, as shown in </w:t>
      </w:r>
      <w:r w:rsidR="00FA29EF">
        <w:fldChar w:fldCharType="begin"/>
      </w:r>
      <w:r w:rsidR="00FA29EF">
        <w:instrText xml:space="preserve"> REF _Ref113634133 \h  \* MERGEFORMAT </w:instrText>
      </w:r>
      <w:r w:rsidR="00FA29EF">
        <w:fldChar w:fldCharType="separate"/>
      </w:r>
      <w:r w:rsidRPr="00614438">
        <w:rPr>
          <w:rFonts w:ascii="Times New Roman" w:hAnsi="Times New Roman" w:cs="Times New Roman"/>
          <w:sz w:val="24"/>
          <w:szCs w:val="24"/>
          <w:lang w:val="en-GB"/>
        </w:rPr>
        <w:t>Figure 4.31</w:t>
      </w:r>
      <w:r w:rsidR="00FA29EF">
        <w:fldChar w:fldCharType="end"/>
      </w:r>
      <w:r w:rsidRPr="00614438">
        <w:rPr>
          <w:rFonts w:ascii="Times New Roman" w:hAnsi="Times New Roman" w:cs="Times New Roman"/>
          <w:sz w:val="24"/>
          <w:szCs w:val="24"/>
          <w:lang w:val="en-GB"/>
        </w:rPr>
        <w:t>. Transport, residential and industrial sectors retain the highest contribution the whole period 2020-2050 in the final energy consumption, reaching the levels of 3.7 Mtoe, 3.7 Mtoe and 3.8 Mtoe in 2050, respectively. It should be noted that the respective shares of the examined end-use sectors remain relatively constant.</w:t>
      </w:r>
    </w:p>
    <w:p w14:paraId="54C97113" w14:textId="77777777" w:rsidR="00614438" w:rsidRPr="00614438" w:rsidRDefault="00614438" w:rsidP="00485CA7">
      <w:pPr>
        <w:numPr>
          <w:ilvl w:val="0"/>
          <w:numId w:val="241"/>
        </w:numPr>
        <w:jc w:val="both"/>
        <w:rPr>
          <w:rFonts w:ascii="Times New Roman" w:hAnsi="Times New Roman" w:cs="Times New Roman"/>
          <w:sz w:val="24"/>
          <w:szCs w:val="24"/>
          <w:lang w:val="en-GB"/>
        </w:rPr>
      </w:pPr>
      <w:bookmarkStart w:id="269" w:name="_Ref113634133"/>
      <w:bookmarkStart w:id="270" w:name="_Toc118992300"/>
      <w:bookmarkStart w:id="271" w:name="_Toc154575238"/>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31</w:t>
      </w:r>
      <w:r w:rsidR="00C83251" w:rsidRPr="00614438">
        <w:rPr>
          <w:rFonts w:ascii="Times New Roman" w:hAnsi="Times New Roman" w:cs="Times New Roman"/>
          <w:sz w:val="24"/>
          <w:szCs w:val="24"/>
        </w:rPr>
        <w:fldChar w:fldCharType="end"/>
      </w:r>
      <w:bookmarkEnd w:id="269"/>
      <w:r w:rsidRPr="00614438">
        <w:rPr>
          <w:rFonts w:ascii="Times New Roman" w:hAnsi="Times New Roman" w:cs="Times New Roman"/>
          <w:sz w:val="24"/>
          <w:szCs w:val="24"/>
        </w:rPr>
        <w:t>: Final energy consumption by end-use sector over 2020-2050</w:t>
      </w:r>
      <w:bookmarkEnd w:id="270"/>
      <w:r w:rsidRPr="00614438">
        <w:rPr>
          <w:rFonts w:ascii="Times New Roman" w:hAnsi="Times New Roman" w:cs="Times New Roman"/>
          <w:sz w:val="24"/>
          <w:szCs w:val="24"/>
        </w:rPr>
        <w:t xml:space="preserve"> in the scenario with existing measures (WEM)</w:t>
      </w:r>
      <w:bookmarkEnd w:id="271"/>
    </w:p>
    <w:p w14:paraId="4F03BE51" w14:textId="1E20C77A"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675648" behindDoc="0" locked="0" layoutInCell="1" allowOverlap="1" wp14:anchorId="52464DE9" wp14:editId="4A93AB55">
                <wp:simplePos x="0" y="0"/>
                <wp:positionH relativeFrom="column">
                  <wp:posOffset>1117600</wp:posOffset>
                </wp:positionH>
                <wp:positionV relativeFrom="paragraph">
                  <wp:posOffset>564515</wp:posOffset>
                </wp:positionV>
                <wp:extent cx="2605405" cy="2298700"/>
                <wp:effectExtent l="0" t="0" r="0" b="0"/>
                <wp:wrapNone/>
                <wp:docPr id="419129497"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5405" cy="2298700"/>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B82C3C4" id="Text Box 113" o:spid="_x0000_s1026" type="#_x0000_t202" style="position:absolute;margin-left:88pt;margin-top:44.45pt;width:205.15pt;height:18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6E27C6B2" wp14:editId="1DF0B45E">
            <wp:extent cx="5391150" cy="3228975"/>
            <wp:effectExtent l="0" t="0" r="0" b="9525"/>
            <wp:docPr id="1149356250"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91150" cy="3228975"/>
                    </a:xfrm>
                    <a:prstGeom prst="rect">
                      <a:avLst/>
                    </a:prstGeom>
                    <a:noFill/>
                    <a:ln>
                      <a:noFill/>
                    </a:ln>
                  </pic:spPr>
                </pic:pic>
              </a:graphicData>
            </a:graphic>
          </wp:inline>
        </w:drawing>
      </w:r>
    </w:p>
    <w:p w14:paraId="39DD8322" w14:textId="77777777" w:rsidR="00614438" w:rsidRPr="00614438" w:rsidRDefault="00614438" w:rsidP="00485CA7">
      <w:pPr>
        <w:numPr>
          <w:ilvl w:val="0"/>
          <w:numId w:val="242"/>
        </w:numPr>
        <w:jc w:val="both"/>
        <w:rPr>
          <w:rFonts w:ascii="Times New Roman" w:hAnsi="Times New Roman" w:cs="Times New Roman"/>
          <w:sz w:val="24"/>
          <w:szCs w:val="24"/>
          <w:lang w:val="en-GB"/>
        </w:rPr>
      </w:pPr>
      <w:bookmarkStart w:id="272" w:name="_Ref113634144"/>
      <w:bookmarkStart w:id="273" w:name="_Toc118992301"/>
      <w:bookmarkStart w:id="274" w:name="_Toc154575239"/>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32</w:t>
      </w:r>
      <w:r w:rsidR="00C83251" w:rsidRPr="00614438">
        <w:rPr>
          <w:rFonts w:ascii="Times New Roman" w:hAnsi="Times New Roman" w:cs="Times New Roman"/>
          <w:sz w:val="24"/>
          <w:szCs w:val="24"/>
        </w:rPr>
        <w:fldChar w:fldCharType="end"/>
      </w:r>
      <w:bookmarkEnd w:id="272"/>
      <w:r w:rsidRPr="00614438">
        <w:rPr>
          <w:rFonts w:ascii="Times New Roman" w:hAnsi="Times New Roman" w:cs="Times New Roman"/>
          <w:sz w:val="24"/>
          <w:szCs w:val="24"/>
        </w:rPr>
        <w:t>: Final energy consumption by fuel in the industrial sector over 2020-2050</w:t>
      </w:r>
      <w:bookmarkEnd w:id="273"/>
      <w:r w:rsidRPr="00614438">
        <w:rPr>
          <w:rFonts w:ascii="Times New Roman" w:hAnsi="Times New Roman" w:cs="Times New Roman"/>
          <w:sz w:val="24"/>
          <w:szCs w:val="24"/>
        </w:rPr>
        <w:t xml:space="preserve"> in the scenario with existing measures (WEM)</w:t>
      </w:r>
      <w:bookmarkEnd w:id="274"/>
    </w:p>
    <w:p w14:paraId="01FC7676" w14:textId="18103BBF"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676672" behindDoc="0" locked="0" layoutInCell="1" allowOverlap="1" wp14:anchorId="7145BFDB" wp14:editId="1436DEDB">
                <wp:simplePos x="0" y="0"/>
                <wp:positionH relativeFrom="column">
                  <wp:posOffset>944880</wp:posOffset>
                </wp:positionH>
                <wp:positionV relativeFrom="paragraph">
                  <wp:posOffset>619760</wp:posOffset>
                </wp:positionV>
                <wp:extent cx="2872740" cy="1901825"/>
                <wp:effectExtent l="0" t="0" r="0" b="0"/>
                <wp:wrapNone/>
                <wp:docPr id="518280624"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2740" cy="190182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page">
                  <wp14:pctHeight>0</wp14:pctHeight>
                </wp14:sizeRelV>
              </wp:anchor>
            </w:drawing>
          </mc:Choice>
          <mc:Fallback xmlns:w16du="http://schemas.microsoft.com/office/word/2023/wordml/word16du">
            <w:pict>
              <v:shape w14:anchorId="43E3491A" id="Text Box 111" o:spid="_x0000_s1026" type="#_x0000_t202" style="position:absolute;margin-left:74.4pt;margin-top:48.8pt;width:226.2pt;height:149.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1BDE37D6" wp14:editId="3710C936">
            <wp:extent cx="6038850" cy="3057525"/>
            <wp:effectExtent l="0" t="0" r="0" b="9525"/>
            <wp:docPr id="634125933"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038850" cy="3057525"/>
                    </a:xfrm>
                    <a:prstGeom prst="rect">
                      <a:avLst/>
                    </a:prstGeom>
                    <a:noFill/>
                    <a:ln>
                      <a:noFill/>
                    </a:ln>
                  </pic:spPr>
                </pic:pic>
              </a:graphicData>
            </a:graphic>
          </wp:inline>
        </w:drawing>
      </w:r>
    </w:p>
    <w:p w14:paraId="763108AE" w14:textId="77777777" w:rsidR="00614438" w:rsidRPr="00614438" w:rsidRDefault="00614438" w:rsidP="00614438">
      <w:pPr>
        <w:jc w:val="both"/>
        <w:rPr>
          <w:rFonts w:ascii="Times New Roman" w:hAnsi="Times New Roman" w:cs="Times New Roman"/>
          <w:sz w:val="24"/>
          <w:szCs w:val="24"/>
        </w:rPr>
      </w:pPr>
      <w:bookmarkStart w:id="275" w:name="_Ref153463762"/>
      <w:bookmarkStart w:id="276" w:name="_Toc154575240"/>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33</w:t>
      </w:r>
      <w:r w:rsidR="00C83251" w:rsidRPr="00614438">
        <w:rPr>
          <w:rFonts w:ascii="Times New Roman" w:hAnsi="Times New Roman" w:cs="Times New Roman"/>
          <w:sz w:val="24"/>
          <w:szCs w:val="24"/>
        </w:rPr>
        <w:fldChar w:fldCharType="end"/>
      </w:r>
      <w:bookmarkEnd w:id="275"/>
      <w:r w:rsidRPr="00614438">
        <w:rPr>
          <w:rFonts w:ascii="Times New Roman" w:hAnsi="Times New Roman" w:cs="Times New Roman"/>
          <w:sz w:val="24"/>
          <w:szCs w:val="24"/>
        </w:rPr>
        <w:t>: Final energy consumption per sub-sector in the industrial sector over 2020-2050 in the scenario with existing measures (WEM)</w:t>
      </w:r>
      <w:bookmarkEnd w:id="276"/>
    </w:p>
    <w:p w14:paraId="5226F5DE" w14:textId="223D932A"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677696" behindDoc="0" locked="0" layoutInCell="1" allowOverlap="1" wp14:anchorId="1A03E680" wp14:editId="087F99D7">
                <wp:simplePos x="0" y="0"/>
                <wp:positionH relativeFrom="column">
                  <wp:posOffset>679450</wp:posOffset>
                </wp:positionH>
                <wp:positionV relativeFrom="paragraph">
                  <wp:posOffset>1057910</wp:posOffset>
                </wp:positionV>
                <wp:extent cx="2992755" cy="2091055"/>
                <wp:effectExtent l="0" t="0" r="0" b="0"/>
                <wp:wrapNone/>
                <wp:docPr id="1794185288"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2755" cy="209105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9767359" id="Text Box 109" o:spid="_x0000_s1026" type="#_x0000_t202" style="position:absolute;margin-left:53.5pt;margin-top:83.3pt;width:235.65pt;height:164.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22AE73B9" wp14:editId="24C7BED5">
            <wp:extent cx="6120130" cy="3547745"/>
            <wp:effectExtent l="0" t="0" r="0" b="0"/>
            <wp:docPr id="922395948"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81923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20130" cy="3547745"/>
                    </a:xfrm>
                    <a:prstGeom prst="rect">
                      <a:avLst/>
                    </a:prstGeom>
                    <a:noFill/>
                    <a:ln>
                      <a:noFill/>
                    </a:ln>
                  </pic:spPr>
                </pic:pic>
              </a:graphicData>
            </a:graphic>
          </wp:inline>
        </w:drawing>
      </w:r>
    </w:p>
    <w:p w14:paraId="62A08D08" w14:textId="5A607808" w:rsidR="001B7407" w:rsidRPr="00614438" w:rsidRDefault="001B7407" w:rsidP="001B7407">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da-DK"/>
        </w:rPr>
        <w:t xml:space="preserve">As presented in </w:t>
      </w:r>
      <w:r>
        <w:fldChar w:fldCharType="begin"/>
      </w:r>
      <w:r>
        <w:instrText xml:space="preserve"> REF _Ref113634144 \h  \* MERGEFORMAT </w:instrText>
      </w:r>
      <w:r>
        <w:fldChar w:fldCharType="separate"/>
      </w:r>
      <w:r w:rsidRPr="00614438">
        <w:rPr>
          <w:rFonts w:ascii="Times New Roman" w:hAnsi="Times New Roman" w:cs="Times New Roman"/>
          <w:sz w:val="24"/>
          <w:szCs w:val="24"/>
          <w:lang w:val="en-GB"/>
        </w:rPr>
        <w:t>Figure 4.32</w:t>
      </w:r>
      <w:r>
        <w:fldChar w:fldCharType="end"/>
      </w:r>
      <w:r w:rsidRPr="00614438">
        <w:rPr>
          <w:rFonts w:ascii="Times New Roman" w:hAnsi="Times New Roman" w:cs="Times New Roman"/>
          <w:sz w:val="24"/>
          <w:szCs w:val="24"/>
          <w:lang w:val="en-GB"/>
        </w:rPr>
        <w:t>, the final energy consumption by fuel in the industrial sector is expected to increase until 2050; from 2.2 Mtoe in 2020 to 2.7 Mtoe in 2030 and to 3.8 Mtoe in 2050. No significant differentiations are observed in the individual shares of most of the utilised fuels. Nevertheless, both natural gas and electricity increase their shares, being the most dominant fuels in industry. More specifically, the observed level of consumption of natural gas and electricity is 687 ktoe and 1.0 Mtoe in 2030 and 1.3 Mtoe and 1.2 Mtoe in 2050 respectively.</w:t>
      </w:r>
    </w:p>
    <w:p w14:paraId="444F52A2" w14:textId="41E9B335" w:rsidR="001B7407" w:rsidRPr="00614438" w:rsidRDefault="001B7407" w:rsidP="001B7407">
      <w:pPr>
        <w:ind w:firstLine="720"/>
        <w:jc w:val="both"/>
        <w:rPr>
          <w:rFonts w:ascii="Times New Roman" w:hAnsi="Times New Roman" w:cs="Times New Roman"/>
          <w:sz w:val="24"/>
          <w:szCs w:val="24"/>
          <w:lang w:val="da-DK"/>
        </w:rPr>
      </w:pPr>
      <w:r w:rsidRPr="00614438">
        <w:rPr>
          <w:rFonts w:ascii="Times New Roman" w:hAnsi="Times New Roman" w:cs="Times New Roman"/>
          <w:sz w:val="24"/>
          <w:szCs w:val="24"/>
          <w:lang w:val="en-GB"/>
        </w:rPr>
        <w:t xml:space="preserve">The final energy consumption of the different sub-sectors in the industrial sector is expected to increase until 2050, while the individual shares are expected to remain relatively stable until 2050, as presented in </w:t>
      </w:r>
      <w:r>
        <w:fldChar w:fldCharType="begin"/>
      </w:r>
      <w:r>
        <w:instrText xml:space="preserve"> REF _Ref153463762 \h  \* MERGEFORMAT </w:instrText>
      </w:r>
      <w:r>
        <w:fldChar w:fldCharType="separate"/>
      </w:r>
      <w:r w:rsidRPr="00614438">
        <w:rPr>
          <w:rFonts w:ascii="Times New Roman" w:hAnsi="Times New Roman" w:cs="Times New Roman"/>
          <w:sz w:val="24"/>
          <w:szCs w:val="24"/>
          <w:lang w:val="en-GB"/>
        </w:rPr>
        <w:t>Figure 4.33</w:t>
      </w:r>
      <w:r>
        <w:fldChar w:fldCharType="end"/>
      </w:r>
      <w:r w:rsidRPr="00614438">
        <w:rPr>
          <w:rFonts w:ascii="Times New Roman" w:hAnsi="Times New Roman" w:cs="Times New Roman"/>
          <w:sz w:val="24"/>
          <w:szCs w:val="24"/>
          <w:lang w:val="en-GB"/>
        </w:rPr>
        <w:t>. The largest share of the final energy consumption in the different sub-sectors stands for non-metallic minerals, including cement, glass, pottery and building materials, which stood at 436 ktoe in 2020 and are expected to almost double at 798 ktoe in 2050.</w:t>
      </w:r>
    </w:p>
    <w:p w14:paraId="3BB32CD3" w14:textId="74A6B0B8" w:rsidR="00614438" w:rsidRPr="00614438" w:rsidRDefault="00614438" w:rsidP="001B7407">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As presented in </w:t>
      </w:r>
      <w:r w:rsidR="00FA29EF">
        <w:fldChar w:fldCharType="begin"/>
      </w:r>
      <w:r w:rsidR="00FA29EF">
        <w:instrText xml:space="preserve"> REF _Ref153463895 \h  \* MERGEFORMAT </w:instrText>
      </w:r>
      <w:r w:rsidR="00FA29EF">
        <w:fldChar w:fldCharType="separate"/>
      </w:r>
      <w:r w:rsidRPr="00614438">
        <w:rPr>
          <w:rFonts w:ascii="Times New Roman" w:hAnsi="Times New Roman" w:cs="Times New Roman"/>
          <w:sz w:val="24"/>
          <w:szCs w:val="24"/>
          <w:lang w:val="en-GB"/>
        </w:rPr>
        <w:t>Figure 4.34</w:t>
      </w:r>
      <w:r w:rsidR="00FA29EF">
        <w:fldChar w:fldCharType="end"/>
      </w:r>
      <w:r w:rsidR="00C83251" w:rsidRPr="00614438">
        <w:rPr>
          <w:rFonts w:ascii="Times New Roman" w:hAnsi="Times New Roman" w:cs="Times New Roman"/>
          <w:sz w:val="24"/>
          <w:szCs w:val="24"/>
          <w:lang w:val="en-GB"/>
        </w:rPr>
        <w:fldChar w:fldCharType="begin"/>
      </w:r>
      <w:r w:rsidRPr="00614438">
        <w:rPr>
          <w:rFonts w:ascii="Times New Roman" w:hAnsi="Times New Roman" w:cs="Times New Roman"/>
          <w:sz w:val="24"/>
          <w:szCs w:val="24"/>
          <w:lang w:val="en-GB"/>
        </w:rPr>
        <w:instrText xml:space="preserve"> REF _Ref113634171 \h  \* MERGEFORMAT </w:instrText>
      </w:r>
      <w:r w:rsidR="00C83251" w:rsidRPr="00614438">
        <w:rPr>
          <w:rFonts w:ascii="Times New Roman" w:hAnsi="Times New Roman" w:cs="Times New Roman"/>
          <w:sz w:val="24"/>
          <w:szCs w:val="24"/>
          <w:lang w:val="en-GB"/>
        </w:rPr>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lang w:val="en-GB"/>
        </w:rPr>
        <w:t xml:space="preserve">, the final energy consumption of the transport sector by fuel is also expected to increase throughout the examined period; from 2.4 Mtoe in 2020 to 2.8 Mtoe in 2030 and to 3.7 Mtoe in 2050. The dominant consumption of oil and petroleum products, among other fuels, is observed in </w:t>
      </w:r>
      <w:r w:rsidR="00FA29EF">
        <w:fldChar w:fldCharType="begin"/>
      </w:r>
      <w:r w:rsidR="00FA29EF">
        <w:instrText xml:space="preserve"> REF _Ref153463895 \h  \* MERGEFORMAT </w:instrText>
      </w:r>
      <w:r w:rsidR="00FA29EF">
        <w:fldChar w:fldCharType="separate"/>
      </w:r>
      <w:r w:rsidRPr="00614438">
        <w:rPr>
          <w:rFonts w:ascii="Times New Roman" w:hAnsi="Times New Roman" w:cs="Times New Roman"/>
          <w:sz w:val="24"/>
          <w:szCs w:val="24"/>
          <w:lang w:val="en-GB"/>
        </w:rPr>
        <w:t>Figure 4.34</w:t>
      </w:r>
      <w:r w:rsidR="00FA29EF">
        <w:fldChar w:fldCharType="end"/>
      </w:r>
      <w:r w:rsidR="001B7407">
        <w:t xml:space="preserve"> </w:t>
      </w:r>
      <w:r w:rsidRPr="00614438">
        <w:rPr>
          <w:rFonts w:ascii="Times New Roman" w:hAnsi="Times New Roman" w:cs="Times New Roman"/>
          <w:sz w:val="24"/>
          <w:szCs w:val="24"/>
          <w:lang w:val="en-GB"/>
        </w:rPr>
        <w:t xml:space="preserve">and is anticipated to increase substantially; from 2.3 Mtoe in 2020 to 2.6 Mtoe in 2030 and to 3.4 Mtoe in 2050. The penetration of natural gas is rather low without managing to restrain the increased transport activity due to the continuous increase of the GDP until 2050. The same conclusion can </w:t>
      </w:r>
      <w:r w:rsidR="001B7407" w:rsidRPr="00614438">
        <w:rPr>
          <w:rFonts w:ascii="Times New Roman" w:hAnsi="Times New Roman" w:cs="Times New Roman"/>
          <w:sz w:val="24"/>
          <w:szCs w:val="24"/>
          <w:lang w:val="en-GB"/>
        </w:rPr>
        <w:t xml:space="preserve">also </w:t>
      </w:r>
      <w:r w:rsidRPr="00614438">
        <w:rPr>
          <w:rFonts w:ascii="Times New Roman" w:hAnsi="Times New Roman" w:cs="Times New Roman"/>
          <w:sz w:val="24"/>
          <w:szCs w:val="24"/>
          <w:lang w:val="en-GB"/>
        </w:rPr>
        <w:t xml:space="preserve">be derived for the new purchased vehicles, which are not capable of </w:t>
      </w:r>
      <w:r w:rsidR="001B7407" w:rsidRPr="00614438">
        <w:rPr>
          <w:rFonts w:ascii="Times New Roman" w:hAnsi="Times New Roman" w:cs="Times New Roman"/>
          <w:sz w:val="24"/>
          <w:szCs w:val="24"/>
          <w:lang w:val="en-GB"/>
        </w:rPr>
        <w:t xml:space="preserve">considerably </w:t>
      </w:r>
      <w:r w:rsidRPr="00614438">
        <w:rPr>
          <w:rFonts w:ascii="Times New Roman" w:hAnsi="Times New Roman" w:cs="Times New Roman"/>
          <w:sz w:val="24"/>
          <w:szCs w:val="24"/>
          <w:lang w:val="en-GB"/>
        </w:rPr>
        <w:t>reducing the final energy consumption.</w:t>
      </w:r>
    </w:p>
    <w:p w14:paraId="63CB790F" w14:textId="77777777" w:rsidR="00614438" w:rsidRPr="00614438" w:rsidRDefault="00614438" w:rsidP="00614438">
      <w:pPr>
        <w:jc w:val="both"/>
        <w:rPr>
          <w:rFonts w:ascii="Times New Roman" w:hAnsi="Times New Roman" w:cs="Times New Roman"/>
          <w:sz w:val="24"/>
          <w:szCs w:val="24"/>
          <w:lang w:val="en-GB"/>
        </w:rPr>
      </w:pPr>
      <w:bookmarkStart w:id="277" w:name="_Ref153463895"/>
      <w:bookmarkStart w:id="278" w:name="_Toc154575241"/>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34</w:t>
      </w:r>
      <w:r w:rsidR="00C83251" w:rsidRPr="00614438">
        <w:rPr>
          <w:rFonts w:ascii="Times New Roman" w:hAnsi="Times New Roman" w:cs="Times New Roman"/>
          <w:sz w:val="24"/>
          <w:szCs w:val="24"/>
        </w:rPr>
        <w:fldChar w:fldCharType="end"/>
      </w:r>
      <w:bookmarkEnd w:id="277"/>
      <w:r w:rsidRPr="00614438">
        <w:rPr>
          <w:rFonts w:ascii="Times New Roman" w:hAnsi="Times New Roman" w:cs="Times New Roman"/>
          <w:sz w:val="24"/>
          <w:szCs w:val="24"/>
        </w:rPr>
        <w:t>: Final energy consumption by energy source in the transport sector over 2020-2050 in the scenario with existing measures (WEM)</w:t>
      </w:r>
      <w:bookmarkEnd w:id="278"/>
    </w:p>
    <w:p w14:paraId="0FF02F8F" w14:textId="53D2BF8B" w:rsidR="00614438" w:rsidRPr="00614438" w:rsidRDefault="00395FC1" w:rsidP="00614438">
      <w:pPr>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678720" behindDoc="0" locked="0" layoutInCell="1" allowOverlap="1" wp14:anchorId="50BCB8B2" wp14:editId="07A4AECE">
                <wp:simplePos x="0" y="0"/>
                <wp:positionH relativeFrom="column">
                  <wp:posOffset>970280</wp:posOffset>
                </wp:positionH>
                <wp:positionV relativeFrom="paragraph">
                  <wp:posOffset>833755</wp:posOffset>
                </wp:positionV>
                <wp:extent cx="2846705" cy="2393315"/>
                <wp:effectExtent l="0" t="0" r="0" b="0"/>
                <wp:wrapNone/>
                <wp:docPr id="518431201"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239331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6ACD9A5" id="Text Box 107" o:spid="_x0000_s1026" type="#_x0000_t202" style="position:absolute;margin-left:76.4pt;margin-top:65.65pt;width:224.15pt;height:188.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7306659E" wp14:editId="57756040">
            <wp:extent cx="6086475" cy="3619500"/>
            <wp:effectExtent l="0" t="0" r="9525" b="0"/>
            <wp:docPr id="93203107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607130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86475" cy="3619500"/>
                    </a:xfrm>
                    <a:prstGeom prst="rect">
                      <a:avLst/>
                    </a:prstGeom>
                    <a:noFill/>
                    <a:ln>
                      <a:noFill/>
                    </a:ln>
                  </pic:spPr>
                </pic:pic>
              </a:graphicData>
            </a:graphic>
          </wp:inline>
        </w:drawing>
      </w:r>
    </w:p>
    <w:p w14:paraId="0C5D4523" w14:textId="1A6046C3" w:rsidR="00614438" w:rsidRPr="00614438" w:rsidRDefault="00614438" w:rsidP="001B7407">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final energy consumption of all transport modes is expected to increase significantly until 2050, compared to 2020, as shown in </w:t>
      </w:r>
      <w:r w:rsidR="00FA29EF">
        <w:fldChar w:fldCharType="begin"/>
      </w:r>
      <w:r w:rsidR="00FA29EF">
        <w:instrText xml:space="preserve"> REF _Ref153463992 \h  \* MERGEFORMAT </w:instrText>
      </w:r>
      <w:r w:rsidR="00FA29EF">
        <w:fldChar w:fldCharType="separate"/>
      </w:r>
      <w:r w:rsidRPr="00614438">
        <w:rPr>
          <w:rFonts w:ascii="Times New Roman" w:hAnsi="Times New Roman" w:cs="Times New Roman"/>
          <w:sz w:val="24"/>
          <w:szCs w:val="24"/>
          <w:lang w:val="en-GB"/>
        </w:rPr>
        <w:t>Figure 4.35</w:t>
      </w:r>
      <w:r w:rsidR="00FA29EF">
        <w:fldChar w:fldCharType="end"/>
      </w:r>
      <w:r w:rsidRPr="00614438">
        <w:rPr>
          <w:rFonts w:ascii="Times New Roman" w:hAnsi="Times New Roman" w:cs="Times New Roman"/>
          <w:sz w:val="24"/>
          <w:szCs w:val="24"/>
          <w:lang w:val="en-GB"/>
        </w:rPr>
        <w:t>; from 2.4 Mtoe in 2020 to 2.8 Mtoe in 2030 and to 3.7 Mtoe in 2050. The share of road transport, which is by far the largest contributor in the total final energy consumption, is expected to rise from 2.2 Mtoe in 2020 to 2.5 Mtoe in 2030 and to 3.3 Mtoe in 2050. However, in terms of its share in the total final energy consumption, road transport is anticipated to decline from 92% in 2020 to 90% in 2030 and to 88% in 2050.</w:t>
      </w:r>
    </w:p>
    <w:p w14:paraId="71320E6D" w14:textId="77777777" w:rsidR="00614438" w:rsidRPr="00614438" w:rsidRDefault="00614438" w:rsidP="00614438">
      <w:pPr>
        <w:jc w:val="both"/>
        <w:rPr>
          <w:rFonts w:ascii="Times New Roman" w:hAnsi="Times New Roman" w:cs="Times New Roman"/>
          <w:sz w:val="24"/>
          <w:szCs w:val="24"/>
          <w:lang w:val="en-GB"/>
        </w:rPr>
      </w:pPr>
    </w:p>
    <w:p w14:paraId="28606D13" w14:textId="77777777" w:rsidR="00614438" w:rsidRPr="00614438" w:rsidRDefault="00614438" w:rsidP="00614438">
      <w:pPr>
        <w:jc w:val="both"/>
        <w:rPr>
          <w:rFonts w:ascii="Times New Roman" w:hAnsi="Times New Roman" w:cs="Times New Roman"/>
          <w:sz w:val="24"/>
          <w:szCs w:val="24"/>
        </w:rPr>
      </w:pPr>
      <w:bookmarkStart w:id="279" w:name="_Ref153463992"/>
      <w:bookmarkStart w:id="280" w:name="_Toc154575242"/>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35</w:t>
      </w:r>
      <w:r w:rsidR="00C83251" w:rsidRPr="00614438">
        <w:rPr>
          <w:rFonts w:ascii="Times New Roman" w:hAnsi="Times New Roman" w:cs="Times New Roman"/>
          <w:sz w:val="24"/>
          <w:szCs w:val="24"/>
        </w:rPr>
        <w:fldChar w:fldCharType="end"/>
      </w:r>
      <w:bookmarkEnd w:id="279"/>
      <w:r w:rsidRPr="00614438">
        <w:rPr>
          <w:rFonts w:ascii="Times New Roman" w:hAnsi="Times New Roman" w:cs="Times New Roman"/>
          <w:sz w:val="24"/>
          <w:szCs w:val="24"/>
        </w:rPr>
        <w:t>: Final energy consumption per sub-sector in the transport sector over 2020-2050 in the scenario with existing measures (WEM)</w:t>
      </w:r>
      <w:bookmarkEnd w:id="280"/>
    </w:p>
    <w:p w14:paraId="164546F3" w14:textId="01D86AF9"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679744" behindDoc="0" locked="0" layoutInCell="1" allowOverlap="1" wp14:anchorId="4CFA48D9" wp14:editId="3557BC1D">
                <wp:simplePos x="0" y="0"/>
                <wp:positionH relativeFrom="column">
                  <wp:posOffset>866775</wp:posOffset>
                </wp:positionH>
                <wp:positionV relativeFrom="paragraph">
                  <wp:posOffset>998855</wp:posOffset>
                </wp:positionV>
                <wp:extent cx="2933065" cy="3032125"/>
                <wp:effectExtent l="0" t="0" r="0" b="0"/>
                <wp:wrapNone/>
                <wp:docPr id="327670925"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065" cy="303212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0BC1559" id="Text Box 105" o:spid="_x0000_s1026" type="#_x0000_t202" style="position:absolute;margin-left:68.25pt;margin-top:78.65pt;width:230.95pt;height:238.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38C97F41" wp14:editId="58ADF61E">
            <wp:extent cx="5838825" cy="4371975"/>
            <wp:effectExtent l="0" t="0" r="9525" b="9525"/>
            <wp:docPr id="1541023900"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38825" cy="4371975"/>
                    </a:xfrm>
                    <a:prstGeom prst="rect">
                      <a:avLst/>
                    </a:prstGeom>
                    <a:noFill/>
                    <a:ln>
                      <a:noFill/>
                    </a:ln>
                  </pic:spPr>
                </pic:pic>
              </a:graphicData>
            </a:graphic>
          </wp:inline>
        </w:drawing>
      </w:r>
    </w:p>
    <w:p w14:paraId="7ABF91F8" w14:textId="353F3A32" w:rsidR="00614438" w:rsidRDefault="00614438" w:rsidP="00BC6B13">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As reflected in </w:t>
      </w:r>
      <w:r w:rsidR="00FA29EF">
        <w:fldChar w:fldCharType="begin"/>
      </w:r>
      <w:r w:rsidR="00FA29EF">
        <w:instrText xml:space="preserve"> REF _Ref153464074 \h  \* MERGEFORMAT </w:instrText>
      </w:r>
      <w:r w:rsidR="00FA29EF">
        <w:fldChar w:fldCharType="separate"/>
      </w:r>
      <w:r w:rsidRPr="00614438">
        <w:rPr>
          <w:rFonts w:ascii="Times New Roman" w:hAnsi="Times New Roman" w:cs="Times New Roman"/>
          <w:sz w:val="24"/>
          <w:szCs w:val="24"/>
          <w:lang w:val="en-GB"/>
        </w:rPr>
        <w:t>Figure 4.36</w:t>
      </w:r>
      <w:r w:rsidR="00FA29EF">
        <w:fldChar w:fldCharType="end"/>
      </w:r>
      <w:r w:rsidRPr="00614438">
        <w:rPr>
          <w:rFonts w:ascii="Times New Roman" w:hAnsi="Times New Roman" w:cs="Times New Roman"/>
          <w:sz w:val="24"/>
          <w:szCs w:val="24"/>
          <w:lang w:val="en-GB"/>
        </w:rPr>
        <w:t>, the final energy consumption of the services sector by energy source is expected to increase from 760 ktoe in 2020 to 1.1 Mtoe in 2030 and to 1.6 Mtoe in 2050</w:t>
      </w:r>
      <w:r w:rsidR="00BC6B13">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despite the current energy efficiency policies and trends. The electricity consumption will continue to have the highest contribution by 2050 from 388 ktoe in 2020 to 5</w:t>
      </w:r>
      <w:r w:rsidR="00BC6B13">
        <w:rPr>
          <w:rFonts w:ascii="Times New Roman" w:hAnsi="Times New Roman" w:cs="Times New Roman"/>
          <w:sz w:val="24"/>
          <w:szCs w:val="24"/>
          <w:lang w:val="en-GB"/>
        </w:rPr>
        <w:t>7</w:t>
      </w:r>
      <w:r w:rsidRPr="00614438">
        <w:rPr>
          <w:rFonts w:ascii="Times New Roman" w:hAnsi="Times New Roman" w:cs="Times New Roman"/>
          <w:sz w:val="24"/>
          <w:szCs w:val="24"/>
          <w:lang w:val="en-GB"/>
        </w:rPr>
        <w:t>4 ktoe in 2030 and 79</w:t>
      </w:r>
      <w:r w:rsidR="00BC6B13">
        <w:rPr>
          <w:rFonts w:ascii="Times New Roman" w:hAnsi="Times New Roman" w:cs="Times New Roman"/>
          <w:sz w:val="24"/>
          <w:szCs w:val="24"/>
          <w:lang w:val="en-GB"/>
        </w:rPr>
        <w:t>8</w:t>
      </w:r>
      <w:r w:rsidRPr="00614438">
        <w:rPr>
          <w:rFonts w:ascii="Times New Roman" w:hAnsi="Times New Roman" w:cs="Times New Roman"/>
          <w:sz w:val="24"/>
          <w:szCs w:val="24"/>
          <w:lang w:val="en-GB"/>
        </w:rPr>
        <w:t xml:space="preserve"> ktoe in 2050. Furthermore, natural gas remains the second most utilised fuel in the services sector until 2050, with a share ranging from 1</w:t>
      </w:r>
      <w:r w:rsidR="00BC6B13">
        <w:rPr>
          <w:rFonts w:ascii="Times New Roman" w:hAnsi="Times New Roman" w:cs="Times New Roman"/>
          <w:sz w:val="24"/>
          <w:szCs w:val="24"/>
          <w:lang w:val="en-GB"/>
        </w:rPr>
        <w:t>8</w:t>
      </w:r>
      <w:r w:rsidRPr="00614438">
        <w:rPr>
          <w:rFonts w:ascii="Times New Roman" w:hAnsi="Times New Roman" w:cs="Times New Roman"/>
          <w:sz w:val="24"/>
          <w:szCs w:val="24"/>
          <w:lang w:val="en-GB"/>
        </w:rPr>
        <w:t xml:space="preserve">% to </w:t>
      </w:r>
      <w:r w:rsidR="00BC6B13">
        <w:rPr>
          <w:rFonts w:ascii="Times New Roman" w:hAnsi="Times New Roman" w:cs="Times New Roman"/>
          <w:sz w:val="24"/>
          <w:szCs w:val="24"/>
          <w:lang w:val="en-GB"/>
        </w:rPr>
        <w:t>29</w:t>
      </w:r>
      <w:r w:rsidRPr="00614438">
        <w:rPr>
          <w:rFonts w:ascii="Times New Roman" w:hAnsi="Times New Roman" w:cs="Times New Roman"/>
          <w:sz w:val="24"/>
          <w:szCs w:val="24"/>
          <w:lang w:val="en-GB"/>
        </w:rPr>
        <w:t>% by 2050.</w:t>
      </w:r>
    </w:p>
    <w:p w14:paraId="57C8128A" w14:textId="14E0CD30" w:rsidR="00BC6B13" w:rsidRPr="00614438" w:rsidRDefault="00BC6B13" w:rsidP="00BC6B13">
      <w:pPr>
        <w:ind w:firstLine="720"/>
        <w:jc w:val="both"/>
        <w:rPr>
          <w:rFonts w:ascii="Times New Roman" w:hAnsi="Times New Roman" w:cs="Times New Roman"/>
          <w:sz w:val="24"/>
          <w:szCs w:val="24"/>
        </w:rPr>
      </w:pPr>
      <w:r w:rsidRPr="00614438">
        <w:rPr>
          <w:rFonts w:ascii="Times New Roman" w:hAnsi="Times New Roman" w:cs="Times New Roman"/>
          <w:sz w:val="24"/>
          <w:szCs w:val="24"/>
        </w:rPr>
        <w:t>The final energy consumption by energy source in the residential sector is projected to increase throughout the analysed period from 3.3 Mtoe in 2020 to 3.7 Mtoe in 2050, as can be seen from</w:t>
      </w:r>
      <w:bookmarkStart w:id="281" w:name="_heading=h.4anzqyu"/>
      <w:bookmarkEnd w:id="281"/>
      <w:r w:rsidRPr="00614438">
        <w:rPr>
          <w:rFonts w:ascii="Times New Roman" w:hAnsi="Times New Roman" w:cs="Times New Roman"/>
          <w:sz w:val="24"/>
          <w:szCs w:val="24"/>
        </w:rPr>
        <w:t xml:space="preserve"> </w:t>
      </w:r>
      <w:r>
        <w:fldChar w:fldCharType="begin"/>
      </w:r>
      <w:r>
        <w:instrText xml:space="preserve"> REF _Ref153464197 \h  \* MERGEFORMAT </w:instrText>
      </w:r>
      <w:r>
        <w:fldChar w:fldCharType="separate"/>
      </w:r>
      <w:r w:rsidRPr="00614438">
        <w:rPr>
          <w:rFonts w:ascii="Times New Roman" w:hAnsi="Times New Roman" w:cs="Times New Roman"/>
          <w:sz w:val="24"/>
          <w:szCs w:val="24"/>
        </w:rPr>
        <w:t>Figure 4.37</w:t>
      </w:r>
      <w:r>
        <w:fldChar w:fldCharType="end"/>
      </w:r>
      <w:r w:rsidRPr="00614438">
        <w:rPr>
          <w:rFonts w:ascii="Times New Roman" w:hAnsi="Times New Roman" w:cs="Times New Roman"/>
          <w:sz w:val="24"/>
          <w:szCs w:val="24"/>
        </w:rPr>
        <w:t>, despite the substitution of old technologies by more efficient ones using electricity, the adoption of energy conservation behaviour and the limited renovation of the building envelope. As regards the electricity consumption, a significant increase is expected until 2050, leading to a consumption equal to 1.4 Mtoe in 2030 and 1.3 Mtoe in 2050. Similarly, the consumption of renewables and biofuels is expected to rise by 16% in 2030 and decrease by 0.5% in 2050, compared to 2020, being the most utilised fuel in the residential sector until 2050, followed by electricity and derived heat. The consumption of derived heat will grow until 2030, compared to 2020, reaching the level of 506 ktoe, while a reduction is observed during 2030-2050, mainly due to the increased deployment of RES and natural gas.</w:t>
      </w:r>
      <w:bookmarkStart w:id="282" w:name="_Ref113634237"/>
      <w:bookmarkStart w:id="283" w:name="_Toc118992306"/>
      <w:r w:rsidRPr="00614438">
        <w:rPr>
          <w:rFonts w:ascii="Times New Roman" w:hAnsi="Times New Roman" w:cs="Times New Roman"/>
          <w:sz w:val="24"/>
          <w:szCs w:val="24"/>
        </w:rPr>
        <w:t xml:space="preserve"> </w:t>
      </w:r>
      <w:r>
        <w:rPr>
          <w:rFonts w:ascii="Times New Roman" w:hAnsi="Times New Roman" w:cs="Times New Roman"/>
          <w:sz w:val="24"/>
          <w:szCs w:val="24"/>
        </w:rPr>
        <w:t>B</w:t>
      </w:r>
      <w:r w:rsidRPr="00614438">
        <w:rPr>
          <w:rFonts w:ascii="Times New Roman" w:hAnsi="Times New Roman" w:cs="Times New Roman"/>
          <w:sz w:val="24"/>
          <w:szCs w:val="24"/>
        </w:rPr>
        <w:t>uilding refurbishment</w:t>
      </w:r>
      <w:r>
        <w:rPr>
          <w:rFonts w:ascii="Times New Roman" w:hAnsi="Times New Roman" w:cs="Times New Roman"/>
          <w:sz w:val="24"/>
          <w:szCs w:val="24"/>
        </w:rPr>
        <w:t xml:space="preserve"> is conducted</w:t>
      </w:r>
      <w:r w:rsidRPr="00614438">
        <w:rPr>
          <w:rFonts w:ascii="Times New Roman" w:hAnsi="Times New Roman" w:cs="Times New Roman"/>
          <w:sz w:val="24"/>
          <w:szCs w:val="24"/>
        </w:rPr>
        <w:t xml:space="preserve"> in the two main building categories: commercial/services and public sector buildings</w:t>
      </w:r>
      <w:r>
        <w:rPr>
          <w:rFonts w:ascii="Times New Roman" w:hAnsi="Times New Roman" w:cs="Times New Roman"/>
          <w:sz w:val="24"/>
          <w:szCs w:val="24"/>
        </w:rPr>
        <w:t>,</w:t>
      </w:r>
      <w:r w:rsidRPr="00614438">
        <w:rPr>
          <w:rFonts w:ascii="Times New Roman" w:hAnsi="Times New Roman" w:cs="Times New Roman"/>
          <w:sz w:val="24"/>
          <w:szCs w:val="24"/>
        </w:rPr>
        <w:t xml:space="preserve"> and residential dwellings. In all scenarios the refurbishment of buildings that exist in 2020 is considered. The stock of existing commercial/services and public sector buildings in 2020 was 45,250,000 </w:t>
      </w:r>
      <w:r w:rsidRPr="00175508">
        <w:rPr>
          <w:rFonts w:ascii="Times New Roman" w:hAnsi="Times New Roman" w:cs="Times New Roman"/>
          <w:sz w:val="24"/>
          <w:szCs w:val="24"/>
          <w:lang w:bidi="sr-Cyrl-CS"/>
        </w:rPr>
        <w:t>m</w:t>
      </w:r>
      <w:r w:rsidRPr="00175508">
        <w:rPr>
          <w:rFonts w:ascii="Times New Roman" w:hAnsi="Times New Roman" w:cs="Times New Roman"/>
          <w:sz w:val="24"/>
          <w:szCs w:val="24"/>
          <w:vertAlign w:val="superscript"/>
          <w:lang w:bidi="sr-Cyrl-CS"/>
        </w:rPr>
        <w:t>2</w:t>
      </w:r>
      <w:r w:rsidRPr="00175508">
        <w:rPr>
          <w:rFonts w:ascii="Times New Roman" w:hAnsi="Times New Roman" w:cs="Times New Roman"/>
          <w:sz w:val="24"/>
          <w:szCs w:val="24"/>
          <w:lang w:bidi="sr-Cyrl-CS"/>
        </w:rPr>
        <w:t xml:space="preserve"> </w:t>
      </w:r>
      <w:r w:rsidRPr="00614438">
        <w:rPr>
          <w:rFonts w:ascii="Times New Roman" w:hAnsi="Times New Roman" w:cs="Times New Roman"/>
          <w:sz w:val="24"/>
          <w:szCs w:val="24"/>
        </w:rPr>
        <w:t>and it is not projected to change in the period 2021-2050. For the residential dwellings</w:t>
      </w:r>
      <w:r>
        <w:rPr>
          <w:rFonts w:ascii="Times New Roman" w:hAnsi="Times New Roman" w:cs="Times New Roman"/>
          <w:sz w:val="24"/>
          <w:szCs w:val="24"/>
        </w:rPr>
        <w:t>,</w:t>
      </w:r>
      <w:r w:rsidRPr="00614438">
        <w:rPr>
          <w:rFonts w:ascii="Times New Roman" w:hAnsi="Times New Roman" w:cs="Times New Roman"/>
          <w:sz w:val="24"/>
          <w:szCs w:val="24"/>
        </w:rPr>
        <w:t xml:space="preserve"> a relative reduction to their number is projected due to the demolition of some of the oldest buildings towards 2050 (changing from the 2,365,000 dwellings existing in 2020 to 1,466,000 dwellings in 2050).</w:t>
      </w:r>
    </w:p>
    <w:bookmarkEnd w:id="282"/>
    <w:bookmarkEnd w:id="283"/>
    <w:p w14:paraId="0BD1F2CA" w14:textId="77777777" w:rsidR="00BC6B13" w:rsidRPr="00614438" w:rsidRDefault="00BC6B13" w:rsidP="00BC6B13">
      <w:pPr>
        <w:ind w:firstLine="720"/>
        <w:jc w:val="both"/>
        <w:rPr>
          <w:rFonts w:ascii="Times New Roman" w:hAnsi="Times New Roman" w:cs="Times New Roman"/>
          <w:sz w:val="24"/>
          <w:szCs w:val="24"/>
          <w:lang w:val="en-GB"/>
        </w:rPr>
      </w:pPr>
    </w:p>
    <w:p w14:paraId="224FD20E" w14:textId="77777777" w:rsidR="00614438" w:rsidRPr="00614438" w:rsidRDefault="00614438" w:rsidP="00614438">
      <w:pPr>
        <w:jc w:val="both"/>
        <w:rPr>
          <w:rFonts w:ascii="Times New Roman" w:hAnsi="Times New Roman" w:cs="Times New Roman"/>
          <w:sz w:val="24"/>
          <w:szCs w:val="24"/>
          <w:lang w:val="en-GB"/>
        </w:rPr>
      </w:pPr>
      <w:bookmarkStart w:id="284" w:name="_Ref153464074"/>
      <w:bookmarkStart w:id="285" w:name="_Toc154575243"/>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36</w:t>
      </w:r>
      <w:r w:rsidR="00C83251" w:rsidRPr="00614438">
        <w:rPr>
          <w:rFonts w:ascii="Times New Roman" w:hAnsi="Times New Roman" w:cs="Times New Roman"/>
          <w:sz w:val="24"/>
          <w:szCs w:val="24"/>
        </w:rPr>
        <w:fldChar w:fldCharType="end"/>
      </w:r>
      <w:bookmarkEnd w:id="284"/>
      <w:r w:rsidRPr="00614438">
        <w:rPr>
          <w:rFonts w:ascii="Times New Roman" w:hAnsi="Times New Roman" w:cs="Times New Roman"/>
          <w:sz w:val="24"/>
          <w:szCs w:val="24"/>
        </w:rPr>
        <w:t>: Final energy consumption by energy source in the services sector over 2020-2050 in the scenario with existing measures (WEM)</w:t>
      </w:r>
      <w:bookmarkEnd w:id="285"/>
    </w:p>
    <w:p w14:paraId="6B3A1968" w14:textId="705F008D"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680768" behindDoc="0" locked="0" layoutInCell="1" allowOverlap="1" wp14:anchorId="659552BE" wp14:editId="2A0080EE">
                <wp:simplePos x="0" y="0"/>
                <wp:positionH relativeFrom="column">
                  <wp:posOffset>1176020</wp:posOffset>
                </wp:positionH>
                <wp:positionV relativeFrom="paragraph">
                  <wp:posOffset>808990</wp:posOffset>
                </wp:positionV>
                <wp:extent cx="2570480" cy="1901825"/>
                <wp:effectExtent l="0" t="0" r="0" b="0"/>
                <wp:wrapNone/>
                <wp:docPr id="1097599995"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0480" cy="190182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page">
                  <wp14:pctHeight>0</wp14:pctHeight>
                </wp14:sizeRelV>
              </wp:anchor>
            </w:drawing>
          </mc:Choice>
          <mc:Fallback xmlns:w16du="http://schemas.microsoft.com/office/word/2023/wordml/word16du">
            <w:pict>
              <v:shape w14:anchorId="3B83AF38" id="Text Box 103" o:spid="_x0000_s1026" type="#_x0000_t202" style="position:absolute;margin-left:92.6pt;margin-top:63.7pt;width:202.4pt;height:149.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2C9438E3" wp14:editId="4D572B97">
            <wp:extent cx="5324475" cy="3200400"/>
            <wp:effectExtent l="0" t="0" r="9525" b="0"/>
            <wp:docPr id="2107087709"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53539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324475" cy="3200400"/>
                    </a:xfrm>
                    <a:prstGeom prst="rect">
                      <a:avLst/>
                    </a:prstGeom>
                    <a:noFill/>
                    <a:ln>
                      <a:noFill/>
                    </a:ln>
                  </pic:spPr>
                </pic:pic>
              </a:graphicData>
            </a:graphic>
          </wp:inline>
        </w:drawing>
      </w:r>
    </w:p>
    <w:p w14:paraId="6CFC4BC7" w14:textId="77777777" w:rsidR="00614438" w:rsidRPr="00614438" w:rsidRDefault="00614438" w:rsidP="00614438">
      <w:pPr>
        <w:jc w:val="both"/>
        <w:rPr>
          <w:rFonts w:ascii="Times New Roman" w:hAnsi="Times New Roman" w:cs="Times New Roman"/>
          <w:sz w:val="24"/>
          <w:szCs w:val="24"/>
        </w:rPr>
      </w:pPr>
      <w:bookmarkStart w:id="286" w:name="_Ref153464197"/>
      <w:bookmarkStart w:id="287" w:name="_Toc154575244"/>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37</w:t>
      </w:r>
      <w:r w:rsidR="00C83251" w:rsidRPr="00614438">
        <w:rPr>
          <w:rFonts w:ascii="Times New Roman" w:hAnsi="Times New Roman" w:cs="Times New Roman"/>
          <w:sz w:val="24"/>
          <w:szCs w:val="24"/>
        </w:rPr>
        <w:fldChar w:fldCharType="end"/>
      </w:r>
      <w:bookmarkEnd w:id="286"/>
      <w:r w:rsidRPr="00614438">
        <w:rPr>
          <w:rFonts w:ascii="Times New Roman" w:hAnsi="Times New Roman" w:cs="Times New Roman"/>
          <w:sz w:val="24"/>
          <w:szCs w:val="24"/>
        </w:rPr>
        <w:t>: Final energy consumption by energy source in the residential sector over 2020-2050 in the scenario with existing measures (WEM)</w:t>
      </w:r>
      <w:bookmarkEnd w:id="287"/>
    </w:p>
    <w:p w14:paraId="25F4141F" w14:textId="72CF268A"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681792" behindDoc="0" locked="0" layoutInCell="1" allowOverlap="1" wp14:anchorId="24301281" wp14:editId="22A01840">
                <wp:simplePos x="0" y="0"/>
                <wp:positionH relativeFrom="column">
                  <wp:posOffset>1176020</wp:posOffset>
                </wp:positionH>
                <wp:positionV relativeFrom="paragraph">
                  <wp:posOffset>40005</wp:posOffset>
                </wp:positionV>
                <wp:extent cx="2570480" cy="2402205"/>
                <wp:effectExtent l="0" t="0" r="0" b="0"/>
                <wp:wrapNone/>
                <wp:docPr id="1823427909"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0480" cy="240220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61CAD96" id="Text Box 101" o:spid="_x0000_s1026" type="#_x0000_t202" style="position:absolute;margin-left:92.6pt;margin-top:3.15pt;width:202.4pt;height:189.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63429FC0" wp14:editId="0DF76E22">
            <wp:extent cx="5248275" cy="2800350"/>
            <wp:effectExtent l="0" t="0" r="9525" b="0"/>
            <wp:docPr id="1832815581"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013909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48275" cy="2800350"/>
                    </a:xfrm>
                    <a:prstGeom prst="rect">
                      <a:avLst/>
                    </a:prstGeom>
                    <a:noFill/>
                    <a:ln>
                      <a:noFill/>
                    </a:ln>
                  </pic:spPr>
                </pic:pic>
              </a:graphicData>
            </a:graphic>
          </wp:inline>
        </w:drawing>
      </w:r>
    </w:p>
    <w:p w14:paraId="1FB4A26F" w14:textId="1FF4FEEB" w:rsidR="00614438" w:rsidRPr="00614438" w:rsidRDefault="00614438" w:rsidP="00F2364A">
      <w:pPr>
        <w:ind w:firstLine="720"/>
        <w:jc w:val="both"/>
        <w:rPr>
          <w:rFonts w:ascii="Times New Roman" w:hAnsi="Times New Roman" w:cs="Times New Roman"/>
          <w:sz w:val="24"/>
          <w:szCs w:val="24"/>
          <w:lang w:val="en-GB"/>
        </w:rPr>
      </w:pPr>
      <w:r w:rsidRPr="00F2364A">
        <w:rPr>
          <w:rFonts w:ascii="Times New Roman" w:hAnsi="Times New Roman" w:cs="Times New Roman"/>
          <w:sz w:val="24"/>
          <w:szCs w:val="24"/>
          <w:lang w:val="da-DK"/>
        </w:rPr>
        <w:t xml:space="preserve">The final energy consumption of the agricultural/forestry sector is projected to increase (13% in 2030, 19% in 2040 and 20% in 2050, compared to 2020), resulting in approximately 169 ktoe in 2050, as expected by the increase of demand due to economic development </w:t>
      </w:r>
      <w:r w:rsidRPr="00F2364A">
        <w:rPr>
          <w:rFonts w:ascii="Times New Roman" w:hAnsi="Times New Roman" w:cs="Times New Roman"/>
          <w:sz w:val="24"/>
          <w:szCs w:val="24"/>
          <w:lang w:val="en-GB"/>
        </w:rPr>
        <w:t>(</w:t>
      </w:r>
      <w:r w:rsidR="00FA29EF" w:rsidRPr="00F2364A">
        <w:fldChar w:fldCharType="begin"/>
      </w:r>
      <w:r w:rsidR="00FA29EF" w:rsidRPr="00F2364A">
        <w:instrText xml:space="preserve"> REF _Ref113634253 \h  \* MERGEFORMAT </w:instrText>
      </w:r>
      <w:r w:rsidR="00FA29EF" w:rsidRPr="00F2364A">
        <w:fldChar w:fldCharType="separate"/>
      </w:r>
      <w:r w:rsidRPr="00F2364A">
        <w:rPr>
          <w:rFonts w:ascii="Times New Roman" w:hAnsi="Times New Roman" w:cs="Times New Roman"/>
          <w:sz w:val="24"/>
          <w:szCs w:val="24"/>
          <w:lang w:val="en-GB"/>
        </w:rPr>
        <w:t>Figure 4.38</w:t>
      </w:r>
      <w:r w:rsidR="00FA29EF" w:rsidRPr="00F2364A">
        <w:fldChar w:fldCharType="end"/>
      </w:r>
      <w:r w:rsidRPr="00F2364A">
        <w:rPr>
          <w:rFonts w:ascii="Times New Roman" w:hAnsi="Times New Roman" w:cs="Times New Roman"/>
          <w:sz w:val="24"/>
          <w:szCs w:val="24"/>
          <w:lang w:val="en-GB"/>
        </w:rPr>
        <w:t>) and the lack of targeted policies and measures. Oil and petroleum products continue to have the highest contribution by 2050 in the agricultural/forestry sector reaching the level of 96 ktoe in 2030 and 101 ktoe in 2050.</w:t>
      </w:r>
    </w:p>
    <w:p w14:paraId="6FC84680" w14:textId="77777777" w:rsidR="00614438" w:rsidRPr="00614438" w:rsidRDefault="00614438" w:rsidP="00485CA7">
      <w:pPr>
        <w:numPr>
          <w:ilvl w:val="0"/>
          <w:numId w:val="243"/>
        </w:numPr>
        <w:jc w:val="both"/>
        <w:rPr>
          <w:rFonts w:ascii="Times New Roman" w:hAnsi="Times New Roman" w:cs="Times New Roman"/>
          <w:sz w:val="24"/>
          <w:szCs w:val="24"/>
          <w:lang w:val="en-GB"/>
        </w:rPr>
      </w:pPr>
      <w:bookmarkStart w:id="288" w:name="_Ref113634253"/>
      <w:bookmarkStart w:id="289" w:name="_Toc118992307"/>
      <w:bookmarkStart w:id="290" w:name="_Toc154575245"/>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38</w:t>
      </w:r>
      <w:r w:rsidR="00C83251" w:rsidRPr="00614438">
        <w:rPr>
          <w:rFonts w:ascii="Times New Roman" w:hAnsi="Times New Roman" w:cs="Times New Roman"/>
          <w:sz w:val="24"/>
          <w:szCs w:val="24"/>
        </w:rPr>
        <w:fldChar w:fldCharType="end"/>
      </w:r>
      <w:bookmarkEnd w:id="288"/>
      <w:r w:rsidRPr="00614438">
        <w:rPr>
          <w:rFonts w:ascii="Times New Roman" w:hAnsi="Times New Roman" w:cs="Times New Roman"/>
          <w:sz w:val="24"/>
          <w:szCs w:val="24"/>
        </w:rPr>
        <w:t>: Final energy consumption by energy source in the agriculture / forestry sector over 2020-2050</w:t>
      </w:r>
      <w:bookmarkEnd w:id="289"/>
      <w:r w:rsidRPr="00614438">
        <w:rPr>
          <w:rFonts w:ascii="Times New Roman" w:hAnsi="Times New Roman" w:cs="Times New Roman"/>
          <w:sz w:val="24"/>
          <w:szCs w:val="24"/>
        </w:rPr>
        <w:t xml:space="preserve"> in the scenario with existing measures (WEM)</w:t>
      </w:r>
      <w:bookmarkEnd w:id="290"/>
    </w:p>
    <w:p w14:paraId="714595F5" w14:textId="683A29C6"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682816" behindDoc="0" locked="0" layoutInCell="1" allowOverlap="1" wp14:anchorId="6848B89C" wp14:editId="383F1CA1">
                <wp:simplePos x="0" y="0"/>
                <wp:positionH relativeFrom="column">
                  <wp:posOffset>1074420</wp:posOffset>
                </wp:positionH>
                <wp:positionV relativeFrom="paragraph">
                  <wp:posOffset>224155</wp:posOffset>
                </wp:positionV>
                <wp:extent cx="2673985" cy="3100705"/>
                <wp:effectExtent l="0" t="0" r="0" b="0"/>
                <wp:wrapNone/>
                <wp:docPr id="1417484172"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985" cy="310070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2786469" id="Text Box 99" o:spid="_x0000_s1026" type="#_x0000_t202" style="position:absolute;margin-left:84.6pt;margin-top:17.65pt;width:210.55pt;height:244.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48DF2398" wp14:editId="33655FC7">
            <wp:extent cx="5553075" cy="3733800"/>
            <wp:effectExtent l="0" t="0" r="9525" b="0"/>
            <wp:docPr id="185120848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015735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553075" cy="3733800"/>
                    </a:xfrm>
                    <a:prstGeom prst="rect">
                      <a:avLst/>
                    </a:prstGeom>
                    <a:noFill/>
                    <a:ln>
                      <a:noFill/>
                    </a:ln>
                  </pic:spPr>
                </pic:pic>
              </a:graphicData>
            </a:graphic>
          </wp:inline>
        </w:drawing>
      </w:r>
    </w:p>
    <w:p w14:paraId="1596C2C8" w14:textId="38C73D48" w:rsidR="00614438" w:rsidRPr="00614438" w:rsidRDefault="00F2364A" w:rsidP="00F2364A">
      <w:pPr>
        <w:ind w:firstLine="720"/>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4.3.4 </w:t>
      </w:r>
      <w:r w:rsidR="00614438" w:rsidRPr="00614438">
        <w:rPr>
          <w:rFonts w:ascii="Times New Roman" w:hAnsi="Times New Roman" w:cs="Times New Roman"/>
          <w:sz w:val="24"/>
          <w:szCs w:val="24"/>
          <w:lang w:val="en-GB"/>
        </w:rPr>
        <w:t>Cost-optimal levels of minimum energy performance requirements resulting from national calculations, according to Article 5 of Directive 2010/31/EU</w:t>
      </w:r>
    </w:p>
    <w:p w14:paraId="53BB1FFD" w14:textId="08063950" w:rsidR="00614438" w:rsidRPr="00614438" w:rsidRDefault="00614438" w:rsidP="00F2364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w:t>
      </w:r>
      <w:r w:rsidR="00F2364A">
        <w:rPr>
          <w:rFonts w:ascii="Times New Roman" w:hAnsi="Times New Roman" w:cs="Times New Roman"/>
          <w:sz w:val="24"/>
          <w:szCs w:val="24"/>
          <w:lang w:val="en-GB"/>
        </w:rPr>
        <w:t xml:space="preserve"> aim of the</w:t>
      </w:r>
      <w:r w:rsidRPr="00614438">
        <w:rPr>
          <w:rFonts w:ascii="Times New Roman" w:hAnsi="Times New Roman" w:cs="Times New Roman"/>
          <w:sz w:val="24"/>
          <w:szCs w:val="24"/>
          <w:lang w:val="en-GB"/>
        </w:rPr>
        <w:t xml:space="preserve"> Long-term Strategy for encouraging investments in renovation of the national building stock of the Republic of Serbia until 2050</w:t>
      </w:r>
      <w:r w:rsidR="00F2364A">
        <w:rPr>
          <w:rFonts w:ascii="Times New Roman" w:hAnsi="Times New Roman" w:cs="Times New Roman"/>
          <w:sz w:val="24"/>
          <w:szCs w:val="24"/>
          <w:lang w:val="en-GB"/>
        </w:rPr>
        <w:t xml:space="preserve"> is to </w:t>
      </w:r>
      <w:r w:rsidRPr="00614438">
        <w:rPr>
          <w:rFonts w:ascii="Times New Roman" w:hAnsi="Times New Roman" w:cs="Times New Roman"/>
          <w:sz w:val="24"/>
          <w:szCs w:val="24"/>
          <w:lang w:val="en-GB"/>
        </w:rPr>
        <w:t>defin</w:t>
      </w:r>
      <w:r w:rsidR="00F2364A">
        <w:rPr>
          <w:rFonts w:ascii="Times New Roman" w:hAnsi="Times New Roman" w:cs="Times New Roman"/>
          <w:sz w:val="24"/>
          <w:szCs w:val="24"/>
          <w:lang w:val="en-GB"/>
        </w:rPr>
        <w:t>e</w:t>
      </w:r>
      <w:r w:rsidRPr="00614438">
        <w:rPr>
          <w:rFonts w:ascii="Times New Roman" w:hAnsi="Times New Roman" w:cs="Times New Roman"/>
          <w:sz w:val="24"/>
          <w:szCs w:val="24"/>
          <w:lang w:val="en-GB"/>
        </w:rPr>
        <w:t xml:space="preserve"> energy efficiency measures and packages of measures for the renovation of buildings, based on the determined characteristics of the building stock, the defined reference buildings and the cost-optimal analyses performed for them.</w:t>
      </w:r>
    </w:p>
    <w:p w14:paraId="4CC702A1" w14:textId="6F376551" w:rsidR="00614438" w:rsidRPr="00614438" w:rsidRDefault="00614438" w:rsidP="00F2364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the Long</w:t>
      </w:r>
      <w:r w:rsidR="00F2364A">
        <w:rPr>
          <w:rFonts w:ascii="Times New Roman" w:hAnsi="Times New Roman" w:cs="Times New Roman"/>
          <w:sz w:val="24"/>
          <w:szCs w:val="24"/>
          <w:lang w:val="en-GB"/>
        </w:rPr>
        <w:t>-</w:t>
      </w:r>
      <w:r w:rsidRPr="00614438">
        <w:rPr>
          <w:rFonts w:ascii="Times New Roman" w:hAnsi="Times New Roman" w:cs="Times New Roman"/>
          <w:sz w:val="24"/>
          <w:szCs w:val="24"/>
          <w:lang w:val="en-GB"/>
        </w:rPr>
        <w:t>Term Building Renovation Strategy, the constitution of the Renovation Scenario was based on the cost-optimal analyses for residential and non-residential buildings, which were conducted during 2019–2020. In accordance with the methodological principles adopted in the EU, the following types of buildings were defined: family housing and multifamily housing</w:t>
      </w:r>
      <w:r w:rsidR="00154960">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as well as three commercial building</w:t>
      </w:r>
      <w:r w:rsidR="00154960">
        <w:rPr>
          <w:rFonts w:ascii="Times New Roman" w:hAnsi="Times New Roman" w:cs="Times New Roman"/>
          <w:sz w:val="24"/>
          <w:szCs w:val="24"/>
          <w:lang w:val="en-GB"/>
        </w:rPr>
        <w:t xml:space="preserve"> type</w:t>
      </w:r>
      <w:r w:rsidRPr="00614438">
        <w:rPr>
          <w:rFonts w:ascii="Times New Roman" w:hAnsi="Times New Roman" w:cs="Times New Roman"/>
          <w:sz w:val="24"/>
          <w:szCs w:val="24"/>
          <w:lang w:val="en-GB"/>
        </w:rPr>
        <w:t>s</w:t>
      </w:r>
      <w:r w:rsidR="00154960">
        <w:rPr>
          <w:rFonts w:ascii="Times New Roman" w:hAnsi="Times New Roman" w:cs="Times New Roman"/>
          <w:sz w:val="24"/>
          <w:szCs w:val="24"/>
          <w:lang w:val="en-GB"/>
        </w:rPr>
        <w:t>, which</w:t>
      </w:r>
      <w:r w:rsidRPr="00614438">
        <w:rPr>
          <w:rFonts w:ascii="Times New Roman" w:hAnsi="Times New Roman" w:cs="Times New Roman"/>
          <w:sz w:val="24"/>
          <w:szCs w:val="24"/>
          <w:lang w:val="en-GB"/>
        </w:rPr>
        <w:t xml:space="preserve"> represent public and commercial buildings for three different construction periods</w:t>
      </w:r>
      <w:r w:rsidR="00154960">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until 1960, the period between 1961 and 2012, and the last</w:t>
      </w:r>
      <w:r w:rsidR="00154960">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construction period after the introduction of regulations on energy efficiency of buildings, starting in 2013.</w:t>
      </w:r>
    </w:p>
    <w:p w14:paraId="09BCAC8A" w14:textId="77777777" w:rsidR="00614438" w:rsidRPr="00614438" w:rsidRDefault="00614438" w:rsidP="00154960">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determination of the reference buildings in LTBRS was based on their construction material, physical and architectural characteristics. Moreover, energy efficiency measures were defined for all examined buildings and packages of measures that were identified. Five possible renovation scenarios were prepared within LTBRS, the first of which, the basic scenario, implied unsubsidised renovation and construction according to current regulations, and the last, most advanced one envisaged renovation of buildings at the level of nearly zero-energy buildings (not defined by valid regulations on energy efficiency).</w:t>
      </w:r>
    </w:p>
    <w:p w14:paraId="2633D9A4" w14:textId="00C6D5BD" w:rsidR="00614438" w:rsidRPr="00614438" w:rsidRDefault="00614438" w:rsidP="00154960">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analysis of the examined scenarios presented in LTBRS was conducted through the calculation of various figures</w:t>
      </w:r>
      <w:r w:rsidR="00D536A8">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including the effects on </w:t>
      </w:r>
      <w:r w:rsidR="00D536A8" w:rsidRPr="00175508">
        <w:rPr>
          <w:rFonts w:ascii="Times New Roman" w:hAnsi="Times New Roman" w:cs="Times New Roman"/>
          <w:sz w:val="24"/>
          <w:szCs w:val="24"/>
          <w:lang w:val="sr-Cyrl-RS" w:bidi="sr-Cyrl-CS"/>
        </w:rPr>
        <w:t>CO</w:t>
      </w:r>
      <w:r w:rsidR="00D536A8" w:rsidRPr="00175508">
        <w:rPr>
          <w:rFonts w:ascii="Times New Roman" w:hAnsi="Times New Roman" w:cs="Times New Roman"/>
          <w:sz w:val="24"/>
          <w:szCs w:val="24"/>
          <w:vertAlign w:val="subscript"/>
          <w:lang w:val="sr-Cyrl-RS" w:bidi="sr-Cyrl-CS"/>
        </w:rPr>
        <w:t>2</w:t>
      </w:r>
      <w:r w:rsidR="00D536A8" w:rsidRPr="00175508">
        <w:rPr>
          <w:rFonts w:ascii="Times New Roman" w:hAnsi="Times New Roman" w:cs="Times New Roman"/>
          <w:sz w:val="24"/>
          <w:szCs w:val="24"/>
          <w:lang w:val="sr-Cyrl-RS" w:bidi="sr-Cyrl-CS"/>
        </w:rPr>
        <w:t xml:space="preserve"> </w:t>
      </w:r>
      <w:r w:rsidRPr="00614438">
        <w:rPr>
          <w:rFonts w:ascii="Times New Roman" w:hAnsi="Times New Roman" w:cs="Times New Roman"/>
          <w:sz w:val="24"/>
          <w:szCs w:val="24"/>
          <w:lang w:val="en-GB"/>
        </w:rPr>
        <w:t xml:space="preserve">emissions and primary energy consumption until 2050. It was concluded that only scenarios 4 and 5 of the LTBRS led to a simultaneous reduction of </w:t>
      </w:r>
      <w:r w:rsidR="00D536A8" w:rsidRPr="00175508">
        <w:rPr>
          <w:rFonts w:ascii="Times New Roman" w:hAnsi="Times New Roman" w:cs="Times New Roman"/>
          <w:sz w:val="24"/>
          <w:szCs w:val="24"/>
          <w:lang w:val="sr-Cyrl-RS" w:bidi="sr-Cyrl-CS"/>
        </w:rPr>
        <w:t>CO</w:t>
      </w:r>
      <w:r w:rsidR="00D536A8" w:rsidRPr="00175508">
        <w:rPr>
          <w:rFonts w:ascii="Times New Roman" w:hAnsi="Times New Roman" w:cs="Times New Roman"/>
          <w:sz w:val="24"/>
          <w:szCs w:val="24"/>
          <w:vertAlign w:val="subscript"/>
          <w:lang w:val="sr-Cyrl-RS" w:bidi="sr-Cyrl-CS"/>
        </w:rPr>
        <w:t>2</w:t>
      </w:r>
      <w:r w:rsidR="00D536A8" w:rsidRPr="00175508">
        <w:rPr>
          <w:rFonts w:ascii="Times New Roman" w:hAnsi="Times New Roman" w:cs="Times New Roman"/>
          <w:sz w:val="24"/>
          <w:szCs w:val="24"/>
          <w:lang w:val="sr-Cyrl-RS" w:bidi="sr-Cyrl-CS"/>
        </w:rPr>
        <w:t xml:space="preserve"> </w:t>
      </w:r>
      <w:r w:rsidRPr="00614438">
        <w:rPr>
          <w:rFonts w:ascii="Times New Roman" w:hAnsi="Times New Roman" w:cs="Times New Roman"/>
          <w:sz w:val="24"/>
          <w:szCs w:val="24"/>
          <w:lang w:val="en-GB"/>
        </w:rPr>
        <w:t xml:space="preserve">emissions and a reduction of primary energy consumption. Taking into consideration the economic analysis, scenarios 4 and 5 of LTBRS </w:t>
      </w:r>
      <w:r w:rsidR="00D536A8">
        <w:rPr>
          <w:rFonts w:ascii="Times New Roman" w:hAnsi="Times New Roman" w:cs="Times New Roman"/>
          <w:sz w:val="24"/>
          <w:szCs w:val="24"/>
          <w:lang w:val="en-GB"/>
        </w:rPr>
        <w:t xml:space="preserve">stand put as scenarios with the </w:t>
      </w:r>
      <w:r w:rsidRPr="00614438">
        <w:rPr>
          <w:rFonts w:ascii="Times New Roman" w:hAnsi="Times New Roman" w:cs="Times New Roman"/>
          <w:sz w:val="24"/>
          <w:szCs w:val="24"/>
          <w:lang w:val="en-GB"/>
        </w:rPr>
        <w:t xml:space="preserve">most considerable economic benefits, noting that the economic costs for </w:t>
      </w:r>
      <w:r w:rsidR="00D536A8" w:rsidRPr="00614438">
        <w:rPr>
          <w:rFonts w:ascii="Times New Roman" w:hAnsi="Times New Roman" w:cs="Times New Roman"/>
          <w:sz w:val="24"/>
          <w:szCs w:val="24"/>
          <w:lang w:val="en-GB"/>
        </w:rPr>
        <w:t>Scenario 5</w:t>
      </w:r>
      <w:r w:rsidR="00D536A8">
        <w:rPr>
          <w:rFonts w:ascii="Times New Roman" w:hAnsi="Times New Roman" w:cs="Times New Roman"/>
          <w:sz w:val="24"/>
          <w:szCs w:val="24"/>
          <w:lang w:val="en-GB"/>
        </w:rPr>
        <w:t xml:space="preserve"> of </w:t>
      </w:r>
      <w:r w:rsidRPr="00614438">
        <w:rPr>
          <w:rFonts w:ascii="Times New Roman" w:hAnsi="Times New Roman" w:cs="Times New Roman"/>
          <w:sz w:val="24"/>
          <w:szCs w:val="24"/>
          <w:lang w:val="en-GB"/>
        </w:rPr>
        <w:t xml:space="preserve">LTBRS are </w:t>
      </w:r>
      <w:r w:rsidRPr="00614438">
        <w:rPr>
          <w:rFonts w:ascii="Times New Roman" w:hAnsi="Times New Roman" w:cs="Times New Roman"/>
          <w:sz w:val="24"/>
          <w:szCs w:val="24"/>
          <w:lang w:val="en-GB"/>
        </w:rPr>
        <w:lastRenderedPageBreak/>
        <w:t xml:space="preserve">significantly higher compared to </w:t>
      </w:r>
      <w:r w:rsidR="00D536A8" w:rsidRPr="00614438">
        <w:rPr>
          <w:rFonts w:ascii="Times New Roman" w:hAnsi="Times New Roman" w:cs="Times New Roman"/>
          <w:sz w:val="24"/>
          <w:szCs w:val="24"/>
          <w:lang w:val="en-GB"/>
        </w:rPr>
        <w:t>Scenario 4</w:t>
      </w:r>
      <w:r w:rsidR="00D536A8">
        <w:rPr>
          <w:rFonts w:ascii="Times New Roman" w:hAnsi="Times New Roman" w:cs="Times New Roman"/>
          <w:sz w:val="24"/>
          <w:szCs w:val="24"/>
          <w:lang w:val="en-GB"/>
        </w:rPr>
        <w:t xml:space="preserve"> of </w:t>
      </w:r>
      <w:r w:rsidRPr="00614438">
        <w:rPr>
          <w:rFonts w:ascii="Times New Roman" w:hAnsi="Times New Roman" w:cs="Times New Roman"/>
          <w:sz w:val="24"/>
          <w:szCs w:val="24"/>
          <w:lang w:val="en-GB"/>
        </w:rPr>
        <w:t>LTBRS. Excluding Scenario 5, Scenario 4 foresaw an increased exploitation of the adopted packages of measures</w:t>
      </w:r>
      <w:r w:rsidR="00D536A8">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leading to an increased reduction of </w:t>
      </w:r>
      <w:r w:rsidR="00D536A8" w:rsidRPr="00175508">
        <w:rPr>
          <w:rFonts w:ascii="Times New Roman" w:hAnsi="Times New Roman" w:cs="Times New Roman"/>
          <w:sz w:val="24"/>
          <w:szCs w:val="24"/>
          <w:lang w:val="sr-Cyrl-RS" w:bidi="sr-Cyrl-CS"/>
        </w:rPr>
        <w:t>CO</w:t>
      </w:r>
      <w:r w:rsidR="00D536A8" w:rsidRPr="00175508">
        <w:rPr>
          <w:rFonts w:ascii="Times New Roman" w:hAnsi="Times New Roman" w:cs="Times New Roman"/>
          <w:sz w:val="24"/>
          <w:szCs w:val="24"/>
          <w:vertAlign w:val="subscript"/>
          <w:lang w:val="sr-Cyrl-RS" w:bidi="sr-Cyrl-CS"/>
        </w:rPr>
        <w:t>2</w:t>
      </w:r>
      <w:r w:rsidR="00D536A8" w:rsidRPr="00175508">
        <w:rPr>
          <w:rFonts w:ascii="Times New Roman" w:hAnsi="Times New Roman" w:cs="Times New Roman"/>
          <w:sz w:val="24"/>
          <w:szCs w:val="24"/>
          <w:lang w:val="sr-Cyrl-RS" w:bidi="sr-Cyrl-CS"/>
        </w:rPr>
        <w:t xml:space="preserve"> </w:t>
      </w:r>
      <w:r w:rsidRPr="00614438">
        <w:rPr>
          <w:rFonts w:ascii="Times New Roman" w:hAnsi="Times New Roman" w:cs="Times New Roman"/>
          <w:sz w:val="24"/>
          <w:szCs w:val="24"/>
          <w:lang w:val="en-GB"/>
        </w:rPr>
        <w:t>emissions equal to 31% compared to 2020, while the reduction of primary energy consumption in 2050 amounted to 38% compared to 2020.</w:t>
      </w:r>
    </w:p>
    <w:p w14:paraId="2E312233" w14:textId="6146F5CF" w:rsidR="00614438" w:rsidRPr="00614438" w:rsidRDefault="00614438" w:rsidP="00D536A8">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Finally, </w:t>
      </w:r>
      <w:r w:rsidR="00D536A8" w:rsidRPr="00614438">
        <w:rPr>
          <w:rFonts w:ascii="Times New Roman" w:hAnsi="Times New Roman" w:cs="Times New Roman"/>
          <w:sz w:val="24"/>
          <w:szCs w:val="24"/>
          <w:lang w:val="en-GB"/>
        </w:rPr>
        <w:t>Scenario 4</w:t>
      </w:r>
      <w:r w:rsidR="00D536A8">
        <w:rPr>
          <w:rFonts w:ascii="Times New Roman" w:hAnsi="Times New Roman" w:cs="Times New Roman"/>
          <w:sz w:val="24"/>
          <w:szCs w:val="24"/>
          <w:lang w:val="en-GB"/>
        </w:rPr>
        <w:t xml:space="preserve"> of </w:t>
      </w:r>
      <w:r w:rsidRPr="00614438">
        <w:rPr>
          <w:rFonts w:ascii="Times New Roman" w:hAnsi="Times New Roman" w:cs="Times New Roman"/>
          <w:sz w:val="24"/>
          <w:szCs w:val="24"/>
          <w:lang w:val="en-GB"/>
        </w:rPr>
        <w:t>LTBRS was proposed as the basis for the Strategic Goal of the Republic of Serbia. In order to achieve the level of savings envisaged by Scenario 4, it is necessary to facilitate the renovation of the existing building stock at the level of 4.1</w:t>
      </w:r>
      <w:r w:rsidR="00D536A8" w:rsidRPr="00175508">
        <w:rPr>
          <w:rFonts w:ascii="Times New Roman" w:hAnsi="Times New Roman" w:cs="Times New Roman"/>
          <w:sz w:val="24"/>
          <w:szCs w:val="24"/>
          <w:lang w:val="sr-Cyrl-RS" w:bidi="sr-Cyrl-CS"/>
        </w:rPr>
        <w:t>÷</w:t>
      </w:r>
      <w:r w:rsidRPr="00614438">
        <w:rPr>
          <w:rFonts w:ascii="Times New Roman" w:hAnsi="Times New Roman" w:cs="Times New Roman"/>
          <w:sz w:val="24"/>
          <w:szCs w:val="24"/>
          <w:lang w:val="en-GB"/>
        </w:rPr>
        <w:t>6.0 million m², while the contribution of the expected floor area of newly constructed buildings has to reach the level of 2.2 million m² annually.</w:t>
      </w:r>
    </w:p>
    <w:p w14:paraId="2DF9CC28" w14:textId="78ADE791" w:rsidR="00614438" w:rsidRPr="00D536A8" w:rsidRDefault="00D536A8" w:rsidP="00485CA7">
      <w:pPr>
        <w:pStyle w:val="ListParagraph"/>
        <w:numPr>
          <w:ilvl w:val="1"/>
          <w:numId w:val="271"/>
        </w:numPr>
        <w:jc w:val="center"/>
        <w:rPr>
          <w:rFonts w:ascii="Times New Roman" w:hAnsi="Times New Roman" w:cs="Times New Roman"/>
          <w:sz w:val="24"/>
          <w:szCs w:val="24"/>
          <w:lang w:val="en-GB"/>
        </w:rPr>
      </w:pPr>
      <w:bookmarkStart w:id="291" w:name="_Toc79772562"/>
      <w:bookmarkStart w:id="292" w:name="_Toc118991782"/>
      <w:bookmarkStart w:id="293" w:name="_Toc153545054"/>
      <w:r w:rsidRPr="00D536A8">
        <w:rPr>
          <w:rFonts w:ascii="Times New Roman" w:hAnsi="Times New Roman" w:cs="Times New Roman"/>
          <w:sz w:val="24"/>
          <w:szCs w:val="24"/>
          <w:lang w:val="en-GB"/>
        </w:rPr>
        <w:t xml:space="preserve">The </w:t>
      </w:r>
      <w:r w:rsidR="00614438" w:rsidRPr="00D536A8">
        <w:rPr>
          <w:rFonts w:ascii="Times New Roman" w:hAnsi="Times New Roman" w:cs="Times New Roman"/>
          <w:sz w:val="24"/>
          <w:szCs w:val="24"/>
          <w:lang w:val="en-GB"/>
        </w:rPr>
        <w:t>Energy Security</w:t>
      </w:r>
      <w:bookmarkEnd w:id="291"/>
      <w:bookmarkEnd w:id="292"/>
      <w:bookmarkEnd w:id="293"/>
      <w:r w:rsidRPr="00D536A8">
        <w:rPr>
          <w:rFonts w:ascii="Times New Roman" w:hAnsi="Times New Roman" w:cs="Times New Roman"/>
          <w:sz w:val="24"/>
          <w:szCs w:val="24"/>
          <w:lang w:val="en-GB"/>
        </w:rPr>
        <w:t xml:space="preserve"> Dimension</w:t>
      </w:r>
    </w:p>
    <w:p w14:paraId="6319D4E6" w14:textId="54B67D2C" w:rsidR="00614438" w:rsidRPr="00614438" w:rsidRDefault="00D536A8" w:rsidP="00645D87">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4.4.1 </w:t>
      </w:r>
      <w:r w:rsidR="00614438" w:rsidRPr="00614438">
        <w:rPr>
          <w:rFonts w:ascii="Times New Roman" w:hAnsi="Times New Roman" w:cs="Times New Roman"/>
          <w:sz w:val="24"/>
          <w:szCs w:val="24"/>
          <w:lang w:val="en-GB"/>
        </w:rPr>
        <w:t>Current energy mix, domestic energy resources, import dependency, including relevant risks</w:t>
      </w:r>
    </w:p>
    <w:p w14:paraId="7109687F" w14:textId="5C152D3A" w:rsidR="00614438" w:rsidRPr="00614438" w:rsidRDefault="00614438" w:rsidP="00645D87">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Over 2010-2020, the primary production remained almost stable at about 10.5 Mtoe, apart from 2014, where a sharp and temporary decline was recorded, as shown in </w:t>
      </w:r>
      <w:r w:rsidR="00FA29EF">
        <w:fldChar w:fldCharType="begin"/>
      </w:r>
      <w:r w:rsidR="00FA29EF">
        <w:instrText xml:space="preserve"> REF _Ref153464274 \h  \* MERGEFORMAT </w:instrText>
      </w:r>
      <w:r w:rsidR="00FA29EF">
        <w:fldChar w:fldCharType="separate"/>
      </w:r>
      <w:r w:rsidRPr="00614438">
        <w:rPr>
          <w:rFonts w:ascii="Times New Roman" w:hAnsi="Times New Roman" w:cs="Times New Roman"/>
          <w:sz w:val="24"/>
          <w:szCs w:val="24"/>
          <w:lang w:val="en-GB"/>
        </w:rPr>
        <w:t>Figure 4.39</w:t>
      </w:r>
      <w:r w:rsidR="00FA29EF">
        <w:fldChar w:fldCharType="end"/>
      </w:r>
      <w:r w:rsidRPr="00614438">
        <w:rPr>
          <w:rFonts w:ascii="Times New Roman" w:hAnsi="Times New Roman" w:cs="Times New Roman"/>
          <w:sz w:val="24"/>
          <w:szCs w:val="24"/>
          <w:lang w:val="en-GB"/>
        </w:rPr>
        <w:t xml:space="preserve">. Solid fossil fuels, mainly lignite, constituted the prevailing fuels for primary production, with a minor decline of their share from 68.5% in 2010 to 65.7% in 2020. </w:t>
      </w:r>
      <w:bookmarkStart w:id="294" w:name="_Hlk110942982"/>
      <w:r w:rsidRPr="00614438">
        <w:rPr>
          <w:rFonts w:ascii="Times New Roman" w:hAnsi="Times New Roman" w:cs="Times New Roman"/>
          <w:sz w:val="24"/>
          <w:szCs w:val="24"/>
          <w:lang w:val="en-GB"/>
        </w:rPr>
        <w:t xml:space="preserve">RES and biofuels possess an important role </w:t>
      </w:r>
      <w:bookmarkEnd w:id="294"/>
      <w:r w:rsidRPr="00614438">
        <w:rPr>
          <w:rFonts w:ascii="Times New Roman" w:hAnsi="Times New Roman" w:cs="Times New Roman"/>
          <w:sz w:val="24"/>
          <w:szCs w:val="24"/>
          <w:lang w:val="en-GB"/>
        </w:rPr>
        <w:t>in primary production, while their contribution increased from 19.6% in 2010 to 22.9% in 2020.</w:t>
      </w:r>
    </w:p>
    <w:p w14:paraId="10FAD463" w14:textId="77777777" w:rsidR="00614438" w:rsidRPr="00614438" w:rsidRDefault="00614438" w:rsidP="00614438">
      <w:pPr>
        <w:jc w:val="both"/>
        <w:rPr>
          <w:rFonts w:ascii="Times New Roman" w:hAnsi="Times New Roman" w:cs="Times New Roman"/>
          <w:sz w:val="24"/>
          <w:szCs w:val="24"/>
          <w:lang w:val="en-GB"/>
        </w:rPr>
      </w:pPr>
      <w:bookmarkStart w:id="295" w:name="_Ref153464274"/>
      <w:bookmarkStart w:id="296" w:name="_Toc154575246"/>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39</w:t>
      </w:r>
      <w:r w:rsidR="00C83251" w:rsidRPr="00614438">
        <w:rPr>
          <w:rFonts w:ascii="Times New Roman" w:hAnsi="Times New Roman" w:cs="Times New Roman"/>
          <w:sz w:val="24"/>
          <w:szCs w:val="24"/>
        </w:rPr>
        <w:fldChar w:fldCharType="end"/>
      </w:r>
      <w:bookmarkEnd w:id="295"/>
      <w:r w:rsidRPr="00614438">
        <w:rPr>
          <w:rFonts w:ascii="Times New Roman" w:hAnsi="Times New Roman" w:cs="Times New Roman"/>
          <w:sz w:val="24"/>
          <w:szCs w:val="24"/>
        </w:rPr>
        <w:t>: Primary production over 2010-2020 (Source: Eurostat, 2023)</w:t>
      </w:r>
      <w:bookmarkEnd w:id="296"/>
    </w:p>
    <w:p w14:paraId="01B2A45F"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53181BCD" wp14:editId="5EEF5E63">
            <wp:extent cx="5638800" cy="2457450"/>
            <wp:effectExtent l="0" t="0" r="0" b="0"/>
            <wp:docPr id="325457011"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44707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38800" cy="2457450"/>
                    </a:xfrm>
                    <a:prstGeom prst="rect">
                      <a:avLst/>
                    </a:prstGeom>
                    <a:noFill/>
                    <a:ln>
                      <a:noFill/>
                    </a:ln>
                  </pic:spPr>
                </pic:pic>
              </a:graphicData>
            </a:graphic>
          </wp:inline>
        </w:drawing>
      </w:r>
    </w:p>
    <w:p w14:paraId="3D589226" w14:textId="66D198C3" w:rsidR="00614438" w:rsidRPr="00614438" w:rsidRDefault="00614438" w:rsidP="00645D87">
      <w:pPr>
        <w:ind w:firstLine="720"/>
        <w:jc w:val="both"/>
        <w:rPr>
          <w:rFonts w:ascii="Times New Roman" w:hAnsi="Times New Roman" w:cs="Times New Roman"/>
          <w:sz w:val="24"/>
          <w:szCs w:val="24"/>
        </w:rPr>
      </w:pPr>
      <w:r w:rsidRPr="00614438">
        <w:rPr>
          <w:rFonts w:ascii="Times New Roman" w:hAnsi="Times New Roman" w:cs="Times New Roman"/>
          <w:sz w:val="24"/>
          <w:szCs w:val="24"/>
        </w:rPr>
        <w:t>In 2020, the total transformation input in terms of energy use stood at 13.7 Mtoe, about 9.6% highe</w:t>
      </w:r>
      <w:r w:rsidR="00645D87">
        <w:rPr>
          <w:rFonts w:ascii="Times New Roman" w:hAnsi="Times New Roman" w:cs="Times New Roman"/>
          <w:sz w:val="24"/>
          <w:szCs w:val="24"/>
        </w:rPr>
        <w:t>r</w:t>
      </w:r>
      <w:r w:rsidRPr="00614438">
        <w:rPr>
          <w:rFonts w:ascii="Times New Roman" w:hAnsi="Times New Roman" w:cs="Times New Roman"/>
          <w:sz w:val="24"/>
          <w:szCs w:val="24"/>
        </w:rPr>
        <w:t xml:space="preserve"> compared to 2010 level (12.5 Mtoe), as illustrated in </w:t>
      </w:r>
      <w:r w:rsidR="00FA29EF">
        <w:fldChar w:fldCharType="begin"/>
      </w:r>
      <w:r w:rsidR="00FA29EF">
        <w:instrText xml:space="preserve"> REF _Ref153464356 \h  \* MERGEFORMAT </w:instrText>
      </w:r>
      <w:r w:rsidR="00FA29EF">
        <w:fldChar w:fldCharType="separate"/>
      </w:r>
      <w:r w:rsidRPr="00614438">
        <w:rPr>
          <w:rFonts w:ascii="Times New Roman" w:hAnsi="Times New Roman" w:cs="Times New Roman"/>
          <w:sz w:val="24"/>
          <w:szCs w:val="24"/>
        </w:rPr>
        <w:t>Figure 4.40</w:t>
      </w:r>
      <w:r w:rsidR="00FA29EF">
        <w:fldChar w:fldCharType="end"/>
      </w:r>
      <w:r w:rsidRPr="00614438">
        <w:rPr>
          <w:rFonts w:ascii="Times New Roman" w:hAnsi="Times New Roman" w:cs="Times New Roman"/>
          <w:sz w:val="24"/>
          <w:szCs w:val="24"/>
        </w:rPr>
        <w:t>. Solid fossil fuels and oil and petroleum products were the prevailing fuels in terms of transformation input (7.4 Mtoe and 4.4 Mtoe in 2020</w:t>
      </w:r>
      <w:r w:rsidR="00645D87">
        <w:rPr>
          <w:rFonts w:ascii="Times New Roman" w:hAnsi="Times New Roman" w:cs="Times New Roman"/>
          <w:sz w:val="24"/>
          <w:szCs w:val="24"/>
        </w:rPr>
        <w:t>,</w:t>
      </w:r>
      <w:r w:rsidRPr="00614438">
        <w:rPr>
          <w:rFonts w:ascii="Times New Roman" w:hAnsi="Times New Roman" w:cs="Times New Roman"/>
          <w:sz w:val="24"/>
          <w:szCs w:val="24"/>
        </w:rPr>
        <w:t xml:space="preserve"> respectively). In addition, the share of solid fossil fuels declined from 57.4% in 2010 to 53.7% in 2020, while the share of oil and petroleum products increased from 27.8% in 2010 to 32.4% in 2020.</w:t>
      </w:r>
    </w:p>
    <w:p w14:paraId="09EB9A25" w14:textId="77777777" w:rsidR="00614438" w:rsidRPr="00614438" w:rsidRDefault="00614438" w:rsidP="00614438">
      <w:pPr>
        <w:jc w:val="both"/>
        <w:rPr>
          <w:rFonts w:ascii="Times New Roman" w:hAnsi="Times New Roman" w:cs="Times New Roman"/>
          <w:sz w:val="24"/>
          <w:szCs w:val="24"/>
        </w:rPr>
      </w:pPr>
      <w:bookmarkStart w:id="297" w:name="_Ref153464356"/>
      <w:bookmarkStart w:id="298" w:name="_Toc154575247"/>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40</w:t>
      </w:r>
      <w:r w:rsidR="00C83251" w:rsidRPr="00614438">
        <w:rPr>
          <w:rFonts w:ascii="Times New Roman" w:hAnsi="Times New Roman" w:cs="Times New Roman"/>
          <w:sz w:val="24"/>
          <w:szCs w:val="24"/>
        </w:rPr>
        <w:fldChar w:fldCharType="end"/>
      </w:r>
      <w:bookmarkEnd w:id="297"/>
      <w:r w:rsidRPr="00614438">
        <w:rPr>
          <w:rFonts w:ascii="Times New Roman" w:hAnsi="Times New Roman" w:cs="Times New Roman"/>
          <w:sz w:val="24"/>
          <w:szCs w:val="24"/>
        </w:rPr>
        <w:t>: Transformation input over 2010-2020 (Source: Eurostat, 2023)</w:t>
      </w:r>
      <w:bookmarkEnd w:id="298"/>
    </w:p>
    <w:p w14:paraId="2E853BDC"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lastRenderedPageBreak/>
        <w:drawing>
          <wp:inline distT="0" distB="0" distL="0" distR="0" wp14:anchorId="2004F0C8" wp14:editId="7895E2F3">
            <wp:extent cx="5953125" cy="2638425"/>
            <wp:effectExtent l="0" t="0" r="9525" b="9525"/>
            <wp:docPr id="588912149"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53125" cy="2638425"/>
                    </a:xfrm>
                    <a:prstGeom prst="rect">
                      <a:avLst/>
                    </a:prstGeom>
                    <a:noFill/>
                    <a:ln>
                      <a:noFill/>
                    </a:ln>
                  </pic:spPr>
                </pic:pic>
              </a:graphicData>
            </a:graphic>
          </wp:inline>
        </w:drawing>
      </w:r>
    </w:p>
    <w:p w14:paraId="48562629" w14:textId="3520F47D" w:rsidR="00614438" w:rsidRPr="00614438" w:rsidRDefault="00614438" w:rsidP="00645D87">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same tendency was recorded also for the case of the transformation output (generation of electricity, heat and oil products from refineries, as shown in </w:t>
      </w:r>
      <w:r w:rsidR="00FA29EF">
        <w:fldChar w:fldCharType="begin"/>
      </w:r>
      <w:r w:rsidR="00FA29EF">
        <w:instrText xml:space="preserve"> REF _Ref153464841 \h  \* MERGEFORMAT </w:instrText>
      </w:r>
      <w:r w:rsidR="00FA29EF">
        <w:fldChar w:fldCharType="separate"/>
      </w:r>
      <w:r w:rsidRPr="00614438">
        <w:rPr>
          <w:rFonts w:ascii="Times New Roman" w:hAnsi="Times New Roman" w:cs="Times New Roman"/>
          <w:sz w:val="24"/>
          <w:szCs w:val="24"/>
          <w:lang w:val="en-GB"/>
        </w:rPr>
        <w:t>Figure 4.41</w:t>
      </w:r>
      <w:r w:rsidR="00FA29EF">
        <w:fldChar w:fldCharType="end"/>
      </w:r>
      <w:r w:rsidR="00645D87">
        <w:t>)</w:t>
      </w:r>
      <w:r w:rsidRPr="00614438">
        <w:rPr>
          <w:rFonts w:ascii="Times New Roman" w:hAnsi="Times New Roman" w:cs="Times New Roman"/>
          <w:sz w:val="24"/>
          <w:szCs w:val="24"/>
          <w:lang w:val="en-GB"/>
        </w:rPr>
        <w:t>. In 2020, the total transformation output in terms of energy use stood at 8.7 Mtoe, about 13% higher compared to 2010 level (7.7 Mtoe). Electricity and oil and petroleum products amounted to 3.3 Mtoe and 4.2 Mtoe in 2020, respectively. Moreover, the share of electricity was reduced from 42.4% in 2010 to 37.4% in 2020, while the share of oil and petroleum products grew from 42.4% in 2010 to 37.4% in 2020.</w:t>
      </w:r>
    </w:p>
    <w:p w14:paraId="2C02D86D" w14:textId="77777777" w:rsidR="00614438" w:rsidRPr="00614438" w:rsidRDefault="00614438" w:rsidP="00614438">
      <w:pPr>
        <w:jc w:val="both"/>
        <w:rPr>
          <w:rFonts w:ascii="Times New Roman" w:hAnsi="Times New Roman" w:cs="Times New Roman"/>
          <w:sz w:val="24"/>
          <w:szCs w:val="24"/>
          <w:lang w:val="en-GB"/>
        </w:rPr>
      </w:pPr>
      <w:bookmarkStart w:id="299" w:name="_Ref153464841"/>
      <w:bookmarkStart w:id="300" w:name="_Toc154575248"/>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41</w:t>
      </w:r>
      <w:r w:rsidR="00C83251" w:rsidRPr="00614438">
        <w:rPr>
          <w:rFonts w:ascii="Times New Roman" w:hAnsi="Times New Roman" w:cs="Times New Roman"/>
          <w:sz w:val="24"/>
          <w:szCs w:val="24"/>
        </w:rPr>
        <w:fldChar w:fldCharType="end"/>
      </w:r>
      <w:bookmarkEnd w:id="299"/>
      <w:r w:rsidRPr="00614438">
        <w:rPr>
          <w:rFonts w:ascii="Times New Roman" w:hAnsi="Times New Roman" w:cs="Times New Roman"/>
          <w:sz w:val="24"/>
          <w:szCs w:val="24"/>
        </w:rPr>
        <w:t>: Transformation output over 2010-2020 (Source: Eurostat, 2023)</w:t>
      </w:r>
      <w:bookmarkEnd w:id="300"/>
    </w:p>
    <w:p w14:paraId="043585CC"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29306A42" wp14:editId="416921B2">
            <wp:extent cx="6010275" cy="2943225"/>
            <wp:effectExtent l="0" t="0" r="9525" b="9525"/>
            <wp:docPr id="27210004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52232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010275" cy="2943225"/>
                    </a:xfrm>
                    <a:prstGeom prst="rect">
                      <a:avLst/>
                    </a:prstGeom>
                    <a:noFill/>
                    <a:ln>
                      <a:noFill/>
                    </a:ln>
                  </pic:spPr>
                </pic:pic>
              </a:graphicData>
            </a:graphic>
          </wp:inline>
        </w:drawing>
      </w:r>
    </w:p>
    <w:p w14:paraId="145A9F6E" w14:textId="1479C709" w:rsidR="00614438" w:rsidRPr="00C478BE" w:rsidRDefault="00C478BE" w:rsidP="00C478BE">
      <w:pPr>
        <w:ind w:left="1440" w:firstLine="720"/>
        <w:jc w:val="center"/>
        <w:rPr>
          <w:rFonts w:ascii="Times New Roman" w:hAnsi="Times New Roman" w:cs="Times New Roman"/>
          <w:sz w:val="24"/>
          <w:szCs w:val="24"/>
          <w:lang w:val="en-GB"/>
        </w:rPr>
      </w:pPr>
      <w:r>
        <w:rPr>
          <w:rFonts w:ascii="Times New Roman" w:hAnsi="Times New Roman" w:cs="Times New Roman"/>
          <w:sz w:val="24"/>
          <w:szCs w:val="24"/>
          <w:lang w:val="en-GB"/>
        </w:rPr>
        <w:t>4.42</w:t>
      </w:r>
      <w:r w:rsidRPr="00C478BE">
        <w:rPr>
          <w:rFonts w:ascii="Times New Roman" w:hAnsi="Times New Roman" w:cs="Times New Roman"/>
          <w:sz w:val="24"/>
          <w:szCs w:val="24"/>
          <w:lang w:val="en-GB"/>
        </w:rPr>
        <w:t xml:space="preserve"> </w:t>
      </w:r>
      <w:r w:rsidR="00614438" w:rsidRPr="00C478BE">
        <w:rPr>
          <w:rFonts w:ascii="Times New Roman" w:hAnsi="Times New Roman" w:cs="Times New Roman"/>
          <w:sz w:val="24"/>
          <w:szCs w:val="24"/>
          <w:lang w:val="en-GB"/>
        </w:rPr>
        <w:t>Projections of development with existing policies and measures at least until 2040 (including for the year 2030)</w:t>
      </w:r>
    </w:p>
    <w:p w14:paraId="73A2FAE7" w14:textId="73CAB8DD" w:rsidR="00614438" w:rsidRPr="00614438" w:rsidRDefault="00614438" w:rsidP="00C478B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As presented in </w:t>
      </w:r>
      <w:r w:rsidR="00FA29EF">
        <w:fldChar w:fldCharType="begin"/>
      </w:r>
      <w:r w:rsidR="00FA29EF">
        <w:instrText xml:space="preserve"> REF _Ref113634350 \h  \* MERGEFORMAT </w:instrText>
      </w:r>
      <w:r w:rsidR="00FA29EF">
        <w:fldChar w:fldCharType="separate"/>
      </w:r>
      <w:r w:rsidRPr="00614438">
        <w:rPr>
          <w:rFonts w:ascii="Times New Roman" w:hAnsi="Times New Roman" w:cs="Times New Roman"/>
          <w:sz w:val="24"/>
          <w:szCs w:val="24"/>
          <w:lang w:val="en-GB"/>
        </w:rPr>
        <w:t>Figure 4.42</w:t>
      </w:r>
      <w:r w:rsidR="00FA29EF">
        <w:fldChar w:fldCharType="end"/>
      </w:r>
      <w:r w:rsidRPr="00614438">
        <w:rPr>
          <w:rFonts w:ascii="Times New Roman" w:hAnsi="Times New Roman" w:cs="Times New Roman"/>
          <w:sz w:val="24"/>
          <w:szCs w:val="24"/>
          <w:lang w:val="en-GB"/>
        </w:rPr>
        <w:t xml:space="preserve">, energy import dependency exhibits an increasing trend towards 2050, compared to 2020. </w:t>
      </w:r>
      <w:r w:rsidR="00C478BE">
        <w:rPr>
          <w:rFonts w:ascii="Times New Roman" w:hAnsi="Times New Roman" w:cs="Times New Roman"/>
          <w:sz w:val="24"/>
          <w:szCs w:val="24"/>
          <w:lang w:val="en-GB"/>
        </w:rPr>
        <w:t>W</w:t>
      </w:r>
      <w:r w:rsidRPr="00614438">
        <w:rPr>
          <w:rFonts w:ascii="Times New Roman" w:hAnsi="Times New Roman" w:cs="Times New Roman"/>
          <w:sz w:val="24"/>
          <w:szCs w:val="24"/>
          <w:lang w:val="en-GB"/>
        </w:rPr>
        <w:t>hile energy import dependency in 2020 was 33%, it is expected to increase up to 36% in 2030 and up to 45% by 2050, mainly due to the increased use of natural gas and petroleum products.</w:t>
      </w:r>
    </w:p>
    <w:p w14:paraId="4E8055BF" w14:textId="4F0C25B7" w:rsidR="00614438" w:rsidRPr="00614438" w:rsidRDefault="00614438" w:rsidP="00614438">
      <w:pPr>
        <w:jc w:val="both"/>
        <w:rPr>
          <w:rFonts w:ascii="Times New Roman" w:hAnsi="Times New Roman" w:cs="Times New Roman"/>
          <w:sz w:val="24"/>
          <w:szCs w:val="24"/>
          <w:lang w:val="en-GB"/>
        </w:rPr>
      </w:pPr>
      <w:bookmarkStart w:id="301" w:name="_Ref113634350"/>
      <w:bookmarkStart w:id="302" w:name="_Toc118992311"/>
      <w:bookmarkStart w:id="303" w:name="_Toc154575249"/>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42</w:t>
      </w:r>
      <w:r w:rsidR="00C83251" w:rsidRPr="00614438">
        <w:rPr>
          <w:rFonts w:ascii="Times New Roman" w:hAnsi="Times New Roman" w:cs="Times New Roman"/>
          <w:sz w:val="24"/>
          <w:szCs w:val="24"/>
        </w:rPr>
        <w:fldChar w:fldCharType="end"/>
      </w:r>
      <w:bookmarkEnd w:id="301"/>
      <w:r w:rsidRPr="00614438">
        <w:rPr>
          <w:rFonts w:ascii="Times New Roman" w:hAnsi="Times New Roman" w:cs="Times New Roman"/>
          <w:sz w:val="24"/>
          <w:szCs w:val="24"/>
        </w:rPr>
        <w:t>: Energy import dependency over 2020-2050</w:t>
      </w:r>
      <w:bookmarkEnd w:id="302"/>
      <w:r w:rsidRPr="00614438">
        <w:rPr>
          <w:rFonts w:ascii="Times New Roman" w:hAnsi="Times New Roman" w:cs="Times New Roman"/>
          <w:sz w:val="24"/>
          <w:szCs w:val="24"/>
        </w:rPr>
        <w:t xml:space="preserve"> in the </w:t>
      </w:r>
      <w:r w:rsidR="005A6482" w:rsidRPr="00614438">
        <w:rPr>
          <w:rFonts w:ascii="Times New Roman" w:hAnsi="Times New Roman" w:cs="Times New Roman"/>
          <w:sz w:val="24"/>
          <w:szCs w:val="24"/>
        </w:rPr>
        <w:t xml:space="preserve">WEM </w:t>
      </w:r>
      <w:r w:rsidRPr="00614438">
        <w:rPr>
          <w:rFonts w:ascii="Times New Roman" w:hAnsi="Times New Roman" w:cs="Times New Roman"/>
          <w:sz w:val="24"/>
          <w:szCs w:val="24"/>
        </w:rPr>
        <w:t xml:space="preserve">scenario </w:t>
      </w:r>
      <w:bookmarkEnd w:id="303"/>
    </w:p>
    <w:p w14:paraId="2C665488" w14:textId="1ED8B7B0"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683840" behindDoc="0" locked="0" layoutInCell="1" allowOverlap="1" wp14:anchorId="793E7A95" wp14:editId="5B6A7A0A">
                <wp:simplePos x="0" y="0"/>
                <wp:positionH relativeFrom="column">
                  <wp:posOffset>1324610</wp:posOffset>
                </wp:positionH>
                <wp:positionV relativeFrom="paragraph">
                  <wp:posOffset>1859280</wp:posOffset>
                </wp:positionV>
                <wp:extent cx="2441575" cy="1487805"/>
                <wp:effectExtent l="0" t="0" r="0" b="0"/>
                <wp:wrapNone/>
                <wp:docPr id="1496831075"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1575" cy="148780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BDE1FB5" id="Text Box 97" o:spid="_x0000_s1026" type="#_x0000_t202" style="position:absolute;margin-left:104.3pt;margin-top:146.4pt;width:192.25pt;height:117.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6CF1ACEC" wp14:editId="0E83D140">
            <wp:extent cx="5114925" cy="4067175"/>
            <wp:effectExtent l="0" t="0" r="9525" b="9525"/>
            <wp:docPr id="1322353988"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62650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114925" cy="4067175"/>
                    </a:xfrm>
                    <a:prstGeom prst="rect">
                      <a:avLst/>
                    </a:prstGeom>
                    <a:noFill/>
                    <a:ln>
                      <a:noFill/>
                    </a:ln>
                  </pic:spPr>
                </pic:pic>
              </a:graphicData>
            </a:graphic>
          </wp:inline>
        </w:drawing>
      </w:r>
    </w:p>
    <w:p w14:paraId="792CC6B8" w14:textId="68DB55BE" w:rsidR="00614438" w:rsidRPr="00614438" w:rsidRDefault="00614438" w:rsidP="00614438">
      <w:pPr>
        <w:jc w:val="both"/>
        <w:rPr>
          <w:rFonts w:ascii="Times New Roman" w:hAnsi="Times New Roman" w:cs="Times New Roman"/>
          <w:sz w:val="24"/>
          <w:szCs w:val="24"/>
          <w:lang w:val="en-GB"/>
        </w:rPr>
      </w:pPr>
      <w:bookmarkStart w:id="304" w:name="_Ref113634362"/>
      <w:bookmarkStart w:id="305" w:name="_Toc118992312"/>
      <w:bookmarkStart w:id="306" w:name="_Toc154575250"/>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43</w:t>
      </w:r>
      <w:r w:rsidR="00C83251" w:rsidRPr="00614438">
        <w:rPr>
          <w:rFonts w:ascii="Times New Roman" w:hAnsi="Times New Roman" w:cs="Times New Roman"/>
          <w:sz w:val="24"/>
          <w:szCs w:val="24"/>
        </w:rPr>
        <w:fldChar w:fldCharType="end"/>
      </w:r>
      <w:bookmarkEnd w:id="304"/>
      <w:r w:rsidRPr="00614438">
        <w:rPr>
          <w:rFonts w:ascii="Times New Roman" w:hAnsi="Times New Roman" w:cs="Times New Roman"/>
          <w:sz w:val="24"/>
          <w:szCs w:val="24"/>
        </w:rPr>
        <w:t>: Import dependency of oil and oil products, natural gas and electricity over 2020-2050</w:t>
      </w:r>
      <w:bookmarkEnd w:id="305"/>
      <w:r w:rsidRPr="00614438">
        <w:rPr>
          <w:rFonts w:ascii="Times New Roman" w:hAnsi="Times New Roman" w:cs="Times New Roman"/>
          <w:sz w:val="24"/>
          <w:szCs w:val="24"/>
        </w:rPr>
        <w:t xml:space="preserve"> in the </w:t>
      </w:r>
      <w:r w:rsidR="005A6482" w:rsidRPr="00614438">
        <w:rPr>
          <w:rFonts w:ascii="Times New Roman" w:hAnsi="Times New Roman" w:cs="Times New Roman"/>
          <w:sz w:val="24"/>
          <w:szCs w:val="24"/>
        </w:rPr>
        <w:t xml:space="preserve">WEM </w:t>
      </w:r>
      <w:r w:rsidRPr="00614438">
        <w:rPr>
          <w:rFonts w:ascii="Times New Roman" w:hAnsi="Times New Roman" w:cs="Times New Roman"/>
          <w:sz w:val="24"/>
          <w:szCs w:val="24"/>
        </w:rPr>
        <w:t xml:space="preserve">scenario </w:t>
      </w:r>
      <w:bookmarkEnd w:id="306"/>
    </w:p>
    <w:p w14:paraId="45D07F66" w14:textId="2AAA13D7"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684864" behindDoc="0" locked="0" layoutInCell="1" allowOverlap="1" wp14:anchorId="71FF2CEF" wp14:editId="403775AC">
                <wp:simplePos x="0" y="0"/>
                <wp:positionH relativeFrom="column">
                  <wp:posOffset>1643380</wp:posOffset>
                </wp:positionH>
                <wp:positionV relativeFrom="paragraph">
                  <wp:posOffset>161290</wp:posOffset>
                </wp:positionV>
                <wp:extent cx="2052955" cy="3264535"/>
                <wp:effectExtent l="0" t="0" r="0" b="0"/>
                <wp:wrapNone/>
                <wp:docPr id="658134162"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2955" cy="326453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6085D89" id="Text Box 95" o:spid="_x0000_s1026" type="#_x0000_t202" style="position:absolute;margin-left:129.4pt;margin-top:12.7pt;width:161.65pt;height:257.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656BBEDD" wp14:editId="71860FCE">
            <wp:extent cx="4333875" cy="3971925"/>
            <wp:effectExtent l="0" t="0" r="9525" b="9525"/>
            <wp:docPr id="833152257"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204844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333875" cy="3971925"/>
                    </a:xfrm>
                    <a:prstGeom prst="rect">
                      <a:avLst/>
                    </a:prstGeom>
                    <a:noFill/>
                    <a:ln>
                      <a:noFill/>
                    </a:ln>
                  </pic:spPr>
                </pic:pic>
              </a:graphicData>
            </a:graphic>
          </wp:inline>
        </w:drawing>
      </w:r>
    </w:p>
    <w:p w14:paraId="454B5E62" w14:textId="7770A120" w:rsidR="00C478BE" w:rsidRPr="00614438" w:rsidRDefault="00C478BE" w:rsidP="00C478B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import dependency of both oil and oil products</w:t>
      </w:r>
      <w:r>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as well as natural gas is expected to follow almost the same upward trend, as shown in </w:t>
      </w:r>
      <w:r>
        <w:fldChar w:fldCharType="begin"/>
      </w:r>
      <w:r>
        <w:instrText xml:space="preserve"> REF _Ref113634362 \h  \* MERGEFORMAT </w:instrText>
      </w:r>
      <w:r>
        <w:fldChar w:fldCharType="separate"/>
      </w:r>
      <w:r w:rsidRPr="00614438">
        <w:rPr>
          <w:rFonts w:ascii="Times New Roman" w:hAnsi="Times New Roman" w:cs="Times New Roman"/>
          <w:sz w:val="24"/>
          <w:szCs w:val="24"/>
          <w:lang w:val="en-GB"/>
        </w:rPr>
        <w:t>Figure 4.43</w:t>
      </w:r>
      <w:r>
        <w:fldChar w:fldCharType="end"/>
      </w:r>
      <w:r w:rsidRPr="00614438">
        <w:rPr>
          <w:rFonts w:ascii="Times New Roman" w:hAnsi="Times New Roman" w:cs="Times New Roman"/>
          <w:sz w:val="24"/>
          <w:szCs w:val="24"/>
          <w:lang w:val="en-GB"/>
        </w:rPr>
        <w:t xml:space="preserve">. However, the import dependency of </w:t>
      </w:r>
      <w:r w:rsidRPr="00614438">
        <w:rPr>
          <w:rFonts w:ascii="Times New Roman" w:hAnsi="Times New Roman" w:cs="Times New Roman"/>
          <w:sz w:val="24"/>
          <w:szCs w:val="24"/>
          <w:lang w:val="en-GB"/>
        </w:rPr>
        <w:lastRenderedPageBreak/>
        <w:t>electricity will move to negative percentages; from -1% in 2020 to -4% in 2030 and to -5% in 2050, indicating that the Republic of Serbia is expected to be a net electricity exporter by 2050.</w:t>
      </w:r>
    </w:p>
    <w:p w14:paraId="6AB43DF3" w14:textId="24A6F9F4" w:rsidR="00614438" w:rsidRPr="00614438" w:rsidRDefault="00614438" w:rsidP="00C478B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primary production is expected to increase by 2050; from 10.5 Mtoe in 2020 to 11.8 Mtoe in 2030 and to 11.3 Mtoe in 2050, as presented in </w:t>
      </w:r>
      <w:r w:rsidR="00FA29EF">
        <w:fldChar w:fldCharType="begin"/>
      </w:r>
      <w:r w:rsidR="00FA29EF">
        <w:instrText xml:space="preserve"> REF _Ref153465188 \h  \* MERGEFORMAT </w:instrText>
      </w:r>
      <w:r w:rsidR="00FA29EF">
        <w:fldChar w:fldCharType="separate"/>
      </w:r>
      <w:r w:rsidRPr="00614438">
        <w:rPr>
          <w:rFonts w:ascii="Times New Roman" w:hAnsi="Times New Roman" w:cs="Times New Roman"/>
          <w:sz w:val="24"/>
          <w:szCs w:val="24"/>
          <w:lang w:val="en-GB"/>
        </w:rPr>
        <w:t>Figure 4.44</w:t>
      </w:r>
      <w:r w:rsidR="00FA29EF">
        <w:fldChar w:fldCharType="end"/>
      </w:r>
      <w:r w:rsidR="00C83251" w:rsidRPr="00614438">
        <w:rPr>
          <w:rFonts w:ascii="Times New Roman" w:hAnsi="Times New Roman" w:cs="Times New Roman"/>
          <w:sz w:val="24"/>
          <w:szCs w:val="24"/>
          <w:lang w:val="en-GB"/>
        </w:rPr>
        <w:fldChar w:fldCharType="begin"/>
      </w:r>
      <w:r w:rsidRPr="00614438">
        <w:rPr>
          <w:rFonts w:ascii="Times New Roman" w:hAnsi="Times New Roman" w:cs="Times New Roman"/>
          <w:sz w:val="24"/>
          <w:szCs w:val="24"/>
          <w:lang w:val="en-GB"/>
        </w:rPr>
        <w:instrText xml:space="preserve"> REF _Ref113634374 \h  \* MERGEFORMAT </w:instrText>
      </w:r>
      <w:r w:rsidR="00C83251" w:rsidRPr="00614438">
        <w:rPr>
          <w:rFonts w:ascii="Times New Roman" w:hAnsi="Times New Roman" w:cs="Times New Roman"/>
          <w:sz w:val="24"/>
          <w:szCs w:val="24"/>
          <w:lang w:val="en-GB"/>
        </w:rPr>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lang w:val="en-GB"/>
        </w:rPr>
        <w:t>. It should be noted that an increase is observed until 2045 (12.3 Mtoe), while a decline is foreseen until 2050. Solid fuels as well as RES and waste constitute the energy sources with the highest contribution by 2050 demonstrating a rise equal to 9% and 38% respectively compared to 2020.</w:t>
      </w:r>
    </w:p>
    <w:p w14:paraId="1FB98193" w14:textId="5DE38701" w:rsidR="00614438" w:rsidRPr="00614438" w:rsidRDefault="00614438" w:rsidP="00614438">
      <w:pPr>
        <w:jc w:val="both"/>
        <w:rPr>
          <w:rFonts w:ascii="Times New Roman" w:hAnsi="Times New Roman" w:cs="Times New Roman"/>
          <w:sz w:val="24"/>
          <w:szCs w:val="24"/>
          <w:lang w:val="en-GB"/>
        </w:rPr>
      </w:pPr>
      <w:bookmarkStart w:id="307" w:name="_Ref153465188"/>
      <w:bookmarkStart w:id="308" w:name="_Toc154575251"/>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44</w:t>
      </w:r>
      <w:r w:rsidR="00C83251" w:rsidRPr="00614438">
        <w:rPr>
          <w:rFonts w:ascii="Times New Roman" w:hAnsi="Times New Roman" w:cs="Times New Roman"/>
          <w:sz w:val="24"/>
          <w:szCs w:val="24"/>
        </w:rPr>
        <w:fldChar w:fldCharType="end"/>
      </w:r>
      <w:bookmarkEnd w:id="307"/>
      <w:r w:rsidRPr="00614438">
        <w:rPr>
          <w:rFonts w:ascii="Times New Roman" w:hAnsi="Times New Roman" w:cs="Times New Roman"/>
          <w:sz w:val="24"/>
          <w:szCs w:val="24"/>
        </w:rPr>
        <w:t xml:space="preserve">: Primary production over 2020-2050 in the </w:t>
      </w:r>
      <w:r w:rsidR="005A6482" w:rsidRPr="00614438">
        <w:rPr>
          <w:rFonts w:ascii="Times New Roman" w:hAnsi="Times New Roman" w:cs="Times New Roman"/>
          <w:sz w:val="24"/>
          <w:szCs w:val="24"/>
        </w:rPr>
        <w:t xml:space="preserve">WEM </w:t>
      </w:r>
      <w:r w:rsidRPr="00614438">
        <w:rPr>
          <w:rFonts w:ascii="Times New Roman" w:hAnsi="Times New Roman" w:cs="Times New Roman"/>
          <w:sz w:val="24"/>
          <w:szCs w:val="24"/>
        </w:rPr>
        <w:t xml:space="preserve">scenario </w:t>
      </w:r>
      <w:bookmarkEnd w:id="308"/>
    </w:p>
    <w:p w14:paraId="2AACA644" w14:textId="7692545B"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685888" behindDoc="0" locked="0" layoutInCell="1" allowOverlap="1" wp14:anchorId="3F1944C7" wp14:editId="6B27F296">
                <wp:simplePos x="0" y="0"/>
                <wp:positionH relativeFrom="column">
                  <wp:posOffset>1469390</wp:posOffset>
                </wp:positionH>
                <wp:positionV relativeFrom="paragraph">
                  <wp:posOffset>244475</wp:posOffset>
                </wp:positionV>
                <wp:extent cx="2303145" cy="2324735"/>
                <wp:effectExtent l="0" t="0" r="0" b="0"/>
                <wp:wrapNone/>
                <wp:docPr id="1212423111"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3145" cy="232473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AC5E32B" id="Text Box 93" o:spid="_x0000_s1026" type="#_x0000_t202" style="position:absolute;margin-left:115.7pt;margin-top:19.25pt;width:181.35pt;height:183.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47705258" wp14:editId="3B13E1D2">
            <wp:extent cx="5038725" cy="3009900"/>
            <wp:effectExtent l="0" t="0" r="9525" b="0"/>
            <wp:docPr id="572118502"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609890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38725" cy="3009900"/>
                    </a:xfrm>
                    <a:prstGeom prst="rect">
                      <a:avLst/>
                    </a:prstGeom>
                    <a:noFill/>
                    <a:ln>
                      <a:noFill/>
                    </a:ln>
                  </pic:spPr>
                </pic:pic>
              </a:graphicData>
            </a:graphic>
          </wp:inline>
        </w:drawing>
      </w:r>
    </w:p>
    <w:p w14:paraId="3C734B95" w14:textId="54AFD528" w:rsidR="00614438" w:rsidRPr="00614438" w:rsidRDefault="00614438" w:rsidP="00C478B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domestic needs for energy supply will be supplemented by imported energy, considering also exports and stock changes. Generally, it is expected that energy imports will rise, and energy exports will decrease, resulting </w:t>
      </w:r>
      <w:r w:rsidR="00C478BE">
        <w:rPr>
          <w:rFonts w:ascii="Times New Roman" w:hAnsi="Times New Roman" w:cs="Times New Roman"/>
          <w:sz w:val="24"/>
          <w:szCs w:val="24"/>
          <w:lang w:val="en-GB"/>
        </w:rPr>
        <w:t>in</w:t>
      </w:r>
      <w:r w:rsidRPr="00614438">
        <w:rPr>
          <w:rFonts w:ascii="Times New Roman" w:hAnsi="Times New Roman" w:cs="Times New Roman"/>
          <w:sz w:val="24"/>
          <w:szCs w:val="24"/>
          <w:lang w:val="en-GB"/>
        </w:rPr>
        <w:t xml:space="preserve"> an overall increase of total net imports, </w:t>
      </w:r>
      <w:r w:rsidR="00C478BE">
        <w:rPr>
          <w:rFonts w:ascii="Times New Roman" w:hAnsi="Times New Roman" w:cs="Times New Roman"/>
          <w:sz w:val="24"/>
          <w:szCs w:val="24"/>
          <w:lang w:val="en-GB"/>
        </w:rPr>
        <w:t xml:space="preserve">in order </w:t>
      </w:r>
      <w:r w:rsidRPr="00614438">
        <w:rPr>
          <w:rFonts w:ascii="Times New Roman" w:hAnsi="Times New Roman" w:cs="Times New Roman"/>
          <w:sz w:val="24"/>
          <w:szCs w:val="24"/>
          <w:lang w:val="en-GB"/>
        </w:rPr>
        <w:t xml:space="preserve">to complement the decrease of </w:t>
      </w:r>
      <w:r w:rsidR="00C478BE">
        <w:rPr>
          <w:rFonts w:ascii="Times New Roman" w:hAnsi="Times New Roman" w:cs="Times New Roman"/>
          <w:sz w:val="24"/>
          <w:szCs w:val="24"/>
          <w:lang w:val="en-GB"/>
        </w:rPr>
        <w:t>domestic</w:t>
      </w:r>
      <w:r w:rsidRPr="00614438">
        <w:rPr>
          <w:rFonts w:ascii="Times New Roman" w:hAnsi="Times New Roman" w:cs="Times New Roman"/>
          <w:sz w:val="24"/>
          <w:szCs w:val="24"/>
          <w:lang w:val="en-GB"/>
        </w:rPr>
        <w:t xml:space="preserve"> production for covering gross </w:t>
      </w:r>
      <w:r w:rsidR="00AE123E">
        <w:rPr>
          <w:rFonts w:ascii="Times New Roman" w:hAnsi="Times New Roman" w:cs="Times New Roman"/>
          <w:sz w:val="24"/>
          <w:szCs w:val="24"/>
          <w:lang w:val="en-GB"/>
        </w:rPr>
        <w:t>inland</w:t>
      </w:r>
      <w:r w:rsidRPr="00614438">
        <w:rPr>
          <w:rFonts w:ascii="Times New Roman" w:hAnsi="Times New Roman" w:cs="Times New Roman"/>
          <w:sz w:val="24"/>
          <w:szCs w:val="24"/>
          <w:lang w:val="en-GB"/>
        </w:rPr>
        <w:t xml:space="preserve"> consumption. More specifically, imports of energy are projected to increase from 6.3 Mtoe in 2020 to 7.6 Mtoe in 2030 and at 9.8 Mtoe in 2050, as shown in </w:t>
      </w:r>
      <w:r w:rsidR="00FA29EF">
        <w:fldChar w:fldCharType="begin"/>
      </w:r>
      <w:r w:rsidR="00FA29EF">
        <w:instrText xml:space="preserve"> REF _Ref113634390 \h  \* MERGEFORMAT </w:instrText>
      </w:r>
      <w:r w:rsidR="00FA29EF">
        <w:fldChar w:fldCharType="separate"/>
      </w:r>
      <w:r w:rsidRPr="00614438">
        <w:rPr>
          <w:rFonts w:ascii="Times New Roman" w:hAnsi="Times New Roman" w:cs="Times New Roman"/>
          <w:sz w:val="24"/>
          <w:szCs w:val="24"/>
          <w:lang w:val="en-GB"/>
        </w:rPr>
        <w:t>Figure 4.45</w:t>
      </w:r>
      <w:r w:rsidR="00FA29EF">
        <w:fldChar w:fldCharType="end"/>
      </w:r>
      <w:r w:rsidRPr="00614438">
        <w:rPr>
          <w:rFonts w:ascii="Times New Roman" w:hAnsi="Times New Roman" w:cs="Times New Roman"/>
          <w:sz w:val="24"/>
          <w:szCs w:val="24"/>
          <w:lang w:val="en-GB"/>
        </w:rPr>
        <w:t>.</w:t>
      </w:r>
    </w:p>
    <w:p w14:paraId="2E27548B" w14:textId="704ECE85" w:rsidR="00614438" w:rsidRPr="00614438" w:rsidRDefault="00614438" w:rsidP="00614438">
      <w:pPr>
        <w:jc w:val="both"/>
        <w:rPr>
          <w:rFonts w:ascii="Times New Roman" w:hAnsi="Times New Roman" w:cs="Times New Roman"/>
          <w:sz w:val="24"/>
          <w:szCs w:val="24"/>
          <w:lang w:val="en-GB"/>
        </w:rPr>
      </w:pPr>
      <w:bookmarkStart w:id="309" w:name="_Ref113634390"/>
      <w:bookmarkStart w:id="310" w:name="_Toc118992314"/>
      <w:bookmarkStart w:id="311" w:name="_Toc154575252"/>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45</w:t>
      </w:r>
      <w:r w:rsidR="00C83251" w:rsidRPr="00614438">
        <w:rPr>
          <w:rFonts w:ascii="Times New Roman" w:hAnsi="Times New Roman" w:cs="Times New Roman"/>
          <w:sz w:val="24"/>
          <w:szCs w:val="24"/>
        </w:rPr>
        <w:fldChar w:fldCharType="end"/>
      </w:r>
      <w:bookmarkEnd w:id="309"/>
      <w:r w:rsidRPr="00614438">
        <w:rPr>
          <w:rFonts w:ascii="Times New Roman" w:hAnsi="Times New Roman" w:cs="Times New Roman"/>
          <w:sz w:val="24"/>
          <w:szCs w:val="24"/>
        </w:rPr>
        <w:t>: Energy imports per fuel over 2020-2050</w:t>
      </w:r>
      <w:bookmarkEnd w:id="310"/>
      <w:r w:rsidRPr="00614438">
        <w:rPr>
          <w:rFonts w:ascii="Times New Roman" w:hAnsi="Times New Roman" w:cs="Times New Roman"/>
          <w:sz w:val="24"/>
          <w:szCs w:val="24"/>
        </w:rPr>
        <w:t xml:space="preserve"> in the </w:t>
      </w:r>
      <w:r w:rsidR="005A6482" w:rsidRPr="00614438">
        <w:rPr>
          <w:rFonts w:ascii="Times New Roman" w:hAnsi="Times New Roman" w:cs="Times New Roman"/>
          <w:sz w:val="24"/>
          <w:szCs w:val="24"/>
        </w:rPr>
        <w:t xml:space="preserve">WEM </w:t>
      </w:r>
      <w:r w:rsidRPr="00614438">
        <w:rPr>
          <w:rFonts w:ascii="Times New Roman" w:hAnsi="Times New Roman" w:cs="Times New Roman"/>
          <w:sz w:val="24"/>
          <w:szCs w:val="24"/>
        </w:rPr>
        <w:t xml:space="preserve">scenario </w:t>
      </w:r>
      <w:bookmarkEnd w:id="311"/>
    </w:p>
    <w:p w14:paraId="35E321ED" w14:textId="3F717F90"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686912" behindDoc="0" locked="0" layoutInCell="1" allowOverlap="1" wp14:anchorId="04CB05B1" wp14:editId="74782006">
                <wp:simplePos x="0" y="0"/>
                <wp:positionH relativeFrom="column">
                  <wp:posOffset>1595755</wp:posOffset>
                </wp:positionH>
                <wp:positionV relativeFrom="paragraph">
                  <wp:posOffset>793750</wp:posOffset>
                </wp:positionV>
                <wp:extent cx="2125980" cy="1901825"/>
                <wp:effectExtent l="0" t="0" r="0" b="0"/>
                <wp:wrapNone/>
                <wp:docPr id="1097426107"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5980" cy="190182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386BE959" id="Text Box 91" o:spid="_x0000_s1026" type="#_x0000_t202" style="position:absolute;margin-left:125.65pt;margin-top:62.5pt;width:167.4pt;height:149.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7BA606F4" wp14:editId="2B65AC90">
            <wp:extent cx="4543425" cy="3124200"/>
            <wp:effectExtent l="0" t="0" r="9525" b="0"/>
            <wp:docPr id="310645494"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393867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543425" cy="3124200"/>
                    </a:xfrm>
                    <a:prstGeom prst="rect">
                      <a:avLst/>
                    </a:prstGeom>
                    <a:noFill/>
                    <a:ln>
                      <a:noFill/>
                    </a:ln>
                  </pic:spPr>
                </pic:pic>
              </a:graphicData>
            </a:graphic>
          </wp:inline>
        </w:drawing>
      </w:r>
    </w:p>
    <w:p w14:paraId="65995B3C" w14:textId="25C6250C" w:rsidR="00614438" w:rsidRPr="00614438" w:rsidRDefault="00614438" w:rsidP="00C478B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On the other hand, exports of energy are expected to decrease from 1.1 Mtoe in 2020 to 0.9 Mtoe in 2030 and t</w:t>
      </w:r>
      <w:r w:rsidR="00C478BE">
        <w:rPr>
          <w:rFonts w:ascii="Times New Roman" w:hAnsi="Times New Roman" w:cs="Times New Roman"/>
          <w:sz w:val="24"/>
          <w:szCs w:val="24"/>
          <w:lang w:val="en-GB"/>
        </w:rPr>
        <w:t>o</w:t>
      </w:r>
      <w:r w:rsidRPr="00614438">
        <w:rPr>
          <w:rFonts w:ascii="Times New Roman" w:hAnsi="Times New Roman" w:cs="Times New Roman"/>
          <w:sz w:val="24"/>
          <w:szCs w:val="24"/>
          <w:lang w:val="en-GB"/>
        </w:rPr>
        <w:t xml:space="preserve"> 0.5 Mtoe in 2050, as presented in </w:t>
      </w:r>
      <w:r w:rsidR="00FA29EF">
        <w:fldChar w:fldCharType="begin"/>
      </w:r>
      <w:r w:rsidR="00FA29EF">
        <w:instrText xml:space="preserve"> REF _Ref153465282 \h  \* MERGEFORMAT </w:instrText>
      </w:r>
      <w:r w:rsidR="00FA29EF">
        <w:fldChar w:fldCharType="separate"/>
      </w:r>
      <w:r w:rsidRPr="00614438">
        <w:rPr>
          <w:rFonts w:ascii="Times New Roman" w:hAnsi="Times New Roman" w:cs="Times New Roman"/>
          <w:sz w:val="24"/>
          <w:szCs w:val="24"/>
          <w:lang w:val="en-GB"/>
        </w:rPr>
        <w:t>Figure 4.46</w:t>
      </w:r>
      <w:r w:rsidR="00FA29EF">
        <w:fldChar w:fldCharType="end"/>
      </w:r>
      <w:r w:rsidRPr="00614438">
        <w:rPr>
          <w:rFonts w:ascii="Times New Roman" w:hAnsi="Times New Roman" w:cs="Times New Roman"/>
          <w:sz w:val="24"/>
          <w:szCs w:val="24"/>
          <w:lang w:val="en-GB"/>
        </w:rPr>
        <w:t>.</w:t>
      </w:r>
    </w:p>
    <w:p w14:paraId="474DFA58" w14:textId="1F6357F1" w:rsidR="00614438" w:rsidRPr="00614438" w:rsidRDefault="00614438" w:rsidP="00614438">
      <w:pPr>
        <w:jc w:val="both"/>
        <w:rPr>
          <w:rFonts w:ascii="Times New Roman" w:hAnsi="Times New Roman" w:cs="Times New Roman"/>
          <w:sz w:val="24"/>
          <w:szCs w:val="24"/>
          <w:lang w:val="en-GB"/>
        </w:rPr>
      </w:pPr>
      <w:bookmarkStart w:id="312" w:name="_Ref153465282"/>
      <w:bookmarkStart w:id="313" w:name="_Toc154575253"/>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46</w:t>
      </w:r>
      <w:r w:rsidR="00C83251" w:rsidRPr="00614438">
        <w:rPr>
          <w:rFonts w:ascii="Times New Roman" w:hAnsi="Times New Roman" w:cs="Times New Roman"/>
          <w:sz w:val="24"/>
          <w:szCs w:val="24"/>
        </w:rPr>
        <w:fldChar w:fldCharType="end"/>
      </w:r>
      <w:bookmarkEnd w:id="312"/>
      <w:r w:rsidRPr="00614438">
        <w:rPr>
          <w:rFonts w:ascii="Times New Roman" w:hAnsi="Times New Roman" w:cs="Times New Roman"/>
          <w:sz w:val="24"/>
          <w:szCs w:val="24"/>
        </w:rPr>
        <w:t xml:space="preserve">: Energy exports per fuel over 2020-2050 in the </w:t>
      </w:r>
      <w:r w:rsidR="005A6482" w:rsidRPr="00614438">
        <w:rPr>
          <w:rFonts w:ascii="Times New Roman" w:hAnsi="Times New Roman" w:cs="Times New Roman"/>
          <w:sz w:val="24"/>
          <w:szCs w:val="24"/>
        </w:rPr>
        <w:t xml:space="preserve">WEM </w:t>
      </w:r>
      <w:r w:rsidRPr="00614438">
        <w:rPr>
          <w:rFonts w:ascii="Times New Roman" w:hAnsi="Times New Roman" w:cs="Times New Roman"/>
          <w:sz w:val="24"/>
          <w:szCs w:val="24"/>
        </w:rPr>
        <w:t xml:space="preserve">scenario </w:t>
      </w:r>
      <w:bookmarkEnd w:id="313"/>
    </w:p>
    <w:p w14:paraId="1589CAE0" w14:textId="1154201A"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687936" behindDoc="0" locked="0" layoutInCell="1" allowOverlap="1" wp14:anchorId="7699D5C5" wp14:editId="7E836204">
                <wp:simplePos x="0" y="0"/>
                <wp:positionH relativeFrom="column">
                  <wp:posOffset>1618615</wp:posOffset>
                </wp:positionH>
                <wp:positionV relativeFrom="paragraph">
                  <wp:posOffset>467360</wp:posOffset>
                </wp:positionV>
                <wp:extent cx="2082800" cy="2134870"/>
                <wp:effectExtent l="0" t="0" r="0" b="0"/>
                <wp:wrapNone/>
                <wp:docPr id="1980283386"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2800" cy="2134870"/>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7D4F2E0" id="Text Box 89" o:spid="_x0000_s1026" type="#_x0000_t202" style="position:absolute;margin-left:127.45pt;margin-top:36.8pt;width:164pt;height:168.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06AACF05" wp14:editId="61D4AE62">
            <wp:extent cx="4600575" cy="3057525"/>
            <wp:effectExtent l="0" t="0" r="9525" b="9525"/>
            <wp:docPr id="18242916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600575" cy="3057525"/>
                    </a:xfrm>
                    <a:prstGeom prst="rect">
                      <a:avLst/>
                    </a:prstGeom>
                    <a:noFill/>
                    <a:ln>
                      <a:noFill/>
                    </a:ln>
                  </pic:spPr>
                </pic:pic>
              </a:graphicData>
            </a:graphic>
          </wp:inline>
        </w:drawing>
      </w:r>
    </w:p>
    <w:p w14:paraId="6238C319" w14:textId="26D26984" w:rsidR="00614438" w:rsidRPr="00614438" w:rsidRDefault="00614438" w:rsidP="00C478BE">
      <w:pPr>
        <w:ind w:firstLine="720"/>
        <w:jc w:val="both"/>
        <w:rPr>
          <w:rFonts w:ascii="Times New Roman" w:hAnsi="Times New Roman" w:cs="Times New Roman"/>
          <w:sz w:val="24"/>
          <w:szCs w:val="24"/>
        </w:rPr>
      </w:pPr>
      <w:r w:rsidRPr="00614438">
        <w:rPr>
          <w:rFonts w:ascii="Times New Roman" w:hAnsi="Times New Roman" w:cs="Times New Roman"/>
          <w:sz w:val="24"/>
          <w:szCs w:val="24"/>
        </w:rPr>
        <w:t xml:space="preserve">Therefore, it is deducted that net imports of energy are expected to increase from 5.2 Mtoe in 2020 to 6.7 Mtoe in 2030 and to 9.3 Mtoe in 2050, resulting in a 81% increase in 2050, compared to 2020, as illustrated in </w:t>
      </w:r>
      <w:r w:rsidR="00FA29EF">
        <w:fldChar w:fldCharType="begin"/>
      </w:r>
      <w:r w:rsidR="00FA29EF">
        <w:instrText xml:space="preserve"> REF _Ref113634402 \h  \* MERGEFORMAT </w:instrText>
      </w:r>
      <w:r w:rsidR="00FA29EF">
        <w:fldChar w:fldCharType="separate"/>
      </w:r>
      <w:r w:rsidRPr="00614438">
        <w:rPr>
          <w:rFonts w:ascii="Times New Roman" w:hAnsi="Times New Roman" w:cs="Times New Roman"/>
          <w:sz w:val="24"/>
          <w:szCs w:val="24"/>
        </w:rPr>
        <w:t>Figure 4.47</w:t>
      </w:r>
      <w:r w:rsidR="00FA29EF">
        <w:fldChar w:fldCharType="end"/>
      </w:r>
      <w:r w:rsidRPr="00614438">
        <w:rPr>
          <w:rFonts w:ascii="Times New Roman" w:hAnsi="Times New Roman" w:cs="Times New Roman"/>
          <w:sz w:val="24"/>
          <w:szCs w:val="24"/>
        </w:rPr>
        <w:t>.</w:t>
      </w:r>
      <w:bookmarkStart w:id="314" w:name="_Ref113634402"/>
      <w:bookmarkStart w:id="315" w:name="_Toc118992316"/>
    </w:p>
    <w:p w14:paraId="36A17A1D" w14:textId="49D32F52" w:rsidR="00614438" w:rsidRPr="00614438" w:rsidRDefault="00614438" w:rsidP="00614438">
      <w:pPr>
        <w:jc w:val="both"/>
        <w:rPr>
          <w:rFonts w:ascii="Times New Roman" w:hAnsi="Times New Roman" w:cs="Times New Roman"/>
          <w:sz w:val="24"/>
          <w:szCs w:val="24"/>
        </w:rPr>
      </w:pPr>
      <w:bookmarkStart w:id="316" w:name="_Toc154575254"/>
      <w:r w:rsidRPr="00614438">
        <w:rPr>
          <w:rFonts w:ascii="Times New Roman" w:hAnsi="Times New Roman" w:cs="Times New Roman"/>
          <w:sz w:val="24"/>
          <w:szCs w:val="24"/>
        </w:rPr>
        <w:t xml:space="preserve">Figure </w:t>
      </w:r>
      <w:bookmarkStart w:id="317" w:name="_heading=h.1a346fx"/>
      <w:bookmarkEnd w:id="317"/>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47</w:t>
      </w:r>
      <w:r w:rsidR="00C83251" w:rsidRPr="00614438">
        <w:rPr>
          <w:rFonts w:ascii="Times New Roman" w:hAnsi="Times New Roman" w:cs="Times New Roman"/>
          <w:sz w:val="24"/>
          <w:szCs w:val="24"/>
        </w:rPr>
        <w:fldChar w:fldCharType="end"/>
      </w:r>
      <w:bookmarkEnd w:id="314"/>
      <w:r w:rsidRPr="00614438">
        <w:rPr>
          <w:rFonts w:ascii="Times New Roman" w:hAnsi="Times New Roman" w:cs="Times New Roman"/>
          <w:sz w:val="24"/>
          <w:szCs w:val="24"/>
        </w:rPr>
        <w:t>: Imports, exports and net imports over 2020-2050</w:t>
      </w:r>
      <w:bookmarkEnd w:id="315"/>
      <w:r w:rsidRPr="00614438">
        <w:rPr>
          <w:rFonts w:ascii="Times New Roman" w:hAnsi="Times New Roman" w:cs="Times New Roman"/>
          <w:sz w:val="24"/>
          <w:szCs w:val="24"/>
        </w:rPr>
        <w:t xml:space="preserve"> in the </w:t>
      </w:r>
      <w:r w:rsidR="005A6482" w:rsidRPr="00614438">
        <w:rPr>
          <w:rFonts w:ascii="Times New Roman" w:hAnsi="Times New Roman" w:cs="Times New Roman"/>
          <w:sz w:val="24"/>
          <w:szCs w:val="24"/>
        </w:rPr>
        <w:t xml:space="preserve">WEM </w:t>
      </w:r>
      <w:r w:rsidRPr="00614438">
        <w:rPr>
          <w:rFonts w:ascii="Times New Roman" w:hAnsi="Times New Roman" w:cs="Times New Roman"/>
          <w:sz w:val="24"/>
          <w:szCs w:val="24"/>
        </w:rPr>
        <w:t xml:space="preserve">scenario </w:t>
      </w:r>
      <w:bookmarkEnd w:id="316"/>
    </w:p>
    <w:p w14:paraId="6BD670D1" w14:textId="4612E4E0"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688960" behindDoc="0" locked="0" layoutInCell="1" allowOverlap="1" wp14:anchorId="3732CEF4" wp14:editId="49FE9124">
                <wp:simplePos x="0" y="0"/>
                <wp:positionH relativeFrom="column">
                  <wp:posOffset>1143000</wp:posOffset>
                </wp:positionH>
                <wp:positionV relativeFrom="paragraph">
                  <wp:posOffset>719455</wp:posOffset>
                </wp:positionV>
                <wp:extent cx="2752090" cy="2074545"/>
                <wp:effectExtent l="0" t="0" r="0" b="0"/>
                <wp:wrapNone/>
                <wp:docPr id="12817321"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2090" cy="207454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B689BA1" id="Text Box 87" o:spid="_x0000_s1026" type="#_x0000_t202" style="position:absolute;margin-left:90pt;margin-top:56.65pt;width:216.7pt;height:163.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333A28F4" wp14:editId="5941E8F6">
            <wp:extent cx="5676900" cy="3238500"/>
            <wp:effectExtent l="0" t="0" r="0" b="0"/>
            <wp:docPr id="881593229"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76900" cy="3238500"/>
                    </a:xfrm>
                    <a:prstGeom prst="rect">
                      <a:avLst/>
                    </a:prstGeom>
                    <a:noFill/>
                    <a:ln>
                      <a:noFill/>
                    </a:ln>
                  </pic:spPr>
                </pic:pic>
              </a:graphicData>
            </a:graphic>
          </wp:inline>
        </w:drawing>
      </w:r>
    </w:p>
    <w:p w14:paraId="1CB2EA4E" w14:textId="78863DEF" w:rsidR="00614438" w:rsidRPr="00614438" w:rsidRDefault="00614438" w:rsidP="00C478B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2020, the transformation input in electricity sector was equal to 6.9 Mtoe, while the respective figure will increase to 7.9 Mtoe in 2030 before reaching the level of 7.8 Mtoe in 2050. The share of Main Activity producers’ conventional thermal power plants will remain stable at about 98% throughout 2050.</w:t>
      </w:r>
    </w:p>
    <w:p w14:paraId="16D366DD" w14:textId="3923C947" w:rsidR="00614438" w:rsidRPr="00614438" w:rsidRDefault="00614438" w:rsidP="00614438">
      <w:pPr>
        <w:jc w:val="both"/>
        <w:rPr>
          <w:rFonts w:ascii="Times New Roman" w:hAnsi="Times New Roman" w:cs="Times New Roman"/>
          <w:sz w:val="24"/>
          <w:szCs w:val="24"/>
          <w:lang w:val="en-GB"/>
        </w:rPr>
      </w:pPr>
      <w:bookmarkStart w:id="318" w:name="_Toc154575255"/>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48</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xml:space="preserve">: Transformation input in electricity sector over 2020-2050 in the </w:t>
      </w:r>
      <w:r w:rsidR="005A6482" w:rsidRPr="00614438">
        <w:rPr>
          <w:rFonts w:ascii="Times New Roman" w:hAnsi="Times New Roman" w:cs="Times New Roman"/>
          <w:sz w:val="24"/>
          <w:szCs w:val="24"/>
        </w:rPr>
        <w:t xml:space="preserve">WEM </w:t>
      </w:r>
      <w:r w:rsidRPr="00614438">
        <w:rPr>
          <w:rFonts w:ascii="Times New Roman" w:hAnsi="Times New Roman" w:cs="Times New Roman"/>
          <w:sz w:val="24"/>
          <w:szCs w:val="24"/>
        </w:rPr>
        <w:t xml:space="preserve">scenario </w:t>
      </w:r>
      <w:bookmarkEnd w:id="318"/>
    </w:p>
    <w:p w14:paraId="471DEC6C" w14:textId="0A3A021A"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689984" behindDoc="0" locked="0" layoutInCell="1" allowOverlap="1" wp14:anchorId="50931AC7" wp14:editId="3DAF5418">
                <wp:simplePos x="0" y="0"/>
                <wp:positionH relativeFrom="column">
                  <wp:posOffset>1229360</wp:posOffset>
                </wp:positionH>
                <wp:positionV relativeFrom="paragraph">
                  <wp:posOffset>344805</wp:posOffset>
                </wp:positionV>
                <wp:extent cx="2493010" cy="1901825"/>
                <wp:effectExtent l="0" t="0" r="0" b="0"/>
                <wp:wrapNone/>
                <wp:docPr id="1638606720"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93010" cy="190182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page">
                  <wp14:pctHeight>0</wp14:pctHeight>
                </wp14:sizeRelV>
              </wp:anchor>
            </w:drawing>
          </mc:Choice>
          <mc:Fallback xmlns:w16du="http://schemas.microsoft.com/office/word/2023/wordml/word16du">
            <w:pict>
              <v:shape w14:anchorId="211BAE7A" id="Text Box 85" o:spid="_x0000_s1026" type="#_x0000_t202" style="position:absolute;margin-left:96.8pt;margin-top:27.15pt;width:196.3pt;height:149.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36773656" wp14:editId="166C4641">
            <wp:extent cx="5114925" cy="3181350"/>
            <wp:effectExtent l="0" t="0" r="9525" b="0"/>
            <wp:docPr id="1512753438"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114925" cy="3181350"/>
                    </a:xfrm>
                    <a:prstGeom prst="rect">
                      <a:avLst/>
                    </a:prstGeom>
                    <a:noFill/>
                    <a:ln>
                      <a:noFill/>
                    </a:ln>
                  </pic:spPr>
                </pic:pic>
              </a:graphicData>
            </a:graphic>
          </wp:inline>
        </w:drawing>
      </w:r>
    </w:p>
    <w:p w14:paraId="6203D7A7" w14:textId="5295363C" w:rsidR="00614438" w:rsidRPr="00614438" w:rsidRDefault="00614438" w:rsidP="00C478B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Similarly, the transformation output from the electricity sector was equal to 2.4 Mtoe in 2020, while it is anticipated to increase up to 3.3 Mtoe in 2045, before falling by 2050 at 3.0 Mtoe, as shown in </w:t>
      </w:r>
      <w:r w:rsidR="00FA29EF">
        <w:fldChar w:fldCharType="begin"/>
      </w:r>
      <w:r w:rsidR="00FA29EF">
        <w:instrText xml:space="preserve"> REF _Ref113634518 \h  \* MERGEFORMAT </w:instrText>
      </w:r>
      <w:r w:rsidR="00FA29EF">
        <w:fldChar w:fldCharType="separate"/>
      </w:r>
      <w:r w:rsidRPr="00614438">
        <w:rPr>
          <w:rFonts w:ascii="Times New Roman" w:hAnsi="Times New Roman" w:cs="Times New Roman"/>
          <w:sz w:val="24"/>
          <w:szCs w:val="24"/>
          <w:lang w:val="en-GB"/>
        </w:rPr>
        <w:t>Figure 4.49</w:t>
      </w:r>
      <w:r w:rsidR="00FA29EF">
        <w:fldChar w:fldCharType="end"/>
      </w:r>
      <w:r w:rsidRPr="00614438">
        <w:rPr>
          <w:rFonts w:ascii="Times New Roman" w:hAnsi="Times New Roman" w:cs="Times New Roman"/>
          <w:sz w:val="24"/>
          <w:szCs w:val="24"/>
          <w:lang w:val="en-GB"/>
        </w:rPr>
        <w:t xml:space="preserve">. The share of Main activity producers’ conventional thermal power plants is expected to be reduced </w:t>
      </w:r>
      <w:r w:rsidR="00C478BE">
        <w:rPr>
          <w:rFonts w:ascii="Times New Roman" w:hAnsi="Times New Roman" w:cs="Times New Roman"/>
          <w:sz w:val="24"/>
          <w:szCs w:val="24"/>
          <w:lang w:val="en-GB"/>
        </w:rPr>
        <w:t>from</w:t>
      </w:r>
      <w:r w:rsidRPr="00614438">
        <w:rPr>
          <w:rFonts w:ascii="Times New Roman" w:hAnsi="Times New Roman" w:cs="Times New Roman"/>
          <w:sz w:val="24"/>
          <w:szCs w:val="24"/>
          <w:lang w:val="en-GB"/>
        </w:rPr>
        <w:t xml:space="preserve"> 9</w:t>
      </w:r>
      <w:r w:rsidR="00C478BE">
        <w:rPr>
          <w:rFonts w:ascii="Times New Roman" w:hAnsi="Times New Roman" w:cs="Times New Roman"/>
          <w:sz w:val="24"/>
          <w:szCs w:val="24"/>
          <w:lang w:val="en-GB"/>
        </w:rPr>
        <w:t>5</w:t>
      </w:r>
      <w:r w:rsidRPr="00614438">
        <w:rPr>
          <w:rFonts w:ascii="Times New Roman" w:hAnsi="Times New Roman" w:cs="Times New Roman"/>
          <w:sz w:val="24"/>
          <w:szCs w:val="24"/>
          <w:lang w:val="en-GB"/>
        </w:rPr>
        <w:t>% in 20</w:t>
      </w:r>
      <w:r w:rsidR="00C478BE">
        <w:rPr>
          <w:rFonts w:ascii="Times New Roman" w:hAnsi="Times New Roman" w:cs="Times New Roman"/>
          <w:sz w:val="24"/>
          <w:szCs w:val="24"/>
          <w:lang w:val="en-GB"/>
        </w:rPr>
        <w:t>2</w:t>
      </w:r>
      <w:r w:rsidRPr="00614438">
        <w:rPr>
          <w:rFonts w:ascii="Times New Roman" w:hAnsi="Times New Roman" w:cs="Times New Roman"/>
          <w:sz w:val="24"/>
          <w:szCs w:val="24"/>
          <w:lang w:val="en-GB"/>
        </w:rPr>
        <w:t xml:space="preserve">0 </w:t>
      </w:r>
      <w:r w:rsidR="00C478BE">
        <w:rPr>
          <w:rFonts w:ascii="Times New Roman" w:hAnsi="Times New Roman" w:cs="Times New Roman"/>
          <w:sz w:val="24"/>
          <w:szCs w:val="24"/>
          <w:lang w:val="en-GB"/>
        </w:rPr>
        <w:t xml:space="preserve">to </w:t>
      </w:r>
      <w:r w:rsidRPr="00614438">
        <w:rPr>
          <w:rFonts w:ascii="Times New Roman" w:hAnsi="Times New Roman" w:cs="Times New Roman"/>
          <w:sz w:val="24"/>
          <w:szCs w:val="24"/>
          <w:lang w:val="en-GB"/>
        </w:rPr>
        <w:t>9</w:t>
      </w:r>
      <w:r w:rsidR="00C478BE">
        <w:rPr>
          <w:rFonts w:ascii="Times New Roman" w:hAnsi="Times New Roman" w:cs="Times New Roman"/>
          <w:sz w:val="24"/>
          <w:szCs w:val="24"/>
          <w:lang w:val="en-GB"/>
        </w:rPr>
        <w:t>4</w:t>
      </w:r>
      <w:r w:rsidRPr="00614438">
        <w:rPr>
          <w:rFonts w:ascii="Times New Roman" w:hAnsi="Times New Roman" w:cs="Times New Roman"/>
          <w:sz w:val="24"/>
          <w:szCs w:val="24"/>
          <w:lang w:val="en-GB"/>
        </w:rPr>
        <w:t>% in 20</w:t>
      </w:r>
      <w:r w:rsidR="00C478BE">
        <w:rPr>
          <w:rFonts w:ascii="Times New Roman" w:hAnsi="Times New Roman" w:cs="Times New Roman"/>
          <w:sz w:val="24"/>
          <w:szCs w:val="24"/>
          <w:lang w:val="en-GB"/>
        </w:rPr>
        <w:t>3</w:t>
      </w:r>
      <w:r w:rsidRPr="00614438">
        <w:rPr>
          <w:rFonts w:ascii="Times New Roman" w:hAnsi="Times New Roman" w:cs="Times New Roman"/>
          <w:sz w:val="24"/>
          <w:szCs w:val="24"/>
          <w:lang w:val="en-GB"/>
        </w:rPr>
        <w:t>0, before its final growth to 97% in 2050.</w:t>
      </w:r>
    </w:p>
    <w:p w14:paraId="48751B80" w14:textId="3741BAC2" w:rsidR="00614438" w:rsidRPr="00614438" w:rsidRDefault="00614438" w:rsidP="00614438">
      <w:pPr>
        <w:jc w:val="both"/>
        <w:rPr>
          <w:rFonts w:ascii="Times New Roman" w:hAnsi="Times New Roman" w:cs="Times New Roman"/>
          <w:sz w:val="24"/>
          <w:szCs w:val="24"/>
          <w:lang w:val="en-GB"/>
        </w:rPr>
      </w:pPr>
      <w:bookmarkStart w:id="319" w:name="_Ref113634518"/>
      <w:bookmarkStart w:id="320" w:name="_Toc118992318"/>
      <w:bookmarkStart w:id="321" w:name="_Toc154575256"/>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49</w:t>
      </w:r>
      <w:r w:rsidR="00C83251" w:rsidRPr="00614438">
        <w:rPr>
          <w:rFonts w:ascii="Times New Roman" w:hAnsi="Times New Roman" w:cs="Times New Roman"/>
          <w:sz w:val="24"/>
          <w:szCs w:val="24"/>
        </w:rPr>
        <w:fldChar w:fldCharType="end"/>
      </w:r>
      <w:bookmarkEnd w:id="319"/>
      <w:r w:rsidRPr="00614438">
        <w:rPr>
          <w:rFonts w:ascii="Times New Roman" w:hAnsi="Times New Roman" w:cs="Times New Roman"/>
          <w:sz w:val="24"/>
          <w:szCs w:val="24"/>
        </w:rPr>
        <w:t>: Transformation output in electricity sector over 2020-2050</w:t>
      </w:r>
      <w:bookmarkEnd w:id="320"/>
      <w:r w:rsidRPr="00614438">
        <w:rPr>
          <w:rFonts w:ascii="Times New Roman" w:hAnsi="Times New Roman" w:cs="Times New Roman"/>
          <w:sz w:val="24"/>
          <w:szCs w:val="24"/>
        </w:rPr>
        <w:t xml:space="preserve"> in the </w:t>
      </w:r>
      <w:r w:rsidR="005A6482" w:rsidRPr="00614438">
        <w:rPr>
          <w:rFonts w:ascii="Times New Roman" w:hAnsi="Times New Roman" w:cs="Times New Roman"/>
          <w:sz w:val="24"/>
          <w:szCs w:val="24"/>
        </w:rPr>
        <w:t xml:space="preserve">WEM </w:t>
      </w:r>
      <w:r w:rsidRPr="00614438">
        <w:rPr>
          <w:rFonts w:ascii="Times New Roman" w:hAnsi="Times New Roman" w:cs="Times New Roman"/>
          <w:sz w:val="24"/>
          <w:szCs w:val="24"/>
        </w:rPr>
        <w:t xml:space="preserve">scenario </w:t>
      </w:r>
      <w:bookmarkEnd w:id="321"/>
    </w:p>
    <w:p w14:paraId="4FACE4AD" w14:textId="7ED13CFE"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691008" behindDoc="0" locked="0" layoutInCell="1" allowOverlap="1" wp14:anchorId="52CFEA41" wp14:editId="18AB4DB8">
                <wp:simplePos x="0" y="0"/>
                <wp:positionH relativeFrom="column">
                  <wp:posOffset>1117600</wp:posOffset>
                </wp:positionH>
                <wp:positionV relativeFrom="paragraph">
                  <wp:posOffset>516255</wp:posOffset>
                </wp:positionV>
                <wp:extent cx="2605405" cy="2712720"/>
                <wp:effectExtent l="0" t="0" r="0" b="0"/>
                <wp:wrapNone/>
                <wp:docPr id="2128800177"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5405" cy="2712720"/>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3CA7DFF3" id="Text Box 83" o:spid="_x0000_s1026" type="#_x0000_t202" style="position:absolute;margin-left:88pt;margin-top:40.65pt;width:205.15pt;height:213.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0D5A93C3" wp14:editId="66E352A4">
            <wp:extent cx="5391150" cy="3581400"/>
            <wp:effectExtent l="0" t="0" r="0" b="0"/>
            <wp:docPr id="1555540527"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710175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391150" cy="3581400"/>
                    </a:xfrm>
                    <a:prstGeom prst="rect">
                      <a:avLst/>
                    </a:prstGeom>
                    <a:noFill/>
                    <a:ln>
                      <a:noFill/>
                    </a:ln>
                  </pic:spPr>
                </pic:pic>
              </a:graphicData>
            </a:graphic>
          </wp:inline>
        </w:drawing>
      </w:r>
    </w:p>
    <w:p w14:paraId="36CD9F42" w14:textId="098DBEE5" w:rsidR="00614438" w:rsidRPr="00614438" w:rsidRDefault="00614438" w:rsidP="00C478B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efficiency of the national electricity grid is projected to be improved until 2050 through the implementation of projects for the enhancement of the electricity grid, as presented in </w:t>
      </w:r>
      <w:r w:rsidR="00FA29EF">
        <w:fldChar w:fldCharType="begin"/>
      </w:r>
      <w:r w:rsidR="00FA29EF">
        <w:instrText xml:space="preserve"> REF _Ref153465516 \h  \* MERGEFORMAT </w:instrText>
      </w:r>
      <w:r w:rsidR="00FA29EF">
        <w:fldChar w:fldCharType="separate"/>
      </w:r>
      <w:r w:rsidRPr="00614438">
        <w:rPr>
          <w:rFonts w:ascii="Times New Roman" w:hAnsi="Times New Roman" w:cs="Times New Roman"/>
          <w:sz w:val="24"/>
          <w:szCs w:val="24"/>
          <w:lang w:val="en-GB"/>
        </w:rPr>
        <w:t>Figure 4.50</w:t>
      </w:r>
      <w:r w:rsidR="00FA29EF">
        <w:fldChar w:fldCharType="end"/>
      </w:r>
      <w:r w:rsidRPr="00614438">
        <w:rPr>
          <w:rFonts w:ascii="Times New Roman" w:hAnsi="Times New Roman" w:cs="Times New Roman"/>
          <w:sz w:val="24"/>
          <w:szCs w:val="24"/>
          <w:lang w:val="en-GB"/>
        </w:rPr>
        <w:t xml:space="preserve">. More specifically, the electricity transmission network losses are anticipated to be slightly reduced by 0.1% in 2050 as a percentage of total generation, compared to 2020 (2.6%), while the electricity distribution network losses will be </w:t>
      </w:r>
      <w:r w:rsidR="00C478BE">
        <w:rPr>
          <w:rFonts w:ascii="Times New Roman" w:hAnsi="Times New Roman" w:cs="Times New Roman"/>
          <w:sz w:val="24"/>
          <w:szCs w:val="24"/>
          <w:lang w:val="en-GB"/>
        </w:rPr>
        <w:t>reduced</w:t>
      </w:r>
      <w:r w:rsidRPr="00614438">
        <w:rPr>
          <w:rFonts w:ascii="Times New Roman" w:hAnsi="Times New Roman" w:cs="Times New Roman"/>
          <w:sz w:val="24"/>
          <w:szCs w:val="24"/>
          <w:lang w:val="en-GB"/>
        </w:rPr>
        <w:t xml:space="preserve"> </w:t>
      </w:r>
      <w:r w:rsidR="00C478BE">
        <w:rPr>
          <w:rFonts w:ascii="Times New Roman" w:hAnsi="Times New Roman" w:cs="Times New Roman"/>
          <w:sz w:val="24"/>
          <w:szCs w:val="24"/>
          <w:lang w:val="en-GB"/>
        </w:rPr>
        <w:t>up to</w:t>
      </w:r>
      <w:r w:rsidRPr="00614438">
        <w:rPr>
          <w:rFonts w:ascii="Times New Roman" w:hAnsi="Times New Roman" w:cs="Times New Roman"/>
          <w:sz w:val="24"/>
          <w:szCs w:val="24"/>
          <w:lang w:val="en-GB"/>
        </w:rPr>
        <w:t xml:space="preserve"> 9.1% in 2050, compared to 2020 (11.23%).</w:t>
      </w:r>
    </w:p>
    <w:p w14:paraId="09637BB9" w14:textId="677E6D42" w:rsidR="00614438" w:rsidRPr="00614438" w:rsidRDefault="00614438" w:rsidP="00614438">
      <w:pPr>
        <w:jc w:val="both"/>
        <w:rPr>
          <w:rFonts w:ascii="Times New Roman" w:hAnsi="Times New Roman" w:cs="Times New Roman"/>
          <w:sz w:val="24"/>
          <w:szCs w:val="24"/>
          <w:lang w:val="en-GB"/>
        </w:rPr>
      </w:pPr>
      <w:bookmarkStart w:id="322" w:name="_Ref153465516"/>
      <w:bookmarkStart w:id="323" w:name="_Toc154575257"/>
      <w:r w:rsidRPr="005A6482">
        <w:rPr>
          <w:rFonts w:ascii="Times New Roman" w:hAnsi="Times New Roman" w:cs="Times New Roman"/>
          <w:sz w:val="24"/>
          <w:szCs w:val="24"/>
        </w:rPr>
        <w:t xml:space="preserve">Figure </w:t>
      </w:r>
      <w:r w:rsidR="00C83251" w:rsidRPr="005A6482">
        <w:rPr>
          <w:rFonts w:ascii="Times New Roman" w:hAnsi="Times New Roman" w:cs="Times New Roman"/>
          <w:sz w:val="24"/>
          <w:szCs w:val="24"/>
        </w:rPr>
        <w:fldChar w:fldCharType="begin"/>
      </w:r>
      <w:r w:rsidRPr="005A6482">
        <w:rPr>
          <w:rFonts w:ascii="Times New Roman" w:hAnsi="Times New Roman" w:cs="Times New Roman"/>
          <w:sz w:val="24"/>
          <w:szCs w:val="24"/>
        </w:rPr>
        <w:instrText xml:space="preserve"> STYLEREF 1 \s </w:instrText>
      </w:r>
      <w:r w:rsidR="00C83251" w:rsidRPr="005A6482">
        <w:rPr>
          <w:rFonts w:ascii="Times New Roman" w:hAnsi="Times New Roman" w:cs="Times New Roman"/>
          <w:sz w:val="24"/>
          <w:szCs w:val="24"/>
        </w:rPr>
        <w:fldChar w:fldCharType="separate"/>
      </w:r>
      <w:r w:rsidRPr="005A6482">
        <w:rPr>
          <w:rFonts w:ascii="Times New Roman" w:hAnsi="Times New Roman" w:cs="Times New Roman"/>
          <w:sz w:val="24"/>
          <w:szCs w:val="24"/>
        </w:rPr>
        <w:t>4</w:t>
      </w:r>
      <w:r w:rsidR="00C83251" w:rsidRPr="005A6482">
        <w:rPr>
          <w:rFonts w:ascii="Times New Roman" w:hAnsi="Times New Roman" w:cs="Times New Roman"/>
          <w:sz w:val="24"/>
          <w:szCs w:val="24"/>
        </w:rPr>
        <w:fldChar w:fldCharType="end"/>
      </w:r>
      <w:r w:rsidRPr="005A6482">
        <w:rPr>
          <w:rFonts w:ascii="Times New Roman" w:hAnsi="Times New Roman" w:cs="Times New Roman"/>
          <w:sz w:val="24"/>
          <w:szCs w:val="24"/>
        </w:rPr>
        <w:t>.</w:t>
      </w:r>
      <w:r w:rsidR="00C83251" w:rsidRPr="005A6482">
        <w:rPr>
          <w:rFonts w:ascii="Times New Roman" w:hAnsi="Times New Roman" w:cs="Times New Roman"/>
          <w:sz w:val="24"/>
          <w:szCs w:val="24"/>
        </w:rPr>
        <w:fldChar w:fldCharType="begin"/>
      </w:r>
      <w:r w:rsidRPr="005A6482">
        <w:rPr>
          <w:rFonts w:ascii="Times New Roman" w:hAnsi="Times New Roman" w:cs="Times New Roman"/>
          <w:sz w:val="24"/>
          <w:szCs w:val="24"/>
        </w:rPr>
        <w:instrText xml:space="preserve"> SEQ Figure \* ARABIC \s 1 </w:instrText>
      </w:r>
      <w:r w:rsidR="00C83251" w:rsidRPr="005A6482">
        <w:rPr>
          <w:rFonts w:ascii="Times New Roman" w:hAnsi="Times New Roman" w:cs="Times New Roman"/>
          <w:sz w:val="24"/>
          <w:szCs w:val="24"/>
        </w:rPr>
        <w:fldChar w:fldCharType="separate"/>
      </w:r>
      <w:r w:rsidRPr="005A6482">
        <w:rPr>
          <w:rFonts w:ascii="Times New Roman" w:hAnsi="Times New Roman" w:cs="Times New Roman"/>
          <w:sz w:val="24"/>
          <w:szCs w:val="24"/>
        </w:rPr>
        <w:t>50</w:t>
      </w:r>
      <w:r w:rsidR="00C83251" w:rsidRPr="005A6482">
        <w:rPr>
          <w:rFonts w:ascii="Times New Roman" w:hAnsi="Times New Roman" w:cs="Times New Roman"/>
          <w:sz w:val="24"/>
          <w:szCs w:val="24"/>
        </w:rPr>
        <w:fldChar w:fldCharType="end"/>
      </w:r>
      <w:bookmarkEnd w:id="322"/>
      <w:r w:rsidRPr="005A6482">
        <w:rPr>
          <w:rFonts w:ascii="Times New Roman" w:hAnsi="Times New Roman" w:cs="Times New Roman"/>
          <w:sz w:val="24"/>
          <w:szCs w:val="24"/>
        </w:rPr>
        <w:t xml:space="preserve">: Total electricity network losses over 2020-2050 in the </w:t>
      </w:r>
      <w:r w:rsidR="005A6482" w:rsidRPr="005A6482">
        <w:rPr>
          <w:rFonts w:ascii="Times New Roman" w:hAnsi="Times New Roman" w:cs="Times New Roman"/>
          <w:sz w:val="24"/>
          <w:szCs w:val="24"/>
        </w:rPr>
        <w:t xml:space="preserve">WEM </w:t>
      </w:r>
      <w:r w:rsidRPr="005A6482">
        <w:rPr>
          <w:rFonts w:ascii="Times New Roman" w:hAnsi="Times New Roman" w:cs="Times New Roman"/>
          <w:sz w:val="24"/>
          <w:szCs w:val="24"/>
        </w:rPr>
        <w:t>scenario</w:t>
      </w:r>
      <w:bookmarkEnd w:id="323"/>
    </w:p>
    <w:p w14:paraId="488E2C64" w14:textId="55B1132F"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39E63D43" wp14:editId="50C90B74">
            <wp:extent cx="5124450" cy="3371850"/>
            <wp:effectExtent l="0" t="0" r="0" b="0"/>
            <wp:docPr id="453934609" name="Picture 293"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819665" descr="A graph of a number of people&#10;&#10;Description automatically generated with medium confidenc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124450" cy="3371850"/>
                    </a:xfrm>
                    <a:prstGeom prst="rect">
                      <a:avLst/>
                    </a:prstGeom>
                    <a:noFill/>
                    <a:ln>
                      <a:noFill/>
                    </a:ln>
                  </pic:spPr>
                </pic:pic>
              </a:graphicData>
            </a:graphic>
          </wp:inline>
        </w:drawing>
      </w:r>
      <w:r w:rsidR="00395FC1">
        <w:rPr>
          <w:rFonts w:ascii="Times New Roman" w:hAnsi="Times New Roman" w:cs="Times New Roman"/>
          <w:noProof/>
          <w:sz w:val="24"/>
          <w:szCs w:val="24"/>
          <w:lang w:val="en-GB"/>
        </w:rPr>
        <mc:AlternateContent>
          <mc:Choice Requires="wps">
            <w:drawing>
              <wp:anchor distT="0" distB="0" distL="114300" distR="114300" simplePos="0" relativeHeight="251692032" behindDoc="0" locked="0" layoutInCell="1" allowOverlap="1" wp14:anchorId="4BC9525B" wp14:editId="3EF19A16">
                <wp:simplePos x="0" y="0"/>
                <wp:positionH relativeFrom="column">
                  <wp:posOffset>1263015</wp:posOffset>
                </wp:positionH>
                <wp:positionV relativeFrom="paragraph">
                  <wp:posOffset>581660</wp:posOffset>
                </wp:positionV>
                <wp:extent cx="1527175" cy="2557145"/>
                <wp:effectExtent l="0" t="0" r="0" b="0"/>
                <wp:wrapNone/>
                <wp:docPr id="995664712"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7175" cy="255714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C8383C7" id="Text Box 81" o:spid="_x0000_s1026" type="#_x0000_t202" style="position:absolute;margin-left:99.45pt;margin-top:45.8pt;width:120.25pt;height:201.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" fillcolor="#a5a5a5 [2092]" stroked="f">
                <v:fill opacity="32896f"/>
              </v:shape>
            </w:pict>
          </mc:Fallback>
        </mc:AlternateContent>
      </w:r>
    </w:p>
    <w:p w14:paraId="1149DD69" w14:textId="77777777" w:rsidR="00614438" w:rsidRPr="00614438" w:rsidRDefault="00614438" w:rsidP="005A6482">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Similarly, the gas transportation network losses are expected to remain low as a percentage of total gas transferred, at a level close to 1% throughout the examined period.</w:t>
      </w:r>
    </w:p>
    <w:p w14:paraId="59BFB9E5" w14:textId="3F4A1BD0" w:rsidR="00614438" w:rsidRDefault="00614438" w:rsidP="00614438">
      <w:pPr>
        <w:jc w:val="both"/>
        <w:rPr>
          <w:rFonts w:ascii="Times New Roman" w:hAnsi="Times New Roman" w:cs="Times New Roman"/>
          <w:sz w:val="24"/>
          <w:szCs w:val="24"/>
        </w:rPr>
      </w:pPr>
      <w:bookmarkStart w:id="324" w:name="_Ref113634468"/>
      <w:bookmarkStart w:id="325" w:name="_Toc118992320"/>
      <w:bookmarkStart w:id="326" w:name="_Toc154575258"/>
      <w:r w:rsidRPr="00614438">
        <w:rPr>
          <w:rFonts w:ascii="Times New Roman" w:hAnsi="Times New Roman" w:cs="Times New Roman"/>
          <w:sz w:val="24"/>
          <w:szCs w:val="24"/>
        </w:rPr>
        <w:lastRenderedPageBreak/>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51</w:t>
      </w:r>
      <w:r w:rsidR="00C83251" w:rsidRPr="00614438">
        <w:rPr>
          <w:rFonts w:ascii="Times New Roman" w:hAnsi="Times New Roman" w:cs="Times New Roman"/>
          <w:sz w:val="24"/>
          <w:szCs w:val="24"/>
        </w:rPr>
        <w:fldChar w:fldCharType="end"/>
      </w:r>
      <w:bookmarkEnd w:id="324"/>
      <w:r w:rsidRPr="00614438">
        <w:rPr>
          <w:rFonts w:ascii="Times New Roman" w:hAnsi="Times New Roman" w:cs="Times New Roman"/>
          <w:sz w:val="24"/>
          <w:szCs w:val="24"/>
        </w:rPr>
        <w:t>: Total gas network losses over 2020-2050</w:t>
      </w:r>
      <w:bookmarkEnd w:id="325"/>
      <w:r w:rsidRPr="00614438">
        <w:rPr>
          <w:rFonts w:ascii="Times New Roman" w:hAnsi="Times New Roman" w:cs="Times New Roman"/>
          <w:sz w:val="24"/>
          <w:szCs w:val="24"/>
        </w:rPr>
        <w:t xml:space="preserve"> in the </w:t>
      </w:r>
      <w:r w:rsidR="005A6482" w:rsidRPr="00614438">
        <w:rPr>
          <w:rFonts w:ascii="Times New Roman" w:hAnsi="Times New Roman" w:cs="Times New Roman"/>
          <w:sz w:val="24"/>
          <w:szCs w:val="24"/>
        </w:rPr>
        <w:t xml:space="preserve">WEM </w:t>
      </w:r>
      <w:r w:rsidRPr="00614438">
        <w:rPr>
          <w:rFonts w:ascii="Times New Roman" w:hAnsi="Times New Roman" w:cs="Times New Roman"/>
          <w:sz w:val="24"/>
          <w:szCs w:val="24"/>
        </w:rPr>
        <w:t xml:space="preserve">scenario </w:t>
      </w:r>
      <w:bookmarkEnd w:id="326"/>
    </w:p>
    <w:p w14:paraId="1040D638" w14:textId="77777777" w:rsidR="005A6482" w:rsidRPr="00614438" w:rsidRDefault="005A6482" w:rsidP="00614438">
      <w:pPr>
        <w:jc w:val="both"/>
        <w:rPr>
          <w:rFonts w:ascii="Times New Roman" w:hAnsi="Times New Roman" w:cs="Times New Roman"/>
          <w:sz w:val="24"/>
          <w:szCs w:val="24"/>
          <w:lang w:val="en-GB"/>
        </w:rPr>
      </w:pPr>
    </w:p>
    <w:p w14:paraId="2B4B5B3D" w14:textId="07DD0CF5"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693056" behindDoc="0" locked="0" layoutInCell="1" allowOverlap="1" wp14:anchorId="05695882" wp14:editId="4AA3C583">
                <wp:simplePos x="0" y="0"/>
                <wp:positionH relativeFrom="column">
                  <wp:posOffset>883920</wp:posOffset>
                </wp:positionH>
                <wp:positionV relativeFrom="paragraph">
                  <wp:posOffset>1250315</wp:posOffset>
                </wp:positionV>
                <wp:extent cx="4562475" cy="1633855"/>
                <wp:effectExtent l="0" t="0" r="0" b="0"/>
                <wp:wrapNone/>
                <wp:docPr id="42527573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62475" cy="1633855"/>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539B9F7" id="Text Box 79" o:spid="_x0000_s1026" type="#_x0000_t202" style="position:absolute;margin-left:69.6pt;margin-top:98.45pt;width:359.25pt;height:128.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" fillcolor="#a5a5a5 [2092]"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357538D6" wp14:editId="6D1239C3">
            <wp:extent cx="4972050" cy="3600450"/>
            <wp:effectExtent l="0" t="0" r="0" b="0"/>
            <wp:docPr id="72762115"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614472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972050" cy="3600450"/>
                    </a:xfrm>
                    <a:prstGeom prst="rect">
                      <a:avLst/>
                    </a:prstGeom>
                    <a:noFill/>
                    <a:ln>
                      <a:noFill/>
                    </a:ln>
                  </pic:spPr>
                </pic:pic>
              </a:graphicData>
            </a:graphic>
          </wp:inline>
        </w:drawing>
      </w:r>
    </w:p>
    <w:p w14:paraId="04F7ECDC" w14:textId="503EDBEF" w:rsidR="00614438" w:rsidRPr="00614438" w:rsidRDefault="005A6482" w:rsidP="005A6482">
      <w:pPr>
        <w:jc w:val="center"/>
        <w:rPr>
          <w:rFonts w:ascii="Times New Roman" w:hAnsi="Times New Roman" w:cs="Times New Roman"/>
          <w:sz w:val="24"/>
          <w:szCs w:val="24"/>
          <w:lang w:val="en-GB"/>
        </w:rPr>
      </w:pPr>
      <w:bookmarkStart w:id="327" w:name="_Toc79772563"/>
      <w:bookmarkStart w:id="328" w:name="_Toc118991783"/>
      <w:bookmarkStart w:id="329" w:name="_Toc153545055"/>
      <w:r>
        <w:rPr>
          <w:rFonts w:ascii="Times New Roman" w:hAnsi="Times New Roman" w:cs="Times New Roman"/>
          <w:sz w:val="24"/>
          <w:szCs w:val="24"/>
          <w:lang w:val="en-GB"/>
        </w:rPr>
        <w:t xml:space="preserve">4.5 The </w:t>
      </w:r>
      <w:r w:rsidR="00614438" w:rsidRPr="00614438">
        <w:rPr>
          <w:rFonts w:ascii="Times New Roman" w:hAnsi="Times New Roman" w:cs="Times New Roman"/>
          <w:sz w:val="24"/>
          <w:szCs w:val="24"/>
          <w:lang w:val="en-GB"/>
        </w:rPr>
        <w:t>Internal Energy Market</w:t>
      </w:r>
      <w:bookmarkEnd w:id="327"/>
      <w:bookmarkEnd w:id="328"/>
      <w:bookmarkEnd w:id="329"/>
      <w:r w:rsidRPr="005A6482">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Dimension</w:t>
      </w:r>
    </w:p>
    <w:p w14:paraId="36466227" w14:textId="0EF87035" w:rsidR="00614438" w:rsidRPr="005A6482" w:rsidRDefault="00614438" w:rsidP="00485CA7">
      <w:pPr>
        <w:pStyle w:val="ListParagraph"/>
        <w:numPr>
          <w:ilvl w:val="2"/>
          <w:numId w:val="272"/>
        </w:numPr>
        <w:jc w:val="center"/>
        <w:rPr>
          <w:rFonts w:ascii="Times New Roman" w:hAnsi="Times New Roman" w:cs="Times New Roman"/>
          <w:sz w:val="24"/>
          <w:szCs w:val="24"/>
          <w:lang w:val="en-GB"/>
        </w:rPr>
      </w:pPr>
      <w:r w:rsidRPr="005A6482">
        <w:rPr>
          <w:rFonts w:ascii="Times New Roman" w:hAnsi="Times New Roman" w:cs="Times New Roman"/>
          <w:sz w:val="24"/>
          <w:szCs w:val="24"/>
          <w:lang w:val="en-GB"/>
        </w:rPr>
        <w:t>Electricity interconnectivity</w:t>
      </w:r>
    </w:p>
    <w:p w14:paraId="45304EC8" w14:textId="5F86326C" w:rsidR="00614438" w:rsidRPr="00614438" w:rsidRDefault="005A6482" w:rsidP="005A6482">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4.5.1.1 </w:t>
      </w:r>
      <w:r w:rsidR="00614438" w:rsidRPr="00614438">
        <w:rPr>
          <w:rFonts w:ascii="Times New Roman" w:hAnsi="Times New Roman" w:cs="Times New Roman"/>
          <w:sz w:val="24"/>
          <w:szCs w:val="24"/>
          <w:lang w:val="en-GB"/>
        </w:rPr>
        <w:t>Current interconnection level and main interconnectors</w:t>
      </w:r>
    </w:p>
    <w:p w14:paraId="694B159C" w14:textId="7BD9D050" w:rsidR="00614438" w:rsidRPr="00614438" w:rsidRDefault="00614438" w:rsidP="005A6482">
      <w:pPr>
        <w:ind w:firstLine="720"/>
        <w:jc w:val="both"/>
        <w:rPr>
          <w:rFonts w:ascii="Times New Roman" w:hAnsi="Times New Roman" w:cs="Times New Roman"/>
          <w:sz w:val="24"/>
          <w:szCs w:val="24"/>
        </w:rPr>
      </w:pPr>
      <w:r w:rsidRPr="00614438">
        <w:rPr>
          <w:rFonts w:ascii="Times New Roman" w:hAnsi="Times New Roman" w:cs="Times New Roman"/>
          <w:sz w:val="24"/>
          <w:szCs w:val="24"/>
        </w:rPr>
        <w:t xml:space="preserve">The electricity transmission system network of the Republic of Serbia has a high interconnectivity level with all electricity systems of neighbouring countries. </w:t>
      </w:r>
      <w:r w:rsidR="005A6482">
        <w:rPr>
          <w:rFonts w:ascii="Times New Roman" w:hAnsi="Times New Roman" w:cs="Times New Roman"/>
          <w:sz w:val="24"/>
          <w:szCs w:val="24"/>
        </w:rPr>
        <w:t xml:space="preserve">The Republic of </w:t>
      </w:r>
      <w:r w:rsidRPr="00614438">
        <w:rPr>
          <w:rFonts w:ascii="Times New Roman" w:hAnsi="Times New Roman" w:cs="Times New Roman"/>
          <w:sz w:val="24"/>
          <w:szCs w:val="24"/>
        </w:rPr>
        <w:t>Serbia is connected with 400 kV, 220 kV and 110 kV cross-border overhead lines to all 8 neighbouring countries (Croatia</w:t>
      </w:r>
      <w:r w:rsidR="005A6482">
        <w:rPr>
          <w:rFonts w:ascii="Times New Roman" w:hAnsi="Times New Roman" w:cs="Times New Roman"/>
          <w:sz w:val="24"/>
          <w:szCs w:val="24"/>
        </w:rPr>
        <w:t xml:space="preserve"> (HR)</w:t>
      </w:r>
      <w:r w:rsidRPr="00614438">
        <w:rPr>
          <w:rFonts w:ascii="Times New Roman" w:hAnsi="Times New Roman" w:cs="Times New Roman"/>
          <w:sz w:val="24"/>
          <w:szCs w:val="24"/>
        </w:rPr>
        <w:t>, Hungary</w:t>
      </w:r>
      <w:r w:rsidR="005A6482">
        <w:rPr>
          <w:rFonts w:ascii="Times New Roman" w:hAnsi="Times New Roman" w:cs="Times New Roman"/>
          <w:sz w:val="24"/>
          <w:szCs w:val="24"/>
        </w:rPr>
        <w:t xml:space="preserve"> (HU)</w:t>
      </w:r>
      <w:r w:rsidRPr="00614438">
        <w:rPr>
          <w:rFonts w:ascii="Times New Roman" w:hAnsi="Times New Roman" w:cs="Times New Roman"/>
          <w:sz w:val="24"/>
          <w:szCs w:val="24"/>
        </w:rPr>
        <w:t>, Romania</w:t>
      </w:r>
      <w:r w:rsidR="005A6482">
        <w:rPr>
          <w:rFonts w:ascii="Times New Roman" w:hAnsi="Times New Roman" w:cs="Times New Roman"/>
          <w:sz w:val="24"/>
          <w:szCs w:val="24"/>
        </w:rPr>
        <w:t xml:space="preserve"> (RO)</w:t>
      </w:r>
      <w:r w:rsidRPr="00614438">
        <w:rPr>
          <w:rFonts w:ascii="Times New Roman" w:hAnsi="Times New Roman" w:cs="Times New Roman"/>
          <w:sz w:val="24"/>
          <w:szCs w:val="24"/>
        </w:rPr>
        <w:t>, Bulgaria</w:t>
      </w:r>
      <w:r w:rsidR="005A6482">
        <w:rPr>
          <w:rFonts w:ascii="Times New Roman" w:hAnsi="Times New Roman" w:cs="Times New Roman"/>
          <w:sz w:val="24"/>
          <w:szCs w:val="24"/>
        </w:rPr>
        <w:t xml:space="preserve"> (BG)</w:t>
      </w:r>
      <w:r w:rsidRPr="00614438">
        <w:rPr>
          <w:rFonts w:ascii="Times New Roman" w:hAnsi="Times New Roman" w:cs="Times New Roman"/>
          <w:sz w:val="24"/>
          <w:szCs w:val="24"/>
        </w:rPr>
        <w:t>, North Macedonia</w:t>
      </w:r>
      <w:r w:rsidR="005A6482">
        <w:rPr>
          <w:rFonts w:ascii="Times New Roman" w:hAnsi="Times New Roman" w:cs="Times New Roman"/>
          <w:sz w:val="24"/>
          <w:szCs w:val="24"/>
        </w:rPr>
        <w:t xml:space="preserve"> (SM)</w:t>
      </w:r>
      <w:r w:rsidRPr="00614438">
        <w:rPr>
          <w:rFonts w:ascii="Times New Roman" w:hAnsi="Times New Roman" w:cs="Times New Roman"/>
          <w:sz w:val="24"/>
          <w:szCs w:val="24"/>
        </w:rPr>
        <w:t>, Albania</w:t>
      </w:r>
      <w:r w:rsidR="005A6482">
        <w:rPr>
          <w:rFonts w:ascii="Times New Roman" w:hAnsi="Times New Roman" w:cs="Times New Roman"/>
          <w:sz w:val="24"/>
          <w:szCs w:val="24"/>
        </w:rPr>
        <w:t xml:space="preserve"> (AL)</w:t>
      </w:r>
      <w:r w:rsidRPr="00614438">
        <w:rPr>
          <w:rFonts w:ascii="Times New Roman" w:hAnsi="Times New Roman" w:cs="Times New Roman"/>
          <w:sz w:val="24"/>
          <w:szCs w:val="24"/>
        </w:rPr>
        <w:t>, Montenegro</w:t>
      </w:r>
      <w:r w:rsidR="005A6482">
        <w:rPr>
          <w:rFonts w:ascii="Times New Roman" w:hAnsi="Times New Roman" w:cs="Times New Roman"/>
          <w:sz w:val="24"/>
          <w:szCs w:val="24"/>
        </w:rPr>
        <w:t xml:space="preserve"> (ME)</w:t>
      </w:r>
      <w:r w:rsidRPr="00614438">
        <w:rPr>
          <w:rFonts w:ascii="Times New Roman" w:hAnsi="Times New Roman" w:cs="Times New Roman"/>
          <w:sz w:val="24"/>
          <w:szCs w:val="24"/>
        </w:rPr>
        <w:t xml:space="preserve"> and Bosnia and Herzegovina</w:t>
      </w:r>
      <w:r w:rsidR="005A6482">
        <w:rPr>
          <w:rFonts w:ascii="Times New Roman" w:hAnsi="Times New Roman" w:cs="Times New Roman"/>
          <w:sz w:val="24"/>
          <w:szCs w:val="24"/>
        </w:rPr>
        <w:t xml:space="preserve"> (BiH)</w:t>
      </w:r>
      <w:r w:rsidRPr="00614438">
        <w:rPr>
          <w:rFonts w:ascii="Times New Roman" w:hAnsi="Times New Roman" w:cs="Times New Roman"/>
          <w:sz w:val="24"/>
          <w:szCs w:val="24"/>
        </w:rPr>
        <w:t>). Due to its geographical position, the Serbian transmission system is a very important and integral part of the regional electricity system in the Balkans, and, as such</w:t>
      </w:r>
      <w:r w:rsidR="00855D60">
        <w:rPr>
          <w:rFonts w:ascii="Times New Roman" w:hAnsi="Times New Roman" w:cs="Times New Roman"/>
          <w:sz w:val="24"/>
          <w:szCs w:val="24"/>
        </w:rPr>
        <w:t>,</w:t>
      </w:r>
      <w:r w:rsidRPr="00614438">
        <w:rPr>
          <w:rFonts w:ascii="Times New Roman" w:hAnsi="Times New Roman" w:cs="Times New Roman"/>
          <w:sz w:val="24"/>
          <w:szCs w:val="24"/>
        </w:rPr>
        <w:t xml:space="preserve"> the Serbian electricity market demonstrates a substantial activity bolstering the country as a key player for electricity trade in the region and supporting a gradually increasing electricity market integration.</w:t>
      </w:r>
    </w:p>
    <w:p w14:paraId="00890267" w14:textId="33D8394A" w:rsidR="00614438" w:rsidRPr="00614438" w:rsidRDefault="00614438" w:rsidP="00855D60">
      <w:pPr>
        <w:ind w:firstLine="720"/>
        <w:jc w:val="both"/>
        <w:rPr>
          <w:rFonts w:ascii="Times New Roman" w:hAnsi="Times New Roman" w:cs="Times New Roman"/>
          <w:sz w:val="24"/>
          <w:szCs w:val="24"/>
        </w:rPr>
      </w:pPr>
      <w:r w:rsidRPr="00614438">
        <w:rPr>
          <w:rFonts w:ascii="Times New Roman" w:hAnsi="Times New Roman" w:cs="Times New Roman"/>
          <w:sz w:val="24"/>
          <w:szCs w:val="24"/>
        </w:rPr>
        <w:t>Joint Stock Company "Elektromreza Srbije"</w:t>
      </w:r>
      <w:r w:rsidR="00855D60">
        <w:rPr>
          <w:rFonts w:ascii="Times New Roman" w:hAnsi="Times New Roman" w:cs="Times New Roman"/>
          <w:sz w:val="24"/>
          <w:szCs w:val="24"/>
        </w:rPr>
        <w:t xml:space="preserve"> (EMS)</w:t>
      </w:r>
      <w:r w:rsidRPr="00614438">
        <w:rPr>
          <w:rFonts w:ascii="Times New Roman" w:hAnsi="Times New Roman" w:cs="Times New Roman"/>
          <w:sz w:val="24"/>
          <w:szCs w:val="24"/>
        </w:rPr>
        <w:t xml:space="preserve"> is the electricity </w:t>
      </w:r>
      <w:r w:rsidR="00855D60">
        <w:rPr>
          <w:rFonts w:ascii="Times New Roman" w:hAnsi="Times New Roman" w:cs="Times New Roman"/>
          <w:sz w:val="24"/>
          <w:szCs w:val="24"/>
        </w:rPr>
        <w:t>t</w:t>
      </w:r>
      <w:r w:rsidRPr="00614438">
        <w:rPr>
          <w:rFonts w:ascii="Times New Roman" w:hAnsi="Times New Roman" w:cs="Times New Roman"/>
          <w:sz w:val="24"/>
          <w:szCs w:val="24"/>
        </w:rPr>
        <w:t xml:space="preserve">ransmission system operator responsible for developing the transmission grid and manages four regional centres in order to assure the secure functioning of the entire electricity sector. </w:t>
      </w:r>
      <w:r w:rsidR="00855D60">
        <w:rPr>
          <w:rFonts w:ascii="Times New Roman" w:hAnsi="Times New Roman" w:cs="Times New Roman"/>
          <w:sz w:val="24"/>
          <w:szCs w:val="24"/>
        </w:rPr>
        <w:t xml:space="preserve">JSC </w:t>
      </w:r>
      <w:r w:rsidRPr="00614438">
        <w:rPr>
          <w:rFonts w:ascii="Times New Roman" w:hAnsi="Times New Roman" w:cs="Times New Roman"/>
          <w:sz w:val="24"/>
          <w:szCs w:val="24"/>
        </w:rPr>
        <w:t>EMS is also responsible for organization and administration of the balancing electricity market and for purchasing ancillary services for frequency and voltage regulation</w:t>
      </w:r>
      <w:r w:rsidR="00855D60">
        <w:rPr>
          <w:rFonts w:ascii="Times New Roman" w:hAnsi="Times New Roman" w:cs="Times New Roman"/>
          <w:sz w:val="24"/>
          <w:szCs w:val="24"/>
        </w:rPr>
        <w:t>,</w:t>
      </w:r>
      <w:r w:rsidRPr="00614438">
        <w:rPr>
          <w:rFonts w:ascii="Times New Roman" w:hAnsi="Times New Roman" w:cs="Times New Roman"/>
          <w:sz w:val="24"/>
          <w:szCs w:val="24"/>
        </w:rPr>
        <w:t xml:space="preserve"> as well as for the coordination of cross-border power exchanges according to the ENTSO-E obligations.</w:t>
      </w:r>
    </w:p>
    <w:p w14:paraId="232DDF25" w14:textId="5C644452" w:rsidR="00614438" w:rsidRPr="00614438" w:rsidRDefault="00614438" w:rsidP="00855D60">
      <w:pPr>
        <w:ind w:firstLine="720"/>
        <w:jc w:val="both"/>
        <w:rPr>
          <w:rFonts w:ascii="Times New Roman" w:hAnsi="Times New Roman" w:cs="Times New Roman"/>
          <w:sz w:val="24"/>
          <w:szCs w:val="24"/>
        </w:rPr>
      </w:pPr>
      <w:r w:rsidRPr="00614438">
        <w:rPr>
          <w:rFonts w:ascii="Times New Roman" w:hAnsi="Times New Roman" w:cs="Times New Roman"/>
          <w:sz w:val="24"/>
          <w:szCs w:val="24"/>
        </w:rPr>
        <w:t>The</w:t>
      </w:r>
      <w:r w:rsidR="00855D60">
        <w:rPr>
          <w:rFonts w:ascii="Times New Roman" w:hAnsi="Times New Roman" w:cs="Times New Roman"/>
          <w:sz w:val="24"/>
          <w:szCs w:val="24"/>
        </w:rPr>
        <w:t xml:space="preserve"> reported</w:t>
      </w:r>
      <w:r w:rsidRPr="00614438">
        <w:rPr>
          <w:rFonts w:ascii="Times New Roman" w:hAnsi="Times New Roman" w:cs="Times New Roman"/>
          <w:sz w:val="24"/>
          <w:szCs w:val="24"/>
        </w:rPr>
        <w:t xml:space="preserve"> interconnectivity index of the Serbian transmission system (expressed as the ratio between the sum of the maximum NTC values on the borders and the total installed generation capacity) is reported at 50%</w:t>
      </w:r>
      <w:r w:rsidR="00855D60">
        <w:rPr>
          <w:rFonts w:ascii="Times New Roman" w:hAnsi="Times New Roman" w:cs="Times New Roman"/>
          <w:sz w:val="24"/>
          <w:szCs w:val="24"/>
        </w:rPr>
        <w:t xml:space="preserve"> (Energy Community Secretariat, </w:t>
      </w:r>
      <w:r w:rsidR="00855D60" w:rsidRPr="007109B2">
        <w:rPr>
          <w:rFonts w:ascii="Times New Roman" w:hAnsi="Times New Roman" w:cs="Times New Roman"/>
          <w:sz w:val="24"/>
          <w:szCs w:val="24"/>
          <w:lang w:bidi="sr-Cyrl-CS"/>
        </w:rPr>
        <w:t>“Electricity Interconnection Targets in the Energy Community Contracting Parties”, Feb. 2021</w:t>
      </w:r>
      <w:r w:rsidR="00855D60">
        <w:rPr>
          <w:rFonts w:ascii="Times New Roman" w:hAnsi="Times New Roman" w:cs="Times New Roman"/>
          <w:sz w:val="24"/>
          <w:szCs w:val="24"/>
        </w:rPr>
        <w:t>)</w:t>
      </w:r>
      <w:r w:rsidRPr="00614438">
        <w:rPr>
          <w:rFonts w:ascii="Times New Roman" w:hAnsi="Times New Roman" w:cs="Times New Roman"/>
          <w:sz w:val="24"/>
          <w:szCs w:val="24"/>
        </w:rPr>
        <w:t xml:space="preserve">, i.e. much higher than the corresponding target of 10% for 2020 for EU member states. This high level of interconnectivity is expected to be </w:t>
      </w:r>
      <w:r w:rsidRPr="00614438">
        <w:rPr>
          <w:rFonts w:ascii="Times New Roman" w:hAnsi="Times New Roman" w:cs="Times New Roman"/>
          <w:sz w:val="24"/>
          <w:szCs w:val="24"/>
        </w:rPr>
        <w:lastRenderedPageBreak/>
        <w:t>utilized more efficiently as regional electricity market integration advances. Realised physical electricity transit in 2020 amounted to 4,532 GWh.</w:t>
      </w:r>
    </w:p>
    <w:p w14:paraId="31D64AFC" w14:textId="20C11752" w:rsidR="00614438" w:rsidRPr="00614438" w:rsidRDefault="00614438" w:rsidP="00FF02C7">
      <w:pPr>
        <w:ind w:firstLine="720"/>
        <w:jc w:val="both"/>
        <w:rPr>
          <w:rFonts w:ascii="Times New Roman" w:hAnsi="Times New Roman" w:cs="Times New Roman"/>
          <w:sz w:val="24"/>
          <w:szCs w:val="24"/>
        </w:rPr>
      </w:pPr>
      <w:r w:rsidRPr="00614438">
        <w:rPr>
          <w:rFonts w:ascii="Times New Roman" w:hAnsi="Times New Roman" w:cs="Times New Roman"/>
          <w:sz w:val="24"/>
          <w:szCs w:val="24"/>
        </w:rPr>
        <w:t xml:space="preserve">In order to provide insight into the utilisation of interconnecting capacities, </w:t>
      </w:r>
      <w:r w:rsidR="00FA29EF">
        <w:fldChar w:fldCharType="begin"/>
      </w:r>
      <w:r w:rsidR="00FA29EF">
        <w:instrText xml:space="preserve"> REF _Ref153465587 \h  \* MERGEFORMAT </w:instrText>
      </w:r>
      <w:r w:rsidR="00FA29EF">
        <w:fldChar w:fldCharType="separate"/>
      </w:r>
      <w:r w:rsidRPr="00614438">
        <w:rPr>
          <w:rFonts w:ascii="Times New Roman" w:hAnsi="Times New Roman" w:cs="Times New Roman"/>
          <w:sz w:val="24"/>
          <w:szCs w:val="24"/>
        </w:rPr>
        <w:t>Table 4.</w:t>
      </w:r>
      <w:r w:rsidR="00FF02C7">
        <w:rPr>
          <w:rFonts w:ascii="Times New Roman" w:hAnsi="Times New Roman" w:cs="Times New Roman"/>
          <w:sz w:val="24"/>
          <w:szCs w:val="24"/>
        </w:rPr>
        <w:t>4</w:t>
      </w:r>
      <w:r w:rsidR="00FA29EF">
        <w:fldChar w:fldCharType="end"/>
      </w:r>
      <w:r w:rsidRPr="00614438">
        <w:rPr>
          <w:rFonts w:ascii="Times New Roman" w:hAnsi="Times New Roman" w:cs="Times New Roman"/>
          <w:sz w:val="24"/>
          <w:szCs w:val="24"/>
        </w:rPr>
        <w:t xml:space="preserve"> provides an overview of capacities with every neighbouring electricity system</w:t>
      </w:r>
      <w:r w:rsidR="00FF02C7">
        <w:rPr>
          <w:rFonts w:ascii="Times New Roman" w:hAnsi="Times New Roman" w:cs="Times New Roman"/>
          <w:sz w:val="24"/>
          <w:szCs w:val="24"/>
        </w:rPr>
        <w:t xml:space="preserve"> (</w:t>
      </w:r>
      <w:r w:rsidR="00FF02C7" w:rsidRPr="00FF02C7">
        <w:rPr>
          <w:rFonts w:ascii="Times New Roman" w:hAnsi="Times New Roman" w:cs="Times New Roman"/>
          <w:sz w:val="24"/>
          <w:szCs w:val="24"/>
        </w:rPr>
        <w:t>Source: Ten Year Network Development plan 2021-2030 of the Republic of Serbia)</w:t>
      </w:r>
      <w:r w:rsidRPr="00FF02C7">
        <w:rPr>
          <w:rFonts w:ascii="Times New Roman" w:hAnsi="Times New Roman" w:cs="Times New Roman"/>
          <w:sz w:val="24"/>
          <w:szCs w:val="24"/>
        </w:rPr>
        <w:t>. The capacities show</w:t>
      </w:r>
      <w:r w:rsidRPr="00614438">
        <w:rPr>
          <w:rFonts w:ascii="Times New Roman" w:hAnsi="Times New Roman" w:cs="Times New Roman"/>
          <w:sz w:val="24"/>
          <w:szCs w:val="24"/>
        </w:rPr>
        <w:t>n in this table represent the sum of the thermal limits of all transmission lines, and such, they differ for the winter and summer periods. It should be noted that the use of existing interconnecting transmission lines depends both on the limitations in the national transmission network and on the limitations set by the TSOs of neighbouring systems.</w:t>
      </w:r>
    </w:p>
    <w:p w14:paraId="050781E6" w14:textId="2A09A549" w:rsidR="00614438" w:rsidRPr="00614438" w:rsidRDefault="00614438" w:rsidP="00614438">
      <w:pPr>
        <w:jc w:val="both"/>
        <w:rPr>
          <w:rFonts w:ascii="Times New Roman" w:hAnsi="Times New Roman" w:cs="Times New Roman"/>
          <w:sz w:val="24"/>
          <w:szCs w:val="24"/>
        </w:rPr>
      </w:pPr>
      <w:bookmarkStart w:id="330" w:name="_Ref153465587"/>
      <w:bookmarkStart w:id="331" w:name="_Ref113369460"/>
      <w:bookmarkStart w:id="332" w:name="_Toc118992368"/>
      <w:bookmarkStart w:id="333" w:name="_Toc153545074"/>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bookmarkEnd w:id="330"/>
      <w:bookmarkEnd w:id="331"/>
      <w:r w:rsidR="00FF02C7">
        <w:rPr>
          <w:rFonts w:ascii="Times New Roman" w:hAnsi="Times New Roman" w:cs="Times New Roman"/>
          <w:sz w:val="24"/>
          <w:szCs w:val="24"/>
        </w:rPr>
        <w:t>4</w:t>
      </w:r>
      <w:r w:rsidRPr="00614438">
        <w:rPr>
          <w:rFonts w:ascii="Times New Roman" w:hAnsi="Times New Roman" w:cs="Times New Roman"/>
          <w:sz w:val="24"/>
          <w:szCs w:val="24"/>
        </w:rPr>
        <w:t>: Thermal capacities of interconnecting transmission lines by borders</w:t>
      </w:r>
      <w:bookmarkEnd w:id="332"/>
      <w:bookmarkEnd w:id="333"/>
    </w:p>
    <w:tbl>
      <w:tblPr>
        <w:tblStyle w:val="TableGrid"/>
        <w:tblW w:w="0" w:type="auto"/>
        <w:jc w:val="center"/>
        <w:tblLook w:val="04A0" w:firstRow="1" w:lastRow="0" w:firstColumn="1" w:lastColumn="0" w:noHBand="0" w:noVBand="1"/>
      </w:tblPr>
      <w:tblGrid>
        <w:gridCol w:w="3256"/>
        <w:gridCol w:w="1701"/>
        <w:gridCol w:w="1559"/>
      </w:tblGrid>
      <w:tr w:rsidR="00614438" w:rsidRPr="00614438" w14:paraId="03A0525A" w14:textId="77777777" w:rsidTr="00614438">
        <w:trPr>
          <w:trHeight w:val="358"/>
          <w:jc w:val="center"/>
        </w:trPr>
        <w:tc>
          <w:tcPr>
            <w:tcW w:w="3256" w:type="dxa"/>
            <w:tcBorders>
              <w:top w:val="single" w:sz="4" w:space="0" w:color="auto"/>
              <w:left w:val="single" w:sz="4" w:space="0" w:color="auto"/>
              <w:bottom w:val="single" w:sz="4" w:space="0" w:color="auto"/>
              <w:right w:val="single" w:sz="4" w:space="0" w:color="auto"/>
            </w:tcBorders>
            <w:shd w:val="clear" w:color="auto" w:fill="002060"/>
            <w:hideMark/>
          </w:tcPr>
          <w:p w14:paraId="0C0F164F"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Border</w:t>
            </w:r>
          </w:p>
        </w:tc>
        <w:tc>
          <w:tcPr>
            <w:tcW w:w="1701" w:type="dxa"/>
            <w:tcBorders>
              <w:top w:val="single" w:sz="4" w:space="0" w:color="auto"/>
              <w:left w:val="single" w:sz="4" w:space="0" w:color="auto"/>
              <w:bottom w:val="single" w:sz="4" w:space="0" w:color="auto"/>
              <w:right w:val="single" w:sz="4" w:space="0" w:color="auto"/>
            </w:tcBorders>
            <w:shd w:val="clear" w:color="auto" w:fill="002060"/>
            <w:hideMark/>
          </w:tcPr>
          <w:p w14:paraId="39D783F1"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Summer capacity [MVA]</w:t>
            </w:r>
          </w:p>
        </w:tc>
        <w:tc>
          <w:tcPr>
            <w:tcW w:w="1559" w:type="dxa"/>
            <w:tcBorders>
              <w:top w:val="single" w:sz="4" w:space="0" w:color="auto"/>
              <w:left w:val="single" w:sz="4" w:space="0" w:color="auto"/>
              <w:bottom w:val="single" w:sz="4" w:space="0" w:color="auto"/>
              <w:right w:val="single" w:sz="4" w:space="0" w:color="auto"/>
            </w:tcBorders>
            <w:shd w:val="clear" w:color="auto" w:fill="002060"/>
            <w:hideMark/>
          </w:tcPr>
          <w:p w14:paraId="1BED8F54"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Winter capacity [MVA]</w:t>
            </w:r>
          </w:p>
        </w:tc>
      </w:tr>
      <w:tr w:rsidR="00614438" w:rsidRPr="00614438" w14:paraId="5E80103A" w14:textId="77777777" w:rsidTr="00614438">
        <w:trPr>
          <w:trHeight w:val="358"/>
          <w:jc w:val="center"/>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883E917"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Albania -Serbia</w:t>
            </w:r>
          </w:p>
        </w:tc>
        <w:tc>
          <w:tcPr>
            <w:tcW w:w="1701" w:type="dxa"/>
            <w:tcBorders>
              <w:top w:val="single" w:sz="4" w:space="0" w:color="auto"/>
              <w:left w:val="single" w:sz="4" w:space="0" w:color="auto"/>
              <w:bottom w:val="single" w:sz="4" w:space="0" w:color="auto"/>
              <w:right w:val="single" w:sz="4" w:space="0" w:color="auto"/>
            </w:tcBorders>
            <w:hideMark/>
          </w:tcPr>
          <w:p w14:paraId="3791D925"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1675</w:t>
            </w:r>
          </w:p>
        </w:tc>
        <w:tc>
          <w:tcPr>
            <w:tcW w:w="1559" w:type="dxa"/>
            <w:tcBorders>
              <w:top w:val="single" w:sz="4" w:space="0" w:color="auto"/>
              <w:left w:val="single" w:sz="4" w:space="0" w:color="auto"/>
              <w:bottom w:val="single" w:sz="4" w:space="0" w:color="auto"/>
              <w:right w:val="single" w:sz="4" w:space="0" w:color="auto"/>
            </w:tcBorders>
            <w:hideMark/>
          </w:tcPr>
          <w:p w14:paraId="71442659"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1675</w:t>
            </w:r>
          </w:p>
        </w:tc>
      </w:tr>
      <w:tr w:rsidR="00614438" w:rsidRPr="00614438" w14:paraId="7F070449" w14:textId="77777777" w:rsidTr="00614438">
        <w:trPr>
          <w:trHeight w:val="358"/>
          <w:jc w:val="center"/>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1FB707C"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Montenegro – Serbia</w:t>
            </w:r>
          </w:p>
        </w:tc>
        <w:tc>
          <w:tcPr>
            <w:tcW w:w="1701" w:type="dxa"/>
            <w:tcBorders>
              <w:top w:val="single" w:sz="4" w:space="0" w:color="auto"/>
              <w:left w:val="single" w:sz="4" w:space="0" w:color="auto"/>
              <w:bottom w:val="single" w:sz="4" w:space="0" w:color="auto"/>
              <w:right w:val="single" w:sz="4" w:space="0" w:color="auto"/>
            </w:tcBorders>
            <w:hideMark/>
          </w:tcPr>
          <w:p w14:paraId="56174912"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1874</w:t>
            </w:r>
          </w:p>
        </w:tc>
        <w:tc>
          <w:tcPr>
            <w:tcW w:w="1559" w:type="dxa"/>
            <w:tcBorders>
              <w:top w:val="single" w:sz="4" w:space="0" w:color="auto"/>
              <w:left w:val="single" w:sz="4" w:space="0" w:color="auto"/>
              <w:bottom w:val="single" w:sz="4" w:space="0" w:color="auto"/>
              <w:right w:val="single" w:sz="4" w:space="0" w:color="auto"/>
            </w:tcBorders>
            <w:hideMark/>
          </w:tcPr>
          <w:p w14:paraId="565B137A"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2094</w:t>
            </w:r>
          </w:p>
        </w:tc>
      </w:tr>
      <w:tr w:rsidR="00614438" w:rsidRPr="00614438" w14:paraId="7AD20313" w14:textId="77777777" w:rsidTr="00614438">
        <w:trPr>
          <w:trHeight w:val="358"/>
          <w:jc w:val="center"/>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B3C63F9"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North Macedonia – Serbia</w:t>
            </w:r>
          </w:p>
        </w:tc>
        <w:tc>
          <w:tcPr>
            <w:tcW w:w="1701" w:type="dxa"/>
            <w:tcBorders>
              <w:top w:val="single" w:sz="4" w:space="0" w:color="auto"/>
              <w:left w:val="single" w:sz="4" w:space="0" w:color="auto"/>
              <w:bottom w:val="single" w:sz="4" w:space="0" w:color="auto"/>
              <w:right w:val="single" w:sz="4" w:space="0" w:color="auto"/>
            </w:tcBorders>
            <w:hideMark/>
          </w:tcPr>
          <w:p w14:paraId="66D4203F"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2424</w:t>
            </w:r>
          </w:p>
        </w:tc>
        <w:tc>
          <w:tcPr>
            <w:tcW w:w="1559" w:type="dxa"/>
            <w:tcBorders>
              <w:top w:val="single" w:sz="4" w:space="0" w:color="auto"/>
              <w:left w:val="single" w:sz="4" w:space="0" w:color="auto"/>
              <w:bottom w:val="single" w:sz="4" w:space="0" w:color="auto"/>
              <w:right w:val="single" w:sz="4" w:space="0" w:color="auto"/>
            </w:tcBorders>
            <w:hideMark/>
          </w:tcPr>
          <w:p w14:paraId="72E5F417"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2548</w:t>
            </w:r>
          </w:p>
        </w:tc>
      </w:tr>
      <w:tr w:rsidR="00614438" w:rsidRPr="00614438" w14:paraId="248440C0" w14:textId="77777777" w:rsidTr="00614438">
        <w:trPr>
          <w:trHeight w:val="344"/>
          <w:jc w:val="center"/>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5CCDF52"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Hungary – Serbia</w:t>
            </w:r>
          </w:p>
        </w:tc>
        <w:tc>
          <w:tcPr>
            <w:tcW w:w="1701" w:type="dxa"/>
            <w:tcBorders>
              <w:top w:val="single" w:sz="4" w:space="0" w:color="auto"/>
              <w:left w:val="single" w:sz="4" w:space="0" w:color="auto"/>
              <w:bottom w:val="single" w:sz="4" w:space="0" w:color="auto"/>
              <w:right w:val="single" w:sz="4" w:space="0" w:color="auto"/>
            </w:tcBorders>
            <w:hideMark/>
          </w:tcPr>
          <w:p w14:paraId="7FA02A85"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1206</w:t>
            </w:r>
          </w:p>
        </w:tc>
        <w:tc>
          <w:tcPr>
            <w:tcW w:w="1559" w:type="dxa"/>
            <w:tcBorders>
              <w:top w:val="single" w:sz="4" w:space="0" w:color="auto"/>
              <w:left w:val="single" w:sz="4" w:space="0" w:color="auto"/>
              <w:bottom w:val="single" w:sz="4" w:space="0" w:color="auto"/>
              <w:right w:val="single" w:sz="4" w:space="0" w:color="auto"/>
            </w:tcBorders>
            <w:hideMark/>
          </w:tcPr>
          <w:p w14:paraId="3E8C3970"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1330</w:t>
            </w:r>
          </w:p>
        </w:tc>
      </w:tr>
      <w:tr w:rsidR="00614438" w:rsidRPr="00614438" w14:paraId="2CF7603E" w14:textId="77777777" w:rsidTr="00614438">
        <w:trPr>
          <w:trHeight w:val="358"/>
          <w:jc w:val="center"/>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0B4CF09"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Bosnia and Herzegovina – Serbia</w:t>
            </w:r>
          </w:p>
        </w:tc>
        <w:tc>
          <w:tcPr>
            <w:tcW w:w="1701" w:type="dxa"/>
            <w:tcBorders>
              <w:top w:val="single" w:sz="4" w:space="0" w:color="auto"/>
              <w:left w:val="single" w:sz="4" w:space="0" w:color="auto"/>
              <w:bottom w:val="single" w:sz="4" w:space="0" w:color="auto"/>
              <w:right w:val="single" w:sz="4" w:space="0" w:color="auto"/>
            </w:tcBorders>
            <w:hideMark/>
          </w:tcPr>
          <w:p w14:paraId="3377321C"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1456</w:t>
            </w:r>
          </w:p>
        </w:tc>
        <w:tc>
          <w:tcPr>
            <w:tcW w:w="1559" w:type="dxa"/>
            <w:tcBorders>
              <w:top w:val="single" w:sz="4" w:space="0" w:color="auto"/>
              <w:left w:val="single" w:sz="4" w:space="0" w:color="auto"/>
              <w:bottom w:val="single" w:sz="4" w:space="0" w:color="auto"/>
              <w:right w:val="single" w:sz="4" w:space="0" w:color="auto"/>
            </w:tcBorders>
            <w:hideMark/>
          </w:tcPr>
          <w:p w14:paraId="7ECA2B98"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1631</w:t>
            </w:r>
          </w:p>
        </w:tc>
      </w:tr>
      <w:tr w:rsidR="00614438" w:rsidRPr="00614438" w14:paraId="2621713C" w14:textId="77777777" w:rsidTr="00614438">
        <w:trPr>
          <w:trHeight w:val="358"/>
          <w:jc w:val="center"/>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933E9B1"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Romania – Serbia</w:t>
            </w:r>
          </w:p>
        </w:tc>
        <w:tc>
          <w:tcPr>
            <w:tcW w:w="1701" w:type="dxa"/>
            <w:tcBorders>
              <w:top w:val="single" w:sz="4" w:space="0" w:color="auto"/>
              <w:left w:val="single" w:sz="4" w:space="0" w:color="auto"/>
              <w:bottom w:val="single" w:sz="4" w:space="0" w:color="auto"/>
              <w:right w:val="single" w:sz="4" w:space="0" w:color="auto"/>
            </w:tcBorders>
            <w:hideMark/>
          </w:tcPr>
          <w:p w14:paraId="4798E37F"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901</w:t>
            </w:r>
          </w:p>
        </w:tc>
        <w:tc>
          <w:tcPr>
            <w:tcW w:w="1559" w:type="dxa"/>
            <w:tcBorders>
              <w:top w:val="single" w:sz="4" w:space="0" w:color="auto"/>
              <w:left w:val="single" w:sz="4" w:space="0" w:color="auto"/>
              <w:bottom w:val="single" w:sz="4" w:space="0" w:color="auto"/>
              <w:right w:val="single" w:sz="4" w:space="0" w:color="auto"/>
            </w:tcBorders>
            <w:hideMark/>
          </w:tcPr>
          <w:p w14:paraId="4F5C61D1"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1247</w:t>
            </w:r>
          </w:p>
        </w:tc>
      </w:tr>
      <w:tr w:rsidR="00614438" w:rsidRPr="00614438" w14:paraId="7A468326" w14:textId="77777777" w:rsidTr="00614438">
        <w:trPr>
          <w:trHeight w:val="358"/>
          <w:jc w:val="center"/>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C01CA42"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Bulgaria – Serbia</w:t>
            </w:r>
          </w:p>
        </w:tc>
        <w:tc>
          <w:tcPr>
            <w:tcW w:w="1701" w:type="dxa"/>
            <w:tcBorders>
              <w:top w:val="single" w:sz="4" w:space="0" w:color="auto"/>
              <w:left w:val="single" w:sz="4" w:space="0" w:color="auto"/>
              <w:bottom w:val="single" w:sz="4" w:space="0" w:color="auto"/>
              <w:right w:val="single" w:sz="4" w:space="0" w:color="auto"/>
            </w:tcBorders>
            <w:hideMark/>
          </w:tcPr>
          <w:p w14:paraId="1BB94069"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1206</w:t>
            </w:r>
          </w:p>
        </w:tc>
        <w:tc>
          <w:tcPr>
            <w:tcW w:w="1559" w:type="dxa"/>
            <w:tcBorders>
              <w:top w:val="single" w:sz="4" w:space="0" w:color="auto"/>
              <w:left w:val="single" w:sz="4" w:space="0" w:color="auto"/>
              <w:bottom w:val="single" w:sz="4" w:space="0" w:color="auto"/>
              <w:right w:val="single" w:sz="4" w:space="0" w:color="auto"/>
            </w:tcBorders>
            <w:hideMark/>
          </w:tcPr>
          <w:p w14:paraId="2CE8CE7E"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1330</w:t>
            </w:r>
          </w:p>
        </w:tc>
      </w:tr>
      <w:tr w:rsidR="00614438" w:rsidRPr="00614438" w14:paraId="01AE466D" w14:textId="77777777" w:rsidTr="00614438">
        <w:trPr>
          <w:trHeight w:val="358"/>
          <w:jc w:val="center"/>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E223EAA"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Croatia - Serbia</w:t>
            </w:r>
          </w:p>
        </w:tc>
        <w:tc>
          <w:tcPr>
            <w:tcW w:w="1701" w:type="dxa"/>
            <w:tcBorders>
              <w:top w:val="single" w:sz="4" w:space="0" w:color="auto"/>
              <w:left w:val="single" w:sz="4" w:space="0" w:color="auto"/>
              <w:bottom w:val="single" w:sz="4" w:space="0" w:color="auto"/>
              <w:right w:val="single" w:sz="4" w:space="0" w:color="auto"/>
            </w:tcBorders>
            <w:hideMark/>
          </w:tcPr>
          <w:p w14:paraId="02CAF553"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1206</w:t>
            </w:r>
          </w:p>
        </w:tc>
        <w:tc>
          <w:tcPr>
            <w:tcW w:w="1559" w:type="dxa"/>
            <w:tcBorders>
              <w:top w:val="single" w:sz="4" w:space="0" w:color="auto"/>
              <w:left w:val="single" w:sz="4" w:space="0" w:color="auto"/>
              <w:bottom w:val="single" w:sz="4" w:space="0" w:color="auto"/>
              <w:right w:val="single" w:sz="4" w:space="0" w:color="auto"/>
            </w:tcBorders>
            <w:hideMark/>
          </w:tcPr>
          <w:p w14:paraId="3F32247B"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1330</w:t>
            </w:r>
          </w:p>
        </w:tc>
      </w:tr>
    </w:tbl>
    <w:p w14:paraId="7A3F4A87" w14:textId="77777777" w:rsidR="005A6482" w:rsidRDefault="005A6482" w:rsidP="005A6482">
      <w:pPr>
        <w:ind w:left="720"/>
        <w:jc w:val="both"/>
        <w:rPr>
          <w:rFonts w:ascii="Times New Roman" w:hAnsi="Times New Roman" w:cs="Times New Roman"/>
          <w:sz w:val="24"/>
          <w:szCs w:val="24"/>
          <w:lang w:val="en-GB"/>
        </w:rPr>
      </w:pPr>
    </w:p>
    <w:p w14:paraId="15D06F82" w14:textId="1595B225" w:rsidR="00614438" w:rsidRPr="00FF02C7" w:rsidRDefault="00FF02C7" w:rsidP="00FF02C7">
      <w:pPr>
        <w:ind w:left="720" w:firstLine="720"/>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4.5.1.2 </w:t>
      </w:r>
      <w:r w:rsidR="00614438" w:rsidRPr="00FF02C7">
        <w:rPr>
          <w:rFonts w:ascii="Times New Roman" w:hAnsi="Times New Roman" w:cs="Times New Roman"/>
          <w:sz w:val="24"/>
          <w:szCs w:val="24"/>
          <w:lang w:val="en-GB"/>
        </w:rPr>
        <w:t>Projections of interconnector expansion requirements at least until 2040 (including for the year 2030)</w:t>
      </w:r>
    </w:p>
    <w:p w14:paraId="785292A3" w14:textId="77777777" w:rsidR="00614438" w:rsidRPr="00614438" w:rsidRDefault="00614438" w:rsidP="00FF02C7">
      <w:pPr>
        <w:ind w:firstLine="720"/>
        <w:jc w:val="both"/>
        <w:rPr>
          <w:rFonts w:ascii="Times New Roman" w:hAnsi="Times New Roman" w:cs="Times New Roman"/>
          <w:sz w:val="24"/>
          <w:szCs w:val="24"/>
        </w:rPr>
      </w:pPr>
      <w:r w:rsidRPr="00614438">
        <w:rPr>
          <w:rFonts w:ascii="Times New Roman" w:hAnsi="Times New Roman" w:cs="Times New Roman"/>
          <w:sz w:val="24"/>
          <w:szCs w:val="24"/>
        </w:rPr>
        <w:t xml:space="preserve">Projections of interconnector expansion requirements are performed every two years as a part of ENTSO-E planning studies and are included in the pan-European TYNDP in the form of identification of system needs. In the latest version of the TYNDP 2020, scenarios for 2030 and 2040 lead to a determination of potential needs related to the increase of interconnecting capacities within ENTSO-E over the given timeframe. </w:t>
      </w:r>
      <w:r w:rsidR="00FA29EF">
        <w:fldChar w:fldCharType="begin"/>
      </w:r>
      <w:r w:rsidR="00FA29EF">
        <w:instrText xml:space="preserve"> REF _Ref113632673 \h  \* MERGEFORMAT </w:instrText>
      </w:r>
      <w:r w:rsidR="00FA29EF">
        <w:fldChar w:fldCharType="separate"/>
      </w:r>
      <w:r w:rsidRPr="00614438">
        <w:rPr>
          <w:rFonts w:ascii="Times New Roman" w:hAnsi="Times New Roman" w:cs="Times New Roman"/>
          <w:sz w:val="24"/>
          <w:szCs w:val="24"/>
        </w:rPr>
        <w:t>Figure 4.52</w:t>
      </w:r>
      <w:r w:rsidR="00FA29EF">
        <w:fldChar w:fldCharType="end"/>
      </w:r>
      <w:r w:rsidRPr="00614438">
        <w:rPr>
          <w:rFonts w:ascii="Times New Roman" w:hAnsi="Times New Roman" w:cs="Times New Roman"/>
          <w:sz w:val="24"/>
          <w:szCs w:val="24"/>
        </w:rPr>
        <w:t xml:space="preserve"> presents the outline of all system needs identified for years 2030 and 2040 in the Balkan region.</w:t>
      </w:r>
    </w:p>
    <w:p w14:paraId="12D061D7" w14:textId="77777777" w:rsidR="00614438" w:rsidRPr="00614438" w:rsidRDefault="00614438" w:rsidP="00614438">
      <w:pPr>
        <w:jc w:val="both"/>
        <w:rPr>
          <w:rFonts w:ascii="Times New Roman" w:hAnsi="Times New Roman" w:cs="Times New Roman"/>
          <w:sz w:val="24"/>
          <w:szCs w:val="24"/>
        </w:rPr>
      </w:pPr>
      <w:bookmarkStart w:id="334" w:name="_Ref113632673"/>
      <w:bookmarkStart w:id="335" w:name="_Toc118992321"/>
      <w:bookmarkStart w:id="336" w:name="_Toc154575259"/>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52</w:t>
      </w:r>
      <w:r w:rsidR="00C83251" w:rsidRPr="00614438">
        <w:rPr>
          <w:rFonts w:ascii="Times New Roman" w:hAnsi="Times New Roman" w:cs="Times New Roman"/>
          <w:sz w:val="24"/>
          <w:szCs w:val="24"/>
        </w:rPr>
        <w:fldChar w:fldCharType="end"/>
      </w:r>
      <w:bookmarkEnd w:id="334"/>
      <w:r w:rsidRPr="00614438">
        <w:rPr>
          <w:rFonts w:ascii="Times New Roman" w:hAnsi="Times New Roman" w:cs="Times New Roman"/>
          <w:sz w:val="24"/>
          <w:szCs w:val="24"/>
        </w:rPr>
        <w:t>: ENTSO-e TYNDP 2020 identification of system needs for 2030 and 2040 (source: ENTSO-E)</w:t>
      </w:r>
      <w:bookmarkEnd w:id="335"/>
      <w:bookmarkEnd w:id="33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614438" w:rsidRPr="00614438" w14:paraId="3B28582F" w14:textId="77777777" w:rsidTr="00614438">
        <w:tc>
          <w:tcPr>
            <w:tcW w:w="4814" w:type="dxa"/>
            <w:hideMark/>
          </w:tcPr>
          <w:p w14:paraId="5F463ADD"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lastRenderedPageBreak/>
              <w:drawing>
                <wp:inline distT="0" distB="0" distL="0" distR="0" wp14:anchorId="6F3EEDBD" wp14:editId="5C336E42">
                  <wp:extent cx="2819400" cy="2190750"/>
                  <wp:effectExtent l="0" t="0" r="0" b="0"/>
                  <wp:docPr id="167923438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19400" cy="2190750"/>
                          </a:xfrm>
                          <a:prstGeom prst="rect">
                            <a:avLst/>
                          </a:prstGeom>
                          <a:noFill/>
                          <a:ln>
                            <a:noFill/>
                          </a:ln>
                        </pic:spPr>
                      </pic:pic>
                    </a:graphicData>
                  </a:graphic>
                </wp:inline>
              </w:drawing>
            </w:r>
          </w:p>
        </w:tc>
        <w:tc>
          <w:tcPr>
            <w:tcW w:w="4814" w:type="dxa"/>
            <w:hideMark/>
          </w:tcPr>
          <w:p w14:paraId="244D0E3F"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3C19CAE5" wp14:editId="448982C4">
                  <wp:extent cx="2886075" cy="2181225"/>
                  <wp:effectExtent l="0" t="0" r="9525" b="9525"/>
                  <wp:docPr id="744242098"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86075" cy="2181225"/>
                          </a:xfrm>
                          <a:prstGeom prst="rect">
                            <a:avLst/>
                          </a:prstGeom>
                          <a:noFill/>
                          <a:ln>
                            <a:noFill/>
                          </a:ln>
                        </pic:spPr>
                      </pic:pic>
                    </a:graphicData>
                  </a:graphic>
                </wp:inline>
              </w:drawing>
            </w:r>
          </w:p>
        </w:tc>
      </w:tr>
      <w:tr w:rsidR="00614438" w:rsidRPr="00614438" w14:paraId="02DAB81F" w14:textId="77777777" w:rsidTr="00614438">
        <w:tc>
          <w:tcPr>
            <w:tcW w:w="4814" w:type="dxa"/>
            <w:hideMark/>
          </w:tcPr>
          <w:p w14:paraId="15CBDFFD"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2030</w:t>
            </w:r>
          </w:p>
        </w:tc>
        <w:tc>
          <w:tcPr>
            <w:tcW w:w="4814" w:type="dxa"/>
            <w:hideMark/>
          </w:tcPr>
          <w:p w14:paraId="495CA961"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2040</w:t>
            </w:r>
          </w:p>
        </w:tc>
      </w:tr>
    </w:tbl>
    <w:p w14:paraId="1BD6347D" w14:textId="77777777" w:rsidR="00614438" w:rsidRPr="00614438" w:rsidRDefault="00614438" w:rsidP="00FF02C7">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Moreover, cross-border capacities expected to be commissioned by 2025 are presented in </w:t>
      </w:r>
      <w:r w:rsidR="00FA29EF">
        <w:fldChar w:fldCharType="begin"/>
      </w:r>
      <w:r w:rsidR="00FA29EF">
        <w:instrText xml:space="preserve"> REF _Ref153465687 \h  \* MERGEFORMAT </w:instrText>
      </w:r>
      <w:r w:rsidR="00FA29EF">
        <w:fldChar w:fldCharType="separate"/>
      </w:r>
      <w:r w:rsidRPr="00614438">
        <w:rPr>
          <w:rFonts w:ascii="Times New Roman" w:hAnsi="Times New Roman" w:cs="Times New Roman"/>
          <w:sz w:val="24"/>
          <w:szCs w:val="24"/>
          <w:lang w:val="en-GB"/>
        </w:rPr>
        <w:t>Figure 4.53</w:t>
      </w:r>
      <w:r w:rsidR="00FA29EF">
        <w:fldChar w:fldCharType="end"/>
      </w:r>
      <w:r w:rsidRPr="00614438">
        <w:rPr>
          <w:rFonts w:ascii="Times New Roman" w:hAnsi="Times New Roman" w:cs="Times New Roman"/>
          <w:sz w:val="24"/>
          <w:szCs w:val="24"/>
          <w:lang w:val="en-GB"/>
        </w:rPr>
        <w:t xml:space="preserve"> based on the ENTSO-E TYNDP 2022.</w:t>
      </w:r>
    </w:p>
    <w:p w14:paraId="03A84DDF" w14:textId="1C4E9F23" w:rsidR="00614438" w:rsidRPr="00614438" w:rsidRDefault="00614438" w:rsidP="00614438">
      <w:pPr>
        <w:jc w:val="both"/>
        <w:rPr>
          <w:rFonts w:ascii="Times New Roman" w:hAnsi="Times New Roman" w:cs="Times New Roman"/>
          <w:sz w:val="24"/>
          <w:szCs w:val="24"/>
        </w:rPr>
      </w:pPr>
      <w:bookmarkStart w:id="337" w:name="_Ref153465687"/>
      <w:bookmarkStart w:id="338" w:name="_Toc154575260"/>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53</w:t>
      </w:r>
      <w:r w:rsidR="00C83251" w:rsidRPr="00614438">
        <w:rPr>
          <w:rFonts w:ascii="Times New Roman" w:hAnsi="Times New Roman" w:cs="Times New Roman"/>
          <w:sz w:val="24"/>
          <w:szCs w:val="24"/>
        </w:rPr>
        <w:fldChar w:fldCharType="end"/>
      </w:r>
      <w:bookmarkEnd w:id="337"/>
      <w:r w:rsidRPr="00614438">
        <w:rPr>
          <w:rFonts w:ascii="Times New Roman" w:hAnsi="Times New Roman" w:cs="Times New Roman"/>
          <w:sz w:val="24"/>
          <w:szCs w:val="24"/>
        </w:rPr>
        <w:t>: Cross-border capacities increase by 2025 (source: ENTSO-E)</w:t>
      </w:r>
      <w:bookmarkEnd w:id="338"/>
    </w:p>
    <w:p w14:paraId="6AC01FCD"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6A6A6F4B" wp14:editId="7839B3A7">
            <wp:extent cx="5038725" cy="2981325"/>
            <wp:effectExtent l="0" t="0" r="9525" b="9525"/>
            <wp:docPr id="2144385011"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97631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38725" cy="2981325"/>
                    </a:xfrm>
                    <a:prstGeom prst="rect">
                      <a:avLst/>
                    </a:prstGeom>
                    <a:noFill/>
                    <a:ln>
                      <a:noFill/>
                    </a:ln>
                  </pic:spPr>
                </pic:pic>
              </a:graphicData>
            </a:graphic>
          </wp:inline>
        </w:drawing>
      </w:r>
    </w:p>
    <w:p w14:paraId="6790F9BA" w14:textId="1B8C0FAC" w:rsidR="00614438" w:rsidRPr="00614438" w:rsidRDefault="00614438" w:rsidP="00FF02C7">
      <w:pPr>
        <w:ind w:firstLine="720"/>
        <w:jc w:val="both"/>
        <w:rPr>
          <w:rFonts w:ascii="Times New Roman" w:hAnsi="Times New Roman" w:cs="Times New Roman"/>
          <w:sz w:val="24"/>
          <w:szCs w:val="24"/>
        </w:rPr>
      </w:pPr>
      <w:r w:rsidRPr="00614438">
        <w:rPr>
          <w:rFonts w:ascii="Times New Roman" w:hAnsi="Times New Roman" w:cs="Times New Roman"/>
          <w:sz w:val="24"/>
          <w:szCs w:val="24"/>
        </w:rPr>
        <w:t xml:space="preserve">Similarly, and in coordination to the planning studies performed by the ENTSO-E, TYNDP in </w:t>
      </w:r>
      <w:r w:rsidR="00FF02C7">
        <w:rPr>
          <w:rFonts w:ascii="Times New Roman" w:hAnsi="Times New Roman" w:cs="Times New Roman"/>
          <w:sz w:val="24"/>
          <w:szCs w:val="24"/>
        </w:rPr>
        <w:t xml:space="preserve">the Republic of </w:t>
      </w:r>
      <w:r w:rsidRPr="00614438">
        <w:rPr>
          <w:rFonts w:ascii="Times New Roman" w:hAnsi="Times New Roman" w:cs="Times New Roman"/>
          <w:sz w:val="24"/>
          <w:szCs w:val="24"/>
        </w:rPr>
        <w:t xml:space="preserve">Serbia contains </w:t>
      </w:r>
      <w:r w:rsidR="00FF02C7">
        <w:rPr>
          <w:rFonts w:ascii="Times New Roman" w:hAnsi="Times New Roman" w:cs="Times New Roman"/>
          <w:sz w:val="24"/>
          <w:szCs w:val="24"/>
        </w:rPr>
        <w:t xml:space="preserve">identified </w:t>
      </w:r>
      <w:r w:rsidRPr="00614438">
        <w:rPr>
          <w:rFonts w:ascii="Times New Roman" w:hAnsi="Times New Roman" w:cs="Times New Roman"/>
          <w:sz w:val="24"/>
          <w:szCs w:val="24"/>
        </w:rPr>
        <w:t>project</w:t>
      </w:r>
      <w:r w:rsidR="00FF02C7">
        <w:rPr>
          <w:rFonts w:ascii="Times New Roman" w:hAnsi="Times New Roman" w:cs="Times New Roman"/>
          <w:sz w:val="24"/>
          <w:szCs w:val="24"/>
        </w:rPr>
        <w:t xml:space="preserve">, </w:t>
      </w:r>
      <w:r w:rsidRPr="00614438">
        <w:rPr>
          <w:rFonts w:ascii="Times New Roman" w:hAnsi="Times New Roman" w:cs="Times New Roman"/>
          <w:sz w:val="24"/>
          <w:szCs w:val="24"/>
        </w:rPr>
        <w:t xml:space="preserve">taking into account the expected system needs for the upcoming period. </w:t>
      </w:r>
      <w:r w:rsidR="00FF02C7">
        <w:rPr>
          <w:rFonts w:ascii="Times New Roman" w:hAnsi="Times New Roman" w:cs="Times New Roman"/>
          <w:sz w:val="24"/>
          <w:szCs w:val="24"/>
        </w:rPr>
        <w:t xml:space="preserve">The Republic of </w:t>
      </w:r>
      <w:r w:rsidRPr="00614438">
        <w:rPr>
          <w:rFonts w:ascii="Times New Roman" w:hAnsi="Times New Roman" w:cs="Times New Roman"/>
          <w:sz w:val="24"/>
          <w:szCs w:val="24"/>
        </w:rPr>
        <w:t xml:space="preserve">Serbia plans </w:t>
      </w:r>
      <w:r w:rsidR="00FF02C7">
        <w:rPr>
          <w:rFonts w:ascii="Times New Roman" w:hAnsi="Times New Roman" w:cs="Times New Roman"/>
          <w:sz w:val="24"/>
          <w:szCs w:val="24"/>
        </w:rPr>
        <w:t xml:space="preserve">the </w:t>
      </w:r>
      <w:r w:rsidRPr="00614438">
        <w:rPr>
          <w:rFonts w:ascii="Times New Roman" w:hAnsi="Times New Roman" w:cs="Times New Roman"/>
          <w:sz w:val="24"/>
          <w:szCs w:val="24"/>
        </w:rPr>
        <w:t>following power interconnections with neighbouring countries:</w:t>
      </w:r>
    </w:p>
    <w:p w14:paraId="3FC930E2" w14:textId="532F0E17" w:rsidR="00614438" w:rsidRPr="00614438" w:rsidRDefault="00614438" w:rsidP="00614438">
      <w:pPr>
        <w:jc w:val="both"/>
        <w:rPr>
          <w:rFonts w:ascii="Times New Roman" w:hAnsi="Times New Roman" w:cs="Times New Roman"/>
          <w:sz w:val="24"/>
          <w:szCs w:val="24"/>
        </w:rPr>
      </w:pPr>
      <w:r w:rsidRPr="00614438">
        <w:rPr>
          <w:rFonts w:ascii="Times New Roman" w:hAnsi="Times New Roman" w:cs="Times New Roman"/>
          <w:sz w:val="24"/>
          <w:szCs w:val="24"/>
        </w:rPr>
        <w:t>Trans</w:t>
      </w:r>
      <w:r w:rsidR="00FF02C7">
        <w:rPr>
          <w:rFonts w:ascii="Times New Roman" w:hAnsi="Times New Roman" w:cs="Times New Roman"/>
          <w:sz w:val="24"/>
          <w:szCs w:val="24"/>
        </w:rPr>
        <w:t>-B</w:t>
      </w:r>
      <w:r w:rsidRPr="00614438">
        <w:rPr>
          <w:rFonts w:ascii="Times New Roman" w:hAnsi="Times New Roman" w:cs="Times New Roman"/>
          <w:sz w:val="24"/>
          <w:szCs w:val="24"/>
        </w:rPr>
        <w:t>alkan Corridor,</w:t>
      </w:r>
    </w:p>
    <w:p w14:paraId="24651F8D" w14:textId="77777777" w:rsidR="00614438" w:rsidRPr="00614438" w:rsidRDefault="00614438" w:rsidP="00614438">
      <w:pPr>
        <w:jc w:val="both"/>
        <w:rPr>
          <w:rFonts w:ascii="Times New Roman" w:hAnsi="Times New Roman" w:cs="Times New Roman"/>
          <w:sz w:val="24"/>
          <w:szCs w:val="24"/>
        </w:rPr>
      </w:pPr>
      <w:r w:rsidRPr="00614438">
        <w:rPr>
          <w:rFonts w:ascii="Times New Roman" w:hAnsi="Times New Roman" w:cs="Times New Roman"/>
          <w:sz w:val="24"/>
          <w:szCs w:val="24"/>
        </w:rPr>
        <w:t>Pannonian Corridor,</w:t>
      </w:r>
    </w:p>
    <w:p w14:paraId="567828B5" w14:textId="77777777" w:rsidR="00614438" w:rsidRPr="00614438" w:rsidRDefault="00614438" w:rsidP="00614438">
      <w:pPr>
        <w:jc w:val="both"/>
        <w:rPr>
          <w:rFonts w:ascii="Times New Roman" w:hAnsi="Times New Roman" w:cs="Times New Roman"/>
          <w:sz w:val="24"/>
          <w:szCs w:val="24"/>
        </w:rPr>
      </w:pPr>
      <w:r w:rsidRPr="00614438">
        <w:rPr>
          <w:rFonts w:ascii="Times New Roman" w:hAnsi="Times New Roman" w:cs="Times New Roman"/>
          <w:sz w:val="24"/>
          <w:szCs w:val="24"/>
        </w:rPr>
        <w:t>North Corridor,</w:t>
      </w:r>
    </w:p>
    <w:p w14:paraId="5ABE8257" w14:textId="77777777" w:rsidR="00614438" w:rsidRPr="00614438" w:rsidRDefault="00614438" w:rsidP="00614438">
      <w:pPr>
        <w:jc w:val="both"/>
        <w:rPr>
          <w:rFonts w:ascii="Times New Roman" w:hAnsi="Times New Roman" w:cs="Times New Roman"/>
          <w:sz w:val="24"/>
          <w:szCs w:val="24"/>
        </w:rPr>
      </w:pPr>
      <w:r w:rsidRPr="00614438">
        <w:rPr>
          <w:rFonts w:ascii="Times New Roman" w:hAnsi="Times New Roman" w:cs="Times New Roman"/>
          <w:sz w:val="24"/>
          <w:szCs w:val="24"/>
        </w:rPr>
        <w:t>Central Balkan Corridor, and</w:t>
      </w:r>
    </w:p>
    <w:p w14:paraId="599B3499" w14:textId="77777777" w:rsidR="00614438" w:rsidRPr="00614438" w:rsidRDefault="00614438" w:rsidP="00614438">
      <w:pPr>
        <w:jc w:val="both"/>
        <w:rPr>
          <w:rFonts w:ascii="Times New Roman" w:hAnsi="Times New Roman" w:cs="Times New Roman"/>
          <w:sz w:val="24"/>
          <w:szCs w:val="24"/>
        </w:rPr>
      </w:pPr>
      <w:r w:rsidRPr="00614438">
        <w:rPr>
          <w:rFonts w:ascii="Times New Roman" w:hAnsi="Times New Roman" w:cs="Times New Roman"/>
          <w:sz w:val="24"/>
          <w:szCs w:val="24"/>
        </w:rPr>
        <w:t>400kV Serbia and Croatia interconnection line (SS Sombor – SS Ernestinovo)</w:t>
      </w:r>
    </w:p>
    <w:p w14:paraId="323DA820" w14:textId="77777777" w:rsidR="00614438" w:rsidRPr="00614438" w:rsidRDefault="00FA29EF" w:rsidP="00614438">
      <w:pPr>
        <w:jc w:val="both"/>
        <w:rPr>
          <w:rFonts w:ascii="Times New Roman" w:hAnsi="Times New Roman" w:cs="Times New Roman"/>
          <w:sz w:val="24"/>
          <w:szCs w:val="24"/>
          <w:lang w:val="en-GB"/>
        </w:rPr>
      </w:pPr>
      <w:r>
        <w:fldChar w:fldCharType="begin"/>
      </w:r>
      <w:r>
        <w:instrText xml:space="preserve"> REF _Ref153465754 \h  \* MERGEFORMAT </w:instrText>
      </w:r>
      <w:r>
        <w:fldChar w:fldCharType="separate"/>
      </w:r>
      <w:r w:rsidR="00614438" w:rsidRPr="00614438">
        <w:rPr>
          <w:rFonts w:ascii="Times New Roman" w:hAnsi="Times New Roman" w:cs="Times New Roman"/>
          <w:sz w:val="24"/>
          <w:szCs w:val="24"/>
          <w:lang w:val="en-GB"/>
        </w:rPr>
        <w:t>Figure 4.54</w:t>
      </w:r>
      <w:r>
        <w:fldChar w:fldCharType="end"/>
      </w:r>
      <w:r w:rsidR="00C83251" w:rsidRPr="00614438">
        <w:rPr>
          <w:rFonts w:ascii="Times New Roman" w:hAnsi="Times New Roman" w:cs="Times New Roman"/>
          <w:sz w:val="24"/>
          <w:szCs w:val="24"/>
          <w:lang w:val="en-GB"/>
        </w:rPr>
        <w:fldChar w:fldCharType="begin"/>
      </w:r>
      <w:r w:rsidR="00614438" w:rsidRPr="00614438">
        <w:rPr>
          <w:rFonts w:ascii="Times New Roman" w:hAnsi="Times New Roman" w:cs="Times New Roman"/>
          <w:sz w:val="24"/>
          <w:szCs w:val="24"/>
          <w:lang w:val="en-GB"/>
        </w:rPr>
        <w:instrText xml:space="preserve"> REF _Ref113488591 \h  \* MERGEFORMAT </w:instrText>
      </w:r>
      <w:r w:rsidR="00C83251" w:rsidRPr="00614438">
        <w:rPr>
          <w:rFonts w:ascii="Times New Roman" w:hAnsi="Times New Roman" w:cs="Times New Roman"/>
          <w:sz w:val="24"/>
          <w:szCs w:val="24"/>
          <w:lang w:val="en-GB"/>
        </w:rPr>
      </w:r>
      <w:r w:rsidR="00C83251" w:rsidRPr="00614438">
        <w:rPr>
          <w:rFonts w:ascii="Times New Roman" w:hAnsi="Times New Roman" w:cs="Times New Roman"/>
          <w:sz w:val="24"/>
          <w:szCs w:val="24"/>
        </w:rPr>
        <w:fldChar w:fldCharType="end"/>
      </w:r>
      <w:r w:rsidR="00614438" w:rsidRPr="00614438">
        <w:rPr>
          <w:rFonts w:ascii="Times New Roman" w:hAnsi="Times New Roman" w:cs="Times New Roman"/>
          <w:sz w:val="24"/>
          <w:szCs w:val="24"/>
          <w:lang w:val="en-GB"/>
        </w:rPr>
        <w:t xml:space="preserve"> shows the simplified grid topology of the electricity transmission network project corridors with all interconnections and transmission lines within the country.</w:t>
      </w:r>
    </w:p>
    <w:p w14:paraId="0267A59A" w14:textId="6D75DD85" w:rsidR="00614438" w:rsidRPr="00614438" w:rsidRDefault="00614438" w:rsidP="00614438">
      <w:pPr>
        <w:jc w:val="both"/>
        <w:rPr>
          <w:rFonts w:ascii="Times New Roman" w:hAnsi="Times New Roman" w:cs="Times New Roman"/>
          <w:sz w:val="24"/>
          <w:szCs w:val="24"/>
        </w:rPr>
      </w:pPr>
      <w:bookmarkStart w:id="339" w:name="_Ref153465754"/>
      <w:bookmarkStart w:id="340" w:name="_Toc154575261"/>
      <w:r w:rsidRPr="00614438">
        <w:rPr>
          <w:rFonts w:ascii="Times New Roman" w:hAnsi="Times New Roman" w:cs="Times New Roman"/>
          <w:sz w:val="24"/>
          <w:szCs w:val="24"/>
        </w:rPr>
        <w:lastRenderedPageBreak/>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54</w:t>
      </w:r>
      <w:r w:rsidR="00C83251" w:rsidRPr="00614438">
        <w:rPr>
          <w:rFonts w:ascii="Times New Roman" w:hAnsi="Times New Roman" w:cs="Times New Roman"/>
          <w:sz w:val="24"/>
          <w:szCs w:val="24"/>
        </w:rPr>
        <w:fldChar w:fldCharType="end"/>
      </w:r>
      <w:bookmarkEnd w:id="339"/>
      <w:r w:rsidRPr="00614438">
        <w:rPr>
          <w:rFonts w:ascii="Times New Roman" w:hAnsi="Times New Roman" w:cs="Times New Roman"/>
          <w:sz w:val="24"/>
          <w:szCs w:val="24"/>
        </w:rPr>
        <w:t xml:space="preserve">: Electricity transmission network project corridors (source: </w:t>
      </w:r>
      <w:r w:rsidR="00FF02C7">
        <w:rPr>
          <w:rFonts w:ascii="Times New Roman" w:hAnsi="Times New Roman" w:cs="Times New Roman"/>
          <w:sz w:val="24"/>
          <w:szCs w:val="24"/>
        </w:rPr>
        <w:t>JOINT-STOCK COMPANY “</w:t>
      </w:r>
      <w:r w:rsidRPr="00614438">
        <w:rPr>
          <w:rFonts w:ascii="Times New Roman" w:hAnsi="Times New Roman" w:cs="Times New Roman"/>
          <w:sz w:val="24"/>
          <w:szCs w:val="24"/>
        </w:rPr>
        <w:t>E</w:t>
      </w:r>
      <w:r w:rsidR="00FF02C7">
        <w:rPr>
          <w:rFonts w:ascii="Times New Roman" w:hAnsi="Times New Roman" w:cs="Times New Roman"/>
          <w:sz w:val="24"/>
          <w:szCs w:val="24"/>
        </w:rPr>
        <w:t xml:space="preserve">LEKTROMREZA </w:t>
      </w:r>
      <w:r w:rsidRPr="00614438">
        <w:rPr>
          <w:rFonts w:ascii="Times New Roman" w:hAnsi="Times New Roman" w:cs="Times New Roman"/>
          <w:sz w:val="24"/>
          <w:szCs w:val="24"/>
        </w:rPr>
        <w:t>S</w:t>
      </w:r>
      <w:r w:rsidR="00FF02C7">
        <w:rPr>
          <w:rFonts w:ascii="Times New Roman" w:hAnsi="Times New Roman" w:cs="Times New Roman"/>
          <w:sz w:val="24"/>
          <w:szCs w:val="24"/>
        </w:rPr>
        <w:t>RBIJE”</w:t>
      </w:r>
      <w:r w:rsidRPr="00614438">
        <w:rPr>
          <w:rFonts w:ascii="Times New Roman" w:hAnsi="Times New Roman" w:cs="Times New Roman"/>
          <w:sz w:val="24"/>
          <w:szCs w:val="24"/>
        </w:rPr>
        <w:t>)</w:t>
      </w:r>
      <w:bookmarkEnd w:id="340"/>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134"/>
      </w:tblGrid>
      <w:tr w:rsidR="00614438" w:rsidRPr="00614438" w14:paraId="651C7B6E" w14:textId="77777777" w:rsidTr="00614438">
        <w:trPr>
          <w:jc w:val="center"/>
        </w:trPr>
        <w:tc>
          <w:tcPr>
            <w:tcW w:w="4508" w:type="dxa"/>
            <w:hideMark/>
          </w:tcPr>
          <w:p w14:paraId="5D48AD7B" w14:textId="77777777" w:rsidR="00614438" w:rsidRPr="00614438" w:rsidRDefault="00614438" w:rsidP="00614438">
            <w:pPr>
              <w:spacing w:after="160" w:line="259" w:lineRule="auto"/>
              <w:jc w:val="both"/>
              <w:rPr>
                <w:rFonts w:ascii="Times New Roman" w:eastAsiaTheme="minorHAnsi" w:hAnsi="Times New Roman" w:cs="Times New Roman"/>
                <w:kern w:val="2"/>
                <w:lang w:eastAsia="en-US"/>
              </w:rPr>
            </w:pPr>
            <w:r w:rsidRPr="00013008">
              <w:rPr>
                <w:rFonts w:ascii="Times New Roman" w:hAnsi="Times New Roman" w:cs="Times New Roman"/>
                <w:noProof/>
                <w:lang w:eastAsia="en-GB"/>
              </w:rPr>
              <w:drawing>
                <wp:inline distT="0" distB="0" distL="0" distR="0" wp14:anchorId="7CCC50F9" wp14:editId="454B68AD">
                  <wp:extent cx="2152650" cy="2324100"/>
                  <wp:effectExtent l="0" t="0" r="0" b="0"/>
                  <wp:docPr id="1625432204"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730320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52650" cy="2324100"/>
                          </a:xfrm>
                          <a:prstGeom prst="rect">
                            <a:avLst/>
                          </a:prstGeom>
                          <a:noFill/>
                          <a:ln>
                            <a:noFill/>
                          </a:ln>
                        </pic:spPr>
                      </pic:pic>
                    </a:graphicData>
                  </a:graphic>
                </wp:inline>
              </w:drawing>
            </w:r>
          </w:p>
          <w:p w14:paraId="48342BCA" w14:textId="77777777" w:rsidR="00614438" w:rsidRPr="00614438" w:rsidRDefault="00614438" w:rsidP="00485CA7">
            <w:pPr>
              <w:numPr>
                <w:ilvl w:val="0"/>
                <w:numId w:val="244"/>
              </w:numPr>
              <w:spacing w:after="160" w:line="259" w:lineRule="auto"/>
              <w:jc w:val="both"/>
              <w:rPr>
                <w:rFonts w:ascii="Times New Roman" w:eastAsiaTheme="minorHAnsi" w:hAnsi="Times New Roman" w:cs="Times New Roman"/>
                <w:kern w:val="2"/>
                <w:lang w:eastAsia="en-US"/>
              </w:rPr>
            </w:pPr>
            <w:r w:rsidRPr="00614438">
              <w:rPr>
                <w:rFonts w:ascii="Times New Roman" w:eastAsiaTheme="minorHAnsi" w:hAnsi="Times New Roman" w:cs="Times New Roman"/>
                <w:kern w:val="2"/>
                <w:lang w:eastAsia="en-US"/>
              </w:rPr>
              <w:t>Trans-Balkan Electricity Corridor</w:t>
            </w:r>
          </w:p>
        </w:tc>
        <w:tc>
          <w:tcPr>
            <w:tcW w:w="4134" w:type="dxa"/>
            <w:hideMark/>
          </w:tcPr>
          <w:p w14:paraId="1480C8A4" w14:textId="77777777" w:rsidR="00614438" w:rsidRPr="00614438" w:rsidRDefault="00614438" w:rsidP="00614438">
            <w:pPr>
              <w:spacing w:after="160" w:line="259" w:lineRule="auto"/>
              <w:jc w:val="both"/>
              <w:rPr>
                <w:rFonts w:ascii="Times New Roman" w:eastAsiaTheme="minorHAnsi" w:hAnsi="Times New Roman" w:cs="Times New Roman"/>
                <w:kern w:val="2"/>
                <w:lang w:eastAsia="en-US"/>
              </w:rPr>
            </w:pPr>
            <w:r w:rsidRPr="00013008">
              <w:rPr>
                <w:rFonts w:ascii="Times New Roman" w:hAnsi="Times New Roman" w:cs="Times New Roman"/>
                <w:noProof/>
                <w:lang w:eastAsia="en-GB"/>
              </w:rPr>
              <w:drawing>
                <wp:inline distT="0" distB="0" distL="0" distR="0" wp14:anchorId="78FB9760" wp14:editId="66EB389B">
                  <wp:extent cx="1819275" cy="2286000"/>
                  <wp:effectExtent l="0" t="0" r="9525" b="0"/>
                  <wp:docPr id="736152606"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75225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19275" cy="2286000"/>
                          </a:xfrm>
                          <a:prstGeom prst="rect">
                            <a:avLst/>
                          </a:prstGeom>
                          <a:noFill/>
                          <a:ln>
                            <a:noFill/>
                          </a:ln>
                        </pic:spPr>
                      </pic:pic>
                    </a:graphicData>
                  </a:graphic>
                </wp:inline>
              </w:drawing>
            </w:r>
          </w:p>
          <w:p w14:paraId="2B9DF067" w14:textId="77777777" w:rsidR="00614438" w:rsidRPr="00614438" w:rsidRDefault="00614438" w:rsidP="00485CA7">
            <w:pPr>
              <w:numPr>
                <w:ilvl w:val="0"/>
                <w:numId w:val="244"/>
              </w:numPr>
              <w:spacing w:after="160" w:line="259" w:lineRule="auto"/>
              <w:jc w:val="both"/>
              <w:rPr>
                <w:rFonts w:ascii="Times New Roman" w:eastAsiaTheme="minorHAnsi" w:hAnsi="Times New Roman" w:cs="Times New Roman"/>
                <w:kern w:val="2"/>
                <w:lang w:eastAsia="en-US"/>
              </w:rPr>
            </w:pPr>
            <w:r w:rsidRPr="00614438">
              <w:rPr>
                <w:rFonts w:ascii="Times New Roman" w:eastAsiaTheme="minorHAnsi" w:hAnsi="Times New Roman" w:cs="Times New Roman"/>
                <w:kern w:val="2"/>
                <w:lang w:eastAsia="en-US"/>
              </w:rPr>
              <w:t>North Corridor</w:t>
            </w:r>
          </w:p>
        </w:tc>
      </w:tr>
      <w:tr w:rsidR="00614438" w:rsidRPr="00614438" w14:paraId="42392357" w14:textId="77777777" w:rsidTr="00614438">
        <w:trPr>
          <w:jc w:val="center"/>
        </w:trPr>
        <w:tc>
          <w:tcPr>
            <w:tcW w:w="4508" w:type="dxa"/>
            <w:hideMark/>
          </w:tcPr>
          <w:p w14:paraId="10B806E7" w14:textId="77777777" w:rsidR="00614438" w:rsidRPr="00614438" w:rsidRDefault="00614438" w:rsidP="00614438">
            <w:pPr>
              <w:spacing w:after="160" w:line="259" w:lineRule="auto"/>
              <w:jc w:val="both"/>
              <w:rPr>
                <w:rFonts w:ascii="Times New Roman" w:eastAsiaTheme="minorHAnsi" w:hAnsi="Times New Roman" w:cs="Times New Roman"/>
                <w:kern w:val="2"/>
                <w:lang w:eastAsia="en-US"/>
              </w:rPr>
            </w:pPr>
            <w:r w:rsidRPr="00013008">
              <w:rPr>
                <w:rFonts w:ascii="Times New Roman" w:hAnsi="Times New Roman" w:cs="Times New Roman"/>
                <w:noProof/>
                <w:lang w:eastAsia="en-GB"/>
              </w:rPr>
              <w:drawing>
                <wp:inline distT="0" distB="0" distL="0" distR="0" wp14:anchorId="68E78087" wp14:editId="143A9C4E">
                  <wp:extent cx="2190750" cy="2266950"/>
                  <wp:effectExtent l="0" t="0" r="0" b="0"/>
                  <wp:docPr id="172859394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87039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90750" cy="2266950"/>
                          </a:xfrm>
                          <a:prstGeom prst="rect">
                            <a:avLst/>
                          </a:prstGeom>
                          <a:noFill/>
                          <a:ln>
                            <a:noFill/>
                          </a:ln>
                        </pic:spPr>
                      </pic:pic>
                    </a:graphicData>
                  </a:graphic>
                </wp:inline>
              </w:drawing>
            </w:r>
          </w:p>
          <w:p w14:paraId="7EED7A85" w14:textId="77777777" w:rsidR="00614438" w:rsidRPr="00614438" w:rsidRDefault="00614438" w:rsidP="00485CA7">
            <w:pPr>
              <w:numPr>
                <w:ilvl w:val="0"/>
                <w:numId w:val="244"/>
              </w:numPr>
              <w:spacing w:after="160" w:line="259" w:lineRule="auto"/>
              <w:jc w:val="both"/>
              <w:rPr>
                <w:rFonts w:ascii="Times New Roman" w:eastAsiaTheme="minorHAnsi" w:hAnsi="Times New Roman" w:cs="Times New Roman"/>
                <w:kern w:val="2"/>
                <w:lang w:eastAsia="en-US"/>
              </w:rPr>
            </w:pPr>
            <w:r w:rsidRPr="00614438">
              <w:rPr>
                <w:rFonts w:ascii="Times New Roman" w:eastAsiaTheme="minorHAnsi" w:hAnsi="Times New Roman" w:cs="Times New Roman"/>
                <w:kern w:val="2"/>
                <w:lang w:eastAsia="en-US"/>
              </w:rPr>
              <w:t>Central Balkan Corridor</w:t>
            </w:r>
          </w:p>
        </w:tc>
        <w:tc>
          <w:tcPr>
            <w:tcW w:w="4134" w:type="dxa"/>
            <w:hideMark/>
          </w:tcPr>
          <w:p w14:paraId="77823FC4" w14:textId="77777777" w:rsidR="00614438" w:rsidRPr="00614438" w:rsidRDefault="00614438" w:rsidP="00614438">
            <w:pPr>
              <w:spacing w:after="160" w:line="259" w:lineRule="auto"/>
              <w:jc w:val="both"/>
              <w:rPr>
                <w:rFonts w:ascii="Times New Roman" w:eastAsiaTheme="minorHAnsi" w:hAnsi="Times New Roman" w:cs="Times New Roman"/>
                <w:kern w:val="2"/>
                <w:lang w:eastAsia="en-US"/>
              </w:rPr>
            </w:pPr>
            <w:r w:rsidRPr="00013008">
              <w:rPr>
                <w:rFonts w:ascii="Times New Roman" w:hAnsi="Times New Roman" w:cs="Times New Roman"/>
                <w:noProof/>
                <w:lang w:eastAsia="en-GB"/>
              </w:rPr>
              <w:drawing>
                <wp:inline distT="0" distB="0" distL="0" distR="0" wp14:anchorId="278B06F9" wp14:editId="1B973F7F">
                  <wp:extent cx="1781175" cy="2276475"/>
                  <wp:effectExtent l="0" t="0" r="9525" b="9525"/>
                  <wp:docPr id="479358868"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986073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81175" cy="2276475"/>
                          </a:xfrm>
                          <a:prstGeom prst="rect">
                            <a:avLst/>
                          </a:prstGeom>
                          <a:noFill/>
                          <a:ln>
                            <a:noFill/>
                          </a:ln>
                        </pic:spPr>
                      </pic:pic>
                    </a:graphicData>
                  </a:graphic>
                </wp:inline>
              </w:drawing>
            </w:r>
          </w:p>
          <w:p w14:paraId="5AD5415B" w14:textId="77777777" w:rsidR="00614438" w:rsidRPr="00614438" w:rsidRDefault="00614438" w:rsidP="00485CA7">
            <w:pPr>
              <w:numPr>
                <w:ilvl w:val="0"/>
                <w:numId w:val="244"/>
              </w:numPr>
              <w:spacing w:after="160" w:line="259" w:lineRule="auto"/>
              <w:jc w:val="both"/>
              <w:rPr>
                <w:rFonts w:ascii="Times New Roman" w:eastAsiaTheme="minorHAnsi" w:hAnsi="Times New Roman" w:cs="Times New Roman"/>
                <w:kern w:val="2"/>
                <w:lang w:eastAsia="en-US"/>
              </w:rPr>
            </w:pPr>
            <w:r w:rsidRPr="00614438">
              <w:rPr>
                <w:rFonts w:ascii="Times New Roman" w:eastAsiaTheme="minorHAnsi" w:hAnsi="Times New Roman" w:cs="Times New Roman"/>
                <w:kern w:val="2"/>
                <w:lang w:eastAsia="en-US"/>
              </w:rPr>
              <w:t>Pannonian Corridor</w:t>
            </w:r>
          </w:p>
        </w:tc>
      </w:tr>
    </w:tbl>
    <w:p w14:paraId="34458592" w14:textId="77777777" w:rsidR="00FF02C7" w:rsidRDefault="00FF02C7" w:rsidP="00614438">
      <w:pPr>
        <w:jc w:val="both"/>
        <w:rPr>
          <w:rFonts w:ascii="Times New Roman" w:hAnsi="Times New Roman" w:cs="Times New Roman"/>
          <w:sz w:val="24"/>
          <w:szCs w:val="24"/>
          <w:lang w:val="en-GB"/>
        </w:rPr>
      </w:pPr>
    </w:p>
    <w:p w14:paraId="250D8DEF" w14:textId="701C4E15" w:rsidR="00614438" w:rsidRPr="00614438" w:rsidRDefault="00FF02C7" w:rsidP="00FF02C7">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4.5.2 </w:t>
      </w:r>
      <w:r w:rsidR="00614438" w:rsidRPr="00614438">
        <w:rPr>
          <w:rFonts w:ascii="Times New Roman" w:hAnsi="Times New Roman" w:cs="Times New Roman"/>
          <w:sz w:val="24"/>
          <w:szCs w:val="24"/>
          <w:lang w:val="en-GB"/>
        </w:rPr>
        <w:t>Energy transmission infrastructure</w:t>
      </w:r>
    </w:p>
    <w:p w14:paraId="140ACEB0" w14:textId="751A464A" w:rsidR="00614438" w:rsidRPr="00614438" w:rsidRDefault="00FF02C7" w:rsidP="00FF02C7">
      <w:pPr>
        <w:ind w:left="1440"/>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4.5.2.1 </w:t>
      </w:r>
      <w:r w:rsidR="00614438" w:rsidRPr="00614438">
        <w:rPr>
          <w:rFonts w:ascii="Times New Roman" w:hAnsi="Times New Roman" w:cs="Times New Roman"/>
          <w:sz w:val="24"/>
          <w:szCs w:val="24"/>
          <w:lang w:val="en-GB"/>
        </w:rPr>
        <w:t>Key characteristics of the existing transmission infrastructure for electricity and gas</w:t>
      </w:r>
    </w:p>
    <w:p w14:paraId="7DA7E6A3" w14:textId="77777777" w:rsidR="00614438" w:rsidRPr="00614438" w:rsidRDefault="00614438" w:rsidP="00FF02C7">
      <w:pPr>
        <w:ind w:firstLine="720"/>
        <w:jc w:val="both"/>
        <w:rPr>
          <w:rFonts w:ascii="Times New Roman" w:hAnsi="Times New Roman" w:cs="Times New Roman"/>
          <w:sz w:val="24"/>
          <w:szCs w:val="24"/>
        </w:rPr>
      </w:pPr>
      <w:r w:rsidRPr="00614438">
        <w:rPr>
          <w:rFonts w:ascii="Times New Roman" w:hAnsi="Times New Roman" w:cs="Times New Roman"/>
          <w:sz w:val="24"/>
          <w:szCs w:val="24"/>
        </w:rPr>
        <w:t>Electricity transmission system network in the Republic of Serbia consists of lines, substations and other voltage equipment that operate at voltage levels of 400 kV, 220 kV and 110 kV. Total length of all voltage level lines stands at 10866 km in 2019 and there are around 42 substations and 74 transformers.</w:t>
      </w:r>
    </w:p>
    <w:p w14:paraId="2D47FDF7" w14:textId="77777777" w:rsidR="00614438" w:rsidRPr="00614438" w:rsidRDefault="00614438" w:rsidP="00FF02C7">
      <w:pPr>
        <w:ind w:firstLine="720"/>
        <w:jc w:val="both"/>
        <w:rPr>
          <w:rFonts w:ascii="Times New Roman" w:hAnsi="Times New Roman" w:cs="Times New Roman"/>
          <w:sz w:val="24"/>
          <w:szCs w:val="24"/>
        </w:rPr>
      </w:pPr>
      <w:r w:rsidRPr="00614438">
        <w:rPr>
          <w:rFonts w:ascii="Times New Roman" w:hAnsi="Times New Roman" w:cs="Times New Roman"/>
          <w:sz w:val="24"/>
          <w:szCs w:val="24"/>
        </w:rPr>
        <w:t xml:space="preserve">An overview of the electric transmission system of Serbia is shown in </w:t>
      </w:r>
      <w:r w:rsidR="00FA29EF">
        <w:fldChar w:fldCharType="begin"/>
      </w:r>
      <w:r w:rsidR="00FA29EF">
        <w:instrText xml:space="preserve"> REF _Ref69465847 \h  \* MERGEFORMAT </w:instrText>
      </w:r>
      <w:r w:rsidR="00FA29EF">
        <w:fldChar w:fldCharType="separate"/>
      </w:r>
      <w:r w:rsidRPr="00614438">
        <w:rPr>
          <w:rFonts w:ascii="Times New Roman" w:hAnsi="Times New Roman" w:cs="Times New Roman"/>
          <w:sz w:val="24"/>
          <w:szCs w:val="24"/>
        </w:rPr>
        <w:t>Figure 4.55</w:t>
      </w:r>
      <w:r w:rsidR="00FA29EF">
        <w:fldChar w:fldCharType="end"/>
      </w:r>
      <w:r w:rsidRPr="00614438">
        <w:rPr>
          <w:rFonts w:ascii="Times New Roman" w:hAnsi="Times New Roman" w:cs="Times New Roman"/>
          <w:sz w:val="24"/>
          <w:szCs w:val="24"/>
        </w:rPr>
        <w:t>. The total installed capacity of all substations and transformers was 17,624 MVA in 2019.</w:t>
      </w:r>
    </w:p>
    <w:p w14:paraId="3DE6C539" w14:textId="32BA8DE6" w:rsidR="00614438" w:rsidRPr="00614438" w:rsidRDefault="00614438" w:rsidP="00614438">
      <w:pPr>
        <w:jc w:val="both"/>
        <w:rPr>
          <w:rFonts w:ascii="Times New Roman" w:hAnsi="Times New Roman" w:cs="Times New Roman"/>
          <w:sz w:val="24"/>
          <w:szCs w:val="24"/>
        </w:rPr>
      </w:pPr>
      <w:bookmarkStart w:id="341" w:name="_Ref69465847"/>
      <w:bookmarkStart w:id="342" w:name="_Toc71552789"/>
      <w:bookmarkStart w:id="343" w:name="_Toc76552970"/>
      <w:bookmarkStart w:id="344" w:name="_Toc81466817"/>
      <w:bookmarkStart w:id="345" w:name="_Toc96510919"/>
      <w:bookmarkStart w:id="346" w:name="_Toc118992324"/>
      <w:bookmarkStart w:id="347" w:name="_Toc154575262"/>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55</w:t>
      </w:r>
      <w:r w:rsidR="00C83251" w:rsidRPr="00614438">
        <w:rPr>
          <w:rFonts w:ascii="Times New Roman" w:hAnsi="Times New Roman" w:cs="Times New Roman"/>
          <w:sz w:val="24"/>
          <w:szCs w:val="24"/>
        </w:rPr>
        <w:fldChar w:fldCharType="end"/>
      </w:r>
      <w:bookmarkEnd w:id="341"/>
      <w:r w:rsidRPr="00614438">
        <w:rPr>
          <w:rFonts w:ascii="Times New Roman" w:hAnsi="Times New Roman" w:cs="Times New Roman"/>
          <w:sz w:val="24"/>
          <w:szCs w:val="24"/>
        </w:rPr>
        <w:t xml:space="preserve">: The Electric Power System of Serbia (source: </w:t>
      </w:r>
      <w:r w:rsidR="00FF02C7">
        <w:rPr>
          <w:rFonts w:ascii="Times New Roman" w:hAnsi="Times New Roman" w:cs="Times New Roman"/>
          <w:sz w:val="24"/>
          <w:szCs w:val="24"/>
        </w:rPr>
        <w:t>JOINT-STOCK COMPANY “</w:t>
      </w:r>
      <w:r w:rsidRPr="00614438">
        <w:rPr>
          <w:rFonts w:ascii="Times New Roman" w:hAnsi="Times New Roman" w:cs="Times New Roman"/>
          <w:sz w:val="24"/>
          <w:szCs w:val="24"/>
        </w:rPr>
        <w:t>E</w:t>
      </w:r>
      <w:r w:rsidR="00FF02C7">
        <w:rPr>
          <w:rFonts w:ascii="Times New Roman" w:hAnsi="Times New Roman" w:cs="Times New Roman"/>
          <w:sz w:val="24"/>
          <w:szCs w:val="24"/>
        </w:rPr>
        <w:t>LEKTROMREZA SRBIJE</w:t>
      </w:r>
      <w:bookmarkEnd w:id="342"/>
      <w:bookmarkEnd w:id="343"/>
      <w:bookmarkEnd w:id="344"/>
      <w:bookmarkEnd w:id="345"/>
      <w:r w:rsidR="00FF02C7">
        <w:rPr>
          <w:rFonts w:ascii="Times New Roman" w:hAnsi="Times New Roman" w:cs="Times New Roman"/>
          <w:sz w:val="24"/>
          <w:szCs w:val="24"/>
        </w:rPr>
        <w:t>”</w:t>
      </w:r>
      <w:r w:rsidRPr="00614438">
        <w:rPr>
          <w:rFonts w:ascii="Times New Roman" w:hAnsi="Times New Roman" w:cs="Times New Roman"/>
          <w:sz w:val="24"/>
          <w:szCs w:val="24"/>
        </w:rPr>
        <w:t>)</w:t>
      </w:r>
      <w:bookmarkEnd w:id="346"/>
      <w:bookmarkEnd w:id="347"/>
    </w:p>
    <w:p w14:paraId="5928E30A"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lastRenderedPageBreak/>
        <w:drawing>
          <wp:inline distT="0" distB="0" distL="0" distR="0" wp14:anchorId="146BB817" wp14:editId="038212BD">
            <wp:extent cx="2933700" cy="4133850"/>
            <wp:effectExtent l="0" t="0" r="0" b="0"/>
            <wp:docPr id="133015316"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33700" cy="4133850"/>
                    </a:xfrm>
                    <a:prstGeom prst="rect">
                      <a:avLst/>
                    </a:prstGeom>
                    <a:noFill/>
                    <a:ln>
                      <a:noFill/>
                    </a:ln>
                  </pic:spPr>
                </pic:pic>
              </a:graphicData>
            </a:graphic>
          </wp:inline>
        </w:drawing>
      </w:r>
    </w:p>
    <w:p w14:paraId="109ACD7A" w14:textId="2618BBD2" w:rsidR="00614438" w:rsidRPr="00614438" w:rsidRDefault="00614438" w:rsidP="00060070">
      <w:pPr>
        <w:ind w:firstLine="720"/>
        <w:jc w:val="both"/>
        <w:rPr>
          <w:rFonts w:ascii="Times New Roman" w:hAnsi="Times New Roman" w:cs="Times New Roman"/>
          <w:sz w:val="24"/>
          <w:szCs w:val="24"/>
        </w:rPr>
      </w:pPr>
      <w:r w:rsidRPr="00614438">
        <w:rPr>
          <w:rFonts w:ascii="Times New Roman" w:hAnsi="Times New Roman" w:cs="Times New Roman"/>
          <w:sz w:val="24"/>
          <w:szCs w:val="24"/>
        </w:rPr>
        <w:t xml:space="preserve">Reconstructions and adaptations of assets of the transmission network are constantly carried out for various reasons, such as the renewal of the useful life of the assets, increase in transmission capacity, increase in safety and reliability, as well as interoperability with other plant and apparatus of the grid. Evidently, based on </w:t>
      </w:r>
      <w:r w:rsidR="00811165" w:rsidRPr="00614438">
        <w:rPr>
          <w:rFonts w:ascii="Times New Roman" w:hAnsi="Times New Roman" w:cs="Times New Roman"/>
          <w:sz w:val="24"/>
          <w:szCs w:val="24"/>
        </w:rPr>
        <w:t>all</w:t>
      </w:r>
      <w:r w:rsidR="00811165">
        <w:rPr>
          <w:rFonts w:ascii="Times New Roman" w:hAnsi="Times New Roman" w:cs="Times New Roman"/>
          <w:sz w:val="24"/>
          <w:szCs w:val="24"/>
        </w:rPr>
        <w:t xml:space="preserve"> </w:t>
      </w:r>
      <w:r w:rsidRPr="00614438">
        <w:rPr>
          <w:rFonts w:ascii="Times New Roman" w:hAnsi="Times New Roman" w:cs="Times New Roman"/>
          <w:sz w:val="24"/>
          <w:szCs w:val="24"/>
        </w:rPr>
        <w:t xml:space="preserve">the key performing indicators, </w:t>
      </w:r>
      <w:r w:rsidR="00060070">
        <w:rPr>
          <w:rFonts w:ascii="Times New Roman" w:hAnsi="Times New Roman" w:cs="Times New Roman"/>
          <w:sz w:val="24"/>
          <w:szCs w:val="24"/>
        </w:rPr>
        <w:t>joint-stock company “Elektromreza Srbije”</w:t>
      </w:r>
      <w:r w:rsidRPr="00614438">
        <w:rPr>
          <w:rFonts w:ascii="Times New Roman" w:hAnsi="Times New Roman" w:cs="Times New Roman"/>
          <w:sz w:val="24"/>
          <w:szCs w:val="24"/>
        </w:rPr>
        <w:t xml:space="preserve"> carries out adequate planning of the development of the transmission system</w:t>
      </w:r>
      <w:r w:rsidR="00060070">
        <w:rPr>
          <w:rFonts w:ascii="Times New Roman" w:hAnsi="Times New Roman" w:cs="Times New Roman"/>
          <w:sz w:val="24"/>
          <w:szCs w:val="24"/>
        </w:rPr>
        <w:t>,</w:t>
      </w:r>
      <w:r w:rsidRPr="00614438">
        <w:rPr>
          <w:rFonts w:ascii="Times New Roman" w:hAnsi="Times New Roman" w:cs="Times New Roman"/>
          <w:sz w:val="24"/>
          <w:szCs w:val="24"/>
        </w:rPr>
        <w:t xml:space="preserve"> leading to less faults and reduction of transmission losses.</w:t>
      </w:r>
    </w:p>
    <w:p w14:paraId="1DC988CE" w14:textId="721A0038" w:rsidR="00614438" w:rsidRPr="00614438" w:rsidRDefault="00614438" w:rsidP="00060070">
      <w:pPr>
        <w:ind w:firstLine="720"/>
        <w:jc w:val="both"/>
        <w:rPr>
          <w:rFonts w:ascii="Times New Roman" w:hAnsi="Times New Roman" w:cs="Times New Roman"/>
          <w:sz w:val="24"/>
          <w:szCs w:val="24"/>
        </w:rPr>
      </w:pPr>
      <w:r w:rsidRPr="00614438">
        <w:rPr>
          <w:rFonts w:ascii="Times New Roman" w:hAnsi="Times New Roman" w:cs="Times New Roman"/>
          <w:sz w:val="24"/>
          <w:szCs w:val="24"/>
        </w:rPr>
        <w:t>The natural gas transmission network is operated by three transmission system operators. It consist</w:t>
      </w:r>
      <w:r w:rsidR="00060070">
        <w:rPr>
          <w:rFonts w:ascii="Times New Roman" w:hAnsi="Times New Roman" w:cs="Times New Roman"/>
          <w:sz w:val="24"/>
          <w:szCs w:val="24"/>
        </w:rPr>
        <w:t>s</w:t>
      </w:r>
      <w:r w:rsidRPr="00614438">
        <w:rPr>
          <w:rFonts w:ascii="Times New Roman" w:hAnsi="Times New Roman" w:cs="Times New Roman"/>
          <w:sz w:val="24"/>
          <w:szCs w:val="24"/>
        </w:rPr>
        <w:t xml:space="preserve"> of 2414 km of in north and central Serbia operated by the “Transportgas Srbija” and additional 125 km in southeast Serbia operated by the “Yugorosgaz transport”. </w:t>
      </w:r>
      <w:r w:rsidR="00060070">
        <w:rPr>
          <w:rFonts w:ascii="Times New Roman" w:hAnsi="Times New Roman" w:cs="Times New Roman"/>
          <w:sz w:val="24"/>
          <w:szCs w:val="24"/>
        </w:rPr>
        <w:t>A t</w:t>
      </w:r>
      <w:r w:rsidRPr="00614438">
        <w:rPr>
          <w:rFonts w:ascii="Times New Roman" w:hAnsi="Times New Roman" w:cs="Times New Roman"/>
          <w:sz w:val="24"/>
          <w:szCs w:val="24"/>
        </w:rPr>
        <w:t>otal of 2,483 million m</w:t>
      </w:r>
      <w:r w:rsidRPr="00614438">
        <w:rPr>
          <w:rFonts w:ascii="Times New Roman" w:hAnsi="Times New Roman" w:cs="Times New Roman"/>
          <w:sz w:val="24"/>
          <w:szCs w:val="24"/>
          <w:vertAlign w:val="superscript"/>
        </w:rPr>
        <w:t>3</w:t>
      </w:r>
      <w:r w:rsidRPr="00614438">
        <w:rPr>
          <w:rFonts w:ascii="Times New Roman" w:hAnsi="Times New Roman" w:cs="Times New Roman"/>
          <w:sz w:val="24"/>
          <w:szCs w:val="24"/>
        </w:rPr>
        <w:t xml:space="preserve"> of natural gas were consumed in 2020 and 2,708 million m3 of natural gas were available from: import, local production and underground storage.</w:t>
      </w:r>
    </w:p>
    <w:p w14:paraId="57920540" w14:textId="66AA55B8" w:rsidR="00614438" w:rsidRPr="00614438" w:rsidRDefault="00614438" w:rsidP="00060070">
      <w:pPr>
        <w:ind w:firstLine="360"/>
        <w:jc w:val="both"/>
        <w:rPr>
          <w:rFonts w:ascii="Times New Roman" w:hAnsi="Times New Roman" w:cs="Times New Roman"/>
          <w:sz w:val="24"/>
          <w:szCs w:val="24"/>
        </w:rPr>
      </w:pPr>
      <w:r w:rsidRPr="00614438">
        <w:rPr>
          <w:rFonts w:ascii="Times New Roman" w:hAnsi="Times New Roman" w:cs="Times New Roman"/>
          <w:sz w:val="24"/>
          <w:szCs w:val="24"/>
        </w:rPr>
        <w:t xml:space="preserve">Gastrans </w:t>
      </w:r>
      <w:r w:rsidR="00060070">
        <w:rPr>
          <w:rFonts w:ascii="Times New Roman" w:hAnsi="Times New Roman" w:cs="Times New Roman"/>
          <w:sz w:val="24"/>
          <w:szCs w:val="24"/>
        </w:rPr>
        <w:t>ltd</w:t>
      </w:r>
      <w:r w:rsidRPr="00614438">
        <w:rPr>
          <w:rFonts w:ascii="Times New Roman" w:hAnsi="Times New Roman" w:cs="Times New Roman"/>
          <w:sz w:val="24"/>
          <w:szCs w:val="24"/>
        </w:rPr>
        <w:t>. is an independent transmission operator of the interconnection gas pipeline from Bulgaria to Hungary with a length of 402 km.</w:t>
      </w:r>
    </w:p>
    <w:p w14:paraId="17E04DDB" w14:textId="4B5D238C" w:rsidR="00614438" w:rsidRPr="00614438" w:rsidRDefault="00060070" w:rsidP="00060070">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4.5.2.2 </w:t>
      </w:r>
      <w:r w:rsidR="00614438" w:rsidRPr="00614438">
        <w:rPr>
          <w:rFonts w:ascii="Times New Roman" w:hAnsi="Times New Roman" w:cs="Times New Roman"/>
          <w:sz w:val="24"/>
          <w:szCs w:val="24"/>
          <w:lang w:val="en-GB"/>
        </w:rPr>
        <w:t>Projections of network expansion requirements at least until 2040 (including for the year 2030)</w:t>
      </w:r>
    </w:p>
    <w:p w14:paraId="131789BA" w14:textId="0EDD2C99" w:rsidR="00614438" w:rsidRPr="00614438" w:rsidRDefault="00614438" w:rsidP="00060070">
      <w:pPr>
        <w:ind w:firstLine="720"/>
        <w:jc w:val="both"/>
        <w:rPr>
          <w:rFonts w:ascii="Times New Roman" w:hAnsi="Times New Roman" w:cs="Times New Roman"/>
          <w:sz w:val="24"/>
          <w:szCs w:val="24"/>
        </w:rPr>
      </w:pPr>
      <w:r w:rsidRPr="00614438">
        <w:rPr>
          <w:rFonts w:ascii="Times New Roman" w:hAnsi="Times New Roman" w:cs="Times New Roman"/>
          <w:sz w:val="24"/>
          <w:szCs w:val="24"/>
        </w:rPr>
        <w:t xml:space="preserve">Until 2030 and beyond, </w:t>
      </w:r>
      <w:r w:rsidR="00060070">
        <w:rPr>
          <w:rFonts w:ascii="Times New Roman" w:hAnsi="Times New Roman" w:cs="Times New Roman"/>
          <w:sz w:val="24"/>
          <w:szCs w:val="24"/>
        </w:rPr>
        <w:t>o</w:t>
      </w:r>
      <w:r w:rsidR="00811165">
        <w:rPr>
          <w:rFonts w:ascii="Times New Roman" w:hAnsi="Times New Roman" w:cs="Times New Roman"/>
          <w:sz w:val="24"/>
          <w:szCs w:val="24"/>
        </w:rPr>
        <w:t xml:space="preserve">n </w:t>
      </w:r>
      <w:r w:rsidRPr="00614438">
        <w:rPr>
          <w:rFonts w:ascii="Times New Roman" w:hAnsi="Times New Roman" w:cs="Times New Roman"/>
          <w:sz w:val="24"/>
          <w:szCs w:val="24"/>
        </w:rPr>
        <w:t>the electricity transmission network</w:t>
      </w:r>
      <w:r w:rsidR="00811165">
        <w:rPr>
          <w:rFonts w:ascii="Times New Roman" w:hAnsi="Times New Roman" w:cs="Times New Roman"/>
          <w:sz w:val="24"/>
          <w:szCs w:val="24"/>
        </w:rPr>
        <w:t xml:space="preserve">, </w:t>
      </w:r>
      <w:r w:rsidRPr="00614438">
        <w:rPr>
          <w:rFonts w:ascii="Times New Roman" w:hAnsi="Times New Roman" w:cs="Times New Roman"/>
          <w:sz w:val="24"/>
          <w:szCs w:val="24"/>
        </w:rPr>
        <w:t xml:space="preserve"> </w:t>
      </w:r>
      <w:r w:rsidR="006260C1" w:rsidRPr="00614438">
        <w:rPr>
          <w:rFonts w:ascii="Times New Roman" w:hAnsi="Times New Roman" w:cs="Times New Roman"/>
          <w:sz w:val="24"/>
          <w:szCs w:val="24"/>
        </w:rPr>
        <w:t xml:space="preserve">mayor investments involving strengthening and new interconnections </w:t>
      </w:r>
      <w:r w:rsidRPr="00614438">
        <w:rPr>
          <w:rFonts w:ascii="Times New Roman" w:hAnsi="Times New Roman" w:cs="Times New Roman"/>
          <w:sz w:val="24"/>
          <w:szCs w:val="24"/>
        </w:rPr>
        <w:t>ha</w:t>
      </w:r>
      <w:r w:rsidR="006260C1">
        <w:rPr>
          <w:rFonts w:ascii="Times New Roman" w:hAnsi="Times New Roman" w:cs="Times New Roman"/>
          <w:sz w:val="24"/>
          <w:szCs w:val="24"/>
        </w:rPr>
        <w:t>ve been</w:t>
      </w:r>
      <w:r w:rsidRPr="00614438">
        <w:rPr>
          <w:rFonts w:ascii="Times New Roman" w:hAnsi="Times New Roman" w:cs="Times New Roman"/>
          <w:sz w:val="24"/>
          <w:szCs w:val="24"/>
        </w:rPr>
        <w:t xml:space="preserve"> scheduled and </w:t>
      </w:r>
      <w:r w:rsidR="006260C1">
        <w:rPr>
          <w:rFonts w:ascii="Times New Roman" w:hAnsi="Times New Roman" w:cs="Times New Roman"/>
          <w:sz w:val="24"/>
          <w:szCs w:val="24"/>
        </w:rPr>
        <w:t xml:space="preserve">will be </w:t>
      </w:r>
      <w:r w:rsidRPr="00614438">
        <w:rPr>
          <w:rFonts w:ascii="Times New Roman" w:hAnsi="Times New Roman" w:cs="Times New Roman"/>
          <w:sz w:val="24"/>
          <w:szCs w:val="24"/>
        </w:rPr>
        <w:t>carrie</w:t>
      </w:r>
      <w:r w:rsidR="006260C1">
        <w:rPr>
          <w:rFonts w:ascii="Times New Roman" w:hAnsi="Times New Roman" w:cs="Times New Roman"/>
          <w:sz w:val="24"/>
          <w:szCs w:val="24"/>
        </w:rPr>
        <w:t>d</w:t>
      </w:r>
      <w:r w:rsidRPr="00614438">
        <w:rPr>
          <w:rFonts w:ascii="Times New Roman" w:hAnsi="Times New Roman" w:cs="Times New Roman"/>
          <w:sz w:val="24"/>
          <w:szCs w:val="24"/>
        </w:rPr>
        <w:t xml:space="preserve"> out. On individual interconnection lines, additional new interconnections are under consideration:</w:t>
      </w:r>
    </w:p>
    <w:p w14:paraId="090B5CC5" w14:textId="2F5ECE84" w:rsidR="00614438" w:rsidRPr="006260C1" w:rsidRDefault="00614438" w:rsidP="00485CA7">
      <w:pPr>
        <w:pStyle w:val="ListParagraph"/>
        <w:numPr>
          <w:ilvl w:val="0"/>
          <w:numId w:val="261"/>
        </w:numPr>
        <w:jc w:val="both"/>
        <w:rPr>
          <w:rFonts w:ascii="Times New Roman" w:hAnsi="Times New Roman" w:cs="Times New Roman"/>
          <w:sz w:val="24"/>
          <w:szCs w:val="24"/>
        </w:rPr>
      </w:pPr>
      <w:r w:rsidRPr="006260C1">
        <w:rPr>
          <w:rFonts w:ascii="Times New Roman" w:hAnsi="Times New Roman" w:cs="Times New Roman"/>
          <w:sz w:val="24"/>
          <w:szCs w:val="24"/>
        </w:rPr>
        <w:t>Serbia - Bosnia and Herzegovina 110 kV SS Ljubovija – SS Srebrenica</w:t>
      </w:r>
      <w:r w:rsidR="006260C1" w:rsidRPr="006260C1">
        <w:rPr>
          <w:rFonts w:ascii="Times New Roman" w:hAnsi="Times New Roman" w:cs="Times New Roman"/>
          <w:sz w:val="24"/>
          <w:szCs w:val="24"/>
        </w:rPr>
        <w:t>;</w:t>
      </w:r>
    </w:p>
    <w:p w14:paraId="13F2ADE3" w14:textId="65CD3B2B" w:rsidR="00614438" w:rsidRDefault="00614438" w:rsidP="00485CA7">
      <w:pPr>
        <w:pStyle w:val="ListParagraph"/>
        <w:numPr>
          <w:ilvl w:val="0"/>
          <w:numId w:val="261"/>
        </w:numPr>
        <w:jc w:val="both"/>
        <w:rPr>
          <w:rFonts w:ascii="Times New Roman" w:hAnsi="Times New Roman" w:cs="Times New Roman"/>
          <w:sz w:val="24"/>
          <w:szCs w:val="24"/>
        </w:rPr>
      </w:pPr>
      <w:r w:rsidRPr="006260C1">
        <w:rPr>
          <w:rFonts w:ascii="Times New Roman" w:hAnsi="Times New Roman" w:cs="Times New Roman"/>
          <w:sz w:val="24"/>
          <w:szCs w:val="24"/>
        </w:rPr>
        <w:t>Serbia –</w:t>
      </w:r>
      <w:r w:rsidR="006260C1">
        <w:rPr>
          <w:rFonts w:ascii="Times New Roman" w:hAnsi="Times New Roman" w:cs="Times New Roman"/>
          <w:sz w:val="24"/>
          <w:szCs w:val="24"/>
        </w:rPr>
        <w:t xml:space="preserve"> </w:t>
      </w:r>
      <w:r w:rsidRPr="006260C1">
        <w:rPr>
          <w:rFonts w:ascii="Times New Roman" w:hAnsi="Times New Roman" w:cs="Times New Roman"/>
          <w:sz w:val="24"/>
          <w:szCs w:val="24"/>
        </w:rPr>
        <w:t xml:space="preserve">Bosnia and Herzegovina </w:t>
      </w:r>
      <w:r w:rsidR="006260C1" w:rsidRPr="006260C1">
        <w:rPr>
          <w:rFonts w:ascii="Times New Roman" w:hAnsi="Times New Roman" w:cs="Times New Roman"/>
          <w:sz w:val="24"/>
          <w:szCs w:val="24"/>
        </w:rPr>
        <w:t>–</w:t>
      </w:r>
      <w:r w:rsidR="006260C1">
        <w:rPr>
          <w:rFonts w:ascii="Times New Roman" w:hAnsi="Times New Roman" w:cs="Times New Roman"/>
          <w:sz w:val="24"/>
          <w:szCs w:val="24"/>
        </w:rPr>
        <w:t xml:space="preserve"> </w:t>
      </w:r>
      <w:r w:rsidR="006260C1" w:rsidRPr="006260C1">
        <w:rPr>
          <w:rFonts w:ascii="Times New Roman" w:hAnsi="Times New Roman" w:cs="Times New Roman"/>
          <w:sz w:val="24"/>
          <w:szCs w:val="24"/>
        </w:rPr>
        <w:t xml:space="preserve">Montenegro </w:t>
      </w:r>
      <w:r w:rsidRPr="006260C1">
        <w:rPr>
          <w:rFonts w:ascii="Times New Roman" w:hAnsi="Times New Roman" w:cs="Times New Roman"/>
          <w:sz w:val="24"/>
          <w:szCs w:val="24"/>
        </w:rPr>
        <w:t>2x400 kV</w:t>
      </w:r>
      <w:r w:rsidR="006260C1">
        <w:rPr>
          <w:rFonts w:ascii="Times New Roman" w:hAnsi="Times New Roman" w:cs="Times New Roman"/>
          <w:sz w:val="24"/>
          <w:szCs w:val="24"/>
        </w:rPr>
        <w:t>;</w:t>
      </w:r>
    </w:p>
    <w:p w14:paraId="60059968" w14:textId="74EFC2C5" w:rsidR="00614438" w:rsidRDefault="00614438" w:rsidP="00485CA7">
      <w:pPr>
        <w:pStyle w:val="ListParagraph"/>
        <w:numPr>
          <w:ilvl w:val="0"/>
          <w:numId w:val="261"/>
        </w:numPr>
        <w:jc w:val="both"/>
        <w:rPr>
          <w:rFonts w:ascii="Times New Roman" w:hAnsi="Times New Roman" w:cs="Times New Roman"/>
          <w:sz w:val="24"/>
          <w:szCs w:val="24"/>
          <w:lang w:val="pt-PT"/>
        </w:rPr>
      </w:pPr>
      <w:r w:rsidRPr="006260C1">
        <w:rPr>
          <w:rFonts w:ascii="Times New Roman" w:hAnsi="Times New Roman" w:cs="Times New Roman"/>
          <w:sz w:val="24"/>
          <w:szCs w:val="24"/>
          <w:lang w:val="pt-PT"/>
        </w:rPr>
        <w:t>Serbia – Croatia 400 kV SS Sombor 3 – SS Ernestinovo</w:t>
      </w:r>
      <w:r w:rsidR="006260C1">
        <w:rPr>
          <w:rFonts w:ascii="Times New Roman" w:hAnsi="Times New Roman" w:cs="Times New Roman"/>
          <w:sz w:val="24"/>
          <w:szCs w:val="24"/>
          <w:lang w:val="pt-PT"/>
        </w:rPr>
        <w:t>;</w:t>
      </w:r>
    </w:p>
    <w:p w14:paraId="51DB109C" w14:textId="79D398D1" w:rsidR="00614438" w:rsidRPr="006260C1" w:rsidRDefault="00614438" w:rsidP="00485CA7">
      <w:pPr>
        <w:pStyle w:val="ListParagraph"/>
        <w:numPr>
          <w:ilvl w:val="0"/>
          <w:numId w:val="261"/>
        </w:numPr>
        <w:jc w:val="both"/>
        <w:rPr>
          <w:rFonts w:ascii="Times New Roman" w:hAnsi="Times New Roman" w:cs="Times New Roman"/>
          <w:sz w:val="24"/>
          <w:szCs w:val="24"/>
          <w:lang w:val="en-GB"/>
        </w:rPr>
      </w:pPr>
      <w:r w:rsidRPr="006260C1">
        <w:rPr>
          <w:rFonts w:ascii="Times New Roman" w:hAnsi="Times New Roman" w:cs="Times New Roman"/>
          <w:sz w:val="24"/>
          <w:szCs w:val="24"/>
        </w:rPr>
        <w:t>Serbia – Bulgaria 400 kV SS Leskovac – SS Bobov Dol</w:t>
      </w:r>
      <w:r w:rsidR="006260C1">
        <w:rPr>
          <w:rFonts w:ascii="Times New Roman" w:hAnsi="Times New Roman" w:cs="Times New Roman"/>
          <w:sz w:val="24"/>
          <w:szCs w:val="24"/>
        </w:rPr>
        <w:t>;</w:t>
      </w:r>
    </w:p>
    <w:p w14:paraId="5C1904BD" w14:textId="59AF7AC2" w:rsidR="00614438" w:rsidRDefault="00614438" w:rsidP="00485CA7">
      <w:pPr>
        <w:pStyle w:val="ListParagraph"/>
        <w:numPr>
          <w:ilvl w:val="0"/>
          <w:numId w:val="261"/>
        </w:numPr>
        <w:jc w:val="both"/>
        <w:rPr>
          <w:rFonts w:ascii="Times New Roman" w:hAnsi="Times New Roman" w:cs="Times New Roman"/>
          <w:sz w:val="24"/>
          <w:szCs w:val="24"/>
        </w:rPr>
      </w:pPr>
      <w:r w:rsidRPr="006260C1">
        <w:rPr>
          <w:rFonts w:ascii="Times New Roman" w:hAnsi="Times New Roman" w:cs="Times New Roman"/>
          <w:sz w:val="24"/>
          <w:szCs w:val="24"/>
        </w:rPr>
        <w:t>Serbia – Romania 400 kV SS Djerdap 1 – SS Portile de Fier</w:t>
      </w:r>
      <w:r w:rsidR="006260C1">
        <w:rPr>
          <w:rFonts w:ascii="Times New Roman" w:hAnsi="Times New Roman" w:cs="Times New Roman"/>
          <w:sz w:val="24"/>
          <w:szCs w:val="24"/>
        </w:rPr>
        <w:t>;</w:t>
      </w:r>
    </w:p>
    <w:p w14:paraId="46D7BF38" w14:textId="4D52F3A0" w:rsidR="00614438" w:rsidRDefault="006260C1" w:rsidP="00485CA7">
      <w:pPr>
        <w:pStyle w:val="ListParagraph"/>
        <w:numPr>
          <w:ilvl w:val="0"/>
          <w:numId w:val="261"/>
        </w:numPr>
        <w:jc w:val="both"/>
        <w:rPr>
          <w:rFonts w:ascii="Times New Roman" w:hAnsi="Times New Roman" w:cs="Times New Roman"/>
          <w:sz w:val="24"/>
          <w:szCs w:val="24"/>
        </w:rPr>
      </w:pPr>
      <w:r w:rsidRPr="006260C1">
        <w:rPr>
          <w:rFonts w:ascii="Times New Roman" w:hAnsi="Times New Roman" w:cs="Times New Roman"/>
          <w:sz w:val="24"/>
          <w:szCs w:val="24"/>
        </w:rPr>
        <w:lastRenderedPageBreak/>
        <w:t xml:space="preserve"> </w:t>
      </w:r>
      <w:r w:rsidR="00614438" w:rsidRPr="006260C1">
        <w:rPr>
          <w:rFonts w:ascii="Times New Roman" w:hAnsi="Times New Roman" w:cs="Times New Roman"/>
          <w:sz w:val="24"/>
          <w:szCs w:val="24"/>
        </w:rPr>
        <w:t>Serbia – Montenegro 110 kV SS Tutin – SS Rozaje</w:t>
      </w:r>
      <w:r>
        <w:rPr>
          <w:rFonts w:ascii="Times New Roman" w:hAnsi="Times New Roman" w:cs="Times New Roman"/>
          <w:sz w:val="24"/>
          <w:szCs w:val="24"/>
        </w:rPr>
        <w:t>;</w:t>
      </w:r>
    </w:p>
    <w:p w14:paraId="5DCFAB26" w14:textId="229CDD5C" w:rsidR="00614438" w:rsidRPr="006260C1" w:rsidRDefault="006260C1" w:rsidP="00485CA7">
      <w:pPr>
        <w:pStyle w:val="ListParagraph"/>
        <w:numPr>
          <w:ilvl w:val="0"/>
          <w:numId w:val="261"/>
        </w:numPr>
        <w:jc w:val="both"/>
        <w:rPr>
          <w:rFonts w:ascii="Times New Roman" w:hAnsi="Times New Roman" w:cs="Times New Roman"/>
          <w:sz w:val="24"/>
          <w:szCs w:val="24"/>
        </w:rPr>
      </w:pPr>
      <w:r w:rsidRPr="006260C1">
        <w:rPr>
          <w:rFonts w:ascii="Times New Roman" w:hAnsi="Times New Roman" w:cs="Times New Roman"/>
          <w:sz w:val="24"/>
          <w:szCs w:val="24"/>
        </w:rPr>
        <w:t xml:space="preserve"> </w:t>
      </w:r>
      <w:r w:rsidR="00614438" w:rsidRPr="006260C1">
        <w:rPr>
          <w:rFonts w:ascii="Times New Roman" w:hAnsi="Times New Roman" w:cs="Times New Roman"/>
          <w:sz w:val="24"/>
          <w:szCs w:val="24"/>
        </w:rPr>
        <w:t>Serbia – Hungary 400 kV SS Subotica 2 – TS Sandorfalva</w:t>
      </w:r>
      <w:r>
        <w:rPr>
          <w:rFonts w:ascii="Times New Roman" w:hAnsi="Times New Roman" w:cs="Times New Roman"/>
          <w:sz w:val="24"/>
          <w:szCs w:val="24"/>
        </w:rPr>
        <w:t>.</w:t>
      </w:r>
    </w:p>
    <w:p w14:paraId="02E5A88D" w14:textId="77777777" w:rsidR="00614438" w:rsidRPr="00614438" w:rsidRDefault="00614438" w:rsidP="006260C1">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Due to the expected increase of renewable energy sources generation capacities and an increased need of transmission capacity improvement within the territory of Serbia, the following three projects are identified as part of the existing electricity transmission network Corridor projects:</w:t>
      </w:r>
    </w:p>
    <w:p w14:paraId="3F7FD13C" w14:textId="7057151A" w:rsidR="00614438" w:rsidRPr="00A94471" w:rsidRDefault="00614438" w:rsidP="00485CA7">
      <w:pPr>
        <w:pStyle w:val="ListParagraph"/>
        <w:numPr>
          <w:ilvl w:val="0"/>
          <w:numId w:val="261"/>
        </w:numPr>
        <w:jc w:val="both"/>
        <w:rPr>
          <w:rFonts w:ascii="Times New Roman" w:hAnsi="Times New Roman" w:cs="Times New Roman"/>
          <w:sz w:val="24"/>
          <w:szCs w:val="24"/>
          <w:lang w:val="en-GB"/>
        </w:rPr>
      </w:pPr>
      <w:r w:rsidRPr="00A94471">
        <w:rPr>
          <w:rFonts w:ascii="Times New Roman" w:hAnsi="Times New Roman" w:cs="Times New Roman"/>
          <w:sz w:val="24"/>
          <w:szCs w:val="24"/>
        </w:rPr>
        <w:t>Implementation of Trans</w:t>
      </w:r>
      <w:r w:rsidR="00A94471" w:rsidRPr="00A94471">
        <w:rPr>
          <w:rFonts w:ascii="Times New Roman" w:hAnsi="Times New Roman" w:cs="Times New Roman"/>
          <w:sz w:val="24"/>
          <w:szCs w:val="24"/>
        </w:rPr>
        <w:t>-B</w:t>
      </w:r>
      <w:r w:rsidRPr="00A94471">
        <w:rPr>
          <w:rFonts w:ascii="Times New Roman" w:hAnsi="Times New Roman" w:cs="Times New Roman"/>
          <w:sz w:val="24"/>
          <w:szCs w:val="24"/>
        </w:rPr>
        <w:t>alkan Corridor: OHL SS Kragujevac (RS) - Kraljevo (RS)</w:t>
      </w:r>
      <w:r w:rsidR="00A94471">
        <w:rPr>
          <w:rFonts w:ascii="Times New Roman" w:hAnsi="Times New Roman" w:cs="Times New Roman"/>
          <w:sz w:val="24"/>
          <w:szCs w:val="24"/>
        </w:rPr>
        <w:t>;</w:t>
      </w:r>
    </w:p>
    <w:p w14:paraId="258AC47E" w14:textId="23B29D2A" w:rsidR="00614438" w:rsidRDefault="00614438" w:rsidP="00485CA7">
      <w:pPr>
        <w:pStyle w:val="ListParagraph"/>
        <w:numPr>
          <w:ilvl w:val="0"/>
          <w:numId w:val="261"/>
        </w:numPr>
        <w:jc w:val="both"/>
        <w:rPr>
          <w:rFonts w:ascii="Times New Roman" w:hAnsi="Times New Roman" w:cs="Times New Roman"/>
          <w:sz w:val="24"/>
          <w:szCs w:val="24"/>
        </w:rPr>
      </w:pPr>
      <w:r w:rsidRPr="00A94471">
        <w:rPr>
          <w:rFonts w:ascii="Times New Roman" w:hAnsi="Times New Roman" w:cs="Times New Roman"/>
          <w:sz w:val="24"/>
          <w:szCs w:val="24"/>
        </w:rPr>
        <w:t>Implementation of Trans</w:t>
      </w:r>
      <w:r w:rsidR="00A94471" w:rsidRPr="00A94471">
        <w:rPr>
          <w:rFonts w:ascii="Times New Roman" w:hAnsi="Times New Roman" w:cs="Times New Roman"/>
          <w:sz w:val="24"/>
          <w:szCs w:val="24"/>
        </w:rPr>
        <w:t>-B</w:t>
      </w:r>
      <w:r w:rsidRPr="00A94471">
        <w:rPr>
          <w:rFonts w:ascii="Times New Roman" w:hAnsi="Times New Roman" w:cs="Times New Roman"/>
          <w:sz w:val="24"/>
          <w:szCs w:val="24"/>
        </w:rPr>
        <w:t>alkan Corridor: OHL Obrenovac (RS) - Bajina Basta (RS)</w:t>
      </w:r>
      <w:r w:rsidR="00A94471">
        <w:rPr>
          <w:rFonts w:ascii="Times New Roman" w:hAnsi="Times New Roman" w:cs="Times New Roman"/>
          <w:sz w:val="24"/>
          <w:szCs w:val="24"/>
        </w:rPr>
        <w:t>;</w:t>
      </w:r>
    </w:p>
    <w:p w14:paraId="57A0CA26" w14:textId="0369FA91" w:rsidR="00614438" w:rsidRDefault="00614438" w:rsidP="00485CA7">
      <w:pPr>
        <w:pStyle w:val="ListParagraph"/>
        <w:numPr>
          <w:ilvl w:val="0"/>
          <w:numId w:val="261"/>
        </w:numPr>
        <w:jc w:val="both"/>
        <w:rPr>
          <w:rFonts w:ascii="Times New Roman" w:hAnsi="Times New Roman" w:cs="Times New Roman"/>
          <w:sz w:val="24"/>
          <w:szCs w:val="24"/>
        </w:rPr>
      </w:pPr>
      <w:r w:rsidRPr="00A94471">
        <w:rPr>
          <w:rFonts w:ascii="Times New Roman" w:hAnsi="Times New Roman" w:cs="Times New Roman"/>
          <w:sz w:val="24"/>
          <w:szCs w:val="24"/>
        </w:rPr>
        <w:t>Cluster of network infrastructure projects in the wider area of Belgrade (BEOGRID)</w:t>
      </w:r>
      <w:r w:rsidR="00A94471">
        <w:rPr>
          <w:rFonts w:ascii="Times New Roman" w:hAnsi="Times New Roman" w:cs="Times New Roman"/>
          <w:sz w:val="24"/>
          <w:szCs w:val="24"/>
        </w:rPr>
        <w:t>;</w:t>
      </w:r>
    </w:p>
    <w:p w14:paraId="4E77EC5F" w14:textId="4C0EBBC7" w:rsidR="00614438" w:rsidRDefault="00614438" w:rsidP="00485CA7">
      <w:pPr>
        <w:pStyle w:val="ListParagraph"/>
        <w:numPr>
          <w:ilvl w:val="0"/>
          <w:numId w:val="261"/>
        </w:numPr>
        <w:jc w:val="both"/>
        <w:rPr>
          <w:rFonts w:ascii="Times New Roman" w:hAnsi="Times New Roman" w:cs="Times New Roman"/>
          <w:sz w:val="24"/>
          <w:szCs w:val="24"/>
        </w:rPr>
      </w:pPr>
      <w:r w:rsidRPr="00A94471">
        <w:rPr>
          <w:rFonts w:ascii="Times New Roman" w:hAnsi="Times New Roman" w:cs="Times New Roman"/>
          <w:sz w:val="24"/>
          <w:szCs w:val="24"/>
        </w:rPr>
        <w:t>Pan</w:t>
      </w:r>
      <w:r w:rsidR="00A94471">
        <w:rPr>
          <w:rFonts w:ascii="Times New Roman" w:hAnsi="Times New Roman" w:cs="Times New Roman"/>
          <w:sz w:val="24"/>
          <w:szCs w:val="24"/>
        </w:rPr>
        <w:t>n</w:t>
      </w:r>
      <w:r w:rsidRPr="00A94471">
        <w:rPr>
          <w:rFonts w:ascii="Times New Roman" w:hAnsi="Times New Roman" w:cs="Times New Roman"/>
          <w:sz w:val="24"/>
          <w:szCs w:val="24"/>
        </w:rPr>
        <w:t>onian Corridor project: OHL 400kV Sombor – Novi Sad 3 and OHL 2x400kV Belgrade 50 – Sremska Mitrovica 2</w:t>
      </w:r>
      <w:r w:rsidR="00A94471">
        <w:rPr>
          <w:rFonts w:ascii="Times New Roman" w:hAnsi="Times New Roman" w:cs="Times New Roman"/>
          <w:sz w:val="24"/>
          <w:szCs w:val="24"/>
        </w:rPr>
        <w:t>;</w:t>
      </w:r>
    </w:p>
    <w:p w14:paraId="69B3C6CF" w14:textId="307B4FB4" w:rsidR="00614438" w:rsidRPr="00A94471" w:rsidRDefault="00614438" w:rsidP="00485CA7">
      <w:pPr>
        <w:pStyle w:val="ListParagraph"/>
        <w:numPr>
          <w:ilvl w:val="0"/>
          <w:numId w:val="261"/>
        </w:numPr>
        <w:jc w:val="both"/>
        <w:rPr>
          <w:rFonts w:ascii="Times New Roman" w:hAnsi="Times New Roman" w:cs="Times New Roman"/>
          <w:sz w:val="24"/>
          <w:szCs w:val="24"/>
        </w:rPr>
      </w:pPr>
      <w:r w:rsidRPr="00A94471">
        <w:rPr>
          <w:rFonts w:ascii="Times New Roman" w:hAnsi="Times New Roman" w:cs="Times New Roman"/>
          <w:sz w:val="24"/>
          <w:szCs w:val="24"/>
        </w:rPr>
        <w:t>Central Balkan Corridor project: OHL 400kV Niš 2 – Kruševac – Kraljevo – Požega – Vardište and OHL 400kV Požarevac 3 – Jagodina 4</w:t>
      </w:r>
      <w:r w:rsidR="00A94471">
        <w:rPr>
          <w:rFonts w:ascii="Times New Roman" w:hAnsi="Times New Roman" w:cs="Times New Roman"/>
          <w:sz w:val="24"/>
          <w:szCs w:val="24"/>
        </w:rPr>
        <w:t>.</w:t>
      </w:r>
    </w:p>
    <w:p w14:paraId="30DEEC49" w14:textId="7FF96271" w:rsidR="00614438" w:rsidRPr="00614438" w:rsidRDefault="00A94471" w:rsidP="00A94471">
      <w:pPr>
        <w:ind w:firstLine="360"/>
        <w:jc w:val="both"/>
        <w:rPr>
          <w:rFonts w:ascii="Times New Roman" w:hAnsi="Times New Roman" w:cs="Times New Roman"/>
          <w:sz w:val="24"/>
          <w:szCs w:val="24"/>
          <w:lang w:val="en-GB"/>
        </w:rPr>
      </w:pPr>
      <w:r>
        <w:rPr>
          <w:rFonts w:ascii="Times New Roman" w:hAnsi="Times New Roman" w:cs="Times New Roman"/>
          <w:sz w:val="24"/>
          <w:szCs w:val="24"/>
        </w:rPr>
        <w:t>Joint-Stock Company “</w:t>
      </w:r>
      <w:r w:rsidR="00614438" w:rsidRPr="00614438">
        <w:rPr>
          <w:rFonts w:ascii="Times New Roman" w:hAnsi="Times New Roman" w:cs="Times New Roman"/>
          <w:sz w:val="24"/>
          <w:szCs w:val="24"/>
          <w:lang w:val="en-GB"/>
        </w:rPr>
        <w:t>E</w:t>
      </w:r>
      <w:r>
        <w:rPr>
          <w:rFonts w:ascii="Times New Roman" w:hAnsi="Times New Roman" w:cs="Times New Roman"/>
          <w:sz w:val="24"/>
          <w:szCs w:val="24"/>
          <w:lang w:val="en-GB"/>
        </w:rPr>
        <w:t xml:space="preserve">lektromreza </w:t>
      </w:r>
      <w:r w:rsidR="00614438" w:rsidRPr="00614438">
        <w:rPr>
          <w:rFonts w:ascii="Times New Roman" w:hAnsi="Times New Roman" w:cs="Times New Roman"/>
          <w:sz w:val="24"/>
          <w:szCs w:val="24"/>
          <w:lang w:val="en-GB"/>
        </w:rPr>
        <w:t>S</w:t>
      </w:r>
      <w:r>
        <w:rPr>
          <w:rFonts w:ascii="Times New Roman" w:hAnsi="Times New Roman" w:cs="Times New Roman"/>
          <w:sz w:val="24"/>
          <w:szCs w:val="24"/>
          <w:lang w:val="en-GB"/>
        </w:rPr>
        <w:t>rbije”</w:t>
      </w:r>
      <w:r w:rsidR="00614438" w:rsidRPr="00614438">
        <w:rPr>
          <w:rFonts w:ascii="Times New Roman" w:hAnsi="Times New Roman" w:cs="Times New Roman"/>
          <w:sz w:val="24"/>
          <w:szCs w:val="24"/>
          <w:lang w:val="en-GB"/>
        </w:rPr>
        <w:t xml:space="preserve"> in the Transmission System Development Plan for the period 2023-2032 (Chapter Adequacy analysis of generation) states that </w:t>
      </w:r>
      <w:r w:rsidR="00FD2420">
        <w:rPr>
          <w:rFonts w:ascii="Times New Roman" w:hAnsi="Times New Roman" w:cs="Times New Roman"/>
          <w:sz w:val="24"/>
          <w:szCs w:val="24"/>
          <w:lang w:val="en-GB"/>
        </w:rPr>
        <w:t>according to the</w:t>
      </w:r>
      <w:r w:rsidR="00614438" w:rsidRPr="00614438">
        <w:rPr>
          <w:rFonts w:ascii="Times New Roman" w:hAnsi="Times New Roman" w:cs="Times New Roman"/>
          <w:sz w:val="24"/>
          <w:szCs w:val="24"/>
          <w:lang w:val="en-GB"/>
        </w:rPr>
        <w:t xml:space="preserve"> submitted connection requests</w:t>
      </w:r>
      <w:r w:rsidR="00E56B10">
        <w:rPr>
          <w:rFonts w:ascii="Times New Roman" w:hAnsi="Times New Roman" w:cs="Times New Roman"/>
          <w:sz w:val="24"/>
          <w:szCs w:val="24"/>
          <w:lang w:val="en-GB"/>
        </w:rPr>
        <w:t>,</w:t>
      </w:r>
      <w:r w:rsidR="00614438" w:rsidRPr="00614438">
        <w:rPr>
          <w:rFonts w:ascii="Times New Roman" w:hAnsi="Times New Roman" w:cs="Times New Roman"/>
          <w:sz w:val="24"/>
          <w:szCs w:val="24"/>
          <w:lang w:val="en-GB"/>
        </w:rPr>
        <w:t xml:space="preserve"> </w:t>
      </w:r>
      <w:r w:rsidR="00FD2420">
        <w:rPr>
          <w:rFonts w:ascii="Times New Roman" w:hAnsi="Times New Roman" w:cs="Times New Roman"/>
          <w:sz w:val="24"/>
          <w:szCs w:val="24"/>
          <w:lang w:val="en-GB"/>
        </w:rPr>
        <w:t>there are</w:t>
      </w:r>
      <w:r w:rsidR="00614438" w:rsidRPr="00614438">
        <w:rPr>
          <w:rFonts w:ascii="Times New Roman" w:hAnsi="Times New Roman" w:cs="Times New Roman"/>
          <w:sz w:val="24"/>
          <w:szCs w:val="24"/>
          <w:lang w:val="en-GB"/>
        </w:rPr>
        <w:t xml:space="preserve"> 19.3 GW of RES until 2032 (1.9 GW on the distribution system and 17.4GW on the transmission system), of which 0.8 GW (with EDS) and 4.5 GW (with </w:t>
      </w:r>
      <w:r w:rsidR="00FD2420">
        <w:rPr>
          <w:rFonts w:ascii="Times New Roman" w:hAnsi="Times New Roman" w:cs="Times New Roman"/>
          <w:sz w:val="24"/>
          <w:szCs w:val="24"/>
        </w:rPr>
        <w:t>JOINT-STOCK COMPANY “</w:t>
      </w:r>
      <w:r w:rsidR="00FD2420" w:rsidRPr="00614438">
        <w:rPr>
          <w:rFonts w:ascii="Times New Roman" w:hAnsi="Times New Roman" w:cs="Times New Roman"/>
          <w:sz w:val="24"/>
          <w:szCs w:val="24"/>
          <w:lang w:val="en-GB"/>
        </w:rPr>
        <w:t>E</w:t>
      </w:r>
      <w:r w:rsidR="00FD2420">
        <w:rPr>
          <w:rFonts w:ascii="Times New Roman" w:hAnsi="Times New Roman" w:cs="Times New Roman"/>
          <w:sz w:val="24"/>
          <w:szCs w:val="24"/>
          <w:lang w:val="en-GB"/>
        </w:rPr>
        <w:t xml:space="preserve">LEKTROMREZA </w:t>
      </w:r>
      <w:r w:rsidR="00FD2420" w:rsidRPr="00614438">
        <w:rPr>
          <w:rFonts w:ascii="Times New Roman" w:hAnsi="Times New Roman" w:cs="Times New Roman"/>
          <w:sz w:val="24"/>
          <w:szCs w:val="24"/>
          <w:lang w:val="en-GB"/>
        </w:rPr>
        <w:t>S</w:t>
      </w:r>
      <w:r w:rsidR="00FD2420">
        <w:rPr>
          <w:rFonts w:ascii="Times New Roman" w:hAnsi="Times New Roman" w:cs="Times New Roman"/>
          <w:sz w:val="24"/>
          <w:szCs w:val="24"/>
          <w:lang w:val="en-GB"/>
        </w:rPr>
        <w:t>RBIJE”</w:t>
      </w:r>
      <w:r w:rsidR="00614438" w:rsidRPr="00614438">
        <w:rPr>
          <w:rFonts w:ascii="Times New Roman" w:hAnsi="Times New Roman" w:cs="Times New Roman"/>
          <w:sz w:val="24"/>
          <w:szCs w:val="24"/>
          <w:lang w:val="en-GB"/>
        </w:rPr>
        <w:t>) entered in contractual relationship with the corresponding system operators.</w:t>
      </w:r>
    </w:p>
    <w:p w14:paraId="731B745F" w14:textId="77777777" w:rsidR="00614438" w:rsidRPr="00614438" w:rsidRDefault="00614438" w:rsidP="00FD2420">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implementation of the Serbia-Bulgaria gas interconnection project is one of the most recent investment projects in the natural gas transmission network which is currently under development. The following interconnection projects are seen in future projections to foster diversification of natural gas supply and allow wider interconnection with neighbouring systems:</w:t>
      </w:r>
    </w:p>
    <w:p w14:paraId="7F4C6821" w14:textId="1D42849C" w:rsidR="00614438" w:rsidRPr="00FD2420" w:rsidRDefault="00614438" w:rsidP="00485CA7">
      <w:pPr>
        <w:pStyle w:val="ListParagraph"/>
        <w:numPr>
          <w:ilvl w:val="0"/>
          <w:numId w:val="261"/>
        </w:numPr>
        <w:jc w:val="both"/>
        <w:rPr>
          <w:rFonts w:ascii="Times New Roman" w:hAnsi="Times New Roman" w:cs="Times New Roman"/>
          <w:sz w:val="24"/>
          <w:szCs w:val="24"/>
          <w:lang w:val="en-GB"/>
        </w:rPr>
      </w:pPr>
      <w:r w:rsidRPr="00FD2420">
        <w:rPr>
          <w:rFonts w:ascii="Times New Roman" w:hAnsi="Times New Roman" w:cs="Times New Roman"/>
          <w:sz w:val="24"/>
          <w:szCs w:val="24"/>
        </w:rPr>
        <w:t>Project for Serbia-Romania gas interconnection 85.5 km (out of which 12.8 km is on the territory of the Republic of Serbia), with a capacity of 1.2 billion m3/year</w:t>
      </w:r>
      <w:r w:rsidR="00E56B10">
        <w:rPr>
          <w:rFonts w:ascii="Times New Roman" w:hAnsi="Times New Roman" w:cs="Times New Roman"/>
          <w:sz w:val="24"/>
          <w:szCs w:val="24"/>
        </w:rPr>
        <w:t>;</w:t>
      </w:r>
    </w:p>
    <w:p w14:paraId="3143B180" w14:textId="1BE61C61" w:rsidR="00614438" w:rsidRPr="00FD2420" w:rsidRDefault="00614438" w:rsidP="00485CA7">
      <w:pPr>
        <w:pStyle w:val="ListParagraph"/>
        <w:numPr>
          <w:ilvl w:val="0"/>
          <w:numId w:val="261"/>
        </w:numPr>
        <w:jc w:val="both"/>
        <w:rPr>
          <w:rFonts w:ascii="Times New Roman" w:hAnsi="Times New Roman" w:cs="Times New Roman"/>
          <w:sz w:val="24"/>
          <w:szCs w:val="24"/>
        </w:rPr>
      </w:pPr>
      <w:r w:rsidRPr="00FD2420">
        <w:rPr>
          <w:rFonts w:ascii="Times New Roman" w:hAnsi="Times New Roman" w:cs="Times New Roman"/>
          <w:sz w:val="24"/>
          <w:szCs w:val="24"/>
        </w:rPr>
        <w:t>Project for Serbia-Croatia gas interconnection (95 km, with a capacity of 1.5 billion m3/year)</w:t>
      </w:r>
      <w:r w:rsidR="00E56B10">
        <w:rPr>
          <w:rFonts w:ascii="Times New Roman" w:hAnsi="Times New Roman" w:cs="Times New Roman"/>
          <w:sz w:val="24"/>
          <w:szCs w:val="24"/>
        </w:rPr>
        <w:t>;</w:t>
      </w:r>
    </w:p>
    <w:p w14:paraId="0CFD4A8E" w14:textId="65DB888E" w:rsidR="00614438" w:rsidRPr="00FD2420" w:rsidRDefault="00614438" w:rsidP="00485CA7">
      <w:pPr>
        <w:pStyle w:val="ListParagraph"/>
        <w:numPr>
          <w:ilvl w:val="0"/>
          <w:numId w:val="261"/>
        </w:numPr>
        <w:jc w:val="both"/>
        <w:rPr>
          <w:rFonts w:ascii="Times New Roman" w:hAnsi="Times New Roman" w:cs="Times New Roman"/>
          <w:sz w:val="24"/>
          <w:szCs w:val="24"/>
        </w:rPr>
      </w:pPr>
      <w:r w:rsidRPr="00FD2420">
        <w:rPr>
          <w:rFonts w:ascii="Times New Roman" w:hAnsi="Times New Roman" w:cs="Times New Roman"/>
          <w:sz w:val="24"/>
          <w:szCs w:val="24"/>
        </w:rPr>
        <w:t>Project for Serbia-BiH gas interconnection 90 km, with a capacity of 1.2 billion m3/year</w:t>
      </w:r>
      <w:r w:rsidR="00E56B10">
        <w:rPr>
          <w:rFonts w:ascii="Times New Roman" w:hAnsi="Times New Roman" w:cs="Times New Roman"/>
          <w:sz w:val="24"/>
          <w:szCs w:val="24"/>
        </w:rPr>
        <w:t>;</w:t>
      </w:r>
    </w:p>
    <w:p w14:paraId="6C21CEE6" w14:textId="3212AF31" w:rsidR="00614438" w:rsidRPr="00FD2420" w:rsidRDefault="00614438" w:rsidP="00485CA7">
      <w:pPr>
        <w:pStyle w:val="ListParagraph"/>
        <w:numPr>
          <w:ilvl w:val="0"/>
          <w:numId w:val="261"/>
        </w:numPr>
        <w:jc w:val="both"/>
        <w:rPr>
          <w:rFonts w:ascii="Times New Roman" w:hAnsi="Times New Roman" w:cs="Times New Roman"/>
          <w:sz w:val="24"/>
          <w:szCs w:val="24"/>
        </w:rPr>
      </w:pPr>
      <w:r w:rsidRPr="00FD2420">
        <w:rPr>
          <w:rFonts w:ascii="Times New Roman" w:hAnsi="Times New Roman" w:cs="Times New Roman"/>
          <w:sz w:val="24"/>
          <w:szCs w:val="24"/>
        </w:rPr>
        <w:t>Gas pipeline - interconnection with Montenegro</w:t>
      </w:r>
      <w:r w:rsidR="00E56B10">
        <w:rPr>
          <w:rFonts w:ascii="Times New Roman" w:hAnsi="Times New Roman" w:cs="Times New Roman"/>
          <w:sz w:val="24"/>
          <w:szCs w:val="24"/>
        </w:rPr>
        <w:t>;</w:t>
      </w:r>
    </w:p>
    <w:p w14:paraId="680B38ED" w14:textId="11D7AB18" w:rsidR="00614438" w:rsidRPr="00FD2420" w:rsidRDefault="00614438" w:rsidP="00485CA7">
      <w:pPr>
        <w:pStyle w:val="ListParagraph"/>
        <w:numPr>
          <w:ilvl w:val="0"/>
          <w:numId w:val="261"/>
        </w:numPr>
        <w:jc w:val="both"/>
        <w:rPr>
          <w:rFonts w:ascii="Times New Roman" w:hAnsi="Times New Roman" w:cs="Times New Roman"/>
          <w:sz w:val="24"/>
          <w:szCs w:val="24"/>
        </w:rPr>
      </w:pPr>
      <w:r w:rsidRPr="00FD2420">
        <w:rPr>
          <w:rFonts w:ascii="Times New Roman" w:hAnsi="Times New Roman" w:cs="Times New Roman"/>
          <w:sz w:val="24"/>
          <w:szCs w:val="24"/>
        </w:rPr>
        <w:t>Project for Serbia-Macedonia gas interconnection 70.7 km, with a capacity of 0.8 billion m3/year</w:t>
      </w:r>
      <w:r w:rsidR="00E56B10">
        <w:rPr>
          <w:rFonts w:ascii="Times New Roman" w:hAnsi="Times New Roman" w:cs="Times New Roman"/>
          <w:sz w:val="24"/>
          <w:szCs w:val="24"/>
        </w:rPr>
        <w:t>;</w:t>
      </w:r>
    </w:p>
    <w:p w14:paraId="1193C12E" w14:textId="1F895DAA" w:rsidR="00614438" w:rsidRPr="00FD2420" w:rsidRDefault="00614438" w:rsidP="00485CA7">
      <w:pPr>
        <w:pStyle w:val="ListParagraph"/>
        <w:numPr>
          <w:ilvl w:val="0"/>
          <w:numId w:val="261"/>
        </w:numPr>
        <w:jc w:val="both"/>
        <w:rPr>
          <w:rFonts w:ascii="Times New Roman" w:hAnsi="Times New Roman" w:cs="Times New Roman"/>
          <w:sz w:val="24"/>
          <w:szCs w:val="24"/>
        </w:rPr>
      </w:pPr>
      <w:r w:rsidRPr="00FD2420">
        <w:rPr>
          <w:rFonts w:ascii="Times New Roman" w:hAnsi="Times New Roman" w:cs="Times New Roman"/>
          <w:sz w:val="24"/>
          <w:szCs w:val="24"/>
        </w:rPr>
        <w:t>Project for Nis-Pristina gas pipeline construction 65 km, with a capacity of 0.8 billion m3/year</w:t>
      </w:r>
      <w:r w:rsidR="00E56B10">
        <w:rPr>
          <w:rFonts w:ascii="Times New Roman" w:hAnsi="Times New Roman" w:cs="Times New Roman"/>
          <w:sz w:val="24"/>
          <w:szCs w:val="24"/>
        </w:rPr>
        <w:t>.</w:t>
      </w:r>
    </w:p>
    <w:p w14:paraId="6C66B675" w14:textId="77777777" w:rsidR="00614438" w:rsidRPr="00614438" w:rsidRDefault="00614438" w:rsidP="00614438">
      <w:pPr>
        <w:jc w:val="both"/>
        <w:rPr>
          <w:rFonts w:ascii="Times New Roman" w:hAnsi="Times New Roman" w:cs="Times New Roman"/>
          <w:sz w:val="24"/>
          <w:szCs w:val="24"/>
        </w:rPr>
      </w:pPr>
    </w:p>
    <w:p w14:paraId="3B72A1E9" w14:textId="3E1D4893" w:rsidR="00614438" w:rsidRPr="00614438" w:rsidRDefault="00614438" w:rsidP="00E56B10">
      <w:pPr>
        <w:ind w:firstLine="360"/>
        <w:jc w:val="both"/>
        <w:rPr>
          <w:rFonts w:ascii="Times New Roman" w:hAnsi="Times New Roman" w:cs="Times New Roman"/>
          <w:sz w:val="24"/>
          <w:szCs w:val="24"/>
        </w:rPr>
      </w:pPr>
      <w:r w:rsidRPr="00614438">
        <w:rPr>
          <w:rFonts w:ascii="Times New Roman" w:hAnsi="Times New Roman" w:cs="Times New Roman"/>
          <w:sz w:val="24"/>
          <w:szCs w:val="24"/>
        </w:rPr>
        <w:t>Within the country boarders the main gas pipeline RG 11-02 Leskovac-Vladicin Han-Vranje</w:t>
      </w:r>
      <w:r w:rsidR="00E56B10">
        <w:rPr>
          <w:rFonts w:ascii="Times New Roman" w:hAnsi="Times New Roman" w:cs="Times New Roman"/>
          <w:sz w:val="24"/>
          <w:szCs w:val="24"/>
        </w:rPr>
        <w:t>, with the length</w:t>
      </w:r>
      <w:r w:rsidRPr="00614438">
        <w:rPr>
          <w:rFonts w:ascii="Times New Roman" w:hAnsi="Times New Roman" w:cs="Times New Roman"/>
          <w:sz w:val="24"/>
          <w:szCs w:val="24"/>
        </w:rPr>
        <w:t xml:space="preserve"> of 71 km and with a capacity of 1.5 billion m3/year, shall be</w:t>
      </w:r>
      <w:r w:rsidR="00E56B10">
        <w:rPr>
          <w:rFonts w:ascii="Times New Roman" w:hAnsi="Times New Roman" w:cs="Times New Roman"/>
          <w:sz w:val="24"/>
          <w:szCs w:val="24"/>
        </w:rPr>
        <w:t xml:space="preserve"> contructed in </w:t>
      </w:r>
      <w:r w:rsidR="00AA14F8">
        <w:rPr>
          <w:rFonts w:ascii="Times New Roman" w:hAnsi="Times New Roman" w:cs="Times New Roman"/>
          <w:sz w:val="24"/>
          <w:szCs w:val="24"/>
        </w:rPr>
        <w:t xml:space="preserve">order </w:t>
      </w:r>
      <w:r w:rsidR="00AA14F8" w:rsidRPr="00614438">
        <w:rPr>
          <w:rFonts w:ascii="Times New Roman" w:hAnsi="Times New Roman" w:cs="Times New Roman"/>
          <w:sz w:val="24"/>
          <w:szCs w:val="24"/>
        </w:rPr>
        <w:t>to</w:t>
      </w:r>
      <w:r w:rsidRPr="00614438">
        <w:rPr>
          <w:rFonts w:ascii="Times New Roman" w:hAnsi="Times New Roman" w:cs="Times New Roman"/>
          <w:sz w:val="24"/>
          <w:szCs w:val="24"/>
        </w:rPr>
        <w:t xml:space="preserve"> enable </w:t>
      </w:r>
      <w:r w:rsidR="00E56B10">
        <w:rPr>
          <w:rFonts w:ascii="Times New Roman" w:hAnsi="Times New Roman" w:cs="Times New Roman"/>
          <w:sz w:val="24"/>
          <w:szCs w:val="24"/>
        </w:rPr>
        <w:t xml:space="preserve">the </w:t>
      </w:r>
      <w:r w:rsidRPr="00614438">
        <w:rPr>
          <w:rFonts w:ascii="Times New Roman" w:hAnsi="Times New Roman" w:cs="Times New Roman"/>
          <w:sz w:val="24"/>
          <w:szCs w:val="24"/>
        </w:rPr>
        <w:t>gasification of south Serbia.</w:t>
      </w:r>
    </w:p>
    <w:p w14:paraId="37BA47C7" w14:textId="5A8331AB" w:rsidR="00614438" w:rsidRPr="00614438" w:rsidRDefault="00E56B10" w:rsidP="00E56B10">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4.5.3 </w:t>
      </w:r>
      <w:r w:rsidR="00614438" w:rsidRPr="00614438">
        <w:rPr>
          <w:rFonts w:ascii="Times New Roman" w:hAnsi="Times New Roman" w:cs="Times New Roman"/>
          <w:sz w:val="24"/>
          <w:szCs w:val="24"/>
          <w:lang w:val="en-GB"/>
        </w:rPr>
        <w:t>Electricity and gas markets, energy prices</w:t>
      </w:r>
    </w:p>
    <w:p w14:paraId="006078DC" w14:textId="6E2DE805" w:rsidR="00614438" w:rsidRPr="00614438" w:rsidRDefault="00E56B10" w:rsidP="00E56B10">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4.5.3.1 </w:t>
      </w:r>
      <w:r w:rsidR="00614438" w:rsidRPr="00614438">
        <w:rPr>
          <w:rFonts w:ascii="Times New Roman" w:hAnsi="Times New Roman" w:cs="Times New Roman"/>
          <w:sz w:val="24"/>
          <w:szCs w:val="24"/>
          <w:lang w:val="en-GB"/>
        </w:rPr>
        <w:t>Current situation of electricity and gas markets, including energy prices</w:t>
      </w:r>
    </w:p>
    <w:p w14:paraId="1009420D" w14:textId="7ADA2682" w:rsidR="00614438" w:rsidRPr="00614438" w:rsidRDefault="00E56B10" w:rsidP="00E56B10">
      <w:pPr>
        <w:ind w:firstLine="720"/>
        <w:jc w:val="both"/>
        <w:rPr>
          <w:rFonts w:ascii="Times New Roman" w:hAnsi="Times New Roman" w:cs="Times New Roman"/>
          <w:sz w:val="24"/>
          <w:szCs w:val="24"/>
        </w:rPr>
      </w:pPr>
      <w:bookmarkStart w:id="348" w:name="_Ref113477896"/>
      <w:r>
        <w:rPr>
          <w:rFonts w:ascii="Times New Roman" w:hAnsi="Times New Roman" w:cs="Times New Roman"/>
          <w:sz w:val="24"/>
          <w:szCs w:val="24"/>
        </w:rPr>
        <w:t xml:space="preserve">In the Republic of </w:t>
      </w:r>
      <w:r w:rsidR="00614438" w:rsidRPr="00614438">
        <w:rPr>
          <w:rFonts w:ascii="Times New Roman" w:hAnsi="Times New Roman" w:cs="Times New Roman"/>
          <w:sz w:val="24"/>
          <w:szCs w:val="24"/>
        </w:rPr>
        <w:t>Serbia</w:t>
      </w:r>
      <w:r>
        <w:rPr>
          <w:rFonts w:ascii="Times New Roman" w:hAnsi="Times New Roman" w:cs="Times New Roman"/>
          <w:sz w:val="24"/>
          <w:szCs w:val="24"/>
        </w:rPr>
        <w:t>,</w:t>
      </w:r>
      <w:r w:rsidR="00614438" w:rsidRPr="00614438">
        <w:rPr>
          <w:rFonts w:ascii="Times New Roman" w:hAnsi="Times New Roman" w:cs="Times New Roman"/>
          <w:sz w:val="24"/>
          <w:szCs w:val="24"/>
        </w:rPr>
        <w:t xml:space="preserve"> the electricity day-ahead market is operated by South-Eastern European Power Exchange (SEEPEX)</w:t>
      </w:r>
      <w:r>
        <w:rPr>
          <w:rFonts w:ascii="Times New Roman" w:hAnsi="Times New Roman" w:cs="Times New Roman"/>
          <w:sz w:val="24"/>
          <w:szCs w:val="24"/>
        </w:rPr>
        <w:t>,</w:t>
      </w:r>
      <w:r w:rsidR="00614438" w:rsidRPr="00614438">
        <w:rPr>
          <w:rFonts w:ascii="Times New Roman" w:hAnsi="Times New Roman" w:cs="Times New Roman"/>
          <w:sz w:val="24"/>
          <w:szCs w:val="24"/>
        </w:rPr>
        <w:t xml:space="preserve"> which was established in 2015 on the basis of partnership between </w:t>
      </w:r>
      <w:r>
        <w:rPr>
          <w:rFonts w:ascii="Times New Roman" w:hAnsi="Times New Roman" w:cs="Times New Roman"/>
          <w:sz w:val="24"/>
          <w:szCs w:val="24"/>
        </w:rPr>
        <w:t xml:space="preserve">Joint-Stock Company “Elektromreza Srbije” </w:t>
      </w:r>
      <w:r w:rsidR="00614438" w:rsidRPr="00614438">
        <w:rPr>
          <w:rFonts w:ascii="Times New Roman" w:hAnsi="Times New Roman" w:cs="Times New Roman"/>
          <w:sz w:val="24"/>
          <w:szCs w:val="24"/>
        </w:rPr>
        <w:t xml:space="preserve">and EPEX SPOT in France as a joint stock company with the majority ownership of the Serbian side. It is licenced for the operation of organized electricity markets. In 2020, the day-ahead electricity market operated in the power exchange had 22 participants registered / which amounted three participants more than 2019. In both years of reference, an average </w:t>
      </w:r>
      <w:r>
        <w:rPr>
          <w:rFonts w:ascii="Times New Roman" w:hAnsi="Times New Roman" w:cs="Times New Roman"/>
          <w:sz w:val="24"/>
          <w:szCs w:val="24"/>
        </w:rPr>
        <w:t xml:space="preserve">of </w:t>
      </w:r>
      <w:r w:rsidR="00614438" w:rsidRPr="00614438">
        <w:rPr>
          <w:rFonts w:ascii="Times New Roman" w:hAnsi="Times New Roman" w:cs="Times New Roman"/>
          <w:sz w:val="24"/>
          <w:szCs w:val="24"/>
        </w:rPr>
        <w:t>18 participants were actively involved in the day-to-day trade activities.</w:t>
      </w:r>
    </w:p>
    <w:p w14:paraId="011EFD58" w14:textId="77777777" w:rsidR="00E7392F" w:rsidRDefault="00614438" w:rsidP="00E7392F">
      <w:pPr>
        <w:pStyle w:val="FootnoteText"/>
        <w:ind w:firstLine="720"/>
        <w:jc w:val="both"/>
        <w:rPr>
          <w:sz w:val="24"/>
          <w:szCs w:val="24"/>
        </w:rPr>
      </w:pPr>
      <w:r w:rsidRPr="00614438">
        <w:rPr>
          <w:sz w:val="24"/>
          <w:szCs w:val="24"/>
        </w:rPr>
        <w:lastRenderedPageBreak/>
        <w:t>In 2020, suppliers mainly competed and traded amongst themselves in the wholesale electricity market because non-EPS generation</w:t>
      </w:r>
      <w:r w:rsidR="00AA14F8">
        <w:rPr>
          <w:sz w:val="24"/>
          <w:szCs w:val="24"/>
        </w:rPr>
        <w:t>,</w:t>
      </w:r>
      <w:r w:rsidRPr="00614438">
        <w:rPr>
          <w:sz w:val="24"/>
          <w:szCs w:val="24"/>
        </w:rPr>
        <w:t xml:space="preserve"> which comprise existing wind parks</w:t>
      </w:r>
      <w:r w:rsidR="00AA14F8">
        <w:rPr>
          <w:sz w:val="24"/>
          <w:szCs w:val="24"/>
        </w:rPr>
        <w:t>,</w:t>
      </w:r>
      <w:r w:rsidRPr="00614438">
        <w:rPr>
          <w:sz w:val="24"/>
          <w:szCs w:val="24"/>
        </w:rPr>
        <w:t xml:space="preserve"> </w:t>
      </w:r>
      <w:r w:rsidR="00AA14F8">
        <w:rPr>
          <w:sz w:val="24"/>
          <w:szCs w:val="24"/>
        </w:rPr>
        <w:t>belongs to</w:t>
      </w:r>
      <w:r w:rsidRPr="00614438">
        <w:rPr>
          <w:sz w:val="24"/>
          <w:szCs w:val="24"/>
        </w:rPr>
        <w:t xml:space="preserve"> privileged producers </w:t>
      </w:r>
      <w:r w:rsidR="00AA14F8">
        <w:rPr>
          <w:sz w:val="24"/>
          <w:szCs w:val="24"/>
        </w:rPr>
        <w:t>which</w:t>
      </w:r>
      <w:r w:rsidRPr="00614438">
        <w:rPr>
          <w:sz w:val="24"/>
          <w:szCs w:val="24"/>
        </w:rPr>
        <w:t xml:space="preserve"> sell electricity to the guaranteed supplier at fixed feed-in tariffs. The suppliers’ activity in the open market appears very active in the field of cross-border exchange, primarily with the </w:t>
      </w:r>
      <w:r w:rsidRPr="00AA14F8">
        <w:rPr>
          <w:sz w:val="24"/>
          <w:szCs w:val="24"/>
        </w:rPr>
        <w:t>purpose of enabling transit through Serbia. This opportunity appears as the dominant choice of suppliers organising transit exchanges due to central geographic position of the power system of Serbia in the region. As per Energy Agency Annual report</w:t>
      </w:r>
      <w:r w:rsidR="00AA14F8" w:rsidRPr="00AA14F8">
        <w:rPr>
          <w:sz w:val="24"/>
          <w:szCs w:val="24"/>
        </w:rPr>
        <w:t xml:space="preserve"> </w:t>
      </w:r>
      <w:r w:rsidR="00AA14F8">
        <w:rPr>
          <w:sz w:val="24"/>
          <w:szCs w:val="24"/>
        </w:rPr>
        <w:t xml:space="preserve">( </w:t>
      </w:r>
      <w:r w:rsidR="00AA14F8" w:rsidRPr="00AA14F8">
        <w:rPr>
          <w:sz w:val="24"/>
          <w:szCs w:val="24"/>
        </w:rPr>
        <w:t xml:space="preserve">2020 Energy Agency Annual Report, Belgrade, May 2021 (website: </w:t>
      </w:r>
      <w:hyperlink r:id="rId83" w:history="1">
        <w:r w:rsidR="00AA14F8" w:rsidRPr="009C33C7">
          <w:rPr>
            <w:rStyle w:val="Hyperlink"/>
            <w:sz w:val="24"/>
            <w:szCs w:val="24"/>
          </w:rPr>
          <w:t>https://www.aers.rs/Index.asp?l=2&amp;a=53)</w:t>
        </w:r>
      </w:hyperlink>
      <w:r w:rsidR="00AA14F8">
        <w:rPr>
          <w:sz w:val="24"/>
          <w:szCs w:val="24"/>
        </w:rPr>
        <w:t>) i</w:t>
      </w:r>
      <w:r w:rsidRPr="00AA14F8">
        <w:rPr>
          <w:sz w:val="24"/>
          <w:szCs w:val="24"/>
        </w:rPr>
        <w:t>n 2020, supplier activity amounted to around 14.7 TWh. There were 57 active market players and</w:t>
      </w:r>
      <w:r w:rsidRPr="00614438">
        <w:rPr>
          <w:sz w:val="24"/>
          <w:szCs w:val="24"/>
        </w:rPr>
        <w:t xml:space="preserve"> 11 suppliers dealing with final customers supply in the open market in 2020. The electricity supply activities are mostly related to the commercial consumers. There were 64 energy entities holding supply </w:t>
      </w:r>
      <w:r w:rsidR="00AA14F8" w:rsidRPr="00614438">
        <w:rPr>
          <w:sz w:val="24"/>
          <w:szCs w:val="24"/>
        </w:rPr>
        <w:t>licenses</w:t>
      </w:r>
      <w:r w:rsidR="00E7392F">
        <w:rPr>
          <w:sz w:val="24"/>
          <w:szCs w:val="24"/>
        </w:rPr>
        <w:t>,</w:t>
      </w:r>
      <w:r w:rsidRPr="00614438">
        <w:rPr>
          <w:sz w:val="24"/>
          <w:szCs w:val="24"/>
        </w:rPr>
        <w:t xml:space="preserve"> out of which 11 were active in supplying final consumers. The dominant electricity supplier is EPS with a market share corresponding to more than 95% of the electricity sold to final consumers.</w:t>
      </w:r>
    </w:p>
    <w:p w14:paraId="4E37B40E" w14:textId="1CE9B6CB" w:rsidR="00614438" w:rsidRPr="00614438" w:rsidRDefault="00FA29EF" w:rsidP="00E7392F">
      <w:pPr>
        <w:pStyle w:val="FootnoteText"/>
        <w:ind w:firstLine="720"/>
        <w:jc w:val="both"/>
        <w:rPr>
          <w:sz w:val="24"/>
          <w:szCs w:val="24"/>
        </w:rPr>
      </w:pPr>
      <w:r>
        <w:fldChar w:fldCharType="begin"/>
      </w:r>
      <w:r>
        <w:instrText xml:space="preserve"> REF _Ref113633108 \h  \* MERGEFORMAT </w:instrText>
      </w:r>
      <w:r>
        <w:fldChar w:fldCharType="separate"/>
      </w:r>
      <w:r w:rsidR="00614438" w:rsidRPr="00614438">
        <w:rPr>
          <w:sz w:val="24"/>
          <w:szCs w:val="24"/>
        </w:rPr>
        <w:t>Figure 4.56</w:t>
      </w:r>
      <w:r>
        <w:fldChar w:fldCharType="end"/>
      </w:r>
      <w:r w:rsidR="00614438" w:rsidRPr="00614438">
        <w:rPr>
          <w:sz w:val="24"/>
          <w:szCs w:val="24"/>
        </w:rPr>
        <w:t xml:space="preserve"> presents average retail prices in the competitive segment of the retail electricity market, net of VAT and duties. Households and small consumers are entitled to guaranteed supply which implies supply of electricity at regulated prices. Evolution of electricity prices for households is presented in </w:t>
      </w:r>
      <w:r>
        <w:fldChar w:fldCharType="begin"/>
      </w:r>
      <w:r>
        <w:instrText xml:space="preserve"> REF _Ref153545977 \h  \* MERGEFORMAT </w:instrText>
      </w:r>
      <w:r>
        <w:fldChar w:fldCharType="separate"/>
      </w:r>
      <w:r w:rsidR="00614438" w:rsidRPr="00614438">
        <w:rPr>
          <w:sz w:val="24"/>
          <w:szCs w:val="24"/>
        </w:rPr>
        <w:t>Figure 4.57</w:t>
      </w:r>
      <w:r>
        <w:fldChar w:fldCharType="end"/>
      </w:r>
      <w:r w:rsidR="00614438" w:rsidRPr="00614438">
        <w:rPr>
          <w:sz w:val="24"/>
          <w:szCs w:val="24"/>
        </w:rPr>
        <w:t>.</w:t>
      </w:r>
    </w:p>
    <w:p w14:paraId="4A03624C" w14:textId="77777777" w:rsidR="00614438" w:rsidRPr="00614438" w:rsidRDefault="00614438" w:rsidP="00614438">
      <w:pPr>
        <w:jc w:val="both"/>
        <w:rPr>
          <w:rFonts w:ascii="Times New Roman" w:hAnsi="Times New Roman" w:cs="Times New Roman"/>
          <w:sz w:val="24"/>
          <w:szCs w:val="24"/>
        </w:rPr>
      </w:pPr>
      <w:bookmarkStart w:id="349" w:name="_Ref113633108"/>
      <w:bookmarkStart w:id="350" w:name="_Toc118992326"/>
      <w:bookmarkStart w:id="351" w:name="_Toc154575263"/>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56</w:t>
      </w:r>
      <w:r w:rsidR="00C83251" w:rsidRPr="00614438">
        <w:rPr>
          <w:rFonts w:ascii="Times New Roman" w:hAnsi="Times New Roman" w:cs="Times New Roman"/>
          <w:sz w:val="24"/>
          <w:szCs w:val="24"/>
        </w:rPr>
        <w:fldChar w:fldCharType="end"/>
      </w:r>
      <w:bookmarkEnd w:id="348"/>
      <w:bookmarkEnd w:id="349"/>
      <w:r w:rsidRPr="00614438">
        <w:rPr>
          <w:rFonts w:ascii="Times New Roman" w:hAnsi="Times New Roman" w:cs="Times New Roman"/>
          <w:sz w:val="24"/>
          <w:szCs w:val="24"/>
        </w:rPr>
        <w:t>: Average annual retail prices in the competitive electricity, excluding VAT and duties free (source: AERS)</w:t>
      </w:r>
      <w:bookmarkEnd w:id="350"/>
      <w:bookmarkEnd w:id="351"/>
    </w:p>
    <w:p w14:paraId="7EDEC829" w14:textId="77777777" w:rsidR="00614438" w:rsidRPr="00614438" w:rsidRDefault="00614438" w:rsidP="00614438">
      <w:pPr>
        <w:jc w:val="both"/>
        <w:rPr>
          <w:rFonts w:ascii="Times New Roman" w:hAnsi="Times New Roman" w:cs="Times New Roman"/>
          <w:sz w:val="24"/>
          <w:szCs w:val="24"/>
        </w:rPr>
      </w:pPr>
      <w:bookmarkStart w:id="352" w:name="_heading=h.2eclud0"/>
      <w:bookmarkEnd w:id="352"/>
      <w:r w:rsidRPr="00013008">
        <w:rPr>
          <w:rFonts w:ascii="Times New Roman" w:hAnsi="Times New Roman" w:cs="Times New Roman"/>
          <w:noProof/>
          <w:sz w:val="24"/>
          <w:szCs w:val="24"/>
          <w:lang w:val="en-GB" w:eastAsia="en-GB"/>
        </w:rPr>
        <w:drawing>
          <wp:inline distT="0" distB="0" distL="0" distR="0" wp14:anchorId="3015A1F8" wp14:editId="48F3819B">
            <wp:extent cx="5410200" cy="2886075"/>
            <wp:effectExtent l="0" t="0" r="0" b="9525"/>
            <wp:docPr id="105490140"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10200" cy="2886075"/>
                    </a:xfrm>
                    <a:prstGeom prst="rect">
                      <a:avLst/>
                    </a:prstGeom>
                    <a:noFill/>
                    <a:ln>
                      <a:noFill/>
                    </a:ln>
                  </pic:spPr>
                </pic:pic>
              </a:graphicData>
            </a:graphic>
          </wp:inline>
        </w:drawing>
      </w:r>
    </w:p>
    <w:p w14:paraId="43B1C2D5" w14:textId="77777777" w:rsidR="00614438" w:rsidRPr="00614438" w:rsidRDefault="00614438" w:rsidP="00614438">
      <w:pPr>
        <w:jc w:val="both"/>
        <w:rPr>
          <w:rFonts w:ascii="Times New Roman" w:hAnsi="Times New Roman" w:cs="Times New Roman"/>
          <w:sz w:val="24"/>
          <w:szCs w:val="24"/>
        </w:rPr>
      </w:pPr>
      <w:bookmarkStart w:id="353" w:name="_Ref153545977"/>
      <w:bookmarkStart w:id="354" w:name="_Toc154575264"/>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57</w:t>
      </w:r>
      <w:r w:rsidR="00C83251" w:rsidRPr="00614438">
        <w:rPr>
          <w:rFonts w:ascii="Times New Roman" w:hAnsi="Times New Roman" w:cs="Times New Roman"/>
          <w:sz w:val="24"/>
          <w:szCs w:val="24"/>
        </w:rPr>
        <w:fldChar w:fldCharType="end"/>
      </w:r>
      <w:bookmarkEnd w:id="353"/>
      <w:r w:rsidRPr="00614438">
        <w:rPr>
          <w:rFonts w:ascii="Times New Roman" w:hAnsi="Times New Roman" w:cs="Times New Roman"/>
          <w:sz w:val="24"/>
          <w:szCs w:val="24"/>
        </w:rPr>
        <w:t>: Average annual retail prices in the regulated market, excluding VAT and duties free (source: AERS)</w:t>
      </w:r>
      <w:bookmarkEnd w:id="354"/>
    </w:p>
    <w:p w14:paraId="158C3BA0"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lastRenderedPageBreak/>
        <w:drawing>
          <wp:inline distT="0" distB="0" distL="0" distR="0" wp14:anchorId="40C00155" wp14:editId="20FFF48B">
            <wp:extent cx="5410200" cy="2886075"/>
            <wp:effectExtent l="0" t="0" r="0" b="9525"/>
            <wp:docPr id="372600141" name="Chart 282">
              <a:extLst xmlns:a="http://schemas.openxmlformats.org/drawingml/2006/main">
                <a:ext uri="{FF2B5EF4-FFF2-40B4-BE49-F238E27FC236}">
                  <a16:creationId xmlns:a16="http://schemas.microsoft.com/office/drawing/2014/main" id="{07430604-4E61-4008-BFE9-346F6BAC4B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3FD81F39" w14:textId="23B37363" w:rsidR="00614438" w:rsidRPr="00614438" w:rsidRDefault="00614438" w:rsidP="00E7392F">
      <w:pPr>
        <w:ind w:firstLine="720"/>
        <w:jc w:val="both"/>
        <w:rPr>
          <w:rFonts w:ascii="Times New Roman" w:hAnsi="Times New Roman" w:cs="Times New Roman"/>
          <w:sz w:val="24"/>
          <w:szCs w:val="24"/>
        </w:rPr>
      </w:pPr>
      <w:r w:rsidRPr="00614438">
        <w:rPr>
          <w:rFonts w:ascii="Times New Roman" w:hAnsi="Times New Roman" w:cs="Times New Roman"/>
          <w:sz w:val="24"/>
          <w:szCs w:val="24"/>
        </w:rPr>
        <w:t xml:space="preserve">In the natural gas wholesale market, there are three </w:t>
      </w:r>
      <w:r w:rsidR="00E7392F" w:rsidRPr="00614438">
        <w:rPr>
          <w:rFonts w:ascii="Times New Roman" w:hAnsi="Times New Roman" w:cs="Times New Roman"/>
          <w:sz w:val="24"/>
          <w:szCs w:val="24"/>
        </w:rPr>
        <w:t>licensed</w:t>
      </w:r>
      <w:r w:rsidRPr="00614438">
        <w:rPr>
          <w:rFonts w:ascii="Times New Roman" w:hAnsi="Times New Roman" w:cs="Times New Roman"/>
          <w:sz w:val="24"/>
          <w:szCs w:val="24"/>
        </w:rPr>
        <w:t xml:space="preserve"> natural gas suppliers and one producer active in 2020, while trading is carried out through bilateral contracts. Until a competitive natural gas market is established, the Government of the Republic of Serbia appoints the supplier of public suppliers. There were 26 active suppliers in the open market who dealt with retail in 2020</w:t>
      </w:r>
      <w:r w:rsidR="00E7392F">
        <w:rPr>
          <w:rFonts w:ascii="Times New Roman" w:hAnsi="Times New Roman" w:cs="Times New Roman"/>
          <w:sz w:val="24"/>
          <w:szCs w:val="24"/>
        </w:rPr>
        <w:t>,</w:t>
      </w:r>
      <w:r w:rsidRPr="00614438">
        <w:rPr>
          <w:rFonts w:ascii="Times New Roman" w:hAnsi="Times New Roman" w:cs="Times New Roman"/>
          <w:sz w:val="24"/>
          <w:szCs w:val="24"/>
        </w:rPr>
        <w:t xml:space="preserve"> while 31 public suppliers </w:t>
      </w:r>
      <w:r w:rsidR="00E7392F">
        <w:rPr>
          <w:rFonts w:ascii="Times New Roman" w:hAnsi="Times New Roman" w:cs="Times New Roman"/>
          <w:sz w:val="24"/>
          <w:szCs w:val="24"/>
        </w:rPr>
        <w:t>also</w:t>
      </w:r>
      <w:r w:rsidRPr="00614438">
        <w:rPr>
          <w:rFonts w:ascii="Times New Roman" w:hAnsi="Times New Roman" w:cs="Times New Roman"/>
          <w:sz w:val="24"/>
          <w:szCs w:val="24"/>
        </w:rPr>
        <w:t xml:space="preserve"> acted as natural gas distributers. Historical data for natural gas public supply price and average weighted retail price in the regulated market are presented below.</w:t>
      </w:r>
    </w:p>
    <w:p w14:paraId="6132AD17" w14:textId="77777777" w:rsidR="00614438" w:rsidRPr="00614438" w:rsidRDefault="00614438" w:rsidP="00614438">
      <w:pPr>
        <w:jc w:val="both"/>
        <w:rPr>
          <w:rFonts w:ascii="Times New Roman" w:hAnsi="Times New Roman" w:cs="Times New Roman"/>
          <w:sz w:val="24"/>
          <w:szCs w:val="24"/>
        </w:rPr>
      </w:pPr>
      <w:bookmarkStart w:id="355" w:name="_Toc118992328"/>
      <w:bookmarkStart w:id="356" w:name="_Toc154575265"/>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58</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Average approved natural gas public supply price in RSD/m</w:t>
      </w:r>
      <w:r w:rsidRPr="00614438">
        <w:rPr>
          <w:rFonts w:ascii="Times New Roman" w:hAnsi="Times New Roman" w:cs="Times New Roman"/>
          <w:sz w:val="24"/>
          <w:szCs w:val="24"/>
          <w:vertAlign w:val="superscript"/>
        </w:rPr>
        <w:t>3</w:t>
      </w:r>
      <w:r w:rsidRPr="00614438">
        <w:rPr>
          <w:rFonts w:ascii="Times New Roman" w:hAnsi="Times New Roman" w:cs="Times New Roman"/>
          <w:sz w:val="24"/>
          <w:szCs w:val="24"/>
        </w:rPr>
        <w:t xml:space="preserve"> (source: AERS)</w:t>
      </w:r>
      <w:bookmarkEnd w:id="355"/>
      <w:bookmarkEnd w:id="356"/>
    </w:p>
    <w:p w14:paraId="70272DF5" w14:textId="77777777" w:rsidR="00614438" w:rsidRPr="00614438" w:rsidRDefault="00614438" w:rsidP="00614438">
      <w:pPr>
        <w:jc w:val="both"/>
        <w:rPr>
          <w:rFonts w:ascii="Times New Roman" w:hAnsi="Times New Roman" w:cs="Times New Roman"/>
          <w:sz w:val="24"/>
          <w:szCs w:val="24"/>
          <w:lang w:val="en-GB"/>
        </w:rPr>
      </w:pPr>
      <w:bookmarkStart w:id="357" w:name="_heading=h.3dhjn8m"/>
      <w:bookmarkEnd w:id="357"/>
      <w:r w:rsidRPr="00013008">
        <w:rPr>
          <w:rFonts w:ascii="Times New Roman" w:hAnsi="Times New Roman" w:cs="Times New Roman"/>
          <w:noProof/>
          <w:sz w:val="24"/>
          <w:szCs w:val="24"/>
          <w:lang w:val="en-GB" w:eastAsia="en-GB"/>
        </w:rPr>
        <w:drawing>
          <wp:inline distT="0" distB="0" distL="0" distR="0" wp14:anchorId="16554A19" wp14:editId="61084D23">
            <wp:extent cx="5410200" cy="2886075"/>
            <wp:effectExtent l="0" t="0" r="0" b="9525"/>
            <wp:docPr id="474457899"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10200" cy="2886075"/>
                    </a:xfrm>
                    <a:prstGeom prst="rect">
                      <a:avLst/>
                    </a:prstGeom>
                    <a:noFill/>
                    <a:ln>
                      <a:noFill/>
                    </a:ln>
                  </pic:spPr>
                </pic:pic>
              </a:graphicData>
            </a:graphic>
          </wp:inline>
        </w:drawing>
      </w:r>
      <w:bookmarkStart w:id="358" w:name="_Toc118992329"/>
    </w:p>
    <w:p w14:paraId="2A1B11B5" w14:textId="365E6F03" w:rsidR="00614438" w:rsidRPr="00614438" w:rsidRDefault="00614438" w:rsidP="00614438">
      <w:pPr>
        <w:jc w:val="both"/>
        <w:rPr>
          <w:rFonts w:ascii="Times New Roman" w:hAnsi="Times New Roman" w:cs="Times New Roman"/>
          <w:sz w:val="24"/>
          <w:szCs w:val="24"/>
        </w:rPr>
      </w:pPr>
      <w:bookmarkStart w:id="359" w:name="_Toc154575266"/>
      <w:bookmarkEnd w:id="358"/>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59</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Average weighted retail price in the regulated market in RSD/m3</w:t>
      </w:r>
      <w:r w:rsidR="00E7392F">
        <w:rPr>
          <w:rFonts w:ascii="Times New Roman" w:hAnsi="Times New Roman" w:cs="Times New Roman"/>
          <w:sz w:val="24"/>
          <w:szCs w:val="24"/>
        </w:rPr>
        <w:t xml:space="preserve"> </w:t>
      </w:r>
      <w:r w:rsidRPr="00614438">
        <w:rPr>
          <w:rFonts w:ascii="Times New Roman" w:hAnsi="Times New Roman" w:cs="Times New Roman"/>
          <w:sz w:val="24"/>
          <w:szCs w:val="24"/>
        </w:rPr>
        <w:t>(source: AERS)</w:t>
      </w:r>
      <w:bookmarkEnd w:id="359"/>
    </w:p>
    <w:p w14:paraId="6F9FE889" w14:textId="77777777" w:rsidR="00E7392F" w:rsidRDefault="00614438" w:rsidP="00E7392F">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lastRenderedPageBreak/>
        <w:drawing>
          <wp:inline distT="0" distB="0" distL="0" distR="0" wp14:anchorId="1684306D" wp14:editId="684290F9">
            <wp:extent cx="5429250" cy="2533650"/>
            <wp:effectExtent l="0" t="0" r="0" b="0"/>
            <wp:docPr id="1407631794"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29250" cy="2533650"/>
                    </a:xfrm>
                    <a:prstGeom prst="rect">
                      <a:avLst/>
                    </a:prstGeom>
                    <a:noFill/>
                    <a:ln>
                      <a:noFill/>
                    </a:ln>
                  </pic:spPr>
                </pic:pic>
              </a:graphicData>
            </a:graphic>
          </wp:inline>
        </w:drawing>
      </w:r>
    </w:p>
    <w:p w14:paraId="36880B86" w14:textId="77777777" w:rsidR="00E7392F" w:rsidRDefault="00E7392F" w:rsidP="00E7392F">
      <w:pPr>
        <w:jc w:val="both"/>
        <w:rPr>
          <w:rFonts w:ascii="Times New Roman" w:hAnsi="Times New Roman" w:cs="Times New Roman"/>
          <w:sz w:val="24"/>
          <w:szCs w:val="24"/>
          <w:lang w:val="en-GB"/>
        </w:rPr>
      </w:pPr>
    </w:p>
    <w:p w14:paraId="1E198D2C" w14:textId="2F3F0741" w:rsidR="00614438" w:rsidRPr="00614438" w:rsidRDefault="00E7392F" w:rsidP="00E7392F">
      <w:pPr>
        <w:ind w:left="720" w:firstLine="720"/>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4.5.3.2 </w:t>
      </w:r>
      <w:r w:rsidR="00614438" w:rsidRPr="00614438">
        <w:rPr>
          <w:rFonts w:ascii="Times New Roman" w:hAnsi="Times New Roman" w:cs="Times New Roman"/>
          <w:sz w:val="24"/>
          <w:szCs w:val="24"/>
          <w:lang w:val="en-GB"/>
        </w:rPr>
        <w:t>Projections of development with existing policies and measures until 2040 (including for the year 2030)</w:t>
      </w:r>
    </w:p>
    <w:p w14:paraId="5549A2BB" w14:textId="200622C1" w:rsidR="00614438" w:rsidRPr="00614438" w:rsidRDefault="00614438" w:rsidP="00E7392F">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main goal of the SEEPEX development in the coming years relates to market coupling of the day-ahead and intraday markets with organised markets in the neighbouring countries. According to announced plans the following projects should be completed by 2025:</w:t>
      </w:r>
    </w:p>
    <w:p w14:paraId="04F4C04C" w14:textId="0F05BCDE" w:rsidR="00614438" w:rsidRPr="00E7392F" w:rsidRDefault="00614438" w:rsidP="00485CA7">
      <w:pPr>
        <w:pStyle w:val="ListParagraph"/>
        <w:numPr>
          <w:ilvl w:val="0"/>
          <w:numId w:val="261"/>
        </w:numPr>
        <w:jc w:val="both"/>
        <w:rPr>
          <w:rFonts w:ascii="Times New Roman" w:hAnsi="Times New Roman" w:cs="Times New Roman"/>
          <w:sz w:val="24"/>
          <w:szCs w:val="24"/>
          <w:lang w:val="en-GB"/>
        </w:rPr>
      </w:pPr>
      <w:r w:rsidRPr="00E7392F">
        <w:rPr>
          <w:rFonts w:ascii="Times New Roman" w:hAnsi="Times New Roman" w:cs="Times New Roman"/>
          <w:sz w:val="24"/>
          <w:szCs w:val="24"/>
        </w:rPr>
        <w:t xml:space="preserve">Day ahead market coupling between </w:t>
      </w:r>
      <w:r w:rsidR="00E7392F">
        <w:rPr>
          <w:rFonts w:ascii="Times New Roman" w:hAnsi="Times New Roman" w:cs="Times New Roman"/>
          <w:sz w:val="24"/>
          <w:szCs w:val="24"/>
        </w:rPr>
        <w:t xml:space="preserve">the Republic of </w:t>
      </w:r>
      <w:r w:rsidRPr="00E7392F">
        <w:rPr>
          <w:rFonts w:ascii="Times New Roman" w:hAnsi="Times New Roman" w:cs="Times New Roman"/>
          <w:sz w:val="24"/>
          <w:szCs w:val="24"/>
        </w:rPr>
        <w:t>Serbia and the markets of Hungary and Romania;</w:t>
      </w:r>
    </w:p>
    <w:p w14:paraId="3C81C75A" w14:textId="689C83DB" w:rsidR="00614438" w:rsidRPr="00E7392F" w:rsidRDefault="00614438" w:rsidP="00485CA7">
      <w:pPr>
        <w:pStyle w:val="ListParagraph"/>
        <w:numPr>
          <w:ilvl w:val="0"/>
          <w:numId w:val="261"/>
        </w:numPr>
        <w:jc w:val="both"/>
        <w:rPr>
          <w:rFonts w:ascii="Times New Roman" w:hAnsi="Times New Roman" w:cs="Times New Roman"/>
          <w:sz w:val="24"/>
          <w:szCs w:val="24"/>
        </w:rPr>
      </w:pPr>
      <w:r w:rsidRPr="00E7392F">
        <w:rPr>
          <w:rFonts w:ascii="Times New Roman" w:hAnsi="Times New Roman" w:cs="Times New Roman"/>
          <w:sz w:val="24"/>
          <w:szCs w:val="24"/>
        </w:rPr>
        <w:t xml:space="preserve">Day ahead market coupling between </w:t>
      </w:r>
      <w:r w:rsidR="00E7392F">
        <w:rPr>
          <w:rFonts w:ascii="Times New Roman" w:hAnsi="Times New Roman" w:cs="Times New Roman"/>
          <w:sz w:val="24"/>
          <w:szCs w:val="24"/>
        </w:rPr>
        <w:t xml:space="preserve">the Republic of </w:t>
      </w:r>
      <w:r w:rsidRPr="00E7392F">
        <w:rPr>
          <w:rFonts w:ascii="Times New Roman" w:hAnsi="Times New Roman" w:cs="Times New Roman"/>
          <w:sz w:val="24"/>
          <w:szCs w:val="24"/>
        </w:rPr>
        <w:t>Serbia with the markets of Croatia and Bulgaria;</w:t>
      </w:r>
    </w:p>
    <w:p w14:paraId="59C993D2" w14:textId="5A5A0537" w:rsidR="00614438" w:rsidRPr="00E7392F" w:rsidRDefault="00614438" w:rsidP="00485CA7">
      <w:pPr>
        <w:pStyle w:val="ListParagraph"/>
        <w:numPr>
          <w:ilvl w:val="0"/>
          <w:numId w:val="261"/>
        </w:numPr>
        <w:jc w:val="both"/>
        <w:rPr>
          <w:rFonts w:ascii="Times New Roman" w:hAnsi="Times New Roman" w:cs="Times New Roman"/>
          <w:sz w:val="24"/>
          <w:szCs w:val="24"/>
        </w:rPr>
      </w:pPr>
      <w:r w:rsidRPr="00E7392F">
        <w:rPr>
          <w:rFonts w:ascii="Times New Roman" w:hAnsi="Times New Roman" w:cs="Times New Roman"/>
          <w:sz w:val="24"/>
          <w:szCs w:val="24"/>
        </w:rPr>
        <w:t xml:space="preserve">Day ahead market coupling between </w:t>
      </w:r>
      <w:r w:rsidR="00E7392F">
        <w:rPr>
          <w:rFonts w:ascii="Times New Roman" w:hAnsi="Times New Roman" w:cs="Times New Roman"/>
          <w:sz w:val="24"/>
          <w:szCs w:val="24"/>
        </w:rPr>
        <w:t xml:space="preserve">the Republic of </w:t>
      </w:r>
      <w:r w:rsidRPr="00E7392F">
        <w:rPr>
          <w:rFonts w:ascii="Times New Roman" w:hAnsi="Times New Roman" w:cs="Times New Roman"/>
          <w:sz w:val="24"/>
          <w:szCs w:val="24"/>
        </w:rPr>
        <w:t>Serbia with the Montenegrin market (and, implicitly, with the Italian market).</w:t>
      </w:r>
    </w:p>
    <w:p w14:paraId="2538CE1C" w14:textId="77777777" w:rsidR="00614438" w:rsidRPr="00614438" w:rsidRDefault="00614438" w:rsidP="00E7392F">
      <w:pPr>
        <w:ind w:firstLine="360"/>
        <w:jc w:val="both"/>
        <w:rPr>
          <w:rFonts w:ascii="Times New Roman" w:hAnsi="Times New Roman" w:cs="Times New Roman"/>
          <w:sz w:val="24"/>
          <w:szCs w:val="24"/>
        </w:rPr>
      </w:pPr>
      <w:bookmarkStart w:id="360" w:name="_Ref113481288"/>
      <w:r w:rsidRPr="00614438">
        <w:rPr>
          <w:rFonts w:ascii="Times New Roman" w:hAnsi="Times New Roman" w:cs="Times New Roman"/>
          <w:sz w:val="24"/>
          <w:szCs w:val="24"/>
        </w:rPr>
        <w:t xml:space="preserve">The estimation of evolution of the average electricity supply cost for the scenario with existing measures based on the expected development is shown in </w:t>
      </w:r>
      <w:r w:rsidR="00FA29EF">
        <w:fldChar w:fldCharType="begin"/>
      </w:r>
      <w:r w:rsidR="00FA29EF">
        <w:instrText xml:space="preserve"> REF _Ref153465953 \h  \* MERGEFORMAT </w:instrText>
      </w:r>
      <w:r w:rsidR="00FA29EF">
        <w:fldChar w:fldCharType="separate"/>
      </w:r>
      <w:r w:rsidRPr="00614438">
        <w:rPr>
          <w:rFonts w:ascii="Times New Roman" w:hAnsi="Times New Roman" w:cs="Times New Roman"/>
          <w:sz w:val="24"/>
          <w:szCs w:val="24"/>
        </w:rPr>
        <w:t>Figure 4.60</w:t>
      </w:r>
      <w:r w:rsidR="00FA29EF">
        <w:fldChar w:fldCharType="end"/>
      </w:r>
      <w:r w:rsidRPr="00614438">
        <w:rPr>
          <w:rFonts w:ascii="Times New Roman" w:hAnsi="Times New Roman" w:cs="Times New Roman"/>
          <w:sz w:val="24"/>
          <w:szCs w:val="24"/>
        </w:rPr>
        <w:t>. The estimation of these costs involved an analysis of the foreseeable investments pertinent to the construction of new power plants, as well as projections and assumptions on the fuel costs and other operating costs of all power plants. The estimate does not include the annuities of plants that are already in operation and does not include any carbon price, since this is not considered in the WEM analysis.</w:t>
      </w:r>
    </w:p>
    <w:p w14:paraId="0F47D474" w14:textId="270DEAFE" w:rsidR="00614438" w:rsidRPr="00614438" w:rsidRDefault="00614438" w:rsidP="00614438">
      <w:pPr>
        <w:jc w:val="both"/>
        <w:rPr>
          <w:rFonts w:ascii="Times New Roman" w:hAnsi="Times New Roman" w:cs="Times New Roman"/>
          <w:sz w:val="24"/>
          <w:szCs w:val="24"/>
        </w:rPr>
      </w:pPr>
      <w:bookmarkStart w:id="361" w:name="_Ref153465953"/>
      <w:bookmarkStart w:id="362" w:name="_Toc154575267"/>
      <w:bookmarkEnd w:id="360"/>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60</w:t>
      </w:r>
      <w:r w:rsidR="00C83251" w:rsidRPr="00614438">
        <w:rPr>
          <w:rFonts w:ascii="Times New Roman" w:hAnsi="Times New Roman" w:cs="Times New Roman"/>
          <w:sz w:val="24"/>
          <w:szCs w:val="24"/>
        </w:rPr>
        <w:fldChar w:fldCharType="end"/>
      </w:r>
      <w:bookmarkEnd w:id="361"/>
      <w:r w:rsidRPr="00614438">
        <w:rPr>
          <w:rFonts w:ascii="Times New Roman" w:hAnsi="Times New Roman" w:cs="Times New Roman"/>
          <w:sz w:val="24"/>
          <w:szCs w:val="24"/>
        </w:rPr>
        <w:t xml:space="preserve">: Estimated average electricity supply cost in the </w:t>
      </w:r>
      <w:r w:rsidR="005C1358" w:rsidRPr="00614438">
        <w:rPr>
          <w:rFonts w:ascii="Times New Roman" w:hAnsi="Times New Roman" w:cs="Times New Roman"/>
          <w:sz w:val="24"/>
          <w:szCs w:val="24"/>
        </w:rPr>
        <w:t xml:space="preserve">WEM </w:t>
      </w:r>
      <w:r w:rsidRPr="00614438">
        <w:rPr>
          <w:rFonts w:ascii="Times New Roman" w:hAnsi="Times New Roman" w:cs="Times New Roman"/>
          <w:sz w:val="24"/>
          <w:szCs w:val="24"/>
        </w:rPr>
        <w:t xml:space="preserve">scenario </w:t>
      </w:r>
      <w:bookmarkEnd w:id="362"/>
    </w:p>
    <w:p w14:paraId="51AE162B"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lastRenderedPageBreak/>
        <w:drawing>
          <wp:inline distT="0" distB="0" distL="0" distR="0" wp14:anchorId="5CC09651" wp14:editId="635396E9">
            <wp:extent cx="5410200" cy="2886075"/>
            <wp:effectExtent l="0" t="0" r="0" b="9525"/>
            <wp:docPr id="647258987"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75184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10200" cy="2886075"/>
                    </a:xfrm>
                    <a:prstGeom prst="rect">
                      <a:avLst/>
                    </a:prstGeom>
                    <a:noFill/>
                    <a:ln>
                      <a:noFill/>
                    </a:ln>
                  </pic:spPr>
                </pic:pic>
              </a:graphicData>
            </a:graphic>
          </wp:inline>
        </w:drawing>
      </w:r>
    </w:p>
    <w:p w14:paraId="1E955A06" w14:textId="53B7BB1D" w:rsidR="00614438" w:rsidRPr="00614438" w:rsidRDefault="00614438" w:rsidP="005C1358">
      <w:pPr>
        <w:ind w:firstLine="720"/>
        <w:jc w:val="both"/>
        <w:rPr>
          <w:rFonts w:ascii="Times New Roman" w:hAnsi="Times New Roman" w:cs="Times New Roman"/>
          <w:sz w:val="24"/>
          <w:szCs w:val="24"/>
        </w:rPr>
      </w:pPr>
      <w:r w:rsidRPr="00614438">
        <w:rPr>
          <w:rFonts w:ascii="Times New Roman" w:hAnsi="Times New Roman" w:cs="Times New Roman"/>
          <w:sz w:val="24"/>
          <w:szCs w:val="24"/>
        </w:rPr>
        <w:t>Natural gas sector in Serbia is expected to undergo a reform of the wholesale market with</w:t>
      </w:r>
      <w:r w:rsidR="005C1358">
        <w:rPr>
          <w:rFonts w:ascii="Times New Roman" w:hAnsi="Times New Roman" w:cs="Times New Roman"/>
          <w:sz w:val="24"/>
          <w:szCs w:val="24"/>
        </w:rPr>
        <w:t xml:space="preserve"> the</w:t>
      </w:r>
      <w:r w:rsidRPr="00614438">
        <w:rPr>
          <w:rFonts w:ascii="Times New Roman" w:hAnsi="Times New Roman" w:cs="Times New Roman"/>
          <w:sz w:val="24"/>
          <w:szCs w:val="24"/>
        </w:rPr>
        <w:t xml:space="preserve"> ai</w:t>
      </w:r>
      <w:r w:rsidR="005C1358">
        <w:rPr>
          <w:rFonts w:ascii="Times New Roman" w:hAnsi="Times New Roman" w:cs="Times New Roman"/>
          <w:sz w:val="24"/>
          <w:szCs w:val="24"/>
        </w:rPr>
        <w:t>m</w:t>
      </w:r>
      <w:r w:rsidRPr="00614438">
        <w:rPr>
          <w:rFonts w:ascii="Times New Roman" w:hAnsi="Times New Roman" w:cs="Times New Roman"/>
          <w:sz w:val="24"/>
          <w:szCs w:val="24"/>
        </w:rPr>
        <w:t xml:space="preserve"> to foster competition, establish a natural gas exchange and unbundle the supply from distribution activities.</w:t>
      </w:r>
    </w:p>
    <w:p w14:paraId="62AB48F5" w14:textId="3B99F1AF" w:rsidR="00614438" w:rsidRPr="00614438" w:rsidRDefault="005C1358" w:rsidP="005C1358">
      <w:pPr>
        <w:ind w:firstLine="720"/>
        <w:jc w:val="both"/>
        <w:rPr>
          <w:rFonts w:ascii="Times New Roman" w:hAnsi="Times New Roman" w:cs="Times New Roman"/>
          <w:sz w:val="24"/>
          <w:szCs w:val="24"/>
        </w:rPr>
      </w:pPr>
      <w:r>
        <w:rPr>
          <w:rFonts w:ascii="Times New Roman" w:hAnsi="Times New Roman" w:cs="Times New Roman"/>
          <w:sz w:val="24"/>
          <w:szCs w:val="24"/>
        </w:rPr>
        <w:t>With</w:t>
      </w:r>
      <w:r w:rsidR="00614438" w:rsidRPr="00614438">
        <w:rPr>
          <w:rFonts w:ascii="Times New Roman" w:hAnsi="Times New Roman" w:cs="Times New Roman"/>
          <w:sz w:val="24"/>
          <w:szCs w:val="24"/>
        </w:rPr>
        <w:t xml:space="preserve"> re</w:t>
      </w:r>
      <w:r>
        <w:rPr>
          <w:rFonts w:ascii="Times New Roman" w:hAnsi="Times New Roman" w:cs="Times New Roman"/>
          <w:sz w:val="24"/>
          <w:szCs w:val="24"/>
        </w:rPr>
        <w:t>gard</w:t>
      </w:r>
      <w:r w:rsidR="00614438" w:rsidRPr="00614438">
        <w:rPr>
          <w:rFonts w:ascii="Times New Roman" w:hAnsi="Times New Roman" w:cs="Times New Roman"/>
          <w:sz w:val="24"/>
          <w:szCs w:val="24"/>
        </w:rPr>
        <w:t xml:space="preserve"> to natural gas price development projections, the average annual import prices are shown in the following figure. The projections of international gas prices </w:t>
      </w:r>
      <w:r>
        <w:rPr>
          <w:rFonts w:ascii="Times New Roman" w:hAnsi="Times New Roman" w:cs="Times New Roman"/>
          <w:sz w:val="24"/>
          <w:szCs w:val="24"/>
        </w:rPr>
        <w:t xml:space="preserve">are in accordance with </w:t>
      </w:r>
      <w:r w:rsidR="00614438" w:rsidRPr="00614438">
        <w:rPr>
          <w:rFonts w:ascii="Times New Roman" w:hAnsi="Times New Roman" w:cs="Times New Roman"/>
          <w:sz w:val="24"/>
          <w:szCs w:val="24"/>
        </w:rPr>
        <w:t xml:space="preserve"> the “Recommended parameters for reporting on GHG projections in 2023” by EC DG Climate Action</w:t>
      </w:r>
      <w:r>
        <w:rPr>
          <w:rFonts w:ascii="Times New Roman" w:hAnsi="Times New Roman" w:cs="Times New Roman"/>
          <w:sz w:val="24"/>
          <w:szCs w:val="24"/>
        </w:rPr>
        <w:t>,</w:t>
      </w:r>
      <w:r w:rsidR="00614438" w:rsidRPr="00614438">
        <w:rPr>
          <w:rFonts w:ascii="Times New Roman" w:hAnsi="Times New Roman" w:cs="Times New Roman"/>
          <w:sz w:val="24"/>
          <w:szCs w:val="24"/>
        </w:rPr>
        <w:t xml:space="preserve"> which was provided by the EC in order to support Member States and other bodies (e.g. the EnC Secretariat) to revise their INECPs.</w:t>
      </w:r>
    </w:p>
    <w:p w14:paraId="601AC25B" w14:textId="33D84D9B" w:rsidR="00614438" w:rsidRPr="00614438" w:rsidRDefault="00614438" w:rsidP="00614438">
      <w:pPr>
        <w:jc w:val="both"/>
        <w:rPr>
          <w:rFonts w:ascii="Times New Roman" w:hAnsi="Times New Roman" w:cs="Times New Roman"/>
          <w:sz w:val="24"/>
          <w:szCs w:val="24"/>
        </w:rPr>
      </w:pPr>
      <w:bookmarkStart w:id="363" w:name="_Toc118992331"/>
      <w:bookmarkStart w:id="364" w:name="_Toc154575268"/>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61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Natural gas average annual import prices</w:t>
      </w:r>
      <w:bookmarkEnd w:id="363"/>
      <w:r w:rsidRPr="00614438">
        <w:rPr>
          <w:rFonts w:ascii="Times New Roman" w:hAnsi="Times New Roman" w:cs="Times New Roman"/>
          <w:sz w:val="24"/>
          <w:szCs w:val="24"/>
        </w:rPr>
        <w:t xml:space="preserve"> in the </w:t>
      </w:r>
      <w:r w:rsidR="005C1358" w:rsidRPr="00614438">
        <w:rPr>
          <w:rFonts w:ascii="Times New Roman" w:hAnsi="Times New Roman" w:cs="Times New Roman"/>
          <w:sz w:val="24"/>
          <w:szCs w:val="24"/>
        </w:rPr>
        <w:t xml:space="preserve">WEM </w:t>
      </w:r>
      <w:r w:rsidRPr="00614438">
        <w:rPr>
          <w:rFonts w:ascii="Times New Roman" w:hAnsi="Times New Roman" w:cs="Times New Roman"/>
          <w:sz w:val="24"/>
          <w:szCs w:val="24"/>
        </w:rPr>
        <w:t>scenario</w:t>
      </w:r>
      <w:bookmarkEnd w:id="364"/>
    </w:p>
    <w:p w14:paraId="5819E980" w14:textId="77777777" w:rsidR="005C1358" w:rsidRDefault="00614438" w:rsidP="005C135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18D161A8" wp14:editId="339C2AEC">
            <wp:extent cx="5448300" cy="2533650"/>
            <wp:effectExtent l="0" t="0" r="0" b="0"/>
            <wp:docPr id="916854237"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89567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48300" cy="2533650"/>
                    </a:xfrm>
                    <a:prstGeom prst="rect">
                      <a:avLst/>
                    </a:prstGeom>
                    <a:noFill/>
                    <a:ln>
                      <a:noFill/>
                    </a:ln>
                  </pic:spPr>
                </pic:pic>
              </a:graphicData>
            </a:graphic>
          </wp:inline>
        </w:drawing>
      </w:r>
    </w:p>
    <w:p w14:paraId="5B5DAE95" w14:textId="5BAEB31B" w:rsidR="00614438" w:rsidRPr="00614438" w:rsidRDefault="005C1358" w:rsidP="005C1358">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4.5.3.3 </w:t>
      </w:r>
      <w:r w:rsidR="00614438" w:rsidRPr="00614438">
        <w:rPr>
          <w:rFonts w:ascii="Times New Roman" w:hAnsi="Times New Roman" w:cs="Times New Roman"/>
          <w:sz w:val="24"/>
          <w:szCs w:val="24"/>
          <w:lang w:val="en-GB"/>
        </w:rPr>
        <w:t>Breakdown of current price elements that make up the main three price components</w:t>
      </w:r>
    </w:p>
    <w:p w14:paraId="33FF6192" w14:textId="77777777" w:rsidR="00614438" w:rsidRPr="00614438" w:rsidRDefault="00614438" w:rsidP="005C1358">
      <w:pPr>
        <w:ind w:firstLine="720"/>
        <w:jc w:val="both"/>
        <w:rPr>
          <w:rFonts w:ascii="Times New Roman" w:hAnsi="Times New Roman" w:cs="Times New Roman"/>
          <w:sz w:val="24"/>
          <w:szCs w:val="24"/>
          <w:lang w:val="en-GB"/>
        </w:rPr>
      </w:pPr>
      <w:bookmarkStart w:id="365" w:name="_heading=h.261ztfg"/>
      <w:bookmarkStart w:id="366" w:name="_heading=h.l7a3n9"/>
      <w:bookmarkStart w:id="367" w:name="_heading=h.356xmb2"/>
      <w:bookmarkStart w:id="368" w:name="_heading=h.1kc7wiv"/>
      <w:bookmarkEnd w:id="365"/>
      <w:bookmarkEnd w:id="366"/>
      <w:bookmarkEnd w:id="367"/>
      <w:bookmarkEnd w:id="368"/>
      <w:r w:rsidRPr="00614438">
        <w:rPr>
          <w:rFonts w:ascii="Times New Roman" w:hAnsi="Times New Roman" w:cs="Times New Roman"/>
          <w:sz w:val="24"/>
          <w:szCs w:val="24"/>
          <w:lang w:val="en-GB"/>
        </w:rPr>
        <w:t>Electricity</w:t>
      </w:r>
    </w:p>
    <w:p w14:paraId="674EF6E7" w14:textId="77777777" w:rsidR="00614438" w:rsidRPr="00614438" w:rsidRDefault="00614438" w:rsidP="005C1358">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Based on the Methodology for determining price of power for guaranteed supply from the Energy Agency of the Republic of Serbia, the structure of the price of electricity consists of the fixed part and the consumption-based part, varying depending on the consumer type and category. Electricity tariff for public supply prescribes three consumer categories – low voltage consumption, </w:t>
      </w:r>
      <w:r w:rsidRPr="00614438">
        <w:rPr>
          <w:rFonts w:ascii="Times New Roman" w:hAnsi="Times New Roman" w:cs="Times New Roman"/>
          <w:sz w:val="24"/>
          <w:szCs w:val="24"/>
          <w:lang w:val="en-GB"/>
        </w:rPr>
        <w:lastRenderedPageBreak/>
        <w:t>households and public lighting. In case of low voltage consumption category, customers are obliged to pay public supplier charges which is fixed part, and consumption-based part for calculated and excessive power, reactive and excessive reactive energy, as well as active energy which are divided in high daily tariff and low daily tariff.</w:t>
      </w:r>
    </w:p>
    <w:p w14:paraId="5B62E617" w14:textId="77777777" w:rsidR="00614438" w:rsidRPr="00614438" w:rsidRDefault="00614438" w:rsidP="005C1358">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case of households, the fixed part includes public supplier charges, while consumption-based part includes active energy and calculated power. Electricity consumed has several categories, based on metering principles - one-tariff metering, two-tariff metering, controlled consumption and controlled consumption with specific metering. The higher and lower tariff are differently calculated depending on part of country. Serbia is divided into three zones - Vojvodina, Belgrade and Central Serbia. Thus, the lower tariff applies in in period 22.00h – 06.00h for Central Serbia, in period 23.00h – 07.00h for Vojvodina, and in period 24.00h – 08.00h for Belgrade. Furthermore, electricity consumed is calculated as per three different pricing zones – green, blue and red. Those pricing zones define level of consumption, where green zone is up to 350 kWh, blue 351 - 1,600 kWh and red over 1,600 kWh.</w:t>
      </w:r>
    </w:p>
    <w:p w14:paraId="7C21E8F4" w14:textId="3A29E390" w:rsidR="00614438" w:rsidRPr="00614438" w:rsidRDefault="00614438" w:rsidP="005C1358">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When it comes to other elements, both </w:t>
      </w:r>
      <w:r w:rsidR="00C83C14">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fee for incentive of privileged electricity producers and </w:t>
      </w:r>
      <w:r w:rsidR="00C83C14">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fee for improvement of energy efficiency are applied as unit price in relation to consumption, as defined in Decree on the Amount of the Fee for Incentives for Privileged Electricity Producers and new Law on Fees for use of Public Goods. Finally, pricing includes excise tax (7.5%) and VAT (20%) as well.</w:t>
      </w:r>
    </w:p>
    <w:p w14:paraId="3BF2C85C" w14:textId="25281623" w:rsidR="00614438" w:rsidRPr="00614438" w:rsidRDefault="00614438" w:rsidP="00C83C14">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w:t>
      </w:r>
      <w:r w:rsidR="00C83C14">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case of industry, pricing includes part for costs related to distribution system as defined per Pricelist for access to distribution system, electricity consumed, fees for privileged producers and energy efficiency, and excise tax and VAT. The electricity consumed for industry is calculated as per contracted price.</w:t>
      </w:r>
    </w:p>
    <w:p w14:paraId="6BFD44AA" w14:textId="77777777" w:rsidR="00614438" w:rsidRPr="00614438" w:rsidRDefault="00614438" w:rsidP="00C83C14">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Natural gas</w:t>
      </w:r>
    </w:p>
    <w:p w14:paraId="6E402664" w14:textId="77777777" w:rsidR="00614438" w:rsidRPr="00614438" w:rsidRDefault="00614438" w:rsidP="00C83C14">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Transmission system connection costs are set by TSO on the basis of elements from the connection application and on the Methodology for Setting Costs of Connection to Natural Gas Transmission and Distribution System adopted by the AERS. Distribution system connection costs are set by DSO on the basis of elements from the connection application and on the Methodology for Setting Costs of Connection to Natural Gas Transmission and Distribution System adopted by the AERS. The variation in distribution use-of-system charges with different DSOs is the result of the size and features of the distribution systems, the structure and number of customers, the age of the distribution system and other factors.</w:t>
      </w:r>
    </w:p>
    <w:p w14:paraId="2E0DB541" w14:textId="0152FD58" w:rsidR="00614438" w:rsidRPr="00C83C14" w:rsidRDefault="00614438" w:rsidP="00485CA7">
      <w:pPr>
        <w:pStyle w:val="ListParagraph"/>
        <w:numPr>
          <w:ilvl w:val="3"/>
          <w:numId w:val="273"/>
        </w:numPr>
        <w:jc w:val="center"/>
        <w:rPr>
          <w:rFonts w:ascii="Times New Roman" w:hAnsi="Times New Roman" w:cs="Times New Roman"/>
          <w:sz w:val="24"/>
          <w:szCs w:val="24"/>
          <w:lang w:val="en-GB"/>
        </w:rPr>
      </w:pPr>
      <w:r w:rsidRPr="00C83C14">
        <w:rPr>
          <w:rFonts w:ascii="Times New Roman" w:hAnsi="Times New Roman" w:cs="Times New Roman"/>
          <w:sz w:val="24"/>
          <w:szCs w:val="24"/>
          <w:lang w:val="en-GB"/>
        </w:rPr>
        <w:t>Description of energy subsidies, including for fossil fuels</w:t>
      </w:r>
    </w:p>
    <w:p w14:paraId="5EEF39E1" w14:textId="08E49670" w:rsidR="00614438" w:rsidRPr="00614438" w:rsidRDefault="00614438" w:rsidP="00C83C14">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w:t>
      </w:r>
      <w:r w:rsidR="00C83C14">
        <w:rPr>
          <w:rFonts w:ascii="Times New Roman" w:hAnsi="Times New Roman" w:cs="Times New Roman"/>
          <w:sz w:val="24"/>
          <w:szCs w:val="24"/>
          <w:lang w:val="en-GB"/>
        </w:rPr>
        <w:t xml:space="preserve">the Republic of </w:t>
      </w:r>
      <w:r w:rsidRPr="00614438">
        <w:rPr>
          <w:rFonts w:ascii="Times New Roman" w:hAnsi="Times New Roman" w:cs="Times New Roman"/>
          <w:sz w:val="24"/>
          <w:szCs w:val="24"/>
          <w:lang w:val="en-GB"/>
        </w:rPr>
        <w:t xml:space="preserve">Serbia, a system to encourage the use of renewable energy sources for the electricity production was introduced in 2009, enabling RES electricity producers to receive feed-in-tariffs for the kilowatt-hour of electricity produced, depending on the renewable energy source used and technology. Since 2021, with </w:t>
      </w:r>
      <w:r w:rsidR="00C83C14">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adoption of the Law on the Use of Renewable Energy Sources, the Decree on Market Premiums and Feed-in Tariffs and the Decree on the Model for Market Premium Agreement, </w:t>
      </w:r>
      <w:r w:rsidR="00C83C14">
        <w:rPr>
          <w:rFonts w:ascii="Times New Roman" w:hAnsi="Times New Roman" w:cs="Times New Roman"/>
          <w:sz w:val="24"/>
          <w:szCs w:val="24"/>
          <w:lang w:val="en-GB"/>
        </w:rPr>
        <w:t xml:space="preserve">the Republic of </w:t>
      </w:r>
      <w:r w:rsidRPr="00614438">
        <w:rPr>
          <w:rFonts w:ascii="Times New Roman" w:hAnsi="Times New Roman" w:cs="Times New Roman"/>
          <w:sz w:val="24"/>
          <w:szCs w:val="24"/>
          <w:lang w:val="en-GB"/>
        </w:rPr>
        <w:t xml:space="preserve">Serbia set up new incentive framework in the form of premium system. In addition to the market premium, the Law on the Use of Renewable Energy Sources also envisages feed-in tariff system </w:t>
      </w:r>
      <w:r w:rsidR="00C83C14">
        <w:rPr>
          <w:rFonts w:ascii="Times New Roman" w:hAnsi="Times New Roman" w:cs="Times New Roman"/>
          <w:sz w:val="24"/>
          <w:szCs w:val="24"/>
          <w:lang w:val="en-GB"/>
        </w:rPr>
        <w:t>to r</w:t>
      </w:r>
      <w:r w:rsidRPr="00614438">
        <w:rPr>
          <w:rFonts w:ascii="Times New Roman" w:hAnsi="Times New Roman" w:cs="Times New Roman"/>
          <w:sz w:val="24"/>
          <w:szCs w:val="24"/>
          <w:lang w:val="en-GB"/>
        </w:rPr>
        <w:t xml:space="preserve">emain available only for small plants and demonstration projects. The same law introduced concept of prosumers as well, enabling consumers to act as a producer and stipulating to deliver surplus to network. Furthermore, the Regulation on assuming balance </w:t>
      </w:r>
      <w:r w:rsidRPr="00614438">
        <w:rPr>
          <w:rFonts w:ascii="Times New Roman" w:hAnsi="Times New Roman" w:cs="Times New Roman"/>
          <w:sz w:val="24"/>
          <w:szCs w:val="24"/>
          <w:lang w:val="en-GB"/>
        </w:rPr>
        <w:lastRenderedPageBreak/>
        <w:t xml:space="preserve">responsibility and a contract model on assuming balance responsibility was </w:t>
      </w:r>
      <w:r w:rsidR="00C83C14">
        <w:rPr>
          <w:rFonts w:ascii="Times New Roman" w:hAnsi="Times New Roman" w:cs="Times New Roman"/>
          <w:sz w:val="24"/>
          <w:szCs w:val="24"/>
          <w:lang w:val="en-GB"/>
        </w:rPr>
        <w:t>adopted (“Official Gazette of R</w:t>
      </w:r>
      <w:r w:rsidR="00371397">
        <w:rPr>
          <w:rFonts w:ascii="Times New Roman" w:hAnsi="Times New Roman" w:cs="Times New Roman"/>
          <w:sz w:val="24"/>
          <w:szCs w:val="24"/>
          <w:lang w:val="en-GB"/>
        </w:rPr>
        <w:t>S</w:t>
      </w:r>
      <w:r w:rsidR="00C83C14">
        <w:rPr>
          <w:rFonts w:ascii="Times New Roman" w:hAnsi="Times New Roman" w:cs="Times New Roman"/>
          <w:sz w:val="24"/>
          <w:szCs w:val="24"/>
          <w:lang w:val="en-GB"/>
        </w:rPr>
        <w:t>, no. 45/23”)</w:t>
      </w:r>
      <w:r w:rsidRPr="00614438">
        <w:rPr>
          <w:rFonts w:ascii="Times New Roman" w:hAnsi="Times New Roman" w:cs="Times New Roman"/>
          <w:sz w:val="24"/>
          <w:szCs w:val="24"/>
          <w:lang w:val="en-GB"/>
        </w:rPr>
        <w:t>.</w:t>
      </w:r>
    </w:p>
    <w:p w14:paraId="1A8C6094" w14:textId="2805083E" w:rsidR="00614438" w:rsidRPr="00614438" w:rsidRDefault="00614438" w:rsidP="00371397">
      <w:pPr>
        <w:ind w:firstLine="720"/>
        <w:jc w:val="both"/>
        <w:rPr>
          <w:rFonts w:ascii="Times New Roman" w:hAnsi="Times New Roman" w:cs="Times New Roman"/>
          <w:sz w:val="24"/>
          <w:szCs w:val="24"/>
          <w:lang w:val="en-GB"/>
        </w:rPr>
      </w:pPr>
      <w:r w:rsidRPr="00371397">
        <w:rPr>
          <w:rFonts w:ascii="Times New Roman" w:hAnsi="Times New Roman" w:cs="Times New Roman"/>
          <w:sz w:val="24"/>
          <w:szCs w:val="24"/>
          <w:lang w:val="en-GB"/>
        </w:rPr>
        <w:t xml:space="preserve">With aim to support energy transition through energy savings, </w:t>
      </w:r>
      <w:r w:rsidR="00371397">
        <w:rPr>
          <w:rFonts w:ascii="Times New Roman" w:hAnsi="Times New Roman" w:cs="Times New Roman"/>
          <w:sz w:val="24"/>
          <w:szCs w:val="24"/>
          <w:lang w:val="en-GB"/>
        </w:rPr>
        <w:t xml:space="preserve">the Republic of </w:t>
      </w:r>
      <w:r w:rsidRPr="00371397">
        <w:rPr>
          <w:rFonts w:ascii="Times New Roman" w:hAnsi="Times New Roman" w:cs="Times New Roman"/>
          <w:sz w:val="24"/>
          <w:szCs w:val="24"/>
          <w:lang w:val="en-GB"/>
        </w:rPr>
        <w:t>Serbia introduced households-orientated mechanism, providing subsidies for increase of energy efficiency. In cooperation with local governments, by securing funds</w:t>
      </w:r>
      <w:r w:rsidR="00371397">
        <w:rPr>
          <w:rFonts w:ascii="Times New Roman" w:hAnsi="Times New Roman" w:cs="Times New Roman"/>
          <w:sz w:val="24"/>
          <w:szCs w:val="24"/>
          <w:lang w:val="en-GB"/>
        </w:rPr>
        <w:t>, the</w:t>
      </w:r>
      <w:r w:rsidRPr="00371397">
        <w:rPr>
          <w:rFonts w:ascii="Times New Roman" w:hAnsi="Times New Roman" w:cs="Times New Roman"/>
          <w:sz w:val="24"/>
          <w:szCs w:val="24"/>
          <w:lang w:val="en-GB"/>
        </w:rPr>
        <w:t xml:space="preserve"> Government stimulates citizens to invest in replacement of doors and windows, the installation of insulation, the installation of boilers and stoves using cleaner fuels, as well as the installation of solar collectors and solar panels.</w:t>
      </w:r>
    </w:p>
    <w:p w14:paraId="2B101FBA" w14:textId="1F22BBAB" w:rsidR="00371397" w:rsidRPr="00614438" w:rsidRDefault="00371397" w:rsidP="00371397">
      <w:pPr>
        <w:ind w:firstLine="720"/>
        <w:jc w:val="both"/>
        <w:rPr>
          <w:rFonts w:ascii="Times New Roman" w:hAnsi="Times New Roman" w:cs="Times New Roman"/>
          <w:sz w:val="24"/>
          <w:szCs w:val="24"/>
          <w:lang w:val="en-GB"/>
        </w:rPr>
      </w:pPr>
      <w:r w:rsidRPr="00371397">
        <w:rPr>
          <w:rFonts w:ascii="Times New Roman" w:hAnsi="Times New Roman" w:cs="Times New Roman"/>
          <w:sz w:val="24"/>
          <w:szCs w:val="24"/>
          <w:lang w:val="en-GB"/>
        </w:rPr>
        <w:t xml:space="preserve">In 2023, the Republic of Serbia adopted a </w:t>
      </w:r>
      <w:r>
        <w:rPr>
          <w:rFonts w:ascii="Times New Roman" w:hAnsi="Times New Roman" w:cs="Times New Roman"/>
          <w:sz w:val="24"/>
          <w:szCs w:val="24"/>
          <w:lang w:val="en-GB"/>
        </w:rPr>
        <w:t>Decree</w:t>
      </w:r>
      <w:r w:rsidRPr="00371397">
        <w:rPr>
          <w:rFonts w:ascii="Times New Roman" w:hAnsi="Times New Roman" w:cs="Times New Roman"/>
          <w:sz w:val="24"/>
          <w:szCs w:val="24"/>
          <w:lang w:val="en-GB"/>
        </w:rPr>
        <w:t xml:space="preserve"> on the conditions and method of implementing the subsidized purchase of new vehicles that have an exclusively electric drive, as well as vehicles that, in addition to the internal combustion engine, are powered by an electric drive (hybrid drive) (</w:t>
      </w:r>
      <w:r>
        <w:rPr>
          <w:rFonts w:ascii="Times New Roman" w:hAnsi="Times New Roman" w:cs="Times New Roman"/>
          <w:sz w:val="24"/>
          <w:szCs w:val="24"/>
          <w:lang w:val="en-GB"/>
        </w:rPr>
        <w:t>“</w:t>
      </w:r>
      <w:r w:rsidRPr="00371397">
        <w:rPr>
          <w:rFonts w:ascii="Times New Roman" w:hAnsi="Times New Roman" w:cs="Times New Roman"/>
          <w:sz w:val="24"/>
          <w:szCs w:val="24"/>
          <w:lang w:val="en-GB"/>
        </w:rPr>
        <w:t>Official Gazette of the RS</w:t>
      </w:r>
      <w:r>
        <w:rPr>
          <w:rFonts w:ascii="Times New Roman" w:hAnsi="Times New Roman" w:cs="Times New Roman"/>
          <w:sz w:val="24"/>
          <w:szCs w:val="24"/>
          <w:lang w:val="en-GB"/>
        </w:rPr>
        <w:t>”</w:t>
      </w:r>
      <w:r w:rsidRPr="00371397">
        <w:rPr>
          <w:rFonts w:ascii="Times New Roman" w:hAnsi="Times New Roman" w:cs="Times New Roman"/>
          <w:sz w:val="24"/>
          <w:szCs w:val="24"/>
          <w:lang w:val="en-GB"/>
        </w:rPr>
        <w:t>, n</w:t>
      </w:r>
      <w:r>
        <w:rPr>
          <w:rFonts w:ascii="Times New Roman" w:hAnsi="Times New Roman" w:cs="Times New Roman"/>
          <w:sz w:val="24"/>
          <w:szCs w:val="24"/>
          <w:lang w:val="en-GB"/>
        </w:rPr>
        <w:t>o.</w:t>
      </w:r>
      <w:r w:rsidRPr="00371397">
        <w:rPr>
          <w:rFonts w:ascii="Times New Roman" w:hAnsi="Times New Roman" w:cs="Times New Roman"/>
          <w:sz w:val="24"/>
          <w:szCs w:val="24"/>
          <w:lang w:val="en-GB"/>
        </w:rPr>
        <w:t xml:space="preserve"> 18/23)</w:t>
      </w:r>
      <w:r>
        <w:rPr>
          <w:rFonts w:ascii="Times New Roman" w:hAnsi="Times New Roman" w:cs="Times New Roman"/>
          <w:sz w:val="24"/>
          <w:szCs w:val="24"/>
          <w:lang w:val="en-GB"/>
        </w:rPr>
        <w:t>,</w:t>
      </w:r>
      <w:r w:rsidRPr="00371397">
        <w:rPr>
          <w:rFonts w:ascii="Times New Roman" w:hAnsi="Times New Roman" w:cs="Times New Roman"/>
          <w:sz w:val="24"/>
          <w:szCs w:val="24"/>
          <w:lang w:val="en-GB"/>
        </w:rPr>
        <w:t xml:space="preserve"> which prescribes a system of incentives for the purchase of new environmentally friendly vehicles - electric and hybrid, with a subsidy ranging from 250 to 5,000 euros depending on the type of vehicle. The system includes five categories of vehicles, which </w:t>
      </w:r>
      <w:r>
        <w:rPr>
          <w:rFonts w:ascii="Times New Roman" w:hAnsi="Times New Roman" w:cs="Times New Roman"/>
          <w:sz w:val="24"/>
          <w:szCs w:val="24"/>
          <w:lang w:val="en-GB"/>
        </w:rPr>
        <w:t>cover</w:t>
      </w:r>
      <w:r w:rsidRPr="00371397">
        <w:rPr>
          <w:rFonts w:ascii="Times New Roman" w:hAnsi="Times New Roman" w:cs="Times New Roman"/>
          <w:sz w:val="24"/>
          <w:szCs w:val="24"/>
          <w:lang w:val="en-GB"/>
        </w:rPr>
        <w:t xml:space="preserve"> mopeds and light tricycles, motorcycles, passenger and light goods vehicles exclusively powered by electricity, vehicles with hybrid traction</w:t>
      </w:r>
      <w:r>
        <w:rPr>
          <w:rFonts w:ascii="Times New Roman" w:hAnsi="Times New Roman" w:cs="Times New Roman"/>
          <w:sz w:val="24"/>
          <w:szCs w:val="24"/>
          <w:lang w:val="en-GB"/>
        </w:rPr>
        <w:t>,</w:t>
      </w:r>
      <w:r w:rsidRPr="00371397">
        <w:rPr>
          <w:rFonts w:ascii="Times New Roman" w:hAnsi="Times New Roman" w:cs="Times New Roman"/>
          <w:sz w:val="24"/>
          <w:szCs w:val="24"/>
          <w:lang w:val="en-GB"/>
        </w:rPr>
        <w:t xml:space="preserve"> with the obligation that charging can also be done from an external source of electricity, as well as electric vehicles with an integrated composition for extending the autonomy of movement with </w:t>
      </w:r>
      <w:r w:rsidRPr="00175508">
        <w:rPr>
          <w:rFonts w:ascii="Times New Roman" w:hAnsi="Times New Roman" w:cs="Times New Roman"/>
          <w:sz w:val="24"/>
          <w:szCs w:val="24"/>
          <w:lang w:bidi="sr-Cyrl-CS"/>
        </w:rPr>
        <w:t>CO</w:t>
      </w:r>
      <w:r w:rsidRPr="00175508">
        <w:rPr>
          <w:rFonts w:ascii="Times New Roman" w:hAnsi="Times New Roman" w:cs="Times New Roman"/>
          <w:sz w:val="24"/>
          <w:szCs w:val="24"/>
          <w:vertAlign w:val="subscript"/>
          <w:lang w:bidi="sr-Cyrl-CS"/>
        </w:rPr>
        <w:t>2</w:t>
      </w:r>
      <w:r w:rsidRPr="00371397">
        <w:rPr>
          <w:rFonts w:ascii="Times New Roman" w:hAnsi="Times New Roman" w:cs="Times New Roman"/>
          <w:sz w:val="24"/>
          <w:szCs w:val="24"/>
          <w:lang w:val="en-GB"/>
        </w:rPr>
        <w:t>/km emissions up to 50 g/km</w:t>
      </w:r>
      <w:r>
        <w:rPr>
          <w:rFonts w:ascii="Times New Roman" w:hAnsi="Times New Roman" w:cs="Times New Roman"/>
          <w:sz w:val="24"/>
          <w:szCs w:val="24"/>
          <w:lang w:val="en-GB"/>
        </w:rPr>
        <w:t>,</w:t>
      </w:r>
      <w:r w:rsidRPr="00371397">
        <w:rPr>
          <w:rFonts w:ascii="Times New Roman" w:hAnsi="Times New Roman" w:cs="Times New Roman"/>
          <w:sz w:val="24"/>
          <w:szCs w:val="24"/>
          <w:lang w:val="en-GB"/>
        </w:rPr>
        <w:t xml:space="preserve"> and vehicles with hybrid traction that, in addition to the internal combustion engine, have at least one electric motor and can drive without the internal combustion engine operating for a certain time and exclusively on electric traction, whereby the production electricity to charge the battery is done inside the vehicle.</w:t>
      </w:r>
    </w:p>
    <w:p w14:paraId="43F0C323" w14:textId="77777777" w:rsidR="00614438" w:rsidRPr="00614438" w:rsidRDefault="00614438" w:rsidP="00614438">
      <w:pPr>
        <w:jc w:val="both"/>
        <w:rPr>
          <w:rFonts w:ascii="Times New Roman" w:hAnsi="Times New Roman" w:cs="Times New Roman"/>
          <w:sz w:val="24"/>
          <w:szCs w:val="24"/>
          <w:lang w:val="en-GB"/>
        </w:rPr>
      </w:pPr>
    </w:p>
    <w:p w14:paraId="067AF2DB" w14:textId="0ACA5042" w:rsidR="00614438" w:rsidRPr="00614438" w:rsidRDefault="00371397" w:rsidP="00371397">
      <w:pPr>
        <w:jc w:val="center"/>
        <w:rPr>
          <w:rFonts w:ascii="Times New Roman" w:hAnsi="Times New Roman" w:cs="Times New Roman"/>
          <w:sz w:val="24"/>
          <w:szCs w:val="24"/>
          <w:lang w:val="en-GB"/>
        </w:rPr>
      </w:pPr>
      <w:bookmarkStart w:id="369" w:name="_Toc79772564"/>
      <w:bookmarkStart w:id="370" w:name="_Toc118991784"/>
      <w:bookmarkStart w:id="371" w:name="_Toc153545056"/>
      <w:r>
        <w:rPr>
          <w:rFonts w:ascii="Times New Roman" w:hAnsi="Times New Roman" w:cs="Times New Roman"/>
          <w:sz w:val="24"/>
          <w:szCs w:val="24"/>
          <w:lang w:val="en-GB"/>
        </w:rPr>
        <w:t xml:space="preserve">4.6. The </w:t>
      </w:r>
      <w:r w:rsidR="00614438" w:rsidRPr="00614438">
        <w:rPr>
          <w:rFonts w:ascii="Times New Roman" w:hAnsi="Times New Roman" w:cs="Times New Roman"/>
          <w:sz w:val="24"/>
          <w:szCs w:val="24"/>
          <w:lang w:val="en-GB"/>
        </w:rPr>
        <w:t>Research, Innovation and Competitiveness</w:t>
      </w:r>
      <w:bookmarkEnd w:id="369"/>
      <w:bookmarkEnd w:id="370"/>
      <w:bookmarkEnd w:id="371"/>
      <w:r w:rsidRPr="00371397">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Dimension</w:t>
      </w:r>
    </w:p>
    <w:p w14:paraId="35C36692" w14:textId="48CCA486" w:rsidR="00614438" w:rsidRPr="00614438" w:rsidRDefault="00371397" w:rsidP="00371397">
      <w:pPr>
        <w:ind w:left="1440" w:firstLine="720"/>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4.6.1. </w:t>
      </w:r>
      <w:r w:rsidR="00614438" w:rsidRPr="00614438">
        <w:rPr>
          <w:rFonts w:ascii="Times New Roman" w:hAnsi="Times New Roman" w:cs="Times New Roman"/>
          <w:sz w:val="24"/>
          <w:szCs w:val="24"/>
          <w:lang w:val="en-GB"/>
        </w:rPr>
        <w:t>Current situation of the low-carbon-technologies sector and its position on the global market</w:t>
      </w:r>
    </w:p>
    <w:p w14:paraId="2442AC8F" w14:textId="3FB67EE5" w:rsidR="00614438" w:rsidRPr="00614438" w:rsidRDefault="00614438" w:rsidP="00371397">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Currently, in Serbia there are limited activities regarding R&amp;D in the energy sector and limited number of producers of low-carbon technologies. In recent years, there has been a strong focus on more extensive use of alternative sources, partly driven by environmental obligations that have provided impetus for new technological demand. Current key priorities of energy research in</w:t>
      </w:r>
      <w:r w:rsidR="00371397">
        <w:rPr>
          <w:rFonts w:ascii="Times New Roman" w:hAnsi="Times New Roman" w:cs="Times New Roman"/>
          <w:sz w:val="24"/>
          <w:szCs w:val="24"/>
          <w:lang w:val="en-GB"/>
        </w:rPr>
        <w:t xml:space="preserve"> the Republic of</w:t>
      </w:r>
      <w:r w:rsidRPr="00614438">
        <w:rPr>
          <w:rFonts w:ascii="Times New Roman" w:hAnsi="Times New Roman" w:cs="Times New Roman"/>
          <w:sz w:val="24"/>
          <w:szCs w:val="24"/>
          <w:lang w:val="en-GB"/>
        </w:rPr>
        <w:t xml:space="preserve"> Serbia are energy efficiency and renewable energy, smart cities and mobility, as well as energy storage, but still, most of the companies in the energy sector are service-orientated, mainly in RES and EE. Therefore, there is a significant potential for scaling up low-carbon and energy-efficient solutions, starting from the demonstration and pivotal stage up to the market of renewable energy technologies and achieving more significant energy savings.</w:t>
      </w:r>
    </w:p>
    <w:p w14:paraId="2CE2A24C" w14:textId="17D464E5" w:rsidR="00614438" w:rsidRPr="00614438" w:rsidRDefault="00371397" w:rsidP="00371397">
      <w:pPr>
        <w:ind w:left="360" w:firstLine="720"/>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4.6.2 </w:t>
      </w:r>
      <w:r w:rsidR="00614438" w:rsidRPr="00614438">
        <w:rPr>
          <w:rFonts w:ascii="Times New Roman" w:hAnsi="Times New Roman" w:cs="Times New Roman"/>
          <w:sz w:val="24"/>
          <w:szCs w:val="24"/>
          <w:lang w:val="en-GB"/>
        </w:rPr>
        <w:t>Current level of public and private research and innovation spending on low-carbon-technologies, current number of patents, and current number of researchers</w:t>
      </w:r>
    </w:p>
    <w:p w14:paraId="0D7907DE" w14:textId="4B3125D5" w:rsidR="00614438" w:rsidRPr="00614438" w:rsidRDefault="00614438" w:rsidP="00371397">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Total expenditures for research and development activities in 2020 amounted to 0.91% of GDP. The share of total budgetary funds for R&amp;D in GDP reached 0.46% in 2020. The largest percentage of budget funds for R&amp;D went to the government sector (64.4%), followed by the higher education sector (23%). Funds from international organizations participate with 9.3% in the total funds for financing scientific research work, the non-financial (business) sector participates with 2.1%, while 1.1% of funds were allocated for the non-profit sector. In 2020, </w:t>
      </w:r>
      <w:r w:rsidR="00371397">
        <w:rPr>
          <w:rFonts w:ascii="Times New Roman" w:hAnsi="Times New Roman" w:cs="Times New Roman"/>
          <w:sz w:val="24"/>
          <w:szCs w:val="24"/>
          <w:lang w:val="en-GB"/>
        </w:rPr>
        <w:t xml:space="preserve">the Republic of </w:t>
      </w:r>
      <w:r w:rsidRPr="00614438">
        <w:rPr>
          <w:rFonts w:ascii="Times New Roman" w:hAnsi="Times New Roman" w:cs="Times New Roman"/>
          <w:sz w:val="24"/>
          <w:szCs w:val="24"/>
          <w:lang w:val="en-GB"/>
        </w:rPr>
        <w:t>Serbia had 335 organizations active in research and development, with majority operational within business sector, while one-third belongs to tertiary education sector.</w:t>
      </w:r>
    </w:p>
    <w:p w14:paraId="772F8359" w14:textId="77777777" w:rsidR="00614438" w:rsidRPr="00614438" w:rsidRDefault="00614438" w:rsidP="00614438">
      <w:pPr>
        <w:jc w:val="both"/>
        <w:rPr>
          <w:rFonts w:ascii="Times New Roman" w:hAnsi="Times New Roman" w:cs="Times New Roman"/>
          <w:sz w:val="24"/>
          <w:szCs w:val="24"/>
        </w:rPr>
      </w:pPr>
      <w:bookmarkStart w:id="372" w:name="_Toc118992332"/>
      <w:bookmarkStart w:id="373" w:name="_Toc154575269"/>
      <w:r w:rsidRPr="00614438">
        <w:rPr>
          <w:rFonts w:ascii="Times New Roman" w:hAnsi="Times New Roman" w:cs="Times New Roman"/>
          <w:sz w:val="24"/>
          <w:szCs w:val="24"/>
        </w:rPr>
        <w:lastRenderedPageBreak/>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62</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Breakdown of R&amp;D organizations per sector (source: Statistical Office of the Republic of Serbia)</w:t>
      </w:r>
      <w:bookmarkEnd w:id="372"/>
      <w:bookmarkEnd w:id="373"/>
    </w:p>
    <w:p w14:paraId="74CED3E8"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09275EC1" wp14:editId="466ABC5F">
            <wp:extent cx="4838700" cy="2190750"/>
            <wp:effectExtent l="0" t="0" r="0" b="0"/>
            <wp:docPr id="1414161204" name="Chart 277">
              <a:extLst xmlns:a="http://schemas.openxmlformats.org/drawingml/2006/main">
                <a:ext uri="{FF2B5EF4-FFF2-40B4-BE49-F238E27FC236}">
                  <a16:creationId xmlns:a16="http://schemas.microsoft.com/office/drawing/2014/main" id="{26BBF70B-397F-6922-6E24-774D60751F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3DA45EBF" w14:textId="77777777" w:rsidR="00614438" w:rsidRPr="00614438" w:rsidRDefault="00614438" w:rsidP="00371397">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Looking at fields of science, most of organizations are focused on engineering and technology (128), together with social sciences (72) and natural sciences (63). Detailed breakdown is presented in </w:t>
      </w:r>
      <w:r w:rsidR="00FA29EF">
        <w:fldChar w:fldCharType="begin"/>
      </w:r>
      <w:r w:rsidR="00FA29EF">
        <w:instrText xml:space="preserve"> REF _Ref113537041 \h  \* MERGEFORMAT </w:instrText>
      </w:r>
      <w:r w:rsidR="00FA29EF">
        <w:fldChar w:fldCharType="separate"/>
      </w:r>
      <w:r w:rsidRPr="00614438">
        <w:rPr>
          <w:rFonts w:ascii="Times New Roman" w:hAnsi="Times New Roman" w:cs="Times New Roman"/>
          <w:sz w:val="24"/>
          <w:szCs w:val="24"/>
          <w:lang w:val="en-GB"/>
        </w:rPr>
        <w:t>Figure 4.63</w:t>
      </w:r>
      <w:r w:rsidR="00FA29EF">
        <w:fldChar w:fldCharType="end"/>
      </w:r>
      <w:r w:rsidRPr="00614438">
        <w:rPr>
          <w:rFonts w:ascii="Times New Roman" w:hAnsi="Times New Roman" w:cs="Times New Roman"/>
          <w:sz w:val="24"/>
          <w:szCs w:val="24"/>
          <w:lang w:val="en-GB"/>
        </w:rPr>
        <w:t xml:space="preserve"> below.</w:t>
      </w:r>
    </w:p>
    <w:p w14:paraId="65D39BC7" w14:textId="77777777" w:rsidR="00614438" w:rsidRPr="00614438" w:rsidRDefault="00614438" w:rsidP="00614438">
      <w:pPr>
        <w:jc w:val="both"/>
        <w:rPr>
          <w:rFonts w:ascii="Times New Roman" w:hAnsi="Times New Roman" w:cs="Times New Roman"/>
          <w:sz w:val="24"/>
          <w:szCs w:val="24"/>
        </w:rPr>
      </w:pPr>
      <w:bookmarkStart w:id="374" w:name="_Ref113537041"/>
      <w:bookmarkStart w:id="375" w:name="_Toc118992333"/>
      <w:bookmarkStart w:id="376" w:name="_Toc154575270"/>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63</w:t>
      </w:r>
      <w:r w:rsidR="00C83251" w:rsidRPr="00614438">
        <w:rPr>
          <w:rFonts w:ascii="Times New Roman" w:hAnsi="Times New Roman" w:cs="Times New Roman"/>
          <w:sz w:val="24"/>
          <w:szCs w:val="24"/>
        </w:rPr>
        <w:fldChar w:fldCharType="end"/>
      </w:r>
      <w:bookmarkEnd w:id="374"/>
      <w:r w:rsidRPr="00614438">
        <w:rPr>
          <w:rFonts w:ascii="Times New Roman" w:hAnsi="Times New Roman" w:cs="Times New Roman"/>
          <w:sz w:val="24"/>
          <w:szCs w:val="24"/>
        </w:rPr>
        <w:t>: Breakdown of R&amp;D organizations per fields of science (source: Statistical Office of the Republic of Serbia)</w:t>
      </w:r>
      <w:bookmarkEnd w:id="375"/>
      <w:bookmarkEnd w:id="376"/>
    </w:p>
    <w:p w14:paraId="020C0BB2"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07C97370" wp14:editId="565E4AE1">
            <wp:extent cx="4581525" cy="2752725"/>
            <wp:effectExtent l="0" t="0" r="9525" b="9525"/>
            <wp:docPr id="405735313" name="Chart 276">
              <a:extLst xmlns:a="http://schemas.openxmlformats.org/drawingml/2006/main">
                <a:ext uri="{FF2B5EF4-FFF2-40B4-BE49-F238E27FC236}">
                  <a16:creationId xmlns:a16="http://schemas.microsoft.com/office/drawing/2014/main" id="{2F876462-0457-F14B-18E8-A01A52F817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0BAA105B" w14:textId="3CD135C0" w:rsidR="00186ABD" w:rsidRDefault="00614438" w:rsidP="00186ABD">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2020,</w:t>
      </w:r>
      <w:r w:rsidR="00186ABD">
        <w:rPr>
          <w:rFonts w:ascii="Times New Roman" w:hAnsi="Times New Roman" w:cs="Times New Roman"/>
          <w:sz w:val="24"/>
          <w:szCs w:val="24"/>
          <w:lang w:val="en-GB"/>
        </w:rPr>
        <w:t xml:space="preserve"> the Republic of</w:t>
      </w:r>
      <w:r w:rsidRPr="00614438">
        <w:rPr>
          <w:rFonts w:ascii="Times New Roman" w:hAnsi="Times New Roman" w:cs="Times New Roman"/>
          <w:sz w:val="24"/>
          <w:szCs w:val="24"/>
          <w:lang w:val="en-GB"/>
        </w:rPr>
        <w:t xml:space="preserve"> Serbia had 23,524 full-time and part-time employees engaged in R&amp;D activities, with 62.4% employed in tertiary education sector, 23.5% in </w:t>
      </w:r>
      <w:r w:rsidR="00371397">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government sector and 14.1% in </w:t>
      </w:r>
      <w:r w:rsidR="00371397">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business sector. Detailed breakdown of employees per sector and field is given in </w:t>
      </w:r>
      <w:r w:rsidR="00FA29EF">
        <w:fldChar w:fldCharType="begin"/>
      </w:r>
      <w:r w:rsidR="00FA29EF">
        <w:instrText xml:space="preserve"> REF _Ref113537053 \h  \* MERGEFORMAT </w:instrText>
      </w:r>
      <w:r w:rsidR="00FA29EF">
        <w:fldChar w:fldCharType="separate"/>
      </w:r>
      <w:r w:rsidRPr="00614438">
        <w:rPr>
          <w:rFonts w:ascii="Times New Roman" w:hAnsi="Times New Roman" w:cs="Times New Roman"/>
          <w:sz w:val="24"/>
          <w:szCs w:val="24"/>
          <w:lang w:val="en-GB"/>
        </w:rPr>
        <w:t>Figure 4.64</w:t>
      </w:r>
      <w:r w:rsidR="00FA29EF">
        <w:fldChar w:fldCharType="end"/>
      </w:r>
      <w:r w:rsidRPr="00614438">
        <w:rPr>
          <w:rFonts w:ascii="Times New Roman" w:hAnsi="Times New Roman" w:cs="Times New Roman"/>
          <w:sz w:val="24"/>
          <w:szCs w:val="24"/>
          <w:lang w:val="en-GB"/>
        </w:rPr>
        <w:t xml:space="preserve"> below.</w:t>
      </w:r>
      <w:r w:rsidR="00186ABD" w:rsidRPr="00186ABD">
        <w:rPr>
          <w:rFonts w:ascii="Times New Roman" w:hAnsi="Times New Roman" w:cs="Times New Roman"/>
          <w:sz w:val="24"/>
          <w:szCs w:val="24"/>
          <w:lang w:val="en-GB"/>
        </w:rPr>
        <w:t xml:space="preserve"> </w:t>
      </w:r>
    </w:p>
    <w:p w14:paraId="11DE12C5" w14:textId="288D8A2B" w:rsidR="00186ABD" w:rsidRDefault="00186ABD" w:rsidP="00186ABD">
      <w:pPr>
        <w:ind w:firstLine="720"/>
        <w:jc w:val="both"/>
        <w:rPr>
          <w:rFonts w:ascii="Times New Roman" w:hAnsi="Times New Roman" w:cs="Times New Roman"/>
          <w:sz w:val="24"/>
          <w:szCs w:val="24"/>
          <w:lang w:val="en-GB"/>
        </w:rPr>
      </w:pPr>
      <w:r w:rsidRPr="00186ABD">
        <w:rPr>
          <w:rFonts w:ascii="Times New Roman" w:hAnsi="Times New Roman" w:cs="Times New Roman"/>
          <w:sz w:val="24"/>
          <w:szCs w:val="24"/>
          <w:lang w:val="en-GB"/>
        </w:rPr>
        <w:t xml:space="preserve">In 2020, basic research </w:t>
      </w:r>
      <w:r>
        <w:rPr>
          <w:rFonts w:ascii="Times New Roman" w:hAnsi="Times New Roman" w:cs="Times New Roman"/>
          <w:sz w:val="24"/>
          <w:szCs w:val="24"/>
          <w:lang w:val="en-GB"/>
        </w:rPr>
        <w:t>works</w:t>
      </w:r>
      <w:r w:rsidRPr="00186ABD">
        <w:rPr>
          <w:rFonts w:ascii="Times New Roman" w:hAnsi="Times New Roman" w:cs="Times New Roman"/>
          <w:sz w:val="24"/>
          <w:szCs w:val="24"/>
          <w:lang w:val="en-GB"/>
        </w:rPr>
        <w:t xml:space="preserve"> (54.3%) prevail, while applied research </w:t>
      </w:r>
      <w:r>
        <w:rPr>
          <w:rFonts w:ascii="Times New Roman" w:hAnsi="Times New Roman" w:cs="Times New Roman"/>
          <w:sz w:val="24"/>
          <w:szCs w:val="24"/>
          <w:lang w:val="en-GB"/>
        </w:rPr>
        <w:t>work</w:t>
      </w:r>
      <w:r w:rsidRPr="00186ABD">
        <w:rPr>
          <w:rFonts w:ascii="Times New Roman" w:hAnsi="Times New Roman" w:cs="Times New Roman"/>
          <w:sz w:val="24"/>
          <w:szCs w:val="24"/>
          <w:lang w:val="en-GB"/>
        </w:rPr>
        <w:t xml:space="preserve"> </w:t>
      </w:r>
      <w:r>
        <w:rPr>
          <w:rFonts w:ascii="Times New Roman" w:hAnsi="Times New Roman" w:cs="Times New Roman"/>
          <w:sz w:val="24"/>
          <w:szCs w:val="24"/>
          <w:lang w:val="en-GB"/>
        </w:rPr>
        <w:t>s</w:t>
      </w:r>
      <w:r w:rsidRPr="00186ABD">
        <w:rPr>
          <w:rFonts w:ascii="Times New Roman" w:hAnsi="Times New Roman" w:cs="Times New Roman"/>
          <w:sz w:val="24"/>
          <w:szCs w:val="24"/>
          <w:lang w:val="en-GB"/>
        </w:rPr>
        <w:t xml:space="preserve">(29.8%) have a significant share, </w:t>
      </w:r>
      <w:r>
        <w:rPr>
          <w:rFonts w:ascii="Times New Roman" w:hAnsi="Times New Roman" w:cs="Times New Roman"/>
          <w:sz w:val="24"/>
          <w:szCs w:val="24"/>
          <w:lang w:val="en-GB"/>
        </w:rPr>
        <w:t>while the</w:t>
      </w:r>
      <w:r w:rsidRPr="00186ABD">
        <w:rPr>
          <w:rFonts w:ascii="Times New Roman" w:hAnsi="Times New Roman" w:cs="Times New Roman"/>
          <w:sz w:val="24"/>
          <w:szCs w:val="24"/>
          <w:lang w:val="en-GB"/>
        </w:rPr>
        <w:t xml:space="preserve"> development research </w:t>
      </w:r>
      <w:r>
        <w:rPr>
          <w:rFonts w:ascii="Times New Roman" w:hAnsi="Times New Roman" w:cs="Times New Roman"/>
          <w:sz w:val="24"/>
          <w:szCs w:val="24"/>
          <w:lang w:val="en-GB"/>
        </w:rPr>
        <w:t>works</w:t>
      </w:r>
      <w:r w:rsidRPr="00186ABD">
        <w:rPr>
          <w:rFonts w:ascii="Times New Roman" w:hAnsi="Times New Roman" w:cs="Times New Roman"/>
          <w:sz w:val="24"/>
          <w:szCs w:val="24"/>
          <w:lang w:val="en-GB"/>
        </w:rPr>
        <w:t xml:space="preserve"> (15.9%) h</w:t>
      </w:r>
      <w:r>
        <w:rPr>
          <w:rFonts w:ascii="Times New Roman" w:hAnsi="Times New Roman" w:cs="Times New Roman"/>
          <w:sz w:val="24"/>
          <w:szCs w:val="24"/>
          <w:lang w:val="en-GB"/>
        </w:rPr>
        <w:t>ave</w:t>
      </w:r>
      <w:r w:rsidRPr="00186ABD">
        <w:rPr>
          <w:rFonts w:ascii="Times New Roman" w:hAnsi="Times New Roman" w:cs="Times New Roman"/>
          <w:sz w:val="24"/>
          <w:szCs w:val="24"/>
          <w:lang w:val="en-GB"/>
        </w:rPr>
        <w:t xml:space="preserve"> the smallest share. However, the higher education sector was the most productive in terms of the number of research works performed (7,731 projects and studies), followed by the government sector (3,860 projects and studies).</w:t>
      </w:r>
    </w:p>
    <w:p w14:paraId="26FC6040" w14:textId="77777777" w:rsidR="00186ABD" w:rsidRDefault="00186ABD" w:rsidP="00186ABD">
      <w:pPr>
        <w:ind w:firstLine="720"/>
        <w:jc w:val="both"/>
        <w:rPr>
          <w:rFonts w:ascii="Times New Roman" w:hAnsi="Times New Roman" w:cs="Times New Roman"/>
          <w:sz w:val="24"/>
          <w:szCs w:val="24"/>
          <w:lang w:val="en-GB"/>
        </w:rPr>
      </w:pPr>
    </w:p>
    <w:p w14:paraId="23295C72" w14:textId="7E98037B" w:rsidR="00614438" w:rsidRPr="00614438" w:rsidRDefault="00614438" w:rsidP="00371397">
      <w:pPr>
        <w:ind w:firstLine="720"/>
        <w:jc w:val="both"/>
        <w:rPr>
          <w:rFonts w:ascii="Times New Roman" w:hAnsi="Times New Roman" w:cs="Times New Roman"/>
          <w:sz w:val="24"/>
          <w:szCs w:val="24"/>
          <w:lang w:val="en-GB"/>
        </w:rPr>
      </w:pPr>
    </w:p>
    <w:p w14:paraId="04CC3E69" w14:textId="77777777" w:rsidR="00614438" w:rsidRPr="00614438" w:rsidRDefault="00614438" w:rsidP="00614438">
      <w:pPr>
        <w:jc w:val="both"/>
        <w:rPr>
          <w:rFonts w:ascii="Times New Roman" w:hAnsi="Times New Roman" w:cs="Times New Roman"/>
          <w:sz w:val="24"/>
          <w:szCs w:val="24"/>
        </w:rPr>
      </w:pPr>
      <w:bookmarkStart w:id="377" w:name="_Ref113537053"/>
      <w:bookmarkStart w:id="378" w:name="_Toc118992334"/>
      <w:bookmarkStart w:id="379" w:name="_Toc154575271"/>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64</w:t>
      </w:r>
      <w:r w:rsidR="00C83251" w:rsidRPr="00614438">
        <w:rPr>
          <w:rFonts w:ascii="Times New Roman" w:hAnsi="Times New Roman" w:cs="Times New Roman"/>
          <w:sz w:val="24"/>
          <w:szCs w:val="24"/>
        </w:rPr>
        <w:fldChar w:fldCharType="end"/>
      </w:r>
      <w:bookmarkEnd w:id="377"/>
      <w:r w:rsidRPr="00614438">
        <w:rPr>
          <w:rFonts w:ascii="Times New Roman" w:hAnsi="Times New Roman" w:cs="Times New Roman"/>
          <w:sz w:val="24"/>
          <w:szCs w:val="24"/>
        </w:rPr>
        <w:t>: Number of employees engaged in R&amp;D activities (source: Statistical Office of the Republic of Serbia)</w:t>
      </w:r>
      <w:bookmarkEnd w:id="378"/>
      <w:bookmarkEnd w:id="379"/>
    </w:p>
    <w:p w14:paraId="2A830715"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7A6B869B" wp14:editId="0A17E598">
            <wp:extent cx="6143625" cy="2867025"/>
            <wp:effectExtent l="0" t="0" r="9525" b="9525"/>
            <wp:docPr id="877946684" name="Chart 275">
              <a:extLst xmlns:a="http://schemas.openxmlformats.org/drawingml/2006/main">
                <a:ext uri="{FF2B5EF4-FFF2-40B4-BE49-F238E27FC236}">
                  <a16:creationId xmlns:a16="http://schemas.microsoft.com/office/drawing/2014/main" id="{8457AEC3-3162-6273-09B3-FC084F767E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4BBBC777" w14:textId="7DDFF412" w:rsidR="00186ABD" w:rsidRPr="00614438" w:rsidRDefault="00186ABD" w:rsidP="00186ABD">
      <w:pPr>
        <w:ind w:firstLine="720"/>
        <w:jc w:val="both"/>
        <w:rPr>
          <w:rFonts w:ascii="Times New Roman" w:hAnsi="Times New Roman" w:cs="Times New Roman"/>
          <w:sz w:val="24"/>
          <w:szCs w:val="24"/>
          <w:lang w:val="en-GB"/>
        </w:rPr>
      </w:pPr>
      <w:bookmarkStart w:id="380" w:name="_Ref113537068"/>
      <w:bookmarkStart w:id="381" w:name="_Toc118992335"/>
      <w:bookmarkStart w:id="382" w:name="_Toc154575272"/>
      <w:r w:rsidRPr="00614438">
        <w:rPr>
          <w:rFonts w:ascii="Times New Roman" w:hAnsi="Times New Roman" w:cs="Times New Roman"/>
          <w:sz w:val="24"/>
          <w:szCs w:val="24"/>
          <w:lang w:val="en-GB"/>
        </w:rPr>
        <w:t xml:space="preserve">In both sectors, the basic research works were priority, 60.2% in government sector and 59.2% in tertiary education sector. Finally, business sector has been applied-focused, with 54.7% of applied research works and 34.9% of development projects and studies. </w:t>
      </w:r>
      <w:r>
        <w:fldChar w:fldCharType="begin"/>
      </w:r>
      <w:r>
        <w:instrText xml:space="preserve"> REF _Ref113537068 \h  \* MERGEFORMAT </w:instrText>
      </w:r>
      <w:r>
        <w:fldChar w:fldCharType="separate"/>
      </w:r>
      <w:r w:rsidRPr="00614438">
        <w:rPr>
          <w:rFonts w:ascii="Times New Roman" w:hAnsi="Times New Roman" w:cs="Times New Roman"/>
          <w:sz w:val="24"/>
          <w:szCs w:val="24"/>
          <w:lang w:val="en-GB"/>
        </w:rPr>
        <w:t>Figure 4.65</w:t>
      </w:r>
      <w:r>
        <w:fldChar w:fldCharType="end"/>
      </w:r>
      <w:r w:rsidRPr="00614438">
        <w:rPr>
          <w:rFonts w:ascii="Times New Roman" w:hAnsi="Times New Roman" w:cs="Times New Roman"/>
          <w:sz w:val="24"/>
          <w:szCs w:val="24"/>
          <w:lang w:val="en-GB"/>
        </w:rPr>
        <w:t xml:space="preserve"> below presents country-level breakdown of research works per type and field.</w:t>
      </w:r>
    </w:p>
    <w:p w14:paraId="4FECD532" w14:textId="77777777" w:rsidR="00186ABD" w:rsidRDefault="00186ABD" w:rsidP="00614438">
      <w:pPr>
        <w:jc w:val="both"/>
        <w:rPr>
          <w:rFonts w:ascii="Times New Roman" w:hAnsi="Times New Roman" w:cs="Times New Roman"/>
          <w:sz w:val="24"/>
          <w:szCs w:val="24"/>
        </w:rPr>
      </w:pPr>
    </w:p>
    <w:p w14:paraId="20B52A3E" w14:textId="5DCE5702" w:rsidR="00614438" w:rsidRPr="00614438" w:rsidRDefault="00614438" w:rsidP="00614438">
      <w:pPr>
        <w:jc w:val="both"/>
        <w:rPr>
          <w:rFonts w:ascii="Times New Roman" w:hAnsi="Times New Roman" w:cs="Times New Roman"/>
          <w:sz w:val="24"/>
          <w:szCs w:val="24"/>
        </w:rPr>
      </w:pPr>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65</w:t>
      </w:r>
      <w:r w:rsidR="00C83251" w:rsidRPr="00614438">
        <w:rPr>
          <w:rFonts w:ascii="Times New Roman" w:hAnsi="Times New Roman" w:cs="Times New Roman"/>
          <w:sz w:val="24"/>
          <w:szCs w:val="24"/>
        </w:rPr>
        <w:fldChar w:fldCharType="end"/>
      </w:r>
      <w:bookmarkEnd w:id="380"/>
      <w:r w:rsidRPr="00614438">
        <w:rPr>
          <w:rFonts w:ascii="Times New Roman" w:hAnsi="Times New Roman" w:cs="Times New Roman"/>
          <w:sz w:val="24"/>
          <w:szCs w:val="24"/>
        </w:rPr>
        <w:t>: Breakdown of research works by fields of science and type (source: Statistical Office of the Republic of Serbia)</w:t>
      </w:r>
      <w:bookmarkEnd w:id="381"/>
      <w:bookmarkEnd w:id="382"/>
    </w:p>
    <w:p w14:paraId="61223F19"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lastRenderedPageBreak/>
        <w:drawing>
          <wp:inline distT="0" distB="0" distL="0" distR="0" wp14:anchorId="51CFA04E" wp14:editId="2545B0FF">
            <wp:extent cx="6143625" cy="3810000"/>
            <wp:effectExtent l="0" t="0" r="9525" b="0"/>
            <wp:docPr id="1417329888" name="Chart 274">
              <a:extLst xmlns:a="http://schemas.openxmlformats.org/drawingml/2006/main">
                <a:ext uri="{FF2B5EF4-FFF2-40B4-BE49-F238E27FC236}">
                  <a16:creationId xmlns:a16="http://schemas.microsoft.com/office/drawing/2014/main" id="{E541ADEB-C1A0-5F71-7558-6671180A8C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79DB9338" w14:textId="77777777" w:rsidR="00614438" w:rsidRPr="00614438" w:rsidRDefault="00614438" w:rsidP="00186ABD">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As per official statistics, there were 21,877 enterprises in 2020, of which 84% are large enterprises, 13% medium enterprises and 3% small enterprises. The share of those business entities with at least one type of innovation is 54.79%. More than 69% of large business entities are innovative, about 58% of medium-sized business entities and about 54% small business entities. </w:t>
      </w:r>
      <w:r w:rsidR="00FA29EF">
        <w:fldChar w:fldCharType="begin"/>
      </w:r>
      <w:r w:rsidR="00FA29EF">
        <w:instrText xml:space="preserve"> REF _Ref113537082 \h  \* MERGEFORMAT </w:instrText>
      </w:r>
      <w:r w:rsidR="00FA29EF">
        <w:fldChar w:fldCharType="separate"/>
      </w:r>
      <w:r w:rsidRPr="00614438">
        <w:rPr>
          <w:rFonts w:ascii="Times New Roman" w:hAnsi="Times New Roman" w:cs="Times New Roman"/>
          <w:sz w:val="24"/>
          <w:szCs w:val="24"/>
          <w:lang w:val="en-GB"/>
        </w:rPr>
        <w:t>Figure 4.66</w:t>
      </w:r>
      <w:r w:rsidR="00FA29EF">
        <w:fldChar w:fldCharType="end"/>
      </w:r>
      <w:r w:rsidRPr="00614438">
        <w:rPr>
          <w:rFonts w:ascii="Times New Roman" w:hAnsi="Times New Roman" w:cs="Times New Roman"/>
          <w:sz w:val="24"/>
          <w:szCs w:val="24"/>
          <w:lang w:val="en-GB"/>
        </w:rPr>
        <w:t xml:space="preserve"> below presents breakdown of innovative enterprises per sector.</w:t>
      </w:r>
    </w:p>
    <w:p w14:paraId="77ABD62F" w14:textId="77777777" w:rsidR="00614438" w:rsidRPr="00614438" w:rsidRDefault="00614438" w:rsidP="00614438">
      <w:pPr>
        <w:jc w:val="both"/>
        <w:rPr>
          <w:rFonts w:ascii="Times New Roman" w:hAnsi="Times New Roman" w:cs="Times New Roman"/>
          <w:sz w:val="24"/>
          <w:szCs w:val="24"/>
        </w:rPr>
      </w:pPr>
      <w:bookmarkStart w:id="383" w:name="_Ref113537082"/>
      <w:bookmarkStart w:id="384" w:name="_Toc118992336"/>
      <w:bookmarkStart w:id="385" w:name="_Toc154575273"/>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66</w:t>
      </w:r>
      <w:r w:rsidR="00C83251" w:rsidRPr="00614438">
        <w:rPr>
          <w:rFonts w:ascii="Times New Roman" w:hAnsi="Times New Roman" w:cs="Times New Roman"/>
          <w:sz w:val="24"/>
          <w:szCs w:val="24"/>
        </w:rPr>
        <w:fldChar w:fldCharType="end"/>
      </w:r>
      <w:bookmarkEnd w:id="383"/>
      <w:r w:rsidRPr="00614438">
        <w:rPr>
          <w:rFonts w:ascii="Times New Roman" w:hAnsi="Times New Roman" w:cs="Times New Roman"/>
          <w:sz w:val="24"/>
          <w:szCs w:val="24"/>
        </w:rPr>
        <w:t>: Breakdown of innovative enterprises per industry (source: Intellectual Property Office of the Republic of Serbia)</w:t>
      </w:r>
      <w:bookmarkEnd w:id="384"/>
      <w:bookmarkEnd w:id="385"/>
    </w:p>
    <w:p w14:paraId="1644B93F"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7DA3E63F" wp14:editId="13C50742">
            <wp:extent cx="6134100" cy="2305050"/>
            <wp:effectExtent l="0" t="0" r="0" b="0"/>
            <wp:docPr id="1877361086" name="Chart 273">
              <a:extLst xmlns:a="http://schemas.openxmlformats.org/drawingml/2006/main">
                <a:ext uri="{FF2B5EF4-FFF2-40B4-BE49-F238E27FC236}">
                  <a16:creationId xmlns:a16="http://schemas.microsoft.com/office/drawing/2014/main" id="{7EB6ADE7-3C2B-A596-B795-E9D90CB11C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67BD0AC3" w14:textId="77777777" w:rsidR="00186ABD" w:rsidRDefault="00614438" w:rsidP="00186ABD">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2020, the total number of patents registered were 1,546 patents</w:t>
      </w:r>
      <w:r w:rsidR="00186ABD">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including 56 granted according to the national procedure, 28 entered into the Register on the basis of the Cooperation and Extension Agreement with the European Patent Office and 1,462 on the basis of the law on the ratification of the Convention on the Grant of European Patents. Out of 56 granted patents, 52 were patents of residents and 4 of non-residents. Out of the total number of patents granted in the national procedure, 84.2% were those invented by natural persons and 15.8% those invented by legal entities.</w:t>
      </w:r>
      <w:r w:rsidR="00186ABD">
        <w:rPr>
          <w:rFonts w:ascii="Times New Roman" w:hAnsi="Times New Roman" w:cs="Times New Roman"/>
          <w:sz w:val="24"/>
          <w:szCs w:val="24"/>
          <w:lang w:val="en-GB"/>
        </w:rPr>
        <w:t xml:space="preserve">  </w:t>
      </w:r>
      <w:bookmarkStart w:id="386" w:name="_Toc79772565"/>
      <w:bookmarkStart w:id="387" w:name="_Toc118991785"/>
      <w:bookmarkStart w:id="388" w:name="_Toc153545057"/>
    </w:p>
    <w:p w14:paraId="3393B5BE" w14:textId="77777777" w:rsidR="00186ABD" w:rsidRDefault="00186ABD" w:rsidP="00186ABD">
      <w:pPr>
        <w:ind w:firstLine="720"/>
        <w:jc w:val="both"/>
        <w:rPr>
          <w:rFonts w:ascii="Times New Roman" w:hAnsi="Times New Roman" w:cs="Times New Roman"/>
          <w:sz w:val="24"/>
          <w:szCs w:val="24"/>
          <w:lang w:val="en-GB"/>
        </w:rPr>
      </w:pPr>
    </w:p>
    <w:p w14:paraId="68C5007C" w14:textId="3648555D" w:rsidR="00614438" w:rsidRPr="00614438" w:rsidRDefault="00186ABD" w:rsidP="00186ABD">
      <w:pPr>
        <w:ind w:firstLine="720"/>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5. </w:t>
      </w:r>
      <w:r w:rsidR="00614438" w:rsidRPr="00614438">
        <w:rPr>
          <w:rFonts w:ascii="Times New Roman" w:hAnsi="Times New Roman" w:cs="Times New Roman"/>
          <w:sz w:val="24"/>
          <w:szCs w:val="24"/>
          <w:lang w:val="en-GB"/>
        </w:rPr>
        <w:t>IMPACT ASSESSMENT OF PLANNED POLICIES AND MEASURES</w:t>
      </w:r>
      <w:bookmarkEnd w:id="386"/>
      <w:bookmarkEnd w:id="387"/>
      <w:bookmarkEnd w:id="388"/>
    </w:p>
    <w:p w14:paraId="52B2BED6" w14:textId="77777777" w:rsidR="006A7080" w:rsidRDefault="00614438" w:rsidP="00186ABD">
      <w:pPr>
        <w:ind w:firstLine="720"/>
        <w:jc w:val="both"/>
        <w:rPr>
          <w:rFonts w:ascii="Times New Roman" w:hAnsi="Times New Roman" w:cs="Times New Roman"/>
          <w:sz w:val="24"/>
          <w:szCs w:val="24"/>
          <w:lang w:val="en-GB"/>
        </w:rPr>
      </w:pPr>
      <w:bookmarkStart w:id="389" w:name="_Toc79772566"/>
      <w:r w:rsidRPr="00614438">
        <w:rPr>
          <w:rFonts w:ascii="Times New Roman" w:hAnsi="Times New Roman" w:cs="Times New Roman"/>
          <w:sz w:val="24"/>
          <w:szCs w:val="24"/>
          <w:lang w:val="en-GB"/>
        </w:rPr>
        <w:t xml:space="preserve">The impact assessment of the additional, planned policies and measures, quantified with the use of the modelling tools, is presented in the current chapter. As was mentioned before, this projection corresponds to the implementation of additional measures, aiming to reduce emissions and increase RES and EE by 2030 and is denoted as Scenario S in the following sections. In this scenario, a number of measures are put into place, aiming at a gradual reduction of emissions until 2030, and </w:t>
      </w:r>
      <w:r w:rsidR="006A7080">
        <w:rPr>
          <w:rFonts w:ascii="Times New Roman" w:hAnsi="Times New Roman" w:cs="Times New Roman"/>
          <w:sz w:val="24"/>
          <w:szCs w:val="24"/>
          <w:lang w:val="en-GB"/>
        </w:rPr>
        <w:t xml:space="preserve">until </w:t>
      </w:r>
      <w:r w:rsidRPr="00614438">
        <w:rPr>
          <w:rFonts w:ascii="Times New Roman" w:hAnsi="Times New Roman" w:cs="Times New Roman"/>
          <w:sz w:val="24"/>
          <w:szCs w:val="24"/>
          <w:lang w:val="en-GB"/>
        </w:rPr>
        <w:t>the process of decarbonization intensifie</w:t>
      </w:r>
      <w:r w:rsidR="006A7080">
        <w:rPr>
          <w:rFonts w:ascii="Times New Roman" w:hAnsi="Times New Roman" w:cs="Times New Roman"/>
          <w:sz w:val="24"/>
          <w:szCs w:val="24"/>
          <w:lang w:val="en-GB"/>
        </w:rPr>
        <w:t>s</w:t>
      </w:r>
      <w:r w:rsidRPr="00614438">
        <w:rPr>
          <w:rFonts w:ascii="Times New Roman" w:hAnsi="Times New Roman" w:cs="Times New Roman"/>
          <w:sz w:val="24"/>
          <w:szCs w:val="24"/>
          <w:lang w:val="en-GB"/>
        </w:rPr>
        <w:t xml:space="preserve">, </w:t>
      </w:r>
      <w:r w:rsidR="006A7080">
        <w:rPr>
          <w:rFonts w:ascii="Times New Roman" w:hAnsi="Times New Roman" w:cs="Times New Roman"/>
          <w:sz w:val="24"/>
          <w:szCs w:val="24"/>
          <w:lang w:val="en-GB"/>
        </w:rPr>
        <w:t xml:space="preserve">in order to focus </w:t>
      </w:r>
      <w:r w:rsidRPr="00614438">
        <w:rPr>
          <w:rFonts w:ascii="Times New Roman" w:hAnsi="Times New Roman" w:cs="Times New Roman"/>
          <w:sz w:val="24"/>
          <w:szCs w:val="24"/>
          <w:lang w:val="en-GB"/>
        </w:rPr>
        <w:t xml:space="preserve">afterwards </w:t>
      </w:r>
      <w:r w:rsidR="006A7080">
        <w:rPr>
          <w:rFonts w:ascii="Times New Roman" w:hAnsi="Times New Roman" w:cs="Times New Roman"/>
          <w:sz w:val="24"/>
          <w:szCs w:val="24"/>
          <w:lang w:val="en-GB"/>
        </w:rPr>
        <w:t>on</w:t>
      </w:r>
      <w:r w:rsidRPr="00614438">
        <w:rPr>
          <w:rFonts w:ascii="Times New Roman" w:hAnsi="Times New Roman" w:cs="Times New Roman"/>
          <w:sz w:val="24"/>
          <w:szCs w:val="24"/>
          <w:lang w:val="en-GB"/>
        </w:rPr>
        <w:t xml:space="preserve"> low emissions level by 2050. </w:t>
      </w:r>
    </w:p>
    <w:p w14:paraId="1B4B9448" w14:textId="77777777" w:rsidR="006A7080" w:rsidRDefault="006A7080" w:rsidP="00186ABD">
      <w:pPr>
        <w:ind w:firstLine="720"/>
        <w:jc w:val="both"/>
        <w:rPr>
          <w:rFonts w:ascii="Times New Roman" w:hAnsi="Times New Roman" w:cs="Times New Roman"/>
          <w:sz w:val="24"/>
          <w:szCs w:val="24"/>
          <w:lang w:val="en-GB"/>
        </w:rPr>
      </w:pPr>
      <w:r w:rsidRPr="006A7080">
        <w:rPr>
          <w:rFonts w:ascii="Times New Roman" w:hAnsi="Times New Roman" w:cs="Times New Roman"/>
          <w:sz w:val="24"/>
          <w:szCs w:val="24"/>
          <w:lang w:val="en-GB"/>
        </w:rPr>
        <w:t>Planned funds for the implementation of this plan will be provided in accordance with the balance possibilities of the budget of the Republic of Serbia.</w:t>
      </w:r>
    </w:p>
    <w:p w14:paraId="68B079F9" w14:textId="3D843C9D" w:rsidR="00614438" w:rsidRPr="00614438" w:rsidRDefault="00614438" w:rsidP="00186ABD">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 variation of scenario S, denoted as Scenario S-N considers the introduction of Nuclear Power Plants of a total capacity of 1,000 MW after 2040 in the Serbian power system, to examine their possible contribution to the decarbonisation pathway towards 2050. In the next sections</w:t>
      </w:r>
      <w:r w:rsidR="006A7080">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the projections for Scenario S are compared with the projections of scenario WEM (described in detail in Chapter 4) in order to show the extra effort which is required in each dimension for the achievement of the targets and objectives of the INECP.</w:t>
      </w:r>
    </w:p>
    <w:p w14:paraId="554438FF" w14:textId="3F0675EA" w:rsidR="00614438" w:rsidRPr="00614438" w:rsidRDefault="00614438" w:rsidP="00186ABD">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Some of the key inputs to this scenario include building renovations, which are actively promoted both for residential buildings (with 1% to 1.5% annual rate for multi-family buildings and 0.5% for single-family) and mainly public sector buildings (3.3% annual renovation rate until 2030) and other non-residential buildings (2.3% annual renovation rate until 2030)</w:t>
      </w:r>
      <w:r w:rsidR="00C74396">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w:t>
      </w:r>
      <w:r w:rsidR="00C74396">
        <w:rPr>
          <w:rFonts w:ascii="Times New Roman" w:hAnsi="Times New Roman" w:cs="Times New Roman"/>
          <w:sz w:val="24"/>
          <w:szCs w:val="24"/>
          <w:lang w:val="en-GB"/>
        </w:rPr>
        <w:t xml:space="preserve">with the </w:t>
      </w:r>
      <w:r w:rsidR="00C74396" w:rsidRPr="00C74396">
        <w:rPr>
          <w:rFonts w:ascii="Times New Roman" w:hAnsi="Times New Roman" w:cs="Times New Roman"/>
          <w:sz w:val="24"/>
          <w:szCs w:val="24"/>
          <w:lang w:val="en-GB"/>
        </w:rPr>
        <w:t xml:space="preserve">rate doubling </w:t>
      </w:r>
      <w:r w:rsidR="00C74396">
        <w:rPr>
          <w:rFonts w:ascii="Times New Roman" w:hAnsi="Times New Roman" w:cs="Times New Roman"/>
          <w:sz w:val="24"/>
          <w:szCs w:val="24"/>
          <w:lang w:val="en-GB"/>
        </w:rPr>
        <w:t xml:space="preserve">until </w:t>
      </w:r>
      <w:r w:rsidR="00C74396" w:rsidRPr="00C74396">
        <w:rPr>
          <w:rFonts w:ascii="Times New Roman" w:hAnsi="Times New Roman" w:cs="Times New Roman"/>
          <w:sz w:val="24"/>
          <w:szCs w:val="24"/>
          <w:lang w:val="en-GB"/>
        </w:rPr>
        <w:t>2050.</w:t>
      </w:r>
      <w:r w:rsidR="00C74396">
        <w:rPr>
          <w:rFonts w:ascii="Times New Roman" w:hAnsi="Times New Roman" w:cs="Times New Roman"/>
          <w:sz w:val="24"/>
          <w:szCs w:val="24"/>
          <w:lang w:val="en-GB"/>
        </w:rPr>
        <w:t xml:space="preserve"> The e</w:t>
      </w:r>
      <w:r w:rsidRPr="00614438">
        <w:rPr>
          <w:rFonts w:ascii="Times New Roman" w:hAnsi="Times New Roman" w:cs="Times New Roman"/>
          <w:sz w:val="24"/>
          <w:szCs w:val="24"/>
          <w:lang w:val="en-GB"/>
        </w:rPr>
        <w:t>lectrification of heating and transport is coupled with increased share of RES in electricity generation, while renewable</w:t>
      </w:r>
      <w:r w:rsidRPr="00614438">
        <w:rPr>
          <w:rFonts w:ascii="Times New Roman" w:hAnsi="Times New Roman" w:cs="Times New Roman"/>
          <w:sz w:val="24"/>
          <w:szCs w:val="24"/>
        </w:rPr>
        <w:t xml:space="preserve"> </w:t>
      </w:r>
      <w:r w:rsidRPr="00614438">
        <w:rPr>
          <w:rFonts w:ascii="Times New Roman" w:hAnsi="Times New Roman" w:cs="Times New Roman"/>
          <w:sz w:val="24"/>
          <w:szCs w:val="24"/>
          <w:lang w:val="en-GB"/>
        </w:rPr>
        <w:t>hydrogen is introduced initially in demonstration projects and after 2030 in larger quantities. Biomethane is gradually introduced in the thermal applications and included in blending with natural gas, together with renewable hydrogen after 2030.</w:t>
      </w:r>
    </w:p>
    <w:p w14:paraId="463D19AA" w14:textId="7042E5ED" w:rsidR="00C74396" w:rsidRPr="00614438" w:rsidRDefault="00614438" w:rsidP="00C7439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Carbon pricing is included in this </w:t>
      </w:r>
      <w:r w:rsidR="00C74396">
        <w:rPr>
          <w:rFonts w:ascii="Times New Roman" w:hAnsi="Times New Roman" w:cs="Times New Roman"/>
          <w:sz w:val="24"/>
          <w:szCs w:val="24"/>
          <w:lang w:val="en-GB"/>
        </w:rPr>
        <w:t xml:space="preserve">set of </w:t>
      </w:r>
      <w:r w:rsidRPr="00614438">
        <w:rPr>
          <w:rFonts w:ascii="Times New Roman" w:hAnsi="Times New Roman" w:cs="Times New Roman"/>
          <w:sz w:val="24"/>
          <w:szCs w:val="24"/>
          <w:lang w:val="en-GB"/>
        </w:rPr>
        <w:t>scenario</w:t>
      </w:r>
      <w:r w:rsidR="00C74396">
        <w:rPr>
          <w:rFonts w:ascii="Times New Roman" w:hAnsi="Times New Roman" w:cs="Times New Roman"/>
          <w:sz w:val="24"/>
          <w:szCs w:val="24"/>
          <w:lang w:val="en-GB"/>
        </w:rPr>
        <w:t>s</w:t>
      </w:r>
      <w:r w:rsidRPr="00614438">
        <w:rPr>
          <w:rFonts w:ascii="Times New Roman" w:hAnsi="Times New Roman" w:cs="Times New Roman"/>
          <w:sz w:val="24"/>
          <w:szCs w:val="24"/>
          <w:lang w:val="en-GB"/>
        </w:rPr>
        <w:t xml:space="preserve"> for the sectors which are identified in the EU-ETS scheme according to the values in table</w:t>
      </w:r>
      <w:r w:rsidR="00C74396">
        <w:rPr>
          <w:rFonts w:ascii="Times New Roman" w:hAnsi="Times New Roman" w:cs="Times New Roman"/>
          <w:sz w:val="24"/>
          <w:szCs w:val="24"/>
          <w:lang w:val="en-GB"/>
        </w:rPr>
        <w:t xml:space="preserve"> 5.1</w:t>
      </w:r>
      <w:r w:rsidRPr="00614438">
        <w:rPr>
          <w:rFonts w:ascii="Times New Roman" w:hAnsi="Times New Roman" w:cs="Times New Roman"/>
          <w:sz w:val="24"/>
          <w:szCs w:val="24"/>
          <w:lang w:val="en-GB"/>
        </w:rPr>
        <w:t xml:space="preserve">. </w:t>
      </w:r>
      <w:r w:rsidR="00C74396" w:rsidRPr="00C74396">
        <w:rPr>
          <w:rFonts w:ascii="Times New Roman" w:hAnsi="Times New Roman" w:cs="Times New Roman"/>
          <w:sz w:val="24"/>
          <w:szCs w:val="24"/>
          <w:lang w:val="en-GB"/>
        </w:rPr>
        <w:t>The basic assumption is that the price of CO2 emissions is introduced in 2027 at a low rate of €4/t, and that it is then increased to €40/t in 2030, which corresponds to half of the EU-ETS price projected in the "Recommended parameters for reporting on GHG projections in 2023" (EC DG Climate Action), and to reach the full projected cost of the EU-ETS by 2045.</w:t>
      </w:r>
    </w:p>
    <w:p w14:paraId="29781C0B" w14:textId="77777777" w:rsidR="00614438" w:rsidRPr="00614438" w:rsidRDefault="00614438" w:rsidP="00614438">
      <w:pPr>
        <w:jc w:val="both"/>
        <w:rPr>
          <w:rFonts w:ascii="Times New Roman" w:hAnsi="Times New Roman" w:cs="Times New Roman"/>
          <w:sz w:val="24"/>
          <w:szCs w:val="24"/>
          <w:lang w:val="en-GB"/>
        </w:rPr>
      </w:pPr>
      <w:bookmarkStart w:id="390" w:name="_Toc153545075"/>
      <w:r w:rsidRPr="00614438">
        <w:rPr>
          <w:rFonts w:ascii="Times New Roman" w:hAnsi="Times New Roman" w:cs="Times New Roman"/>
          <w:sz w:val="24"/>
          <w:szCs w:val="24"/>
          <w:lang w:val="en-GB"/>
        </w:rPr>
        <w:t xml:space="preserve">Table </w:t>
      </w:r>
      <w:r w:rsidR="00C83251" w:rsidRPr="00614438">
        <w:rPr>
          <w:rFonts w:ascii="Times New Roman" w:hAnsi="Times New Roman" w:cs="Times New Roman"/>
          <w:sz w:val="24"/>
          <w:szCs w:val="24"/>
          <w:lang w:val="en-GB"/>
        </w:rPr>
        <w:fldChar w:fldCharType="begin"/>
      </w:r>
      <w:r w:rsidRPr="00614438">
        <w:rPr>
          <w:rFonts w:ascii="Times New Roman" w:hAnsi="Times New Roman" w:cs="Times New Roman"/>
          <w:sz w:val="24"/>
          <w:szCs w:val="24"/>
          <w:lang w:val="en-GB"/>
        </w:rPr>
        <w:instrText xml:space="preserve"> STYLEREF 1 \s </w:instrText>
      </w:r>
      <w:r w:rsidR="00C83251" w:rsidRPr="00614438">
        <w:rPr>
          <w:rFonts w:ascii="Times New Roman" w:hAnsi="Times New Roman" w:cs="Times New Roman"/>
          <w:sz w:val="24"/>
          <w:szCs w:val="24"/>
          <w:lang w:val="en-GB"/>
        </w:rPr>
        <w:fldChar w:fldCharType="separate"/>
      </w:r>
      <w:r w:rsidRPr="00614438">
        <w:rPr>
          <w:rFonts w:ascii="Times New Roman" w:hAnsi="Times New Roman" w:cs="Times New Roman"/>
          <w:sz w:val="24"/>
          <w:szCs w:val="24"/>
          <w:lang w:val="en-GB"/>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lang w:val="en-GB"/>
        </w:rPr>
        <w:t>.</w:t>
      </w:r>
      <w:r w:rsidR="00C83251" w:rsidRPr="00614438">
        <w:rPr>
          <w:rFonts w:ascii="Times New Roman" w:hAnsi="Times New Roman" w:cs="Times New Roman"/>
          <w:sz w:val="24"/>
          <w:szCs w:val="24"/>
          <w:lang w:val="en-GB"/>
        </w:rPr>
        <w:fldChar w:fldCharType="begin"/>
      </w:r>
      <w:r w:rsidRPr="00614438">
        <w:rPr>
          <w:rFonts w:ascii="Times New Roman" w:hAnsi="Times New Roman" w:cs="Times New Roman"/>
          <w:sz w:val="24"/>
          <w:szCs w:val="24"/>
          <w:lang w:val="en-GB"/>
        </w:rPr>
        <w:instrText xml:space="preserve"> SEQ Table \* ARABIC \s 1 </w:instrText>
      </w:r>
      <w:r w:rsidR="00C83251" w:rsidRPr="00614438">
        <w:rPr>
          <w:rFonts w:ascii="Times New Roman" w:hAnsi="Times New Roman" w:cs="Times New Roman"/>
          <w:sz w:val="24"/>
          <w:szCs w:val="24"/>
          <w:lang w:val="en-GB"/>
        </w:rPr>
        <w:fldChar w:fldCharType="separate"/>
      </w:r>
      <w:r w:rsidRPr="00614438">
        <w:rPr>
          <w:rFonts w:ascii="Times New Roman" w:hAnsi="Times New Roman" w:cs="Times New Roman"/>
          <w:sz w:val="24"/>
          <w:szCs w:val="24"/>
          <w:lang w:val="en-GB"/>
        </w:rPr>
        <w:t>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lang w:val="en-GB"/>
        </w:rPr>
        <w:t>: Carbon pricing projections</w:t>
      </w:r>
      <w:bookmarkEnd w:id="390"/>
    </w:p>
    <w:tbl>
      <w:tblPr>
        <w:tblW w:w="5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905"/>
        <w:gridCol w:w="905"/>
        <w:gridCol w:w="905"/>
        <w:gridCol w:w="905"/>
        <w:gridCol w:w="905"/>
      </w:tblGrid>
      <w:tr w:rsidR="00614438" w:rsidRPr="00614438" w14:paraId="18FB6297" w14:textId="77777777" w:rsidTr="00614438">
        <w:trPr>
          <w:trHeight w:val="353"/>
          <w:jc w:val="center"/>
        </w:trPr>
        <w:tc>
          <w:tcPr>
            <w:tcW w:w="1165" w:type="dxa"/>
            <w:tcBorders>
              <w:top w:val="single" w:sz="4" w:space="0" w:color="auto"/>
              <w:left w:val="single" w:sz="4" w:space="0" w:color="auto"/>
              <w:bottom w:val="single" w:sz="4" w:space="0" w:color="auto"/>
              <w:right w:val="single" w:sz="4" w:space="0" w:color="auto"/>
            </w:tcBorders>
            <w:vAlign w:val="center"/>
            <w:hideMark/>
          </w:tcPr>
          <w:p w14:paraId="7FD8ADA1" w14:textId="77777777" w:rsidR="00614438" w:rsidRPr="00614438" w:rsidRDefault="00614438" w:rsidP="00614438">
            <w:pPr>
              <w:jc w:val="both"/>
              <w:rPr>
                <w:rFonts w:ascii="Times New Roman" w:hAnsi="Times New Roman" w:cs="Times New Roman"/>
                <w:sz w:val="24"/>
                <w:szCs w:val="24"/>
                <w:lang w:val="en-GB"/>
              </w:rPr>
            </w:pPr>
          </w:p>
        </w:tc>
        <w:tc>
          <w:tcPr>
            <w:tcW w:w="926" w:type="dxa"/>
            <w:tcBorders>
              <w:top w:val="single" w:sz="4" w:space="0" w:color="auto"/>
              <w:left w:val="single" w:sz="4" w:space="0" w:color="auto"/>
              <w:bottom w:val="single" w:sz="4" w:space="0" w:color="auto"/>
              <w:right w:val="single" w:sz="4" w:space="0" w:color="auto"/>
            </w:tcBorders>
            <w:vAlign w:val="center"/>
            <w:hideMark/>
          </w:tcPr>
          <w:p w14:paraId="3689FF50"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2030</w:t>
            </w:r>
          </w:p>
        </w:tc>
        <w:tc>
          <w:tcPr>
            <w:tcW w:w="926" w:type="dxa"/>
            <w:tcBorders>
              <w:top w:val="single" w:sz="4" w:space="0" w:color="auto"/>
              <w:left w:val="single" w:sz="4" w:space="0" w:color="auto"/>
              <w:bottom w:val="single" w:sz="4" w:space="0" w:color="auto"/>
              <w:right w:val="single" w:sz="4" w:space="0" w:color="auto"/>
            </w:tcBorders>
            <w:vAlign w:val="center"/>
            <w:hideMark/>
          </w:tcPr>
          <w:p w14:paraId="6714636C"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2035</w:t>
            </w:r>
          </w:p>
        </w:tc>
        <w:tc>
          <w:tcPr>
            <w:tcW w:w="926" w:type="dxa"/>
            <w:tcBorders>
              <w:top w:val="single" w:sz="4" w:space="0" w:color="auto"/>
              <w:left w:val="single" w:sz="4" w:space="0" w:color="auto"/>
              <w:bottom w:val="single" w:sz="4" w:space="0" w:color="auto"/>
              <w:right w:val="single" w:sz="4" w:space="0" w:color="auto"/>
            </w:tcBorders>
            <w:vAlign w:val="center"/>
            <w:hideMark/>
          </w:tcPr>
          <w:p w14:paraId="14370B64"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2040</w:t>
            </w:r>
          </w:p>
        </w:tc>
        <w:tc>
          <w:tcPr>
            <w:tcW w:w="926" w:type="dxa"/>
            <w:tcBorders>
              <w:top w:val="single" w:sz="4" w:space="0" w:color="auto"/>
              <w:left w:val="single" w:sz="4" w:space="0" w:color="auto"/>
              <w:bottom w:val="single" w:sz="4" w:space="0" w:color="auto"/>
              <w:right w:val="single" w:sz="4" w:space="0" w:color="auto"/>
            </w:tcBorders>
            <w:vAlign w:val="center"/>
            <w:hideMark/>
          </w:tcPr>
          <w:p w14:paraId="1EBCB70C"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2045</w:t>
            </w:r>
          </w:p>
        </w:tc>
        <w:tc>
          <w:tcPr>
            <w:tcW w:w="926" w:type="dxa"/>
            <w:tcBorders>
              <w:top w:val="single" w:sz="4" w:space="0" w:color="auto"/>
              <w:left w:val="single" w:sz="4" w:space="0" w:color="auto"/>
              <w:bottom w:val="single" w:sz="4" w:space="0" w:color="auto"/>
              <w:right w:val="single" w:sz="4" w:space="0" w:color="auto"/>
            </w:tcBorders>
            <w:vAlign w:val="center"/>
            <w:hideMark/>
          </w:tcPr>
          <w:p w14:paraId="48C71848"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2050</w:t>
            </w:r>
          </w:p>
        </w:tc>
      </w:tr>
      <w:tr w:rsidR="00614438" w:rsidRPr="00614438" w14:paraId="2276B2EE" w14:textId="77777777" w:rsidTr="00614438">
        <w:trPr>
          <w:trHeight w:val="85"/>
          <w:jc w:val="center"/>
        </w:trPr>
        <w:tc>
          <w:tcPr>
            <w:tcW w:w="1165" w:type="dxa"/>
            <w:tcBorders>
              <w:top w:val="single" w:sz="4" w:space="0" w:color="auto"/>
              <w:left w:val="single" w:sz="4" w:space="0" w:color="auto"/>
              <w:bottom w:val="single" w:sz="4" w:space="0" w:color="auto"/>
              <w:right w:val="single" w:sz="4" w:space="0" w:color="auto"/>
            </w:tcBorders>
            <w:vAlign w:val="center"/>
            <w:hideMark/>
          </w:tcPr>
          <w:p w14:paraId="7F020BED"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Euro/tCO2</w:t>
            </w:r>
          </w:p>
        </w:tc>
        <w:tc>
          <w:tcPr>
            <w:tcW w:w="926" w:type="dxa"/>
            <w:tcBorders>
              <w:top w:val="single" w:sz="4" w:space="0" w:color="auto"/>
              <w:left w:val="single" w:sz="4" w:space="0" w:color="auto"/>
              <w:bottom w:val="single" w:sz="4" w:space="0" w:color="auto"/>
              <w:right w:val="single" w:sz="4" w:space="0" w:color="auto"/>
            </w:tcBorders>
            <w:vAlign w:val="center"/>
            <w:hideMark/>
          </w:tcPr>
          <w:p w14:paraId="0C907178"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40</w:t>
            </w:r>
          </w:p>
        </w:tc>
        <w:tc>
          <w:tcPr>
            <w:tcW w:w="926" w:type="dxa"/>
            <w:tcBorders>
              <w:top w:val="single" w:sz="4" w:space="0" w:color="auto"/>
              <w:left w:val="single" w:sz="4" w:space="0" w:color="auto"/>
              <w:bottom w:val="single" w:sz="4" w:space="0" w:color="auto"/>
              <w:right w:val="single" w:sz="4" w:space="0" w:color="auto"/>
            </w:tcBorders>
            <w:vAlign w:val="center"/>
            <w:hideMark/>
          </w:tcPr>
          <w:p w14:paraId="1C5DD180"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41</w:t>
            </w:r>
          </w:p>
        </w:tc>
        <w:tc>
          <w:tcPr>
            <w:tcW w:w="926" w:type="dxa"/>
            <w:tcBorders>
              <w:top w:val="single" w:sz="4" w:space="0" w:color="auto"/>
              <w:left w:val="single" w:sz="4" w:space="0" w:color="auto"/>
              <w:bottom w:val="single" w:sz="4" w:space="0" w:color="auto"/>
              <w:right w:val="single" w:sz="4" w:space="0" w:color="auto"/>
            </w:tcBorders>
            <w:vAlign w:val="center"/>
            <w:hideMark/>
          </w:tcPr>
          <w:p w14:paraId="563AEB39"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45</w:t>
            </w:r>
          </w:p>
        </w:tc>
        <w:tc>
          <w:tcPr>
            <w:tcW w:w="926" w:type="dxa"/>
            <w:tcBorders>
              <w:top w:val="single" w:sz="4" w:space="0" w:color="auto"/>
              <w:left w:val="single" w:sz="4" w:space="0" w:color="auto"/>
              <w:bottom w:val="single" w:sz="4" w:space="0" w:color="auto"/>
              <w:right w:val="single" w:sz="4" w:space="0" w:color="auto"/>
            </w:tcBorders>
            <w:vAlign w:val="center"/>
            <w:hideMark/>
          </w:tcPr>
          <w:p w14:paraId="2D5ECDBD"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130</w:t>
            </w:r>
          </w:p>
        </w:tc>
        <w:tc>
          <w:tcPr>
            <w:tcW w:w="926" w:type="dxa"/>
            <w:tcBorders>
              <w:top w:val="single" w:sz="4" w:space="0" w:color="auto"/>
              <w:left w:val="single" w:sz="4" w:space="0" w:color="auto"/>
              <w:bottom w:val="single" w:sz="4" w:space="0" w:color="auto"/>
              <w:right w:val="single" w:sz="4" w:space="0" w:color="auto"/>
            </w:tcBorders>
            <w:vAlign w:val="center"/>
            <w:hideMark/>
          </w:tcPr>
          <w:p w14:paraId="290791F2"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160</w:t>
            </w:r>
          </w:p>
        </w:tc>
      </w:tr>
    </w:tbl>
    <w:p w14:paraId="3EBB08E9" w14:textId="77777777" w:rsidR="00614438" w:rsidRPr="00614438" w:rsidRDefault="00614438" w:rsidP="00614438">
      <w:pPr>
        <w:jc w:val="both"/>
        <w:rPr>
          <w:rFonts w:ascii="Times New Roman" w:hAnsi="Times New Roman" w:cs="Times New Roman"/>
          <w:sz w:val="24"/>
          <w:szCs w:val="24"/>
          <w:lang w:val="en-GB"/>
        </w:rPr>
      </w:pPr>
    </w:p>
    <w:p w14:paraId="2851B22E" w14:textId="517BB2C0" w:rsidR="00614438" w:rsidRPr="00614438" w:rsidRDefault="00614438" w:rsidP="00C7439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assumptions regarding the key exogenous parameters that are driving the development of the energy sector and emissions</w:t>
      </w:r>
      <w:r w:rsidR="00C74396">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as well as international fuel prices and evolution of costs of technologies are the same as those used in the WEM scenario, as shown in Chapter 4.1.</w:t>
      </w:r>
    </w:p>
    <w:p w14:paraId="612D58E3" w14:textId="5C357A6A" w:rsidR="00614438" w:rsidRPr="00614438" w:rsidRDefault="00C74396" w:rsidP="00C74396">
      <w:pPr>
        <w:ind w:left="1440" w:firstLine="720"/>
        <w:jc w:val="center"/>
        <w:rPr>
          <w:rFonts w:ascii="Times New Roman" w:hAnsi="Times New Roman" w:cs="Times New Roman"/>
          <w:sz w:val="24"/>
          <w:szCs w:val="24"/>
          <w:lang w:val="en-GB"/>
        </w:rPr>
      </w:pPr>
      <w:bookmarkStart w:id="391" w:name="_Toc153545058"/>
      <w:bookmarkStart w:id="392" w:name="_Toc118991786"/>
      <w:r>
        <w:rPr>
          <w:rFonts w:ascii="Times New Roman" w:hAnsi="Times New Roman" w:cs="Times New Roman"/>
          <w:sz w:val="24"/>
          <w:szCs w:val="24"/>
          <w:lang w:val="en-GB"/>
        </w:rPr>
        <w:t>5.1 The i</w:t>
      </w:r>
      <w:r w:rsidR="00614438" w:rsidRPr="00614438">
        <w:rPr>
          <w:rFonts w:ascii="Times New Roman" w:hAnsi="Times New Roman" w:cs="Times New Roman"/>
          <w:sz w:val="24"/>
          <w:szCs w:val="24"/>
          <w:lang w:val="en-GB"/>
        </w:rPr>
        <w:t>mpacts of planned policies and measures described on energy system and GHG emissions and removals</w:t>
      </w:r>
      <w:bookmarkEnd w:id="391"/>
      <w:r>
        <w:rPr>
          <w:rFonts w:ascii="Times New Roman" w:hAnsi="Times New Roman" w:cs="Times New Roman"/>
          <w:sz w:val="24"/>
          <w:szCs w:val="24"/>
          <w:lang w:val="en-GB"/>
        </w:rPr>
        <w:t xml:space="preserve">, </w:t>
      </w:r>
      <w:r w:rsidRPr="00C74396">
        <w:rPr>
          <w:rFonts w:ascii="Times New Roman" w:hAnsi="Times New Roman" w:cs="Times New Roman"/>
          <w:sz w:val="24"/>
          <w:szCs w:val="24"/>
          <w:lang w:val="en-GB"/>
        </w:rPr>
        <w:t xml:space="preserve">including comparison </w:t>
      </w:r>
      <w:r>
        <w:rPr>
          <w:rFonts w:ascii="Times New Roman" w:hAnsi="Times New Roman" w:cs="Times New Roman"/>
          <w:sz w:val="24"/>
          <w:szCs w:val="24"/>
          <w:lang w:val="en-GB"/>
        </w:rPr>
        <w:t>with</w:t>
      </w:r>
      <w:r w:rsidRPr="00C74396">
        <w:rPr>
          <w:rFonts w:ascii="Times New Roman" w:hAnsi="Times New Roman" w:cs="Times New Roman"/>
          <w:sz w:val="24"/>
          <w:szCs w:val="24"/>
          <w:lang w:val="en-GB"/>
        </w:rPr>
        <w:t xml:space="preserve"> projections </w:t>
      </w:r>
      <w:r>
        <w:rPr>
          <w:rFonts w:ascii="Times New Roman" w:hAnsi="Times New Roman" w:cs="Times New Roman"/>
          <w:sz w:val="24"/>
          <w:szCs w:val="24"/>
          <w:lang w:val="en-GB"/>
        </w:rPr>
        <w:t xml:space="preserve">regarding </w:t>
      </w:r>
      <w:r w:rsidRPr="00C74396">
        <w:rPr>
          <w:rFonts w:ascii="Times New Roman" w:hAnsi="Times New Roman" w:cs="Times New Roman"/>
          <w:sz w:val="24"/>
          <w:szCs w:val="24"/>
          <w:lang w:val="en-GB"/>
        </w:rPr>
        <w:t>existing policies and measures</w:t>
      </w:r>
    </w:p>
    <w:p w14:paraId="23B7F5ED" w14:textId="77777777" w:rsidR="00614438" w:rsidRPr="00614438" w:rsidRDefault="00614438" w:rsidP="00C7439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The overall GHG emissions, including agriculture, waste and LULUCF (The projection of emissions from agriculture, waste and LULUCF are taken from scenario M2 of the Climate Strategy and Action Plan, elaborated by the Ministry of Environmental Protection), present a different trend between WEM and scenarios S and S-N by 2050. More specifically, the overall GHG emissions in WEM are expected to increase from 2026 to 2045 before decreasing in 2050, while the total GHG emissions in scenarios S and S-N are moving constantly downwards over 2026-2050; at a lower pace by 2029 and at a higher one between 2030 and 2050.</w:t>
      </w:r>
    </w:p>
    <w:p w14:paraId="6362496E" w14:textId="4172A123" w:rsidR="00614438" w:rsidRPr="00614438" w:rsidRDefault="00614438" w:rsidP="008D3330">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total GHG emissions, including agriculture, waste and LULUCF, stood at 47,76</w:t>
      </w:r>
      <w:r w:rsidR="00421F8A">
        <w:rPr>
          <w:rFonts w:ascii="Times New Roman" w:hAnsi="Times New Roman" w:cs="Times New Roman"/>
          <w:sz w:val="24"/>
          <w:szCs w:val="24"/>
          <w:lang w:val="en-GB"/>
        </w:rPr>
        <w:t>2</w:t>
      </w:r>
      <w:r w:rsidRPr="00614438">
        <w:rPr>
          <w:rFonts w:ascii="Times New Roman" w:hAnsi="Times New Roman" w:cs="Times New Roman"/>
          <w:sz w:val="24"/>
          <w:szCs w:val="24"/>
          <w:lang w:val="en-GB"/>
        </w:rPr>
        <w:t xml:space="preserve"> ktons of CO2-eq in 2030 in both scenarios S and S-N (</w:t>
      </w:r>
      <w:r w:rsidR="00FA29EF">
        <w:fldChar w:fldCharType="begin"/>
      </w:r>
      <w:r w:rsidR="00FA29EF">
        <w:instrText xml:space="preserve"> REF _Ref153466178 \h  \* MERGEFORMAT </w:instrText>
      </w:r>
      <w:r w:rsidR="00FA29EF">
        <w:fldChar w:fldCharType="separate"/>
      </w:r>
      <w:r w:rsidRPr="00614438">
        <w:rPr>
          <w:rFonts w:ascii="Times New Roman" w:hAnsi="Times New Roman" w:cs="Times New Roman"/>
          <w:sz w:val="24"/>
          <w:szCs w:val="24"/>
          <w:lang w:val="en-GB"/>
        </w:rPr>
        <w:t>Figure 5.1</w:t>
      </w:r>
      <w:r w:rsidR="00FA29EF">
        <w:fldChar w:fldCharType="end"/>
      </w:r>
      <w:r w:rsidRPr="00614438">
        <w:rPr>
          <w:rFonts w:ascii="Times New Roman" w:hAnsi="Times New Roman" w:cs="Times New Roman"/>
          <w:sz w:val="24"/>
          <w:szCs w:val="24"/>
          <w:lang w:val="en-GB"/>
        </w:rPr>
        <w:t>). A reduction of 40% in 2030 has been recorded in scenarios S and S-N (</w:t>
      </w:r>
      <w:r w:rsidR="00FA29EF">
        <w:fldChar w:fldCharType="begin"/>
      </w:r>
      <w:r w:rsidR="00FA29EF">
        <w:instrText xml:space="preserve"> REF _Ref153466295 \h  \* MERGEFORMAT </w:instrText>
      </w:r>
      <w:r w:rsidR="00FA29EF">
        <w:fldChar w:fldCharType="separate"/>
      </w:r>
      <w:r w:rsidRPr="00614438">
        <w:rPr>
          <w:rFonts w:ascii="Times New Roman" w:hAnsi="Times New Roman" w:cs="Times New Roman"/>
          <w:sz w:val="24"/>
          <w:szCs w:val="24"/>
          <w:lang w:val="en-GB"/>
        </w:rPr>
        <w:t>Figure 5.2</w:t>
      </w:r>
      <w:r w:rsidR="00FA29EF">
        <w:fldChar w:fldCharType="end"/>
      </w:r>
      <w:r w:rsidR="00C83251" w:rsidRPr="00614438">
        <w:rPr>
          <w:rFonts w:ascii="Times New Roman" w:hAnsi="Times New Roman" w:cs="Times New Roman"/>
          <w:sz w:val="24"/>
          <w:szCs w:val="24"/>
          <w:lang w:val="en-GB"/>
        </w:rPr>
        <w:fldChar w:fldCharType="begin"/>
      </w:r>
      <w:r w:rsidRPr="00614438">
        <w:rPr>
          <w:rFonts w:ascii="Times New Roman" w:hAnsi="Times New Roman" w:cs="Times New Roman"/>
          <w:sz w:val="24"/>
          <w:szCs w:val="24"/>
          <w:lang w:val="en-GB"/>
        </w:rPr>
        <w:instrText xml:space="preserve"> REF _Ref153466187 \h  \* MERGEFORMAT </w:instrText>
      </w:r>
      <w:r w:rsidR="00C83251" w:rsidRPr="00614438">
        <w:rPr>
          <w:rFonts w:ascii="Times New Roman" w:hAnsi="Times New Roman" w:cs="Times New Roman"/>
          <w:sz w:val="24"/>
          <w:szCs w:val="24"/>
          <w:lang w:val="en-GB"/>
        </w:rPr>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lang w:val="en-GB"/>
        </w:rPr>
        <w:t>), compared to the 1990 levels</w:t>
      </w:r>
      <w:r w:rsidR="00421F8A">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due to the increased penetration of RES and the implementation of energy efficiency measures, while at the same time a reduction of 19% is recorded in 2030 </w:t>
      </w:r>
      <w:r w:rsidR="006228AB">
        <w:rPr>
          <w:rFonts w:ascii="Times New Roman" w:hAnsi="Times New Roman" w:cs="Times New Roman"/>
          <w:sz w:val="24"/>
          <w:szCs w:val="24"/>
          <w:lang w:val="en-GB"/>
        </w:rPr>
        <w:t>in the</w:t>
      </w:r>
      <w:r w:rsidRPr="00614438">
        <w:rPr>
          <w:rFonts w:ascii="Times New Roman" w:hAnsi="Times New Roman" w:cs="Times New Roman"/>
          <w:sz w:val="24"/>
          <w:szCs w:val="24"/>
          <w:lang w:val="en-GB"/>
        </w:rPr>
        <w:t xml:space="preserve"> WEM scenario, compared to 1990.</w:t>
      </w:r>
    </w:p>
    <w:p w14:paraId="4CA7F3FA" w14:textId="7BDF9B18" w:rsidR="00614438" w:rsidRDefault="00614438" w:rsidP="00421F8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2050, the total GHG emissions, including agriculture, waste and LULUCF, reach 21,330 ktons of CO2-eq in scenario S and 19,745 ktons of CO2-eq in scenario S-N. A reduction of 73% and 75% has been recorded in scenarios S and S-N in 2050, compared to the 1990, while the corresponding decline in </w:t>
      </w:r>
      <w:r w:rsidR="006228AB">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WEM scenario compared to 1990 is equal to 9% demonstrating the impact of the additional policies and measures.</w:t>
      </w:r>
    </w:p>
    <w:p w14:paraId="32425136" w14:textId="2413E422" w:rsidR="00421F8A" w:rsidRPr="00614438" w:rsidRDefault="00421F8A" w:rsidP="00421F8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scenarios S and S-N, the GHG emissions from energy use, processes, and fugitive emissions are equal to 47,477 ktons of CO2-eq in 2030</w:t>
      </w:r>
      <w:r>
        <w:rPr>
          <w:rFonts w:ascii="Times New Roman" w:hAnsi="Times New Roman" w:cs="Times New Roman"/>
          <w:sz w:val="24"/>
          <w:szCs w:val="24"/>
          <w:lang w:val="en-GB"/>
        </w:rPr>
        <w:t xml:space="preserve"> (Figure 5.3)</w:t>
      </w:r>
      <w:r w:rsidRPr="00614438">
        <w:rPr>
          <w:rFonts w:ascii="Times New Roman" w:hAnsi="Times New Roman" w:cs="Times New Roman"/>
          <w:sz w:val="24"/>
          <w:szCs w:val="24"/>
        </w:rPr>
        <w:t xml:space="preserve">. </w:t>
      </w:r>
      <w:r w:rsidRPr="00614438">
        <w:rPr>
          <w:rFonts w:ascii="Times New Roman" w:hAnsi="Times New Roman" w:cs="Times New Roman"/>
          <w:sz w:val="24"/>
          <w:szCs w:val="24"/>
          <w:lang w:val="en-GB"/>
        </w:rPr>
        <w:t xml:space="preserve">A reduction of 34% in 2030 has been noted in scenarios S and S-N, compared to the 1990 </w:t>
      </w:r>
      <w:r>
        <w:rPr>
          <w:rFonts w:ascii="Times New Roman" w:hAnsi="Times New Roman" w:cs="Times New Roman"/>
          <w:sz w:val="24"/>
          <w:szCs w:val="24"/>
          <w:lang w:val="en-GB"/>
        </w:rPr>
        <w:t>(Figure 5.4)</w:t>
      </w:r>
      <w:r w:rsidRPr="00614438">
        <w:rPr>
          <w:rFonts w:ascii="Times New Roman" w:hAnsi="Times New Roman" w:cs="Times New Roman"/>
          <w:sz w:val="24"/>
          <w:szCs w:val="24"/>
        </w:rPr>
        <w:t xml:space="preserve"> </w:t>
      </w:r>
      <w:r w:rsidRPr="00614438">
        <w:rPr>
          <w:rFonts w:ascii="Times New Roman" w:hAnsi="Times New Roman" w:cs="Times New Roman"/>
          <w:sz w:val="24"/>
          <w:szCs w:val="24"/>
          <w:lang w:val="en-GB"/>
        </w:rPr>
        <w:t xml:space="preserve">due to the increased penetration of RES and the implementation of energy efficiency measures, while at the same time a reduction of 10% is recorded in 2030 in </w:t>
      </w:r>
      <w:r w:rsidR="006228AB">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WEM scenario, compared to the 1990.</w:t>
      </w:r>
    </w:p>
    <w:p w14:paraId="31A471F4" w14:textId="18C03797" w:rsidR="00421F8A" w:rsidRPr="00614438" w:rsidRDefault="00421F8A" w:rsidP="00421F8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Although the projected GHG emissions from energy use, processes, and fugitive decrease by 52% in both scenarios S and S-N in 2040, compared to the 1990, they are differentiated in 2050 leading to 18,376 ktons of CO2-eq in scenario S and 16,791 ktons of CO2-eq in scenario S-N due to the introduction of the nuclear power plants in scenario S-N. A reduction of 74% and 77% </w:t>
      </w:r>
      <w:r>
        <w:rPr>
          <w:rFonts w:ascii="Times New Roman" w:hAnsi="Times New Roman" w:cs="Times New Roman"/>
          <w:sz w:val="24"/>
          <w:szCs w:val="24"/>
          <w:lang w:val="en-GB"/>
        </w:rPr>
        <w:t xml:space="preserve">respectively </w:t>
      </w:r>
      <w:r w:rsidRPr="00614438">
        <w:rPr>
          <w:rFonts w:ascii="Times New Roman" w:hAnsi="Times New Roman" w:cs="Times New Roman"/>
          <w:sz w:val="24"/>
          <w:szCs w:val="24"/>
          <w:lang w:val="en-GB"/>
        </w:rPr>
        <w:t xml:space="preserve">has been recorded in scenarios S and S-N respectively in 2050, compared to the 1990, while the corresponding decline in </w:t>
      </w:r>
      <w:r w:rsidR="006228AB">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WEM scenario compared to 1990 is equal to 2% demonstrating the impact of the additional policies and measures.</w:t>
      </w:r>
    </w:p>
    <w:p w14:paraId="685B2C66" w14:textId="77777777" w:rsidR="00421F8A" w:rsidRDefault="00421F8A" w:rsidP="00421F8A">
      <w:pPr>
        <w:ind w:firstLine="720"/>
        <w:jc w:val="both"/>
        <w:rPr>
          <w:rFonts w:ascii="Times New Roman" w:hAnsi="Times New Roman" w:cs="Times New Roman"/>
          <w:sz w:val="24"/>
          <w:szCs w:val="24"/>
          <w:lang w:val="en-GB"/>
        </w:rPr>
      </w:pPr>
    </w:p>
    <w:p w14:paraId="3628B5FC" w14:textId="77777777" w:rsidR="00421F8A" w:rsidRDefault="00421F8A" w:rsidP="00421F8A">
      <w:pPr>
        <w:ind w:firstLine="720"/>
        <w:jc w:val="both"/>
        <w:rPr>
          <w:rFonts w:ascii="Times New Roman" w:hAnsi="Times New Roman" w:cs="Times New Roman"/>
          <w:sz w:val="24"/>
          <w:szCs w:val="24"/>
          <w:lang w:val="en-GB"/>
        </w:rPr>
      </w:pPr>
    </w:p>
    <w:p w14:paraId="2EC9B329" w14:textId="77777777" w:rsidR="00421F8A" w:rsidRDefault="00421F8A" w:rsidP="00421F8A">
      <w:pPr>
        <w:ind w:firstLine="720"/>
        <w:jc w:val="both"/>
        <w:rPr>
          <w:rFonts w:ascii="Times New Roman" w:hAnsi="Times New Roman" w:cs="Times New Roman"/>
          <w:sz w:val="24"/>
          <w:szCs w:val="24"/>
          <w:lang w:val="en-GB"/>
        </w:rPr>
      </w:pPr>
    </w:p>
    <w:p w14:paraId="50A1D9C5" w14:textId="77777777" w:rsidR="00421F8A" w:rsidRPr="00614438" w:rsidRDefault="00421F8A" w:rsidP="00421F8A">
      <w:pPr>
        <w:ind w:firstLine="720"/>
        <w:jc w:val="both"/>
        <w:rPr>
          <w:rFonts w:ascii="Times New Roman" w:hAnsi="Times New Roman" w:cs="Times New Roman"/>
          <w:sz w:val="24"/>
          <w:szCs w:val="24"/>
          <w:lang w:val="en-GB"/>
        </w:rPr>
      </w:pPr>
    </w:p>
    <w:p w14:paraId="624790B0" w14:textId="77777777" w:rsidR="00614438" w:rsidRPr="00614438" w:rsidRDefault="00614438" w:rsidP="00614438">
      <w:pPr>
        <w:jc w:val="both"/>
        <w:rPr>
          <w:rFonts w:ascii="Times New Roman" w:hAnsi="Times New Roman" w:cs="Times New Roman"/>
          <w:sz w:val="24"/>
          <w:szCs w:val="24"/>
        </w:rPr>
      </w:pPr>
      <w:bookmarkStart w:id="393" w:name="_Ref153466178"/>
      <w:bookmarkStart w:id="394" w:name="_Toc154575274"/>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bookmarkEnd w:id="393"/>
      <w:r w:rsidRPr="00614438">
        <w:rPr>
          <w:rFonts w:ascii="Times New Roman" w:hAnsi="Times New Roman" w:cs="Times New Roman"/>
          <w:sz w:val="24"/>
          <w:szCs w:val="24"/>
        </w:rPr>
        <w:t>: Total GHG emissions (including agriculture, waste and LULUCF)</w:t>
      </w:r>
      <w:bookmarkEnd w:id="394"/>
    </w:p>
    <w:p w14:paraId="6E86AC17" w14:textId="54B0AB60" w:rsidR="00614438" w:rsidRPr="00614438" w:rsidRDefault="00395FC1" w:rsidP="00614438">
      <w:pPr>
        <w:jc w:val="both"/>
        <w:rPr>
          <w:rFonts w:ascii="Times New Roman" w:hAnsi="Times New Roman" w:cs="Times New Roman"/>
          <w:sz w:val="24"/>
          <w:szCs w:val="24"/>
          <w:lang w:val="da-DK"/>
        </w:rPr>
      </w:pPr>
      <w:r>
        <w:rPr>
          <w:rFonts w:ascii="Times New Roman" w:hAnsi="Times New Roman" w:cs="Times New Roman"/>
          <w:noProof/>
          <w:sz w:val="24"/>
          <w:szCs w:val="24"/>
          <w:lang w:val="da-DK"/>
        </w:rPr>
        <w:lastRenderedPageBreak/>
        <mc:AlternateContent>
          <mc:Choice Requires="wps">
            <w:drawing>
              <wp:anchor distT="0" distB="0" distL="114300" distR="114300" simplePos="0" relativeHeight="251694080" behindDoc="0" locked="0" layoutInCell="1" allowOverlap="1" wp14:anchorId="08B438EF" wp14:editId="60F290FA">
                <wp:simplePos x="0" y="0"/>
                <wp:positionH relativeFrom="column">
                  <wp:posOffset>996315</wp:posOffset>
                </wp:positionH>
                <wp:positionV relativeFrom="paragraph">
                  <wp:posOffset>674370</wp:posOffset>
                </wp:positionV>
                <wp:extent cx="2876550" cy="3416935"/>
                <wp:effectExtent l="0" t="0" r="0" b="0"/>
                <wp:wrapNone/>
                <wp:docPr id="131887088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6550" cy="3416935"/>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D7C8624" id="Text Box 77" o:spid="_x0000_s1026" type="#_x0000_t202" style="position:absolute;margin-left:78.45pt;margin-top:53.1pt;width:226.5pt;height:269.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" fillcolor="#a6a6a6" stroked="f">
                <v:fill opacity="32896f"/>
              </v:shape>
            </w:pict>
          </mc:Fallback>
        </mc:AlternateContent>
      </w:r>
      <w:bookmarkStart w:id="395" w:name="_heading=h.4hr1b5p"/>
      <w:bookmarkEnd w:id="395"/>
      <w:r w:rsidR="00614438" w:rsidRPr="00013008">
        <w:rPr>
          <w:rFonts w:ascii="Times New Roman" w:hAnsi="Times New Roman" w:cs="Times New Roman"/>
          <w:noProof/>
          <w:sz w:val="24"/>
          <w:szCs w:val="24"/>
          <w:lang w:val="en-GB" w:eastAsia="en-GB"/>
        </w:rPr>
        <w:drawing>
          <wp:inline distT="0" distB="0" distL="0" distR="0" wp14:anchorId="04F8E705" wp14:editId="5BC35526">
            <wp:extent cx="5448300" cy="4686300"/>
            <wp:effectExtent l="0" t="0" r="0" b="0"/>
            <wp:docPr id="604427597"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4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448300" cy="4686300"/>
                    </a:xfrm>
                    <a:prstGeom prst="rect">
                      <a:avLst/>
                    </a:prstGeom>
                    <a:noFill/>
                    <a:ln>
                      <a:noFill/>
                    </a:ln>
                  </pic:spPr>
                </pic:pic>
              </a:graphicData>
            </a:graphic>
          </wp:inline>
        </w:drawing>
      </w:r>
    </w:p>
    <w:p w14:paraId="3F84EDBC" w14:textId="77777777" w:rsidR="00614438" w:rsidRPr="00614438" w:rsidRDefault="00614438" w:rsidP="00614438">
      <w:pPr>
        <w:jc w:val="both"/>
        <w:rPr>
          <w:rFonts w:ascii="Times New Roman" w:hAnsi="Times New Roman" w:cs="Times New Roman"/>
          <w:sz w:val="24"/>
          <w:szCs w:val="24"/>
        </w:rPr>
      </w:pPr>
      <w:bookmarkStart w:id="396" w:name="_Ref153466295"/>
      <w:bookmarkStart w:id="397" w:name="_Toc154575275"/>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w:t>
      </w:r>
      <w:r w:rsidR="00C83251" w:rsidRPr="00614438">
        <w:rPr>
          <w:rFonts w:ascii="Times New Roman" w:hAnsi="Times New Roman" w:cs="Times New Roman"/>
          <w:sz w:val="24"/>
          <w:szCs w:val="24"/>
        </w:rPr>
        <w:fldChar w:fldCharType="end"/>
      </w:r>
      <w:bookmarkEnd w:id="396"/>
      <w:r w:rsidRPr="00614438">
        <w:rPr>
          <w:rFonts w:ascii="Times New Roman" w:hAnsi="Times New Roman" w:cs="Times New Roman"/>
          <w:sz w:val="24"/>
          <w:szCs w:val="24"/>
        </w:rPr>
        <w:t>: Total GHG emissions (including agriculture, waste and LULUCF) reductions as percentages with respect to 1990</w:t>
      </w:r>
      <w:bookmarkEnd w:id="397"/>
    </w:p>
    <w:p w14:paraId="69A1170B" w14:textId="03BE469B"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695104" behindDoc="0" locked="0" layoutInCell="1" allowOverlap="1" wp14:anchorId="6FA684B1" wp14:editId="25D8A853">
                <wp:simplePos x="0" y="0"/>
                <wp:positionH relativeFrom="column">
                  <wp:posOffset>607695</wp:posOffset>
                </wp:positionH>
                <wp:positionV relativeFrom="paragraph">
                  <wp:posOffset>375920</wp:posOffset>
                </wp:positionV>
                <wp:extent cx="3209925" cy="2657475"/>
                <wp:effectExtent l="0" t="0" r="0" b="0"/>
                <wp:wrapNone/>
                <wp:docPr id="19131149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9925" cy="2657475"/>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345FADA4" id="Text Box 75" o:spid="_x0000_s1026" type="#_x0000_t202" style="position:absolute;margin-left:47.85pt;margin-top:29.6pt;width:252.75pt;height:209.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623D7E19" wp14:editId="6C1B7266">
            <wp:extent cx="6067425" cy="3848100"/>
            <wp:effectExtent l="0" t="0" r="9525" b="0"/>
            <wp:docPr id="1222316907"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4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067425" cy="3848100"/>
                    </a:xfrm>
                    <a:prstGeom prst="rect">
                      <a:avLst/>
                    </a:prstGeom>
                    <a:noFill/>
                    <a:ln>
                      <a:noFill/>
                    </a:ln>
                  </pic:spPr>
                </pic:pic>
              </a:graphicData>
            </a:graphic>
          </wp:inline>
        </w:drawing>
      </w:r>
    </w:p>
    <w:p w14:paraId="1DBB2A2A" w14:textId="5C703597" w:rsidR="00614438" w:rsidRPr="00614438" w:rsidRDefault="00614438" w:rsidP="00614438">
      <w:pPr>
        <w:jc w:val="both"/>
        <w:rPr>
          <w:rFonts w:ascii="Times New Roman" w:hAnsi="Times New Roman" w:cs="Times New Roman"/>
          <w:sz w:val="24"/>
          <w:szCs w:val="24"/>
        </w:rPr>
      </w:pPr>
      <w:bookmarkStart w:id="398" w:name="_Toc154575276"/>
      <w:r w:rsidRPr="00614438">
        <w:rPr>
          <w:rFonts w:ascii="Times New Roman" w:hAnsi="Times New Roman" w:cs="Times New Roman"/>
          <w:sz w:val="24"/>
          <w:szCs w:val="24"/>
        </w:rPr>
        <w:lastRenderedPageBreak/>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xml:space="preserve">: GHG emissions from energy use, processes, and fugitive </w:t>
      </w:r>
      <w:r w:rsidR="00421F8A">
        <w:rPr>
          <w:rFonts w:ascii="Times New Roman" w:hAnsi="Times New Roman" w:cs="Times New Roman"/>
          <w:sz w:val="24"/>
          <w:szCs w:val="24"/>
        </w:rPr>
        <w:t xml:space="preserve">emissions </w:t>
      </w:r>
      <w:r w:rsidRPr="00614438">
        <w:rPr>
          <w:rFonts w:ascii="Times New Roman" w:hAnsi="Times New Roman" w:cs="Times New Roman"/>
          <w:sz w:val="24"/>
          <w:szCs w:val="24"/>
        </w:rPr>
        <w:t>per sector</w:t>
      </w:r>
      <w:bookmarkEnd w:id="398"/>
    </w:p>
    <w:p w14:paraId="304D5963" w14:textId="18217E5C"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696128" behindDoc="0" locked="0" layoutInCell="1" allowOverlap="1" wp14:anchorId="7400B3C7" wp14:editId="6EADAF0D">
                <wp:simplePos x="0" y="0"/>
                <wp:positionH relativeFrom="column">
                  <wp:posOffset>727075</wp:posOffset>
                </wp:positionH>
                <wp:positionV relativeFrom="paragraph">
                  <wp:posOffset>591820</wp:posOffset>
                </wp:positionV>
                <wp:extent cx="3124200" cy="3276600"/>
                <wp:effectExtent l="0" t="0" r="0" b="0"/>
                <wp:wrapNone/>
                <wp:docPr id="212104706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4200" cy="327660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6C8EF4B" id="Text Box 73" o:spid="_x0000_s1026" type="#_x0000_t202" style="position:absolute;margin-left:57.25pt;margin-top:46.6pt;width:246pt;height:25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59FDDBE4" wp14:editId="7AE9AABE">
            <wp:extent cx="6010275" cy="4676775"/>
            <wp:effectExtent l="0" t="0" r="9525" b="9525"/>
            <wp:docPr id="1822284611"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4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010275" cy="4676775"/>
                    </a:xfrm>
                    <a:prstGeom prst="rect">
                      <a:avLst/>
                    </a:prstGeom>
                    <a:noFill/>
                    <a:ln>
                      <a:noFill/>
                    </a:ln>
                  </pic:spPr>
                </pic:pic>
              </a:graphicData>
            </a:graphic>
          </wp:inline>
        </w:drawing>
      </w:r>
    </w:p>
    <w:p w14:paraId="7C094282" w14:textId="77777777" w:rsidR="00614438" w:rsidRPr="00614438" w:rsidRDefault="00614438" w:rsidP="00614438">
      <w:pPr>
        <w:jc w:val="both"/>
        <w:rPr>
          <w:rFonts w:ascii="Times New Roman" w:hAnsi="Times New Roman" w:cs="Times New Roman"/>
          <w:sz w:val="24"/>
          <w:szCs w:val="24"/>
        </w:rPr>
      </w:pPr>
      <w:bookmarkStart w:id="399" w:name="_Toc154575277"/>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GHG emissions from energy use, processes, and fugitive reductions as percentages with respect to 1990</w:t>
      </w:r>
      <w:bookmarkEnd w:id="399"/>
    </w:p>
    <w:p w14:paraId="0A4971FC" w14:textId="5CD3C7BC"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697152" behindDoc="0" locked="0" layoutInCell="1" allowOverlap="1" wp14:anchorId="714830F5" wp14:editId="172E0DCA">
                <wp:simplePos x="0" y="0"/>
                <wp:positionH relativeFrom="column">
                  <wp:posOffset>723900</wp:posOffset>
                </wp:positionH>
                <wp:positionV relativeFrom="paragraph">
                  <wp:posOffset>312420</wp:posOffset>
                </wp:positionV>
                <wp:extent cx="3152775" cy="2393950"/>
                <wp:effectExtent l="0" t="0" r="0" b="0"/>
                <wp:wrapNone/>
                <wp:docPr id="180675348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2775" cy="239395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D8153E9" id="Text Box 71" o:spid="_x0000_s1026" type="#_x0000_t202" style="position:absolute;margin-left:57pt;margin-top:24.6pt;width:248.25pt;height:18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798B239B" wp14:editId="69E1F435">
            <wp:extent cx="5829300" cy="3724275"/>
            <wp:effectExtent l="0" t="0" r="0" b="9525"/>
            <wp:docPr id="176518678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4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829300" cy="3724275"/>
                    </a:xfrm>
                    <a:prstGeom prst="rect">
                      <a:avLst/>
                    </a:prstGeom>
                    <a:noFill/>
                    <a:ln>
                      <a:noFill/>
                    </a:ln>
                  </pic:spPr>
                </pic:pic>
              </a:graphicData>
            </a:graphic>
          </wp:inline>
        </w:drawing>
      </w:r>
    </w:p>
    <w:p w14:paraId="3EA694A8" w14:textId="11EE7AA3" w:rsidR="00614438" w:rsidRPr="00614438" w:rsidRDefault="00614438" w:rsidP="006445F4">
      <w:pPr>
        <w:ind w:firstLine="720"/>
        <w:jc w:val="both"/>
        <w:rPr>
          <w:rFonts w:ascii="Times New Roman" w:hAnsi="Times New Roman" w:cs="Times New Roman"/>
          <w:sz w:val="24"/>
          <w:szCs w:val="24"/>
          <w:lang w:val="en-GB"/>
        </w:rPr>
      </w:pPr>
      <w:r w:rsidRPr="006445F4">
        <w:rPr>
          <w:rFonts w:ascii="Times New Roman" w:hAnsi="Times New Roman" w:cs="Times New Roman"/>
          <w:sz w:val="24"/>
          <w:szCs w:val="24"/>
          <w:lang w:val="en-GB"/>
        </w:rPr>
        <w:t>The total GHG emissions from energy use, processes, and fugitive</w:t>
      </w:r>
      <w:r w:rsidR="006445F4">
        <w:rPr>
          <w:rFonts w:ascii="Times New Roman" w:hAnsi="Times New Roman" w:cs="Times New Roman"/>
          <w:sz w:val="24"/>
          <w:szCs w:val="24"/>
          <w:lang w:val="en-GB"/>
        </w:rPr>
        <w:t xml:space="preserve"> emissions </w:t>
      </w:r>
      <w:r w:rsidRPr="006445F4">
        <w:rPr>
          <w:rFonts w:ascii="Times New Roman" w:hAnsi="Times New Roman" w:cs="Times New Roman"/>
          <w:sz w:val="24"/>
          <w:szCs w:val="24"/>
          <w:lang w:val="en-GB"/>
        </w:rPr>
        <w:t>for all sectors stand at 47,477 ktons of CO2-eq in scenarios S and S-N in 2030</w:t>
      </w:r>
      <w:r w:rsidR="006445F4">
        <w:rPr>
          <w:rFonts w:ascii="Times New Roman" w:hAnsi="Times New Roman" w:cs="Times New Roman"/>
          <w:sz w:val="24"/>
          <w:szCs w:val="24"/>
          <w:lang w:val="en-GB"/>
        </w:rPr>
        <w:t xml:space="preserve"> (Figure 5.5)</w:t>
      </w:r>
      <w:r w:rsidRPr="006445F4">
        <w:rPr>
          <w:rFonts w:ascii="Times New Roman" w:hAnsi="Times New Roman" w:cs="Times New Roman"/>
          <w:sz w:val="24"/>
          <w:szCs w:val="24"/>
          <w:lang w:val="en-GB"/>
        </w:rPr>
        <w:t>. More specifically, 23,865 ktons of CO2-eq are resulted by the power and heat sector, 9,858 ktons of CO2-eq by the industrial sector, 7,617 ktons of CO2-eq by the transport sector, 2,147 ktons of CO2-eq by the residential and services sectors and 3,990 ktons of CO2-eq by the other sectors. The total emissions from the above-mentioned sectors in scenarios S and S-N in 2030 are 26% lower, compared to the WEM scenario over the same year.</w:t>
      </w:r>
    </w:p>
    <w:p w14:paraId="17A1CF25" w14:textId="26DBA925" w:rsidR="00614438" w:rsidRPr="00614438" w:rsidRDefault="00614438" w:rsidP="006445F4">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Similarly, in 2050, the total GHG emissions from energy use, processes, and fugitive for all sectors amount to 18,376 ktons of CO2-eq in scenario S and 16,791 ktons of CO2-eq in scenario S-N</w:t>
      </w:r>
      <w:r w:rsidR="006445F4">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considerably less than the respective figures in 2040</w:t>
      </w:r>
      <w:r w:rsidR="006445F4">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depicting the intensification of the policies and measures for the promotion of decarbonization process. More specifically, 3,365 ktons of CO2-eq are derived by the power and heat sector, 8,045 ktons of CO2-eq by the industrial sector, 4,206 ktons of CO2-eq by the transport sector, 1,311 ktons of CO2-eq by the residential and services sectors and 1,448 ktons of CO2-eq by the other sectors for the case of scenario S. The respective figures for scenario S-N consist of 2,471 ktons of CO2-eq for the power and heat sector, 8,080 ktons of CO2-eq for the industrial sector, 3,736 ktons of CO2-eq for the transport sector, 1,300 ktons of CO2-eq for the residential and services sectors and 1,204 ktons of CO2-eq for the other sectors. The total emissions for the above-mentioned sectors in scenarios S and S-N in 2050 are 74% and 76% lower respectively, compared to the WEM scenario over the same year.</w:t>
      </w:r>
    </w:p>
    <w:p w14:paraId="35947750" w14:textId="45064277" w:rsidR="00614438" w:rsidRPr="00614438" w:rsidRDefault="00614438" w:rsidP="00614438">
      <w:pPr>
        <w:jc w:val="both"/>
        <w:rPr>
          <w:rFonts w:ascii="Times New Roman" w:hAnsi="Times New Roman" w:cs="Times New Roman"/>
          <w:sz w:val="24"/>
          <w:szCs w:val="24"/>
        </w:rPr>
      </w:pPr>
      <w:bookmarkStart w:id="400" w:name="_Toc154575278"/>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GHG emissions (from energy use, processes, and fugitive</w:t>
      </w:r>
      <w:r w:rsidR="006445F4">
        <w:rPr>
          <w:rFonts w:ascii="Times New Roman" w:hAnsi="Times New Roman" w:cs="Times New Roman"/>
          <w:sz w:val="24"/>
          <w:szCs w:val="24"/>
        </w:rPr>
        <w:t xml:space="preserve"> emissions</w:t>
      </w:r>
      <w:r w:rsidRPr="00614438">
        <w:rPr>
          <w:rFonts w:ascii="Times New Roman" w:hAnsi="Times New Roman" w:cs="Times New Roman"/>
          <w:sz w:val="24"/>
          <w:szCs w:val="24"/>
        </w:rPr>
        <w:t>) per sector</w:t>
      </w:r>
      <w:bookmarkEnd w:id="400"/>
    </w:p>
    <w:p w14:paraId="1BB20CBC" w14:textId="23D7205A"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698176" behindDoc="0" locked="0" layoutInCell="1" allowOverlap="1" wp14:anchorId="1C627BAF" wp14:editId="6B0B1951">
                <wp:simplePos x="0" y="0"/>
                <wp:positionH relativeFrom="column">
                  <wp:posOffset>680085</wp:posOffset>
                </wp:positionH>
                <wp:positionV relativeFrom="paragraph">
                  <wp:posOffset>163830</wp:posOffset>
                </wp:positionV>
                <wp:extent cx="3124200" cy="2000250"/>
                <wp:effectExtent l="0" t="0" r="0" b="0"/>
                <wp:wrapNone/>
                <wp:docPr id="251231008"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4200" cy="200025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36BF878B" id="Text Box 69" o:spid="_x0000_s1026" type="#_x0000_t202" style="position:absolute;margin-left:53.55pt;margin-top:12.9pt;width:246pt;height:15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092FA7AB" wp14:editId="043FFC5A">
            <wp:extent cx="5981700" cy="3924300"/>
            <wp:effectExtent l="0" t="0" r="0" b="0"/>
            <wp:docPr id="927176066"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4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81700" cy="3924300"/>
                    </a:xfrm>
                    <a:prstGeom prst="rect">
                      <a:avLst/>
                    </a:prstGeom>
                    <a:noFill/>
                    <a:ln>
                      <a:noFill/>
                    </a:ln>
                  </pic:spPr>
                </pic:pic>
              </a:graphicData>
            </a:graphic>
          </wp:inline>
        </w:drawing>
      </w:r>
    </w:p>
    <w:p w14:paraId="189F4584" w14:textId="62375D03" w:rsidR="00614438" w:rsidRPr="00614438" w:rsidRDefault="00614438" w:rsidP="006445F4">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non-energy related emissions from agriculture are projected to reach 4493 ktons</w:t>
      </w:r>
      <w:r w:rsidR="006445F4">
        <w:rPr>
          <w:rFonts w:ascii="Times New Roman" w:hAnsi="Times New Roman" w:cs="Times New Roman"/>
          <w:sz w:val="24"/>
          <w:szCs w:val="24"/>
          <w:lang w:val="en-GB"/>
        </w:rPr>
        <w:t xml:space="preserve"> of </w:t>
      </w:r>
      <w:r w:rsidRPr="00614438">
        <w:rPr>
          <w:rFonts w:ascii="Times New Roman" w:hAnsi="Times New Roman" w:cs="Times New Roman"/>
          <w:sz w:val="24"/>
          <w:szCs w:val="24"/>
          <w:lang w:val="en-GB"/>
        </w:rPr>
        <w:t>CO2</w:t>
      </w:r>
      <w:r w:rsidR="006445F4">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eq in 2030 in the Scenario S and increase to a level of 5432 ktons </w:t>
      </w:r>
      <w:r w:rsidR="006445F4">
        <w:rPr>
          <w:rFonts w:ascii="Times New Roman" w:hAnsi="Times New Roman" w:cs="Times New Roman"/>
          <w:sz w:val="24"/>
          <w:szCs w:val="24"/>
          <w:lang w:val="en-GB"/>
        </w:rPr>
        <w:t xml:space="preserve">of </w:t>
      </w:r>
      <w:r w:rsidRPr="00614438">
        <w:rPr>
          <w:rFonts w:ascii="Times New Roman" w:hAnsi="Times New Roman" w:cs="Times New Roman"/>
          <w:sz w:val="24"/>
          <w:szCs w:val="24"/>
          <w:lang w:val="en-GB"/>
        </w:rPr>
        <w:t>CO2</w:t>
      </w:r>
      <w:r w:rsidR="006445F4">
        <w:rPr>
          <w:rFonts w:ascii="Times New Roman" w:hAnsi="Times New Roman" w:cs="Times New Roman"/>
          <w:sz w:val="24"/>
          <w:szCs w:val="24"/>
          <w:lang w:val="en-GB"/>
        </w:rPr>
        <w:t>-</w:t>
      </w:r>
      <w:r w:rsidRPr="00614438">
        <w:rPr>
          <w:rFonts w:ascii="Times New Roman" w:hAnsi="Times New Roman" w:cs="Times New Roman"/>
          <w:sz w:val="24"/>
          <w:szCs w:val="24"/>
          <w:lang w:val="en-GB"/>
        </w:rPr>
        <w:t>eq in 2050 (the same trajectory is followed in Scenario</w:t>
      </w:r>
      <w:r w:rsidR="006445F4">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S</w:t>
      </w:r>
      <w:r w:rsidR="006445F4">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N). Emissions from waste would reach a level of 2371 ktons </w:t>
      </w:r>
      <w:r w:rsidR="006445F4">
        <w:rPr>
          <w:rFonts w:ascii="Times New Roman" w:hAnsi="Times New Roman" w:cs="Times New Roman"/>
          <w:sz w:val="24"/>
          <w:szCs w:val="24"/>
          <w:lang w:val="en-GB"/>
        </w:rPr>
        <w:t xml:space="preserve">of </w:t>
      </w:r>
      <w:r w:rsidRPr="00614438">
        <w:rPr>
          <w:rFonts w:ascii="Times New Roman" w:hAnsi="Times New Roman" w:cs="Times New Roman"/>
          <w:sz w:val="24"/>
          <w:szCs w:val="24"/>
          <w:lang w:val="en-GB"/>
        </w:rPr>
        <w:t>CO2</w:t>
      </w:r>
      <w:r w:rsidR="006445F4">
        <w:rPr>
          <w:rFonts w:ascii="Times New Roman" w:hAnsi="Times New Roman" w:cs="Times New Roman"/>
          <w:sz w:val="24"/>
          <w:szCs w:val="24"/>
          <w:lang w:val="en-GB"/>
        </w:rPr>
        <w:t>-</w:t>
      </w:r>
      <w:r w:rsidRPr="00614438">
        <w:rPr>
          <w:rFonts w:ascii="Times New Roman" w:hAnsi="Times New Roman" w:cs="Times New Roman"/>
          <w:sz w:val="24"/>
          <w:szCs w:val="24"/>
          <w:lang w:val="en-GB"/>
        </w:rPr>
        <w:t>eq in 2030 and would be reduced to 1936 ktons</w:t>
      </w:r>
      <w:r w:rsidR="006445F4">
        <w:rPr>
          <w:rFonts w:ascii="Times New Roman" w:hAnsi="Times New Roman" w:cs="Times New Roman"/>
          <w:sz w:val="24"/>
          <w:szCs w:val="24"/>
          <w:lang w:val="en-GB"/>
        </w:rPr>
        <w:t xml:space="preserve"> of </w:t>
      </w:r>
      <w:r w:rsidRPr="00614438">
        <w:rPr>
          <w:rFonts w:ascii="Times New Roman" w:hAnsi="Times New Roman" w:cs="Times New Roman"/>
          <w:sz w:val="24"/>
          <w:szCs w:val="24"/>
          <w:lang w:val="en-GB"/>
        </w:rPr>
        <w:t>CO2</w:t>
      </w:r>
      <w:r w:rsidR="006445F4">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eq in 2050. Land Use, Land Use </w:t>
      </w:r>
      <w:r w:rsidR="006445F4">
        <w:rPr>
          <w:rFonts w:ascii="Times New Roman" w:hAnsi="Times New Roman" w:cs="Times New Roman"/>
          <w:sz w:val="24"/>
          <w:szCs w:val="24"/>
          <w:lang w:val="en-GB"/>
        </w:rPr>
        <w:t>Conversion</w:t>
      </w:r>
      <w:r w:rsidRPr="00614438">
        <w:rPr>
          <w:rFonts w:ascii="Times New Roman" w:hAnsi="Times New Roman" w:cs="Times New Roman"/>
          <w:sz w:val="24"/>
          <w:szCs w:val="24"/>
          <w:lang w:val="en-GB"/>
        </w:rPr>
        <w:t xml:space="preserve"> and forests are expected to contribute considerably to a reduction of emissions by -6576 ktons </w:t>
      </w:r>
      <w:r w:rsidR="006445F4">
        <w:rPr>
          <w:rFonts w:ascii="Times New Roman" w:hAnsi="Times New Roman" w:cs="Times New Roman"/>
          <w:sz w:val="24"/>
          <w:szCs w:val="24"/>
          <w:lang w:val="en-GB"/>
        </w:rPr>
        <w:t xml:space="preserve">of </w:t>
      </w:r>
      <w:r w:rsidRPr="00614438">
        <w:rPr>
          <w:rFonts w:ascii="Times New Roman" w:hAnsi="Times New Roman" w:cs="Times New Roman"/>
          <w:sz w:val="24"/>
          <w:szCs w:val="24"/>
          <w:lang w:val="en-GB"/>
        </w:rPr>
        <w:t>CO2</w:t>
      </w:r>
      <w:r w:rsidR="006445F4">
        <w:rPr>
          <w:rFonts w:ascii="Times New Roman" w:hAnsi="Times New Roman" w:cs="Times New Roman"/>
          <w:sz w:val="24"/>
          <w:szCs w:val="24"/>
          <w:lang w:val="en-GB"/>
        </w:rPr>
        <w:t>-</w:t>
      </w:r>
      <w:r w:rsidRPr="00614438">
        <w:rPr>
          <w:rFonts w:ascii="Times New Roman" w:hAnsi="Times New Roman" w:cs="Times New Roman"/>
          <w:sz w:val="24"/>
          <w:szCs w:val="24"/>
          <w:lang w:val="en-GB"/>
        </w:rPr>
        <w:t>eq in 2030. However, this contribution is expected to be reduced towards 2050, when it is projected to reach -4414 ktons</w:t>
      </w:r>
      <w:r w:rsidR="006445F4">
        <w:rPr>
          <w:rFonts w:ascii="Times New Roman" w:hAnsi="Times New Roman" w:cs="Times New Roman"/>
          <w:sz w:val="24"/>
          <w:szCs w:val="24"/>
          <w:lang w:val="en-GB"/>
        </w:rPr>
        <w:t xml:space="preserve"> of </w:t>
      </w:r>
      <w:r w:rsidRPr="00614438">
        <w:rPr>
          <w:rFonts w:ascii="Times New Roman" w:hAnsi="Times New Roman" w:cs="Times New Roman"/>
          <w:sz w:val="24"/>
          <w:szCs w:val="24"/>
          <w:lang w:val="en-GB"/>
        </w:rPr>
        <w:t>CO2</w:t>
      </w:r>
      <w:r w:rsidR="006445F4">
        <w:rPr>
          <w:rFonts w:ascii="Times New Roman" w:hAnsi="Times New Roman" w:cs="Times New Roman"/>
          <w:sz w:val="24"/>
          <w:szCs w:val="24"/>
          <w:lang w:val="en-GB"/>
        </w:rPr>
        <w:t>-</w:t>
      </w:r>
      <w:r w:rsidRPr="00614438">
        <w:rPr>
          <w:rFonts w:ascii="Times New Roman" w:hAnsi="Times New Roman" w:cs="Times New Roman"/>
          <w:sz w:val="24"/>
          <w:szCs w:val="24"/>
          <w:lang w:val="en-GB"/>
        </w:rPr>
        <w:t>eq.</w:t>
      </w:r>
    </w:p>
    <w:p w14:paraId="313A9BCA" w14:textId="77777777" w:rsidR="00614438" w:rsidRPr="00614438" w:rsidRDefault="00614438" w:rsidP="00614438">
      <w:pPr>
        <w:jc w:val="both"/>
        <w:rPr>
          <w:rFonts w:ascii="Times New Roman" w:hAnsi="Times New Roman" w:cs="Times New Roman"/>
          <w:sz w:val="24"/>
          <w:szCs w:val="24"/>
        </w:rPr>
      </w:pPr>
      <w:bookmarkStart w:id="401" w:name="_Toc154575279"/>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6</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GHG emissions from agriculture (non-energy related), waste and LULUCF</w:t>
      </w:r>
      <w:bookmarkEnd w:id="401"/>
    </w:p>
    <w:p w14:paraId="30776F1F" w14:textId="382FB0E4"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730944" behindDoc="0" locked="0" layoutInCell="1" allowOverlap="1" wp14:anchorId="25C0C923" wp14:editId="0EF716BB">
                <wp:simplePos x="0" y="0"/>
                <wp:positionH relativeFrom="column">
                  <wp:posOffset>737235</wp:posOffset>
                </wp:positionH>
                <wp:positionV relativeFrom="paragraph">
                  <wp:posOffset>159385</wp:posOffset>
                </wp:positionV>
                <wp:extent cx="2880995" cy="3036570"/>
                <wp:effectExtent l="0" t="0" r="0" b="0"/>
                <wp:wrapNone/>
                <wp:docPr id="1936908805"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0995" cy="303657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FE8D31C" id="Text Box 67" o:spid="_x0000_s1026" type="#_x0000_t202" style="position:absolute;margin-left:58.05pt;margin-top:12.55pt;width:226.85pt;height:239.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6FF0FF48" wp14:editId="0B7E5682">
            <wp:extent cx="5772150" cy="3619500"/>
            <wp:effectExtent l="0" t="0" r="0" b="0"/>
            <wp:docPr id="715018946" name="Picture 267" descr="A graph of a number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557906" descr="A graph of a number of different colored bars&#10;&#10;Description automatically generated with medium confidenc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72150" cy="3619500"/>
                    </a:xfrm>
                    <a:prstGeom prst="rect">
                      <a:avLst/>
                    </a:prstGeom>
                    <a:noFill/>
                    <a:ln>
                      <a:noFill/>
                    </a:ln>
                  </pic:spPr>
                </pic:pic>
              </a:graphicData>
            </a:graphic>
          </wp:inline>
        </w:drawing>
      </w:r>
    </w:p>
    <w:p w14:paraId="14CE2352" w14:textId="77777777" w:rsidR="00614438" w:rsidRPr="00614438" w:rsidRDefault="00614438" w:rsidP="00614438">
      <w:pPr>
        <w:jc w:val="both"/>
        <w:rPr>
          <w:rFonts w:ascii="Times New Roman" w:hAnsi="Times New Roman" w:cs="Times New Roman"/>
          <w:sz w:val="24"/>
          <w:szCs w:val="24"/>
        </w:rPr>
      </w:pPr>
      <w:bookmarkStart w:id="402" w:name="_Toc154575280"/>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7</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Total CO2 emissions per sector</w:t>
      </w:r>
      <w:bookmarkEnd w:id="402"/>
    </w:p>
    <w:p w14:paraId="432DAD39" w14:textId="738F31F1"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699200" behindDoc="0" locked="0" layoutInCell="1" allowOverlap="1" wp14:anchorId="08C97BB1" wp14:editId="70F49F46">
                <wp:simplePos x="0" y="0"/>
                <wp:positionH relativeFrom="column">
                  <wp:posOffset>578485</wp:posOffset>
                </wp:positionH>
                <wp:positionV relativeFrom="paragraph">
                  <wp:posOffset>553720</wp:posOffset>
                </wp:positionV>
                <wp:extent cx="3219450" cy="2171700"/>
                <wp:effectExtent l="0" t="0" r="0" b="0"/>
                <wp:wrapNone/>
                <wp:docPr id="501459059"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217170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E5FBFF5" id="Text Box 65" o:spid="_x0000_s1026" type="#_x0000_t202" style="position:absolute;margin-left:45.55pt;margin-top:43.6pt;width:253.5pt;height:17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349AED33" wp14:editId="368A8456">
            <wp:extent cx="5981700" cy="3733800"/>
            <wp:effectExtent l="0" t="0" r="0" b="0"/>
            <wp:docPr id="27171494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4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81700" cy="3733800"/>
                    </a:xfrm>
                    <a:prstGeom prst="rect">
                      <a:avLst/>
                    </a:prstGeom>
                    <a:noFill/>
                    <a:ln>
                      <a:noFill/>
                    </a:ln>
                  </pic:spPr>
                </pic:pic>
              </a:graphicData>
            </a:graphic>
          </wp:inline>
        </w:drawing>
      </w:r>
    </w:p>
    <w:p w14:paraId="4A5B3288" w14:textId="4B2E532A" w:rsidR="00614438" w:rsidRPr="00614438" w:rsidRDefault="00614438" w:rsidP="00F321B4">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w:t>
      </w:r>
      <w:r w:rsidR="004D7EBF">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WEM scenario, total </w:t>
      </w:r>
      <w:r w:rsidR="00F321B4" w:rsidRPr="00175508">
        <w:rPr>
          <w:rFonts w:ascii="Times New Roman" w:eastAsia="Calibri" w:hAnsi="Times New Roman" w:cs="Times New Roman"/>
          <w:sz w:val="24"/>
          <w:szCs w:val="24"/>
        </w:rPr>
        <w:t>CH</w:t>
      </w:r>
      <w:r w:rsidR="00F321B4" w:rsidRPr="00175508">
        <w:rPr>
          <w:rFonts w:ascii="Times New Roman" w:eastAsia="Calibri" w:hAnsi="Times New Roman" w:cs="Times New Roman"/>
          <w:sz w:val="24"/>
          <w:szCs w:val="24"/>
          <w:vertAlign w:val="subscript"/>
        </w:rPr>
        <w:t>4</w:t>
      </w:r>
      <w:r w:rsidR="00F321B4" w:rsidRPr="00175508">
        <w:rPr>
          <w:rFonts w:ascii="Times New Roman" w:eastAsia="Calibri" w:hAnsi="Times New Roman" w:cs="Times New Roman"/>
          <w:sz w:val="24"/>
          <w:szCs w:val="24"/>
        </w:rPr>
        <w:t xml:space="preserve"> </w:t>
      </w:r>
      <w:r w:rsidRPr="00614438">
        <w:rPr>
          <w:rFonts w:ascii="Times New Roman" w:hAnsi="Times New Roman" w:cs="Times New Roman"/>
          <w:sz w:val="24"/>
          <w:szCs w:val="24"/>
          <w:lang w:val="en-GB"/>
        </w:rPr>
        <w:t xml:space="preserve">emissions from energy use, fugitive and industrial products, are equal to 116 Mt in 2030, higher than 93 Mt in scenarios S and S-N over the same year. In 2050, total </w:t>
      </w:r>
      <w:r w:rsidR="00F321B4" w:rsidRPr="00175508">
        <w:rPr>
          <w:rFonts w:ascii="Times New Roman" w:eastAsia="Calibri" w:hAnsi="Times New Roman" w:cs="Times New Roman"/>
          <w:sz w:val="24"/>
          <w:szCs w:val="24"/>
        </w:rPr>
        <w:t>CH</w:t>
      </w:r>
      <w:r w:rsidR="00F321B4" w:rsidRPr="00175508">
        <w:rPr>
          <w:rFonts w:ascii="Times New Roman" w:eastAsia="Calibri" w:hAnsi="Times New Roman" w:cs="Times New Roman"/>
          <w:sz w:val="24"/>
          <w:szCs w:val="24"/>
          <w:vertAlign w:val="subscript"/>
        </w:rPr>
        <w:t>4</w:t>
      </w:r>
      <w:r w:rsidR="00F321B4" w:rsidRPr="00175508">
        <w:rPr>
          <w:rFonts w:ascii="Times New Roman" w:eastAsia="Calibri" w:hAnsi="Times New Roman" w:cs="Times New Roman"/>
          <w:sz w:val="24"/>
          <w:szCs w:val="24"/>
        </w:rPr>
        <w:t xml:space="preserve"> </w:t>
      </w:r>
      <w:r w:rsidRPr="00614438">
        <w:rPr>
          <w:rFonts w:ascii="Times New Roman" w:hAnsi="Times New Roman" w:cs="Times New Roman"/>
          <w:sz w:val="24"/>
          <w:szCs w:val="24"/>
          <w:lang w:val="en-GB"/>
        </w:rPr>
        <w:t xml:space="preserve">emissions will decrease by 29.5%, 79.9% and 80.3% in scenarios WEM, S and S-N respectively, compared to 2030 level. Coal extraction and treatment as well as oil and gas extraction and treatment are the sectors with the highest </w:t>
      </w:r>
      <w:r w:rsidR="00F321B4" w:rsidRPr="00175508">
        <w:rPr>
          <w:rFonts w:ascii="Times New Roman" w:eastAsia="Calibri" w:hAnsi="Times New Roman" w:cs="Times New Roman"/>
          <w:sz w:val="24"/>
          <w:szCs w:val="24"/>
        </w:rPr>
        <w:t>CH</w:t>
      </w:r>
      <w:r w:rsidR="00F321B4" w:rsidRPr="00175508">
        <w:rPr>
          <w:rFonts w:ascii="Times New Roman" w:eastAsia="Calibri" w:hAnsi="Times New Roman" w:cs="Times New Roman"/>
          <w:sz w:val="24"/>
          <w:szCs w:val="24"/>
          <w:vertAlign w:val="subscript"/>
        </w:rPr>
        <w:t>4</w:t>
      </w:r>
      <w:r w:rsidR="00F321B4" w:rsidRPr="00175508">
        <w:rPr>
          <w:rFonts w:ascii="Times New Roman" w:eastAsia="Calibri" w:hAnsi="Times New Roman" w:cs="Times New Roman"/>
          <w:sz w:val="24"/>
          <w:szCs w:val="24"/>
        </w:rPr>
        <w:t xml:space="preserve"> </w:t>
      </w:r>
      <w:r w:rsidRPr="00614438">
        <w:rPr>
          <w:rFonts w:ascii="Times New Roman" w:hAnsi="Times New Roman" w:cs="Times New Roman"/>
          <w:sz w:val="24"/>
          <w:szCs w:val="24"/>
          <w:lang w:val="en-GB"/>
        </w:rPr>
        <w:t xml:space="preserve">emissions in both 2030 and 2050 in all scenarios, followed by </w:t>
      </w:r>
      <w:r w:rsidR="00F321B4">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residential sector.</w:t>
      </w:r>
    </w:p>
    <w:p w14:paraId="27AE688B" w14:textId="7EB1B40B" w:rsidR="00614438" w:rsidRPr="00614438" w:rsidRDefault="00614438" w:rsidP="00F321B4">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 xml:space="preserve">The CH4 emissions reduction from fugitive emissions in coal mines, oil and gas sector, is projected to decrease by 20% between 2020 and 2030 in Scenarios S and S-N. This part of methane emissions is estimated to be close to 30% of the total </w:t>
      </w:r>
      <w:r w:rsidR="00F321B4" w:rsidRPr="00175508">
        <w:rPr>
          <w:rFonts w:ascii="Times New Roman" w:eastAsia="Calibri" w:hAnsi="Times New Roman" w:cs="Times New Roman"/>
          <w:sz w:val="24"/>
          <w:szCs w:val="24"/>
        </w:rPr>
        <w:t>CH</w:t>
      </w:r>
      <w:r w:rsidR="00F321B4" w:rsidRPr="00175508">
        <w:rPr>
          <w:rFonts w:ascii="Times New Roman" w:eastAsia="Calibri" w:hAnsi="Times New Roman" w:cs="Times New Roman"/>
          <w:sz w:val="24"/>
          <w:szCs w:val="24"/>
          <w:vertAlign w:val="subscript"/>
        </w:rPr>
        <w:t>4</w:t>
      </w:r>
      <w:r w:rsidR="00F321B4" w:rsidRPr="00175508">
        <w:rPr>
          <w:rFonts w:ascii="Times New Roman" w:eastAsia="Calibri" w:hAnsi="Times New Roman" w:cs="Times New Roman"/>
          <w:sz w:val="24"/>
          <w:szCs w:val="24"/>
        </w:rPr>
        <w:t xml:space="preserve"> </w:t>
      </w:r>
      <w:r w:rsidRPr="00614438">
        <w:rPr>
          <w:rFonts w:ascii="Times New Roman" w:hAnsi="Times New Roman" w:cs="Times New Roman"/>
          <w:sz w:val="24"/>
          <w:szCs w:val="24"/>
          <w:lang w:val="en-GB"/>
        </w:rPr>
        <w:t>emissions in 2020. In view of the participation of Serbia in the Methane Pledge</w:t>
      </w:r>
      <w:r w:rsidR="00F321B4">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several policies and measures mentioned in Chapter 3 are expected to contribute to the reduction of </w:t>
      </w:r>
      <w:r w:rsidR="00F321B4" w:rsidRPr="00175508">
        <w:rPr>
          <w:rFonts w:ascii="Times New Roman" w:eastAsia="Calibri" w:hAnsi="Times New Roman" w:cs="Times New Roman"/>
          <w:sz w:val="24"/>
          <w:szCs w:val="24"/>
        </w:rPr>
        <w:t>CH</w:t>
      </w:r>
      <w:r w:rsidR="00F321B4" w:rsidRPr="00175508">
        <w:rPr>
          <w:rFonts w:ascii="Times New Roman" w:eastAsia="Calibri" w:hAnsi="Times New Roman" w:cs="Times New Roman"/>
          <w:sz w:val="24"/>
          <w:szCs w:val="24"/>
          <w:vertAlign w:val="subscript"/>
        </w:rPr>
        <w:t>4</w:t>
      </w:r>
      <w:r w:rsidR="00F321B4" w:rsidRPr="00175508">
        <w:rPr>
          <w:rFonts w:ascii="Times New Roman" w:eastAsia="Calibri" w:hAnsi="Times New Roman" w:cs="Times New Roman"/>
          <w:sz w:val="24"/>
          <w:szCs w:val="24"/>
        </w:rPr>
        <w:t xml:space="preserve"> </w:t>
      </w:r>
      <w:r w:rsidRPr="00614438">
        <w:rPr>
          <w:rFonts w:ascii="Times New Roman" w:hAnsi="Times New Roman" w:cs="Times New Roman"/>
          <w:sz w:val="24"/>
          <w:szCs w:val="24"/>
          <w:lang w:val="en-GB"/>
        </w:rPr>
        <w:t>emissions by at least 30% in 2030 compared to 2020 levels, through manure management, reduction of enteric fermentation of animals, composting, and utilisation of methane from sanitary landfills.</w:t>
      </w:r>
    </w:p>
    <w:p w14:paraId="68ED6DDE" w14:textId="45493CFF" w:rsidR="00614438" w:rsidRPr="00614438" w:rsidRDefault="00614438" w:rsidP="00614438">
      <w:pPr>
        <w:jc w:val="both"/>
        <w:rPr>
          <w:rFonts w:ascii="Times New Roman" w:hAnsi="Times New Roman" w:cs="Times New Roman"/>
          <w:sz w:val="24"/>
          <w:szCs w:val="24"/>
        </w:rPr>
      </w:pPr>
      <w:bookmarkStart w:id="403" w:name="_Toc154575281"/>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8</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xml:space="preserve">: Total </w:t>
      </w:r>
      <w:r w:rsidR="00F321B4" w:rsidRPr="00175508">
        <w:rPr>
          <w:rFonts w:ascii="Times New Roman" w:eastAsia="Calibri" w:hAnsi="Times New Roman" w:cs="Times New Roman"/>
          <w:sz w:val="24"/>
          <w:szCs w:val="24"/>
        </w:rPr>
        <w:t>CH</w:t>
      </w:r>
      <w:r w:rsidR="00F321B4" w:rsidRPr="00175508">
        <w:rPr>
          <w:rFonts w:ascii="Times New Roman" w:eastAsia="Calibri" w:hAnsi="Times New Roman" w:cs="Times New Roman"/>
          <w:sz w:val="24"/>
          <w:szCs w:val="24"/>
          <w:vertAlign w:val="subscript"/>
        </w:rPr>
        <w:t>4</w:t>
      </w:r>
      <w:r w:rsidR="00F321B4" w:rsidRPr="00175508">
        <w:rPr>
          <w:rFonts w:ascii="Times New Roman" w:eastAsia="Calibri" w:hAnsi="Times New Roman" w:cs="Times New Roman"/>
          <w:sz w:val="24"/>
          <w:szCs w:val="24"/>
        </w:rPr>
        <w:t xml:space="preserve"> </w:t>
      </w:r>
      <w:r w:rsidRPr="00614438">
        <w:rPr>
          <w:rFonts w:ascii="Times New Roman" w:hAnsi="Times New Roman" w:cs="Times New Roman"/>
          <w:sz w:val="24"/>
          <w:szCs w:val="24"/>
        </w:rPr>
        <w:t>emissions per sector</w:t>
      </w:r>
      <w:bookmarkEnd w:id="403"/>
    </w:p>
    <w:p w14:paraId="779CC186" w14:textId="0464AE16"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700224" behindDoc="0" locked="0" layoutInCell="1" allowOverlap="1" wp14:anchorId="7B03A3AA" wp14:editId="3C4A2B1C">
                <wp:simplePos x="0" y="0"/>
                <wp:positionH relativeFrom="column">
                  <wp:posOffset>667385</wp:posOffset>
                </wp:positionH>
                <wp:positionV relativeFrom="paragraph">
                  <wp:posOffset>226695</wp:posOffset>
                </wp:positionV>
                <wp:extent cx="3028950" cy="1941195"/>
                <wp:effectExtent l="0" t="0" r="0" b="0"/>
                <wp:wrapNone/>
                <wp:docPr id="705176084"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0" cy="1941195"/>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DF158C5" id="Text Box 63" o:spid="_x0000_s1026" type="#_x0000_t202" style="position:absolute;margin-left:52.55pt;margin-top:17.85pt;width:238.5pt;height:152.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55AABB73" wp14:editId="11E60D03">
            <wp:extent cx="5514975" cy="3438525"/>
            <wp:effectExtent l="0" t="0" r="9525" b="9525"/>
            <wp:docPr id="2006647191"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4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514975" cy="3438525"/>
                    </a:xfrm>
                    <a:prstGeom prst="rect">
                      <a:avLst/>
                    </a:prstGeom>
                    <a:noFill/>
                    <a:ln>
                      <a:noFill/>
                    </a:ln>
                  </pic:spPr>
                </pic:pic>
              </a:graphicData>
            </a:graphic>
          </wp:inline>
        </w:drawing>
      </w:r>
    </w:p>
    <w:p w14:paraId="53B936C0" w14:textId="1AC952C3" w:rsidR="00614438" w:rsidRPr="00614438" w:rsidRDefault="00614438" w:rsidP="00F321B4">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Similarly, total </w:t>
      </w:r>
      <w:r w:rsidR="00F321B4" w:rsidRPr="00175508">
        <w:rPr>
          <w:rFonts w:ascii="Times New Roman" w:eastAsia="Calibri" w:hAnsi="Times New Roman" w:cs="Times New Roman"/>
          <w:sz w:val="24"/>
          <w:szCs w:val="24"/>
        </w:rPr>
        <w:t>N</w:t>
      </w:r>
      <w:r w:rsidR="00F321B4" w:rsidRPr="00175508">
        <w:rPr>
          <w:rFonts w:ascii="Times New Roman" w:eastAsia="Calibri" w:hAnsi="Times New Roman" w:cs="Times New Roman"/>
          <w:sz w:val="24"/>
          <w:szCs w:val="24"/>
          <w:vertAlign w:val="subscript"/>
        </w:rPr>
        <w:t>2</w:t>
      </w:r>
      <w:r w:rsidR="00F321B4" w:rsidRPr="00175508">
        <w:rPr>
          <w:rFonts w:ascii="Times New Roman" w:eastAsia="Calibri" w:hAnsi="Times New Roman" w:cs="Times New Roman"/>
          <w:sz w:val="24"/>
          <w:szCs w:val="24"/>
        </w:rPr>
        <w:t xml:space="preserve">O </w:t>
      </w:r>
      <w:r w:rsidRPr="00614438">
        <w:rPr>
          <w:rFonts w:ascii="Times New Roman" w:hAnsi="Times New Roman" w:cs="Times New Roman"/>
          <w:sz w:val="24"/>
          <w:szCs w:val="24"/>
          <w:lang w:val="en-GB"/>
        </w:rPr>
        <w:t xml:space="preserve">emissions are equal to 3.2 kt in 2030 in </w:t>
      </w:r>
      <w:r w:rsidR="004D7EBF">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WEM scenario, </w:t>
      </w:r>
      <w:r w:rsidR="00F321B4">
        <w:rPr>
          <w:rFonts w:ascii="Times New Roman" w:hAnsi="Times New Roman" w:cs="Times New Roman"/>
          <w:sz w:val="24"/>
          <w:szCs w:val="24"/>
          <w:lang w:val="en-GB"/>
        </w:rPr>
        <w:t xml:space="preserve">which is </w:t>
      </w:r>
      <w:r w:rsidRPr="00614438">
        <w:rPr>
          <w:rFonts w:ascii="Times New Roman" w:hAnsi="Times New Roman" w:cs="Times New Roman"/>
          <w:sz w:val="24"/>
          <w:szCs w:val="24"/>
          <w:lang w:val="en-GB"/>
        </w:rPr>
        <w:t>higher than 3.0 kt in scenarios S and S-N over the same year</w:t>
      </w:r>
      <w:r w:rsidR="00F321B4">
        <w:rPr>
          <w:rFonts w:ascii="Times New Roman" w:hAnsi="Times New Roman" w:cs="Times New Roman"/>
          <w:sz w:val="24"/>
          <w:szCs w:val="24"/>
          <w:lang w:val="en-GB"/>
        </w:rPr>
        <w:t xml:space="preserve"> (Figure 5.9)</w:t>
      </w:r>
      <w:r w:rsidRPr="00614438">
        <w:rPr>
          <w:rFonts w:ascii="Times New Roman" w:hAnsi="Times New Roman" w:cs="Times New Roman"/>
          <w:sz w:val="24"/>
          <w:szCs w:val="24"/>
          <w:lang w:val="en-GB"/>
        </w:rPr>
        <w:t xml:space="preserve">. In 2050, total </w:t>
      </w:r>
      <w:r w:rsidR="00F321B4" w:rsidRPr="00175508">
        <w:rPr>
          <w:rFonts w:ascii="Times New Roman" w:eastAsia="Calibri" w:hAnsi="Times New Roman" w:cs="Times New Roman"/>
          <w:sz w:val="24"/>
          <w:szCs w:val="24"/>
        </w:rPr>
        <w:t>N</w:t>
      </w:r>
      <w:r w:rsidR="00F321B4" w:rsidRPr="00175508">
        <w:rPr>
          <w:rFonts w:ascii="Times New Roman" w:eastAsia="Calibri" w:hAnsi="Times New Roman" w:cs="Times New Roman"/>
          <w:sz w:val="24"/>
          <w:szCs w:val="24"/>
          <w:vertAlign w:val="subscript"/>
        </w:rPr>
        <w:t>2</w:t>
      </w:r>
      <w:r w:rsidR="00F321B4" w:rsidRPr="00175508">
        <w:rPr>
          <w:rFonts w:ascii="Times New Roman" w:eastAsia="Calibri" w:hAnsi="Times New Roman" w:cs="Times New Roman"/>
          <w:sz w:val="24"/>
          <w:szCs w:val="24"/>
        </w:rPr>
        <w:t xml:space="preserve">O </w:t>
      </w:r>
      <w:r w:rsidRPr="00614438">
        <w:rPr>
          <w:rFonts w:ascii="Times New Roman" w:hAnsi="Times New Roman" w:cs="Times New Roman"/>
          <w:sz w:val="24"/>
          <w:szCs w:val="24"/>
          <w:lang w:val="en-GB"/>
        </w:rPr>
        <w:t xml:space="preserve">emissions will increase only in </w:t>
      </w:r>
      <w:r w:rsidR="004D7EBF">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WEM scenario by 8.8% at 3.5 kt, compared to 2030 level, while a 10.2% decrease (at 2.7 kt) in scenario S and </w:t>
      </w:r>
      <w:r w:rsidR="00F321B4">
        <w:rPr>
          <w:rFonts w:ascii="Times New Roman" w:hAnsi="Times New Roman" w:cs="Times New Roman"/>
          <w:sz w:val="24"/>
          <w:szCs w:val="24"/>
          <w:lang w:val="en-GB"/>
        </w:rPr>
        <w:t xml:space="preserve">a </w:t>
      </w:r>
      <w:r w:rsidRPr="00614438">
        <w:rPr>
          <w:rFonts w:ascii="Times New Roman" w:hAnsi="Times New Roman" w:cs="Times New Roman"/>
          <w:sz w:val="24"/>
          <w:szCs w:val="24"/>
          <w:lang w:val="en-GB"/>
        </w:rPr>
        <w:t xml:space="preserve">11.9% </w:t>
      </w:r>
      <w:r w:rsidR="00F321B4">
        <w:rPr>
          <w:rFonts w:ascii="Times New Roman" w:hAnsi="Times New Roman" w:cs="Times New Roman"/>
          <w:sz w:val="24"/>
          <w:szCs w:val="24"/>
          <w:lang w:val="en-GB"/>
        </w:rPr>
        <w:t xml:space="preserve">decrease </w:t>
      </w:r>
      <w:r w:rsidRPr="00614438">
        <w:rPr>
          <w:rFonts w:ascii="Times New Roman" w:hAnsi="Times New Roman" w:cs="Times New Roman"/>
          <w:sz w:val="24"/>
          <w:szCs w:val="24"/>
          <w:lang w:val="en-GB"/>
        </w:rPr>
        <w:t xml:space="preserve">(at 2.6 kt) in scenario S-N are anticipated. Industry and transport are the sectors with the highest </w:t>
      </w:r>
      <w:r w:rsidR="00F321B4" w:rsidRPr="00175508">
        <w:rPr>
          <w:rFonts w:ascii="Times New Roman" w:eastAsia="Calibri" w:hAnsi="Times New Roman" w:cs="Times New Roman"/>
          <w:sz w:val="24"/>
          <w:szCs w:val="24"/>
        </w:rPr>
        <w:t>N</w:t>
      </w:r>
      <w:r w:rsidR="00F321B4" w:rsidRPr="00175508">
        <w:rPr>
          <w:rFonts w:ascii="Times New Roman" w:eastAsia="Calibri" w:hAnsi="Times New Roman" w:cs="Times New Roman"/>
          <w:sz w:val="24"/>
          <w:szCs w:val="24"/>
          <w:vertAlign w:val="subscript"/>
        </w:rPr>
        <w:t>2</w:t>
      </w:r>
      <w:r w:rsidR="00F321B4" w:rsidRPr="00175508">
        <w:rPr>
          <w:rFonts w:ascii="Times New Roman" w:eastAsia="Calibri" w:hAnsi="Times New Roman" w:cs="Times New Roman"/>
          <w:sz w:val="24"/>
          <w:szCs w:val="24"/>
        </w:rPr>
        <w:t xml:space="preserve">O </w:t>
      </w:r>
      <w:r w:rsidRPr="00614438">
        <w:rPr>
          <w:rFonts w:ascii="Times New Roman" w:hAnsi="Times New Roman" w:cs="Times New Roman"/>
          <w:sz w:val="24"/>
          <w:szCs w:val="24"/>
          <w:lang w:val="en-GB"/>
        </w:rPr>
        <w:t>emissions in both 2030 and 2050 in all scenarios, followed by electricity and CHP.</w:t>
      </w:r>
    </w:p>
    <w:p w14:paraId="0376545F" w14:textId="77777777" w:rsidR="00614438" w:rsidRPr="00614438" w:rsidRDefault="00614438" w:rsidP="00614438">
      <w:pPr>
        <w:jc w:val="both"/>
        <w:rPr>
          <w:rFonts w:ascii="Times New Roman" w:hAnsi="Times New Roman" w:cs="Times New Roman"/>
          <w:sz w:val="24"/>
          <w:szCs w:val="24"/>
          <w:lang w:val="en-GB"/>
        </w:rPr>
      </w:pPr>
    </w:p>
    <w:p w14:paraId="6D8F7436" w14:textId="77777777" w:rsidR="00614438" w:rsidRPr="00614438" w:rsidRDefault="00614438" w:rsidP="00614438">
      <w:pPr>
        <w:jc w:val="both"/>
        <w:rPr>
          <w:rFonts w:ascii="Times New Roman" w:hAnsi="Times New Roman" w:cs="Times New Roman"/>
          <w:sz w:val="24"/>
          <w:szCs w:val="24"/>
        </w:rPr>
      </w:pPr>
      <w:bookmarkStart w:id="404" w:name="_Toc154575282"/>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9</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Total N2O emissions per sector</w:t>
      </w:r>
      <w:bookmarkEnd w:id="404"/>
    </w:p>
    <w:p w14:paraId="336A2232" w14:textId="6C79DFEF"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701248" behindDoc="0" locked="0" layoutInCell="1" allowOverlap="1" wp14:anchorId="418DE496" wp14:editId="6972998F">
                <wp:simplePos x="0" y="0"/>
                <wp:positionH relativeFrom="column">
                  <wp:posOffset>556260</wp:posOffset>
                </wp:positionH>
                <wp:positionV relativeFrom="paragraph">
                  <wp:posOffset>401955</wp:posOffset>
                </wp:positionV>
                <wp:extent cx="3171825" cy="2381250"/>
                <wp:effectExtent l="0" t="0" r="0" b="0"/>
                <wp:wrapNone/>
                <wp:docPr id="151309449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1825" cy="238125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0A1C4EB" id="Text Box 61" o:spid="_x0000_s1026" type="#_x0000_t202" style="position:absolute;margin-left:43.8pt;margin-top:31.65pt;width:249.75pt;height:18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7B8726AE" wp14:editId="05931FDA">
            <wp:extent cx="5753100" cy="3705225"/>
            <wp:effectExtent l="0" t="0" r="0" b="9525"/>
            <wp:docPr id="194337071"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5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53100" cy="3705225"/>
                    </a:xfrm>
                    <a:prstGeom prst="rect">
                      <a:avLst/>
                    </a:prstGeom>
                    <a:noFill/>
                    <a:ln>
                      <a:noFill/>
                    </a:ln>
                  </pic:spPr>
                </pic:pic>
              </a:graphicData>
            </a:graphic>
          </wp:inline>
        </w:drawing>
      </w:r>
    </w:p>
    <w:p w14:paraId="09AEA545" w14:textId="77777777" w:rsidR="00614438" w:rsidRPr="00614438" w:rsidRDefault="00614438" w:rsidP="00F321B4">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share of RES in gross final energy consumption in scenarios S and S-N is equal to 33.6% in 2030 and approximately 62% in 2050 for scenario S and about 60% for scenario S-N. This means a 35% in scenario S and a 33% in scenario S-N higher penetration of RES in 2050 respectively, compared to the WEM scenario and a respective 6% higher RES penetration in 2030 for both scenarios.</w:t>
      </w:r>
    </w:p>
    <w:p w14:paraId="0C06F806" w14:textId="3ADC1279" w:rsidR="00614438" w:rsidRPr="00614438" w:rsidRDefault="00614438" w:rsidP="00F321B4">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penetration of RES in the three sub-targets is higher in 2030 for both the examined scenarios S and S-N compared to </w:t>
      </w:r>
      <w:r w:rsidR="006228AB">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WEM scenario by:</w:t>
      </w:r>
    </w:p>
    <w:p w14:paraId="0265BB40" w14:textId="3F55EE4E" w:rsidR="00614438" w:rsidRPr="00614438" w:rsidRDefault="00614438" w:rsidP="00485CA7">
      <w:pPr>
        <w:numPr>
          <w:ilvl w:val="0"/>
          <w:numId w:val="245"/>
        </w:num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At least 45% in the electricity generation sector as the result of the installation of additional PV and wind power plants</w:t>
      </w:r>
      <w:r w:rsidR="00F321B4">
        <w:rPr>
          <w:rFonts w:ascii="Times New Roman" w:hAnsi="Times New Roman" w:cs="Times New Roman"/>
          <w:sz w:val="24"/>
          <w:szCs w:val="24"/>
          <w:lang w:val="en-GB"/>
        </w:rPr>
        <w:t xml:space="preserve"> (Figure 5.11)</w:t>
      </w:r>
      <w:r w:rsidRPr="00614438">
        <w:rPr>
          <w:rFonts w:ascii="Times New Roman" w:hAnsi="Times New Roman" w:cs="Times New Roman"/>
          <w:sz w:val="24"/>
          <w:szCs w:val="24"/>
          <w:lang w:val="en-GB"/>
        </w:rPr>
        <w:t>.</w:t>
      </w:r>
    </w:p>
    <w:p w14:paraId="13CD3B27" w14:textId="761E2D64" w:rsidR="00614438" w:rsidRPr="00614438" w:rsidRDefault="00614438" w:rsidP="00485CA7">
      <w:pPr>
        <w:numPr>
          <w:ilvl w:val="0"/>
          <w:numId w:val="245"/>
        </w:num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At least 3.2% in the transport sector (without multipliers) due to the increased penetration promotion of electrification</w:t>
      </w:r>
      <w:r w:rsidR="00F321B4">
        <w:rPr>
          <w:rFonts w:ascii="Times New Roman" w:hAnsi="Times New Roman" w:cs="Times New Roman"/>
          <w:sz w:val="24"/>
          <w:szCs w:val="24"/>
          <w:lang w:val="en-GB"/>
        </w:rPr>
        <w:t xml:space="preserve"> (5.12)</w:t>
      </w:r>
      <w:r w:rsidRPr="00614438">
        <w:rPr>
          <w:rFonts w:ascii="Times New Roman" w:hAnsi="Times New Roman" w:cs="Times New Roman"/>
          <w:sz w:val="24"/>
          <w:szCs w:val="24"/>
          <w:lang w:val="en-GB"/>
        </w:rPr>
        <w:t>.</w:t>
      </w:r>
    </w:p>
    <w:p w14:paraId="436303CA" w14:textId="7F69A15F" w:rsidR="00614438" w:rsidRPr="00614438" w:rsidRDefault="00614438" w:rsidP="00485CA7">
      <w:pPr>
        <w:numPr>
          <w:ilvl w:val="0"/>
          <w:numId w:val="245"/>
        </w:num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At least 41% in the heating sector, mainly as the result of the installation of heat pumps and the promotion of other type of RES in buildings, such as solar thermal and geothermal energy</w:t>
      </w:r>
      <w:r w:rsidR="00F321B4">
        <w:rPr>
          <w:rFonts w:ascii="Times New Roman" w:hAnsi="Times New Roman" w:cs="Times New Roman"/>
          <w:sz w:val="24"/>
          <w:szCs w:val="24"/>
          <w:lang w:val="en-GB"/>
        </w:rPr>
        <w:t xml:space="preserve"> (Figure 5.13)</w:t>
      </w:r>
      <w:r w:rsidRPr="00614438">
        <w:rPr>
          <w:rFonts w:ascii="Times New Roman" w:hAnsi="Times New Roman" w:cs="Times New Roman"/>
          <w:sz w:val="24"/>
          <w:szCs w:val="24"/>
          <w:lang w:val="en-GB"/>
        </w:rPr>
        <w:t>.</w:t>
      </w:r>
    </w:p>
    <w:p w14:paraId="489524D7" w14:textId="77777777" w:rsidR="00614438" w:rsidRPr="00614438" w:rsidRDefault="00614438" w:rsidP="00F321B4">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2050, the respective RES share in scenarios S and S-N is considerably higher than in the WEM scenario mainly due to the initiation of additional measures for the promotion of RES by:</w:t>
      </w:r>
    </w:p>
    <w:p w14:paraId="1CB31863" w14:textId="77777777" w:rsidR="00614438" w:rsidRPr="00614438" w:rsidRDefault="00614438" w:rsidP="00485CA7">
      <w:pPr>
        <w:numPr>
          <w:ilvl w:val="0"/>
          <w:numId w:val="245"/>
        </w:num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94% and 87% in the electricity generation sector in scenarios S and S-N respectively.</w:t>
      </w:r>
    </w:p>
    <w:p w14:paraId="1DBB3DFF" w14:textId="77777777" w:rsidR="00614438" w:rsidRPr="00614438" w:rsidRDefault="00614438" w:rsidP="00485CA7">
      <w:pPr>
        <w:numPr>
          <w:ilvl w:val="0"/>
          <w:numId w:val="245"/>
        </w:num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45% and 49% in the transport sector (without multipliers) in scenarios S and S-N respectively.</w:t>
      </w:r>
    </w:p>
    <w:p w14:paraId="334623AC" w14:textId="77777777" w:rsidR="00614438" w:rsidRPr="00614438" w:rsidRDefault="00614438" w:rsidP="00485CA7">
      <w:pPr>
        <w:numPr>
          <w:ilvl w:val="0"/>
          <w:numId w:val="245"/>
        </w:num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39% in the heating sector in both scenarios S and S-N.</w:t>
      </w:r>
    </w:p>
    <w:p w14:paraId="24D354A1" w14:textId="5573D7D7" w:rsidR="00614438" w:rsidRPr="00614438" w:rsidRDefault="00614438" w:rsidP="00F321B4">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It should be noted that scenario S leads to higher deployment of RES in gross final energy consumption by 2050 due to </w:t>
      </w:r>
      <w:r w:rsidR="001A0653">
        <w:rPr>
          <w:rFonts w:ascii="Times New Roman" w:hAnsi="Times New Roman" w:cs="Times New Roman"/>
          <w:sz w:val="24"/>
          <w:szCs w:val="24"/>
          <w:lang w:val="en-GB"/>
        </w:rPr>
        <w:t xml:space="preserve">an </w:t>
      </w:r>
      <w:r w:rsidRPr="00614438">
        <w:rPr>
          <w:rFonts w:ascii="Times New Roman" w:hAnsi="Times New Roman" w:cs="Times New Roman"/>
          <w:sz w:val="24"/>
          <w:szCs w:val="24"/>
          <w:lang w:val="en-GB"/>
        </w:rPr>
        <w:t>increased promotion of RES in electricity generation and transport sector.</w:t>
      </w:r>
    </w:p>
    <w:p w14:paraId="5A62617B" w14:textId="77777777" w:rsidR="00614438" w:rsidRPr="00614438" w:rsidRDefault="00614438" w:rsidP="00614438">
      <w:pPr>
        <w:jc w:val="both"/>
        <w:rPr>
          <w:rFonts w:ascii="Times New Roman" w:hAnsi="Times New Roman" w:cs="Times New Roman"/>
          <w:sz w:val="24"/>
          <w:szCs w:val="24"/>
          <w:lang w:val="en-GB"/>
        </w:rPr>
      </w:pPr>
      <w:bookmarkStart w:id="405" w:name="_heading=h.49gfa85"/>
      <w:bookmarkStart w:id="406" w:name="_Toc154575283"/>
      <w:bookmarkEnd w:id="405"/>
      <w:r w:rsidRPr="00614438">
        <w:rPr>
          <w:rFonts w:ascii="Times New Roman" w:hAnsi="Times New Roman" w:cs="Times New Roman"/>
          <w:sz w:val="24"/>
          <w:szCs w:val="24"/>
        </w:rPr>
        <w:lastRenderedPageBreak/>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10</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Share of RES in GFEC</w:t>
      </w:r>
      <w:bookmarkEnd w:id="406"/>
    </w:p>
    <w:p w14:paraId="0B427FFB" w14:textId="6E9F5B24"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da-DK"/>
        </w:rPr>
        <mc:AlternateContent>
          <mc:Choice Requires="wps">
            <w:drawing>
              <wp:anchor distT="0" distB="0" distL="114300" distR="114300" simplePos="0" relativeHeight="251702272" behindDoc="0" locked="0" layoutInCell="1" allowOverlap="1" wp14:anchorId="6217DF04" wp14:editId="1168700D">
                <wp:simplePos x="0" y="0"/>
                <wp:positionH relativeFrom="column">
                  <wp:posOffset>958215</wp:posOffset>
                </wp:positionH>
                <wp:positionV relativeFrom="paragraph">
                  <wp:posOffset>310515</wp:posOffset>
                </wp:positionV>
                <wp:extent cx="2771775" cy="2286000"/>
                <wp:effectExtent l="0" t="0" r="0" b="0"/>
                <wp:wrapNone/>
                <wp:docPr id="318378895"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1775" cy="228600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D9DA7FA" id="Text Box 59" o:spid="_x0000_s1026" type="#_x0000_t202" style="position:absolute;margin-left:75.45pt;margin-top:24.45pt;width:218.25pt;height:180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48D388CD" wp14:editId="7AE02FB5">
            <wp:extent cx="5153025" cy="3286125"/>
            <wp:effectExtent l="0" t="0" r="9525" b="9525"/>
            <wp:docPr id="681617674"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5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153025" cy="3286125"/>
                    </a:xfrm>
                    <a:prstGeom prst="rect">
                      <a:avLst/>
                    </a:prstGeom>
                    <a:noFill/>
                    <a:ln>
                      <a:noFill/>
                    </a:ln>
                  </pic:spPr>
                </pic:pic>
              </a:graphicData>
            </a:graphic>
          </wp:inline>
        </w:drawing>
      </w:r>
    </w:p>
    <w:p w14:paraId="113480ED" w14:textId="77777777" w:rsidR="00614438" w:rsidRPr="00614438" w:rsidRDefault="00614438" w:rsidP="00614438">
      <w:pPr>
        <w:jc w:val="both"/>
        <w:rPr>
          <w:rFonts w:ascii="Times New Roman" w:hAnsi="Times New Roman" w:cs="Times New Roman"/>
          <w:sz w:val="24"/>
          <w:szCs w:val="24"/>
          <w:lang w:val="en-GB"/>
        </w:rPr>
      </w:pPr>
      <w:bookmarkStart w:id="407" w:name="_Toc154575284"/>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Share of RES in Electricity Generation</w:t>
      </w:r>
      <w:bookmarkEnd w:id="407"/>
    </w:p>
    <w:p w14:paraId="2642B52D" w14:textId="2271AB57"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703296" behindDoc="0" locked="0" layoutInCell="1" allowOverlap="1" wp14:anchorId="4116F7C1" wp14:editId="16B46ACB">
                <wp:simplePos x="0" y="0"/>
                <wp:positionH relativeFrom="column">
                  <wp:posOffset>1032510</wp:posOffset>
                </wp:positionH>
                <wp:positionV relativeFrom="paragraph">
                  <wp:posOffset>326390</wp:posOffset>
                </wp:positionV>
                <wp:extent cx="2705100" cy="2228850"/>
                <wp:effectExtent l="0" t="0" r="0" b="0"/>
                <wp:wrapNone/>
                <wp:docPr id="690572115"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100" cy="222885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35820B5" id="Text Box 57" o:spid="_x0000_s1026" type="#_x0000_t202" style="position:absolute;margin-left:81.3pt;margin-top:25.7pt;width:213pt;height:17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" fillcolor="#a6a6a6" stroked="f">
                <v:fill opacity="32896f"/>
              </v:shape>
            </w:pict>
          </mc:Fallback>
        </mc:AlternateContent>
      </w:r>
      <w:bookmarkStart w:id="408" w:name="_heading=h.2olpkfy"/>
      <w:bookmarkEnd w:id="408"/>
      <w:r w:rsidR="00614438" w:rsidRPr="00013008">
        <w:rPr>
          <w:rFonts w:ascii="Times New Roman" w:hAnsi="Times New Roman" w:cs="Times New Roman"/>
          <w:noProof/>
          <w:sz w:val="24"/>
          <w:szCs w:val="24"/>
          <w:lang w:val="en-GB" w:eastAsia="en-GB"/>
        </w:rPr>
        <w:drawing>
          <wp:inline distT="0" distB="0" distL="0" distR="0" wp14:anchorId="292B8526" wp14:editId="5E764920">
            <wp:extent cx="5048250" cy="3228975"/>
            <wp:effectExtent l="0" t="0" r="0" b="9525"/>
            <wp:docPr id="1445923117"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5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048250" cy="3228975"/>
                    </a:xfrm>
                    <a:prstGeom prst="rect">
                      <a:avLst/>
                    </a:prstGeom>
                    <a:noFill/>
                    <a:ln>
                      <a:noFill/>
                    </a:ln>
                  </pic:spPr>
                </pic:pic>
              </a:graphicData>
            </a:graphic>
          </wp:inline>
        </w:drawing>
      </w:r>
    </w:p>
    <w:p w14:paraId="682D5836" w14:textId="7F6EEAA3" w:rsidR="00614438" w:rsidRPr="00614438" w:rsidRDefault="00614438" w:rsidP="00614438">
      <w:pPr>
        <w:jc w:val="both"/>
        <w:rPr>
          <w:rFonts w:ascii="Times New Roman" w:hAnsi="Times New Roman" w:cs="Times New Roman"/>
          <w:sz w:val="24"/>
          <w:szCs w:val="24"/>
        </w:rPr>
      </w:pPr>
      <w:bookmarkStart w:id="409" w:name="_Toc154575285"/>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12</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Share of RES in</w:t>
      </w:r>
      <w:r w:rsidR="001A0653">
        <w:rPr>
          <w:rFonts w:ascii="Times New Roman" w:hAnsi="Times New Roman" w:cs="Times New Roman"/>
          <w:sz w:val="24"/>
          <w:szCs w:val="24"/>
        </w:rPr>
        <w:t xml:space="preserve"> the</w:t>
      </w:r>
      <w:r w:rsidRPr="00614438">
        <w:rPr>
          <w:rFonts w:ascii="Times New Roman" w:hAnsi="Times New Roman" w:cs="Times New Roman"/>
          <w:sz w:val="24"/>
          <w:szCs w:val="24"/>
        </w:rPr>
        <w:t xml:space="preserve"> Transport </w:t>
      </w:r>
      <w:r w:rsidR="001A0653">
        <w:rPr>
          <w:rFonts w:ascii="Times New Roman" w:hAnsi="Times New Roman" w:cs="Times New Roman"/>
          <w:sz w:val="24"/>
          <w:szCs w:val="24"/>
        </w:rPr>
        <w:t xml:space="preserve">sector </w:t>
      </w:r>
      <w:r w:rsidRPr="00614438">
        <w:rPr>
          <w:rFonts w:ascii="Times New Roman" w:hAnsi="Times New Roman" w:cs="Times New Roman"/>
          <w:sz w:val="24"/>
          <w:szCs w:val="24"/>
        </w:rPr>
        <w:t>(without multipliers)</w:t>
      </w:r>
      <w:bookmarkEnd w:id="409"/>
    </w:p>
    <w:p w14:paraId="2E9DF9CB" w14:textId="1F419944"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da-DK"/>
        </w:rPr>
        <w:lastRenderedPageBreak/>
        <mc:AlternateContent>
          <mc:Choice Requires="wps">
            <w:drawing>
              <wp:anchor distT="0" distB="0" distL="114300" distR="114300" simplePos="0" relativeHeight="251704320" behindDoc="0" locked="0" layoutInCell="1" allowOverlap="1" wp14:anchorId="60A41A54" wp14:editId="1D7EA9B7">
                <wp:simplePos x="0" y="0"/>
                <wp:positionH relativeFrom="column">
                  <wp:posOffset>899160</wp:posOffset>
                </wp:positionH>
                <wp:positionV relativeFrom="paragraph">
                  <wp:posOffset>318135</wp:posOffset>
                </wp:positionV>
                <wp:extent cx="2886075" cy="2352675"/>
                <wp:effectExtent l="0" t="0" r="0" b="0"/>
                <wp:wrapNone/>
                <wp:docPr id="209362077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6075" cy="2352675"/>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3453EE1" id="Text Box 55" o:spid="_x0000_s1026" type="#_x0000_t202" style="position:absolute;margin-left:70.8pt;margin-top:25.05pt;width:227.25pt;height:185.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" fillcolor="#a6a6a6" stroked="f">
                <v:fill opacity="32896f"/>
              </v:shape>
            </w:pict>
          </mc:Fallback>
        </mc:AlternateContent>
      </w:r>
      <w:bookmarkStart w:id="410" w:name="_heading=h.13qzunr"/>
      <w:bookmarkEnd w:id="410"/>
      <w:r w:rsidR="00614438" w:rsidRPr="00013008">
        <w:rPr>
          <w:rFonts w:ascii="Times New Roman" w:hAnsi="Times New Roman" w:cs="Times New Roman"/>
          <w:noProof/>
          <w:sz w:val="24"/>
          <w:szCs w:val="24"/>
          <w:lang w:val="en-GB" w:eastAsia="en-GB"/>
        </w:rPr>
        <w:drawing>
          <wp:inline distT="0" distB="0" distL="0" distR="0" wp14:anchorId="1292EBB9" wp14:editId="2969DE91">
            <wp:extent cx="5314950" cy="3390900"/>
            <wp:effectExtent l="0" t="0" r="0" b="0"/>
            <wp:docPr id="98587332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5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314950" cy="3390900"/>
                    </a:xfrm>
                    <a:prstGeom prst="rect">
                      <a:avLst/>
                    </a:prstGeom>
                    <a:noFill/>
                    <a:ln>
                      <a:noFill/>
                    </a:ln>
                  </pic:spPr>
                </pic:pic>
              </a:graphicData>
            </a:graphic>
          </wp:inline>
        </w:drawing>
      </w:r>
    </w:p>
    <w:p w14:paraId="7D84A2FB" w14:textId="77777777" w:rsidR="00614438" w:rsidRPr="00614438" w:rsidRDefault="00614438" w:rsidP="00614438">
      <w:pPr>
        <w:jc w:val="both"/>
        <w:rPr>
          <w:rFonts w:ascii="Times New Roman" w:hAnsi="Times New Roman" w:cs="Times New Roman"/>
          <w:sz w:val="24"/>
          <w:szCs w:val="24"/>
          <w:lang w:val="en-GB"/>
        </w:rPr>
      </w:pPr>
      <w:bookmarkStart w:id="411" w:name="_Toc154575286"/>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13</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Share of RES in Heating</w:t>
      </w:r>
      <w:bookmarkEnd w:id="411"/>
    </w:p>
    <w:p w14:paraId="646D66E6" w14:textId="36E93200"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da-DK"/>
        </w:rPr>
        <mc:AlternateContent>
          <mc:Choice Requires="wps">
            <w:drawing>
              <wp:anchor distT="0" distB="0" distL="114300" distR="114300" simplePos="0" relativeHeight="251705344" behindDoc="0" locked="0" layoutInCell="1" allowOverlap="1" wp14:anchorId="5D8C29A8" wp14:editId="0E2B8710">
                <wp:simplePos x="0" y="0"/>
                <wp:positionH relativeFrom="column">
                  <wp:posOffset>927735</wp:posOffset>
                </wp:positionH>
                <wp:positionV relativeFrom="paragraph">
                  <wp:posOffset>335915</wp:posOffset>
                </wp:positionV>
                <wp:extent cx="2819400" cy="2324100"/>
                <wp:effectExtent l="0" t="0" r="0" b="0"/>
                <wp:wrapNone/>
                <wp:docPr id="45279604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0" cy="232410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4B02BC8" id="Text Box 53" o:spid="_x0000_s1026" type="#_x0000_t202" style="position:absolute;margin-left:73.05pt;margin-top:26.45pt;width:222pt;height:18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6526E8B9" wp14:editId="20BAE11E">
            <wp:extent cx="5295900" cy="3371850"/>
            <wp:effectExtent l="0" t="0" r="0" b="0"/>
            <wp:docPr id="1069040402"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5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295900" cy="3371850"/>
                    </a:xfrm>
                    <a:prstGeom prst="rect">
                      <a:avLst/>
                    </a:prstGeom>
                    <a:noFill/>
                    <a:ln>
                      <a:noFill/>
                    </a:ln>
                  </pic:spPr>
                </pic:pic>
              </a:graphicData>
            </a:graphic>
          </wp:inline>
        </w:drawing>
      </w:r>
    </w:p>
    <w:p w14:paraId="54117F2A" w14:textId="2C8C78F2" w:rsidR="00614438" w:rsidRPr="00614438" w:rsidRDefault="00614438" w:rsidP="001A0653">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w:t>
      </w:r>
      <w:r w:rsidR="004D7EBF">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WEM scenario, the total installed capacity for electricity production is projected to increase from 9 GW in 2025 and 10 GW in 2030 to 13 GW in 2050. The expected increase is mainly attributed to the penetration of RES technologies for electricity generation, which generally have a lower utilization or capacity factor than conventional technologies and therefore require more capacity installed than conventional power plants for the same electricity production.</w:t>
      </w:r>
    </w:p>
    <w:p w14:paraId="3E484088" w14:textId="77777777" w:rsidR="00614438" w:rsidRPr="00614438" w:rsidRDefault="00614438" w:rsidP="001A0653">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Similarly, in both scenarios S and S-N, the total installed capacity for electricity production is expected to rise from 10 GW in 2025 and 11 GW in 2030 to about 36 GW in 2050.</w:t>
      </w:r>
    </w:p>
    <w:p w14:paraId="74E065D0" w14:textId="5075DCF6" w:rsidR="00614438" w:rsidRPr="00614438" w:rsidRDefault="00614438" w:rsidP="001A0653">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 xml:space="preserve">In </w:t>
      </w:r>
      <w:r w:rsidR="004D7EBF">
        <w:rPr>
          <w:rFonts w:ascii="Times New Roman" w:hAnsi="Times New Roman" w:cs="Times New Roman"/>
          <w:sz w:val="24"/>
          <w:szCs w:val="24"/>
          <w:lang w:val="en-GB"/>
        </w:rPr>
        <w:t xml:space="preserve">rhe </w:t>
      </w:r>
      <w:r w:rsidRPr="00614438">
        <w:rPr>
          <w:rFonts w:ascii="Times New Roman" w:hAnsi="Times New Roman" w:cs="Times New Roman"/>
          <w:sz w:val="24"/>
          <w:szCs w:val="24"/>
          <w:lang w:val="en-GB"/>
        </w:rPr>
        <w:t>WEM scenario, the total installed RES capacity is projected to reach 4 GW in 2025 and 2030 and 7 GW in 2050 (</w:t>
      </w:r>
      <w:r w:rsidR="00FA29EF">
        <w:fldChar w:fldCharType="begin"/>
      </w:r>
      <w:r w:rsidR="00FA29EF">
        <w:instrText xml:space="preserve"> REF _Ref153526010 \h  \* MERGEFORMAT </w:instrText>
      </w:r>
      <w:r w:rsidR="00FA29EF">
        <w:fldChar w:fldCharType="separate"/>
      </w:r>
      <w:r w:rsidRPr="00614438">
        <w:rPr>
          <w:rFonts w:ascii="Times New Roman" w:hAnsi="Times New Roman" w:cs="Times New Roman"/>
          <w:sz w:val="24"/>
          <w:szCs w:val="24"/>
          <w:lang w:val="en-GB"/>
        </w:rPr>
        <w:t>Figure 5.14</w:t>
      </w:r>
      <w:r w:rsidR="00FA29EF">
        <w:fldChar w:fldCharType="end"/>
      </w:r>
      <w:r w:rsidRPr="00614438">
        <w:rPr>
          <w:rFonts w:ascii="Times New Roman" w:hAnsi="Times New Roman" w:cs="Times New Roman"/>
          <w:sz w:val="24"/>
          <w:szCs w:val="24"/>
          <w:lang w:val="en-GB"/>
        </w:rPr>
        <w:t>). Similarly, in both scenarios S and S-N, the total installed RES capacity is expected to rise from 6 GW</w:t>
      </w:r>
      <w:r w:rsidR="001A0653">
        <w:rPr>
          <w:rFonts w:ascii="Times New Roman" w:hAnsi="Times New Roman" w:cs="Times New Roman"/>
          <w:sz w:val="24"/>
          <w:szCs w:val="24"/>
          <w:lang w:val="en-GB"/>
        </w:rPr>
        <w:t xml:space="preserve"> in 2030,</w:t>
      </w:r>
      <w:r w:rsidRPr="00614438">
        <w:rPr>
          <w:rFonts w:ascii="Times New Roman" w:hAnsi="Times New Roman" w:cs="Times New Roman"/>
          <w:sz w:val="24"/>
          <w:szCs w:val="24"/>
          <w:lang w:val="en-GB"/>
        </w:rPr>
        <w:t xml:space="preserve"> excluding hydro pump storage plants, to about 30 GW in 2050. Solar and wind are anticipated to have the largest contribution in all </w:t>
      </w:r>
      <w:r w:rsidR="001A0653">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scenarios in 2030 and 2050. It must be noted that the capacity of RES projected for 2030 is considered as a minimum for renewable energy penetration.</w:t>
      </w:r>
    </w:p>
    <w:p w14:paraId="5FAED68B" w14:textId="77777777" w:rsidR="00614438" w:rsidRPr="00614438" w:rsidRDefault="00614438" w:rsidP="00614438">
      <w:pPr>
        <w:jc w:val="both"/>
        <w:rPr>
          <w:rFonts w:ascii="Times New Roman" w:hAnsi="Times New Roman" w:cs="Times New Roman"/>
          <w:sz w:val="24"/>
          <w:szCs w:val="24"/>
        </w:rPr>
      </w:pPr>
      <w:bookmarkStart w:id="412" w:name="_Ref153526010"/>
      <w:bookmarkStart w:id="413" w:name="_Toc154575287"/>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14</w:t>
      </w:r>
      <w:r w:rsidR="00C83251" w:rsidRPr="00614438">
        <w:rPr>
          <w:rFonts w:ascii="Times New Roman" w:hAnsi="Times New Roman" w:cs="Times New Roman"/>
          <w:sz w:val="24"/>
          <w:szCs w:val="24"/>
        </w:rPr>
        <w:fldChar w:fldCharType="end"/>
      </w:r>
      <w:bookmarkEnd w:id="412"/>
      <w:r w:rsidRPr="00614438">
        <w:rPr>
          <w:rFonts w:ascii="Times New Roman" w:hAnsi="Times New Roman" w:cs="Times New Roman"/>
          <w:sz w:val="24"/>
          <w:szCs w:val="24"/>
        </w:rPr>
        <w:t>: Installed RES capacity per technology</w:t>
      </w:r>
      <w:bookmarkEnd w:id="413"/>
    </w:p>
    <w:p w14:paraId="5169879C" w14:textId="79AB5707"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706368" behindDoc="0" locked="0" layoutInCell="1" allowOverlap="1" wp14:anchorId="3C5B028E" wp14:editId="2FF8DFB8">
                <wp:simplePos x="0" y="0"/>
                <wp:positionH relativeFrom="column">
                  <wp:posOffset>337185</wp:posOffset>
                </wp:positionH>
                <wp:positionV relativeFrom="paragraph">
                  <wp:posOffset>158115</wp:posOffset>
                </wp:positionV>
                <wp:extent cx="3629025" cy="1990725"/>
                <wp:effectExtent l="0" t="0" r="0" b="0"/>
                <wp:wrapNone/>
                <wp:docPr id="479879557"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9025" cy="1990725"/>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D4FAC30" id="Text Box 51" o:spid="_x0000_s1026" type="#_x0000_t202" style="position:absolute;margin-left:26.55pt;margin-top:12.45pt;width:285.75pt;height:156.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0A7DE671" wp14:editId="1AFE4343">
            <wp:extent cx="6120130" cy="3401060"/>
            <wp:effectExtent l="0" t="0" r="0" b="8890"/>
            <wp:docPr id="1345436436"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5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120130" cy="3401060"/>
                    </a:xfrm>
                    <a:prstGeom prst="rect">
                      <a:avLst/>
                    </a:prstGeom>
                    <a:noFill/>
                    <a:ln>
                      <a:noFill/>
                    </a:ln>
                  </pic:spPr>
                </pic:pic>
              </a:graphicData>
            </a:graphic>
          </wp:inline>
        </w:drawing>
      </w:r>
    </w:p>
    <w:p w14:paraId="588441D7" w14:textId="77777777" w:rsidR="00614438" w:rsidRPr="00614438" w:rsidRDefault="00614438" w:rsidP="00614438">
      <w:pPr>
        <w:jc w:val="both"/>
        <w:rPr>
          <w:rFonts w:ascii="Times New Roman" w:hAnsi="Times New Roman" w:cs="Times New Roman"/>
          <w:sz w:val="24"/>
          <w:szCs w:val="24"/>
          <w:lang w:val="en-GB"/>
        </w:rPr>
      </w:pPr>
    </w:p>
    <w:p w14:paraId="64DEAA99" w14:textId="77777777" w:rsidR="00614438" w:rsidRPr="004F5BC1" w:rsidRDefault="00614438" w:rsidP="004F5BC1">
      <w:pPr>
        <w:spacing w:after="0"/>
        <w:jc w:val="both"/>
        <w:rPr>
          <w:rFonts w:ascii="Times New Roman" w:hAnsi="Times New Roman" w:cs="Times New Roman"/>
          <w:sz w:val="20"/>
          <w:szCs w:val="20"/>
        </w:rPr>
      </w:pPr>
      <w:bookmarkStart w:id="414" w:name="_Toc153545076"/>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Installed RES capacity per technology per scenario</w:t>
      </w:r>
      <w:bookmarkEnd w:id="414"/>
    </w:p>
    <w:tbl>
      <w:tblPr>
        <w:tblStyle w:val="TableGrid"/>
        <w:tblW w:w="0" w:type="auto"/>
        <w:jc w:val="center"/>
        <w:tblLook w:val="04A0" w:firstRow="1" w:lastRow="0" w:firstColumn="1" w:lastColumn="0" w:noHBand="0" w:noVBand="1"/>
      </w:tblPr>
      <w:tblGrid>
        <w:gridCol w:w="906"/>
        <w:gridCol w:w="2633"/>
        <w:gridCol w:w="2963"/>
        <w:gridCol w:w="1054"/>
        <w:gridCol w:w="1166"/>
      </w:tblGrid>
      <w:tr w:rsidR="00614438" w:rsidRPr="004F5BC1" w14:paraId="4CBD34EB" w14:textId="77777777" w:rsidTr="00614438">
        <w:trPr>
          <w:trHeight w:val="315"/>
          <w:jc w:val="center"/>
        </w:trPr>
        <w:tc>
          <w:tcPr>
            <w:tcW w:w="906" w:type="dxa"/>
            <w:tcBorders>
              <w:top w:val="single" w:sz="4" w:space="0" w:color="auto"/>
              <w:left w:val="single" w:sz="4" w:space="0" w:color="auto"/>
              <w:bottom w:val="single" w:sz="4" w:space="0" w:color="auto"/>
              <w:right w:val="single" w:sz="4" w:space="0" w:color="auto"/>
            </w:tcBorders>
            <w:noWrap/>
            <w:hideMark/>
          </w:tcPr>
          <w:p w14:paraId="4D439316" w14:textId="026E0E52" w:rsidR="00614438" w:rsidRPr="004F5BC1" w:rsidRDefault="001A0653"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Year</w:t>
            </w:r>
          </w:p>
        </w:tc>
        <w:tc>
          <w:tcPr>
            <w:tcW w:w="2633" w:type="dxa"/>
            <w:tcBorders>
              <w:top w:val="single" w:sz="4" w:space="0" w:color="auto"/>
              <w:left w:val="single" w:sz="4" w:space="0" w:color="auto"/>
              <w:bottom w:val="single" w:sz="4" w:space="0" w:color="auto"/>
              <w:right w:val="single" w:sz="4" w:space="0" w:color="auto"/>
            </w:tcBorders>
            <w:noWrap/>
            <w:hideMark/>
          </w:tcPr>
          <w:p w14:paraId="346E9539" w14:textId="7C33B3F8" w:rsidR="00614438" w:rsidRPr="004F5BC1" w:rsidRDefault="001A0653" w:rsidP="004F5BC1">
            <w:pPr>
              <w:spacing w:line="259" w:lineRule="auto"/>
              <w:jc w:val="both"/>
              <w:rPr>
                <w:rFonts w:ascii="Times New Roman" w:hAnsi="Times New Roman" w:cs="Times New Roman"/>
                <w:sz w:val="20"/>
                <w:szCs w:val="20"/>
              </w:rPr>
            </w:pPr>
            <w:r w:rsidRPr="004F5BC1">
              <w:rPr>
                <w:rFonts w:ascii="Times New Roman" w:hAnsi="Times New Roman" w:cs="Times New Roman"/>
                <w:sz w:val="20"/>
                <w:szCs w:val="20"/>
              </w:rPr>
              <w:t>Scenario</w:t>
            </w:r>
          </w:p>
        </w:tc>
        <w:tc>
          <w:tcPr>
            <w:tcW w:w="2963" w:type="dxa"/>
            <w:tcBorders>
              <w:top w:val="single" w:sz="4" w:space="0" w:color="auto"/>
              <w:left w:val="single" w:sz="4" w:space="0" w:color="auto"/>
              <w:bottom w:val="single" w:sz="4" w:space="0" w:color="auto"/>
              <w:right w:val="single" w:sz="4" w:space="0" w:color="auto"/>
            </w:tcBorders>
            <w:noWrap/>
            <w:hideMark/>
          </w:tcPr>
          <w:p w14:paraId="115F8A92"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Hydro Plants</w:t>
            </w:r>
          </w:p>
        </w:tc>
        <w:tc>
          <w:tcPr>
            <w:tcW w:w="1054" w:type="dxa"/>
            <w:tcBorders>
              <w:top w:val="single" w:sz="4" w:space="0" w:color="auto"/>
              <w:left w:val="single" w:sz="4" w:space="0" w:color="auto"/>
              <w:bottom w:val="single" w:sz="4" w:space="0" w:color="auto"/>
              <w:right w:val="single" w:sz="4" w:space="0" w:color="auto"/>
            </w:tcBorders>
            <w:noWrap/>
            <w:hideMark/>
          </w:tcPr>
          <w:p w14:paraId="1953B4DE"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Wind</w:t>
            </w:r>
          </w:p>
        </w:tc>
        <w:tc>
          <w:tcPr>
            <w:tcW w:w="1166" w:type="dxa"/>
            <w:tcBorders>
              <w:top w:val="single" w:sz="4" w:space="0" w:color="auto"/>
              <w:left w:val="single" w:sz="4" w:space="0" w:color="auto"/>
              <w:bottom w:val="single" w:sz="4" w:space="0" w:color="auto"/>
              <w:right w:val="single" w:sz="4" w:space="0" w:color="auto"/>
            </w:tcBorders>
            <w:noWrap/>
            <w:hideMark/>
          </w:tcPr>
          <w:p w14:paraId="3B4E7A79"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Solar</w:t>
            </w:r>
          </w:p>
        </w:tc>
      </w:tr>
      <w:tr w:rsidR="00614438" w:rsidRPr="004F5BC1" w14:paraId="55982DE3"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11A407B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2025</w:t>
            </w:r>
          </w:p>
        </w:tc>
        <w:tc>
          <w:tcPr>
            <w:tcW w:w="2633" w:type="dxa"/>
            <w:tcBorders>
              <w:top w:val="single" w:sz="4" w:space="0" w:color="auto"/>
              <w:left w:val="single" w:sz="4" w:space="0" w:color="auto"/>
              <w:bottom w:val="single" w:sz="4" w:space="0" w:color="auto"/>
              <w:right w:val="single" w:sz="4" w:space="0" w:color="auto"/>
            </w:tcBorders>
            <w:noWrap/>
            <w:hideMark/>
          </w:tcPr>
          <w:p w14:paraId="5CC8EA5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WEM</w:t>
            </w:r>
          </w:p>
        </w:tc>
        <w:tc>
          <w:tcPr>
            <w:tcW w:w="2963" w:type="dxa"/>
            <w:tcBorders>
              <w:top w:val="single" w:sz="4" w:space="0" w:color="auto"/>
              <w:left w:val="single" w:sz="4" w:space="0" w:color="auto"/>
              <w:bottom w:val="single" w:sz="4" w:space="0" w:color="auto"/>
              <w:right w:val="single" w:sz="4" w:space="0" w:color="auto"/>
            </w:tcBorders>
            <w:noWrap/>
            <w:hideMark/>
          </w:tcPr>
          <w:p w14:paraId="22D31D45"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2,48</w:t>
            </w:r>
          </w:p>
        </w:tc>
        <w:tc>
          <w:tcPr>
            <w:tcW w:w="1054" w:type="dxa"/>
            <w:tcBorders>
              <w:top w:val="single" w:sz="4" w:space="0" w:color="auto"/>
              <w:left w:val="single" w:sz="4" w:space="0" w:color="auto"/>
              <w:bottom w:val="single" w:sz="4" w:space="0" w:color="auto"/>
              <w:right w:val="single" w:sz="4" w:space="0" w:color="auto"/>
            </w:tcBorders>
            <w:noWrap/>
            <w:hideMark/>
          </w:tcPr>
          <w:p w14:paraId="181697BE"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0,75</w:t>
            </w:r>
          </w:p>
        </w:tc>
        <w:tc>
          <w:tcPr>
            <w:tcW w:w="1166" w:type="dxa"/>
            <w:tcBorders>
              <w:top w:val="single" w:sz="4" w:space="0" w:color="auto"/>
              <w:left w:val="single" w:sz="4" w:space="0" w:color="auto"/>
              <w:bottom w:val="single" w:sz="4" w:space="0" w:color="auto"/>
              <w:right w:val="single" w:sz="4" w:space="0" w:color="auto"/>
            </w:tcBorders>
            <w:noWrap/>
            <w:hideMark/>
          </w:tcPr>
          <w:p w14:paraId="35C805ED"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0,30</w:t>
            </w:r>
          </w:p>
        </w:tc>
      </w:tr>
      <w:tr w:rsidR="00614438" w:rsidRPr="004F5BC1" w14:paraId="15601B86"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4A2540AB"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2633" w:type="dxa"/>
            <w:tcBorders>
              <w:top w:val="single" w:sz="4" w:space="0" w:color="auto"/>
              <w:left w:val="single" w:sz="4" w:space="0" w:color="auto"/>
              <w:bottom w:val="single" w:sz="4" w:space="0" w:color="auto"/>
              <w:right w:val="single" w:sz="4" w:space="0" w:color="auto"/>
            </w:tcBorders>
            <w:noWrap/>
            <w:hideMark/>
          </w:tcPr>
          <w:p w14:paraId="122ECCD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w:t>
            </w:r>
          </w:p>
        </w:tc>
        <w:tc>
          <w:tcPr>
            <w:tcW w:w="2963" w:type="dxa"/>
            <w:tcBorders>
              <w:top w:val="single" w:sz="4" w:space="0" w:color="auto"/>
              <w:left w:val="single" w:sz="4" w:space="0" w:color="auto"/>
              <w:bottom w:val="single" w:sz="4" w:space="0" w:color="auto"/>
              <w:right w:val="single" w:sz="4" w:space="0" w:color="auto"/>
            </w:tcBorders>
            <w:noWrap/>
            <w:hideMark/>
          </w:tcPr>
          <w:p w14:paraId="28754373"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2,48</w:t>
            </w:r>
          </w:p>
        </w:tc>
        <w:tc>
          <w:tcPr>
            <w:tcW w:w="1054" w:type="dxa"/>
            <w:tcBorders>
              <w:top w:val="single" w:sz="4" w:space="0" w:color="auto"/>
              <w:left w:val="single" w:sz="4" w:space="0" w:color="auto"/>
              <w:bottom w:val="single" w:sz="4" w:space="0" w:color="auto"/>
              <w:right w:val="single" w:sz="4" w:space="0" w:color="auto"/>
            </w:tcBorders>
            <w:noWrap/>
            <w:hideMark/>
          </w:tcPr>
          <w:p w14:paraId="35A9697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0,90</w:t>
            </w:r>
          </w:p>
        </w:tc>
        <w:tc>
          <w:tcPr>
            <w:tcW w:w="1166" w:type="dxa"/>
            <w:tcBorders>
              <w:top w:val="single" w:sz="4" w:space="0" w:color="auto"/>
              <w:left w:val="single" w:sz="4" w:space="0" w:color="auto"/>
              <w:bottom w:val="single" w:sz="4" w:space="0" w:color="auto"/>
              <w:right w:val="single" w:sz="4" w:space="0" w:color="auto"/>
            </w:tcBorders>
            <w:noWrap/>
            <w:hideMark/>
          </w:tcPr>
          <w:p w14:paraId="3F400081"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0,51</w:t>
            </w:r>
          </w:p>
        </w:tc>
      </w:tr>
      <w:tr w:rsidR="00614438" w:rsidRPr="004F5BC1" w14:paraId="06EDB049"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230CA22C"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2633" w:type="dxa"/>
            <w:tcBorders>
              <w:top w:val="single" w:sz="4" w:space="0" w:color="auto"/>
              <w:left w:val="single" w:sz="4" w:space="0" w:color="auto"/>
              <w:bottom w:val="single" w:sz="4" w:space="0" w:color="auto"/>
              <w:right w:val="single" w:sz="4" w:space="0" w:color="auto"/>
            </w:tcBorders>
            <w:noWrap/>
            <w:hideMark/>
          </w:tcPr>
          <w:p w14:paraId="36B63831"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S-N</w:t>
            </w:r>
          </w:p>
        </w:tc>
        <w:tc>
          <w:tcPr>
            <w:tcW w:w="2963" w:type="dxa"/>
            <w:tcBorders>
              <w:top w:val="single" w:sz="4" w:space="0" w:color="auto"/>
              <w:left w:val="single" w:sz="4" w:space="0" w:color="auto"/>
              <w:bottom w:val="single" w:sz="4" w:space="0" w:color="auto"/>
              <w:right w:val="single" w:sz="4" w:space="0" w:color="auto"/>
            </w:tcBorders>
            <w:noWrap/>
            <w:hideMark/>
          </w:tcPr>
          <w:p w14:paraId="07969136"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2,48</w:t>
            </w:r>
          </w:p>
        </w:tc>
        <w:tc>
          <w:tcPr>
            <w:tcW w:w="1054" w:type="dxa"/>
            <w:tcBorders>
              <w:top w:val="single" w:sz="4" w:space="0" w:color="auto"/>
              <w:left w:val="single" w:sz="4" w:space="0" w:color="auto"/>
              <w:bottom w:val="single" w:sz="4" w:space="0" w:color="auto"/>
              <w:right w:val="single" w:sz="4" w:space="0" w:color="auto"/>
            </w:tcBorders>
            <w:noWrap/>
            <w:hideMark/>
          </w:tcPr>
          <w:p w14:paraId="364D7D30"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0,90</w:t>
            </w:r>
          </w:p>
        </w:tc>
        <w:tc>
          <w:tcPr>
            <w:tcW w:w="1166" w:type="dxa"/>
            <w:tcBorders>
              <w:top w:val="single" w:sz="4" w:space="0" w:color="auto"/>
              <w:left w:val="single" w:sz="4" w:space="0" w:color="auto"/>
              <w:bottom w:val="single" w:sz="4" w:space="0" w:color="auto"/>
              <w:right w:val="single" w:sz="4" w:space="0" w:color="auto"/>
            </w:tcBorders>
            <w:noWrap/>
            <w:hideMark/>
          </w:tcPr>
          <w:p w14:paraId="55C8799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0,51</w:t>
            </w:r>
          </w:p>
        </w:tc>
      </w:tr>
      <w:tr w:rsidR="00614438" w:rsidRPr="004F5BC1" w14:paraId="131F75A5"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6790A1DB"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2026</w:t>
            </w:r>
          </w:p>
        </w:tc>
        <w:tc>
          <w:tcPr>
            <w:tcW w:w="2633" w:type="dxa"/>
            <w:tcBorders>
              <w:top w:val="single" w:sz="4" w:space="0" w:color="auto"/>
              <w:left w:val="single" w:sz="4" w:space="0" w:color="auto"/>
              <w:bottom w:val="single" w:sz="4" w:space="0" w:color="auto"/>
              <w:right w:val="single" w:sz="4" w:space="0" w:color="auto"/>
            </w:tcBorders>
            <w:noWrap/>
            <w:hideMark/>
          </w:tcPr>
          <w:p w14:paraId="329E3762"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WEM</w:t>
            </w:r>
          </w:p>
        </w:tc>
        <w:tc>
          <w:tcPr>
            <w:tcW w:w="2963" w:type="dxa"/>
            <w:tcBorders>
              <w:top w:val="single" w:sz="4" w:space="0" w:color="auto"/>
              <w:left w:val="single" w:sz="4" w:space="0" w:color="auto"/>
              <w:bottom w:val="single" w:sz="4" w:space="0" w:color="auto"/>
              <w:right w:val="single" w:sz="4" w:space="0" w:color="auto"/>
            </w:tcBorders>
            <w:noWrap/>
            <w:hideMark/>
          </w:tcPr>
          <w:p w14:paraId="7ABF88DC"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2,48</w:t>
            </w:r>
          </w:p>
        </w:tc>
        <w:tc>
          <w:tcPr>
            <w:tcW w:w="1054" w:type="dxa"/>
            <w:tcBorders>
              <w:top w:val="single" w:sz="4" w:space="0" w:color="auto"/>
              <w:left w:val="single" w:sz="4" w:space="0" w:color="auto"/>
              <w:bottom w:val="single" w:sz="4" w:space="0" w:color="auto"/>
              <w:right w:val="single" w:sz="4" w:space="0" w:color="auto"/>
            </w:tcBorders>
            <w:noWrap/>
            <w:hideMark/>
          </w:tcPr>
          <w:p w14:paraId="20F24D1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0,75</w:t>
            </w:r>
          </w:p>
        </w:tc>
        <w:tc>
          <w:tcPr>
            <w:tcW w:w="1166" w:type="dxa"/>
            <w:tcBorders>
              <w:top w:val="single" w:sz="4" w:space="0" w:color="auto"/>
              <w:left w:val="single" w:sz="4" w:space="0" w:color="auto"/>
              <w:bottom w:val="single" w:sz="4" w:space="0" w:color="auto"/>
              <w:right w:val="single" w:sz="4" w:space="0" w:color="auto"/>
            </w:tcBorders>
            <w:noWrap/>
            <w:hideMark/>
          </w:tcPr>
          <w:p w14:paraId="0A845E39"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0,30</w:t>
            </w:r>
          </w:p>
        </w:tc>
      </w:tr>
      <w:tr w:rsidR="00614438" w:rsidRPr="004F5BC1" w14:paraId="1197FBD4"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38F0F29D"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2633" w:type="dxa"/>
            <w:tcBorders>
              <w:top w:val="single" w:sz="4" w:space="0" w:color="auto"/>
              <w:left w:val="single" w:sz="4" w:space="0" w:color="auto"/>
              <w:bottom w:val="single" w:sz="4" w:space="0" w:color="auto"/>
              <w:right w:val="single" w:sz="4" w:space="0" w:color="auto"/>
            </w:tcBorders>
            <w:noWrap/>
            <w:hideMark/>
          </w:tcPr>
          <w:p w14:paraId="0E98494E"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w:t>
            </w:r>
          </w:p>
        </w:tc>
        <w:tc>
          <w:tcPr>
            <w:tcW w:w="2963" w:type="dxa"/>
            <w:tcBorders>
              <w:top w:val="single" w:sz="4" w:space="0" w:color="auto"/>
              <w:left w:val="single" w:sz="4" w:space="0" w:color="auto"/>
              <w:bottom w:val="single" w:sz="4" w:space="0" w:color="auto"/>
              <w:right w:val="single" w:sz="4" w:space="0" w:color="auto"/>
            </w:tcBorders>
            <w:noWrap/>
            <w:hideMark/>
          </w:tcPr>
          <w:p w14:paraId="0340E7C4"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2,48</w:t>
            </w:r>
          </w:p>
        </w:tc>
        <w:tc>
          <w:tcPr>
            <w:tcW w:w="1054" w:type="dxa"/>
            <w:tcBorders>
              <w:top w:val="single" w:sz="4" w:space="0" w:color="auto"/>
              <w:left w:val="single" w:sz="4" w:space="0" w:color="auto"/>
              <w:bottom w:val="single" w:sz="4" w:space="0" w:color="auto"/>
              <w:right w:val="single" w:sz="4" w:space="0" w:color="auto"/>
            </w:tcBorders>
            <w:noWrap/>
            <w:hideMark/>
          </w:tcPr>
          <w:p w14:paraId="6C08070B"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1,05</w:t>
            </w:r>
          </w:p>
        </w:tc>
        <w:tc>
          <w:tcPr>
            <w:tcW w:w="1166" w:type="dxa"/>
            <w:tcBorders>
              <w:top w:val="single" w:sz="4" w:space="0" w:color="auto"/>
              <w:left w:val="single" w:sz="4" w:space="0" w:color="auto"/>
              <w:bottom w:val="single" w:sz="4" w:space="0" w:color="auto"/>
              <w:right w:val="single" w:sz="4" w:space="0" w:color="auto"/>
            </w:tcBorders>
            <w:noWrap/>
            <w:hideMark/>
          </w:tcPr>
          <w:p w14:paraId="0B031DB9"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0,75</w:t>
            </w:r>
          </w:p>
        </w:tc>
      </w:tr>
      <w:tr w:rsidR="00614438" w:rsidRPr="004F5BC1" w14:paraId="5FD8C300"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0EA4C1A5"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2633" w:type="dxa"/>
            <w:tcBorders>
              <w:top w:val="single" w:sz="4" w:space="0" w:color="auto"/>
              <w:left w:val="single" w:sz="4" w:space="0" w:color="auto"/>
              <w:bottom w:val="single" w:sz="4" w:space="0" w:color="auto"/>
              <w:right w:val="single" w:sz="4" w:space="0" w:color="auto"/>
            </w:tcBorders>
            <w:noWrap/>
            <w:hideMark/>
          </w:tcPr>
          <w:p w14:paraId="61A5914F"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S-N</w:t>
            </w:r>
          </w:p>
        </w:tc>
        <w:tc>
          <w:tcPr>
            <w:tcW w:w="2963" w:type="dxa"/>
            <w:tcBorders>
              <w:top w:val="single" w:sz="4" w:space="0" w:color="auto"/>
              <w:left w:val="single" w:sz="4" w:space="0" w:color="auto"/>
              <w:bottom w:val="single" w:sz="4" w:space="0" w:color="auto"/>
              <w:right w:val="single" w:sz="4" w:space="0" w:color="auto"/>
            </w:tcBorders>
            <w:noWrap/>
            <w:hideMark/>
          </w:tcPr>
          <w:p w14:paraId="27C470A6"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2,48</w:t>
            </w:r>
          </w:p>
        </w:tc>
        <w:tc>
          <w:tcPr>
            <w:tcW w:w="1054" w:type="dxa"/>
            <w:tcBorders>
              <w:top w:val="single" w:sz="4" w:space="0" w:color="auto"/>
              <w:left w:val="single" w:sz="4" w:space="0" w:color="auto"/>
              <w:bottom w:val="single" w:sz="4" w:space="0" w:color="auto"/>
              <w:right w:val="single" w:sz="4" w:space="0" w:color="auto"/>
            </w:tcBorders>
            <w:noWrap/>
            <w:hideMark/>
          </w:tcPr>
          <w:p w14:paraId="362247D4"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1,05</w:t>
            </w:r>
          </w:p>
        </w:tc>
        <w:tc>
          <w:tcPr>
            <w:tcW w:w="1166" w:type="dxa"/>
            <w:tcBorders>
              <w:top w:val="single" w:sz="4" w:space="0" w:color="auto"/>
              <w:left w:val="single" w:sz="4" w:space="0" w:color="auto"/>
              <w:bottom w:val="single" w:sz="4" w:space="0" w:color="auto"/>
              <w:right w:val="single" w:sz="4" w:space="0" w:color="auto"/>
            </w:tcBorders>
            <w:noWrap/>
            <w:hideMark/>
          </w:tcPr>
          <w:p w14:paraId="5C2A5A5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0,75</w:t>
            </w:r>
          </w:p>
        </w:tc>
      </w:tr>
      <w:tr w:rsidR="00614438" w:rsidRPr="004F5BC1" w14:paraId="4EE89E4A"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19BDB975"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2027</w:t>
            </w:r>
          </w:p>
        </w:tc>
        <w:tc>
          <w:tcPr>
            <w:tcW w:w="2633" w:type="dxa"/>
            <w:tcBorders>
              <w:top w:val="single" w:sz="4" w:space="0" w:color="auto"/>
              <w:left w:val="single" w:sz="4" w:space="0" w:color="auto"/>
              <w:bottom w:val="single" w:sz="4" w:space="0" w:color="auto"/>
              <w:right w:val="single" w:sz="4" w:space="0" w:color="auto"/>
            </w:tcBorders>
            <w:noWrap/>
            <w:hideMark/>
          </w:tcPr>
          <w:p w14:paraId="1E808AE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WEM</w:t>
            </w:r>
          </w:p>
        </w:tc>
        <w:tc>
          <w:tcPr>
            <w:tcW w:w="2963" w:type="dxa"/>
            <w:tcBorders>
              <w:top w:val="single" w:sz="4" w:space="0" w:color="auto"/>
              <w:left w:val="single" w:sz="4" w:space="0" w:color="auto"/>
              <w:bottom w:val="single" w:sz="4" w:space="0" w:color="auto"/>
              <w:right w:val="single" w:sz="4" w:space="0" w:color="auto"/>
            </w:tcBorders>
            <w:noWrap/>
            <w:hideMark/>
          </w:tcPr>
          <w:p w14:paraId="445DB21C"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2,48</w:t>
            </w:r>
          </w:p>
        </w:tc>
        <w:tc>
          <w:tcPr>
            <w:tcW w:w="1054" w:type="dxa"/>
            <w:tcBorders>
              <w:top w:val="single" w:sz="4" w:space="0" w:color="auto"/>
              <w:left w:val="single" w:sz="4" w:space="0" w:color="auto"/>
              <w:bottom w:val="single" w:sz="4" w:space="0" w:color="auto"/>
              <w:right w:val="single" w:sz="4" w:space="0" w:color="auto"/>
            </w:tcBorders>
            <w:noWrap/>
            <w:hideMark/>
          </w:tcPr>
          <w:p w14:paraId="5986AF1E"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0,75</w:t>
            </w:r>
          </w:p>
        </w:tc>
        <w:tc>
          <w:tcPr>
            <w:tcW w:w="1166" w:type="dxa"/>
            <w:tcBorders>
              <w:top w:val="single" w:sz="4" w:space="0" w:color="auto"/>
              <w:left w:val="single" w:sz="4" w:space="0" w:color="auto"/>
              <w:bottom w:val="single" w:sz="4" w:space="0" w:color="auto"/>
              <w:right w:val="single" w:sz="4" w:space="0" w:color="auto"/>
            </w:tcBorders>
            <w:noWrap/>
            <w:hideMark/>
          </w:tcPr>
          <w:p w14:paraId="1EF8EEA9"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0,38</w:t>
            </w:r>
          </w:p>
        </w:tc>
      </w:tr>
      <w:tr w:rsidR="00614438" w:rsidRPr="004F5BC1" w14:paraId="47FE2EE9"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4D0D4F01"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2633" w:type="dxa"/>
            <w:tcBorders>
              <w:top w:val="single" w:sz="4" w:space="0" w:color="auto"/>
              <w:left w:val="single" w:sz="4" w:space="0" w:color="auto"/>
              <w:bottom w:val="single" w:sz="4" w:space="0" w:color="auto"/>
              <w:right w:val="single" w:sz="4" w:space="0" w:color="auto"/>
            </w:tcBorders>
            <w:noWrap/>
            <w:hideMark/>
          </w:tcPr>
          <w:p w14:paraId="129CB634"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w:t>
            </w:r>
          </w:p>
        </w:tc>
        <w:tc>
          <w:tcPr>
            <w:tcW w:w="2963" w:type="dxa"/>
            <w:tcBorders>
              <w:top w:val="single" w:sz="4" w:space="0" w:color="auto"/>
              <w:left w:val="single" w:sz="4" w:space="0" w:color="auto"/>
              <w:bottom w:val="single" w:sz="4" w:space="0" w:color="auto"/>
              <w:right w:val="single" w:sz="4" w:space="0" w:color="auto"/>
            </w:tcBorders>
            <w:noWrap/>
            <w:hideMark/>
          </w:tcPr>
          <w:p w14:paraId="21069E64"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2,48</w:t>
            </w:r>
          </w:p>
        </w:tc>
        <w:tc>
          <w:tcPr>
            <w:tcW w:w="1054" w:type="dxa"/>
            <w:tcBorders>
              <w:top w:val="single" w:sz="4" w:space="0" w:color="auto"/>
              <w:left w:val="single" w:sz="4" w:space="0" w:color="auto"/>
              <w:bottom w:val="single" w:sz="4" w:space="0" w:color="auto"/>
              <w:right w:val="single" w:sz="4" w:space="0" w:color="auto"/>
            </w:tcBorders>
            <w:noWrap/>
            <w:hideMark/>
          </w:tcPr>
          <w:p w14:paraId="15F73055"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1,21</w:t>
            </w:r>
          </w:p>
        </w:tc>
        <w:tc>
          <w:tcPr>
            <w:tcW w:w="1166" w:type="dxa"/>
            <w:tcBorders>
              <w:top w:val="single" w:sz="4" w:space="0" w:color="auto"/>
              <w:left w:val="single" w:sz="4" w:space="0" w:color="auto"/>
              <w:bottom w:val="single" w:sz="4" w:space="0" w:color="auto"/>
              <w:right w:val="single" w:sz="4" w:space="0" w:color="auto"/>
            </w:tcBorders>
            <w:noWrap/>
            <w:hideMark/>
          </w:tcPr>
          <w:p w14:paraId="4705E3BA"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0,99</w:t>
            </w:r>
          </w:p>
        </w:tc>
      </w:tr>
      <w:tr w:rsidR="00614438" w:rsidRPr="004F5BC1" w14:paraId="73355F9C"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7D5A8066"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2633" w:type="dxa"/>
            <w:tcBorders>
              <w:top w:val="single" w:sz="4" w:space="0" w:color="auto"/>
              <w:left w:val="single" w:sz="4" w:space="0" w:color="auto"/>
              <w:bottom w:val="single" w:sz="4" w:space="0" w:color="auto"/>
              <w:right w:val="single" w:sz="4" w:space="0" w:color="auto"/>
            </w:tcBorders>
            <w:noWrap/>
            <w:hideMark/>
          </w:tcPr>
          <w:p w14:paraId="13FCCE81"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S-N</w:t>
            </w:r>
          </w:p>
        </w:tc>
        <w:tc>
          <w:tcPr>
            <w:tcW w:w="2963" w:type="dxa"/>
            <w:tcBorders>
              <w:top w:val="single" w:sz="4" w:space="0" w:color="auto"/>
              <w:left w:val="single" w:sz="4" w:space="0" w:color="auto"/>
              <w:bottom w:val="single" w:sz="4" w:space="0" w:color="auto"/>
              <w:right w:val="single" w:sz="4" w:space="0" w:color="auto"/>
            </w:tcBorders>
            <w:noWrap/>
            <w:hideMark/>
          </w:tcPr>
          <w:p w14:paraId="648AF1AB"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2,48</w:t>
            </w:r>
          </w:p>
        </w:tc>
        <w:tc>
          <w:tcPr>
            <w:tcW w:w="1054" w:type="dxa"/>
            <w:tcBorders>
              <w:top w:val="single" w:sz="4" w:space="0" w:color="auto"/>
              <w:left w:val="single" w:sz="4" w:space="0" w:color="auto"/>
              <w:bottom w:val="single" w:sz="4" w:space="0" w:color="auto"/>
              <w:right w:val="single" w:sz="4" w:space="0" w:color="auto"/>
            </w:tcBorders>
            <w:noWrap/>
            <w:hideMark/>
          </w:tcPr>
          <w:p w14:paraId="41661FE9"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1,21</w:t>
            </w:r>
          </w:p>
        </w:tc>
        <w:tc>
          <w:tcPr>
            <w:tcW w:w="1166" w:type="dxa"/>
            <w:tcBorders>
              <w:top w:val="single" w:sz="4" w:space="0" w:color="auto"/>
              <w:left w:val="single" w:sz="4" w:space="0" w:color="auto"/>
              <w:bottom w:val="single" w:sz="4" w:space="0" w:color="auto"/>
              <w:right w:val="single" w:sz="4" w:space="0" w:color="auto"/>
            </w:tcBorders>
            <w:noWrap/>
            <w:hideMark/>
          </w:tcPr>
          <w:p w14:paraId="05E311FA"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0,99</w:t>
            </w:r>
          </w:p>
        </w:tc>
      </w:tr>
      <w:tr w:rsidR="00614438" w:rsidRPr="004F5BC1" w14:paraId="1212772F"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61A1E1ED"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2028</w:t>
            </w:r>
          </w:p>
        </w:tc>
        <w:tc>
          <w:tcPr>
            <w:tcW w:w="2633" w:type="dxa"/>
            <w:tcBorders>
              <w:top w:val="single" w:sz="4" w:space="0" w:color="auto"/>
              <w:left w:val="single" w:sz="4" w:space="0" w:color="auto"/>
              <w:bottom w:val="single" w:sz="4" w:space="0" w:color="auto"/>
              <w:right w:val="single" w:sz="4" w:space="0" w:color="auto"/>
            </w:tcBorders>
            <w:noWrap/>
            <w:hideMark/>
          </w:tcPr>
          <w:p w14:paraId="1A651D7D"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WEM</w:t>
            </w:r>
          </w:p>
        </w:tc>
        <w:tc>
          <w:tcPr>
            <w:tcW w:w="2963" w:type="dxa"/>
            <w:tcBorders>
              <w:top w:val="single" w:sz="4" w:space="0" w:color="auto"/>
              <w:left w:val="single" w:sz="4" w:space="0" w:color="auto"/>
              <w:bottom w:val="single" w:sz="4" w:space="0" w:color="auto"/>
              <w:right w:val="single" w:sz="4" w:space="0" w:color="auto"/>
            </w:tcBorders>
            <w:noWrap/>
            <w:hideMark/>
          </w:tcPr>
          <w:p w14:paraId="3428F677"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2,48</w:t>
            </w:r>
          </w:p>
        </w:tc>
        <w:tc>
          <w:tcPr>
            <w:tcW w:w="1054" w:type="dxa"/>
            <w:tcBorders>
              <w:top w:val="single" w:sz="4" w:space="0" w:color="auto"/>
              <w:left w:val="single" w:sz="4" w:space="0" w:color="auto"/>
              <w:bottom w:val="single" w:sz="4" w:space="0" w:color="auto"/>
              <w:right w:val="single" w:sz="4" w:space="0" w:color="auto"/>
            </w:tcBorders>
            <w:noWrap/>
            <w:hideMark/>
          </w:tcPr>
          <w:p w14:paraId="2283F399"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0,75</w:t>
            </w:r>
          </w:p>
        </w:tc>
        <w:tc>
          <w:tcPr>
            <w:tcW w:w="1166" w:type="dxa"/>
            <w:tcBorders>
              <w:top w:val="single" w:sz="4" w:space="0" w:color="auto"/>
              <w:left w:val="single" w:sz="4" w:space="0" w:color="auto"/>
              <w:bottom w:val="single" w:sz="4" w:space="0" w:color="auto"/>
              <w:right w:val="single" w:sz="4" w:space="0" w:color="auto"/>
            </w:tcBorders>
            <w:noWrap/>
            <w:hideMark/>
          </w:tcPr>
          <w:p w14:paraId="3B24E92F"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0,38</w:t>
            </w:r>
          </w:p>
        </w:tc>
      </w:tr>
      <w:tr w:rsidR="00614438" w:rsidRPr="004F5BC1" w14:paraId="488BCD44"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69730802"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2633" w:type="dxa"/>
            <w:tcBorders>
              <w:top w:val="single" w:sz="4" w:space="0" w:color="auto"/>
              <w:left w:val="single" w:sz="4" w:space="0" w:color="auto"/>
              <w:bottom w:val="single" w:sz="4" w:space="0" w:color="auto"/>
              <w:right w:val="single" w:sz="4" w:space="0" w:color="auto"/>
            </w:tcBorders>
            <w:noWrap/>
            <w:hideMark/>
          </w:tcPr>
          <w:p w14:paraId="7D072EEE"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w:t>
            </w:r>
          </w:p>
        </w:tc>
        <w:tc>
          <w:tcPr>
            <w:tcW w:w="2963" w:type="dxa"/>
            <w:tcBorders>
              <w:top w:val="single" w:sz="4" w:space="0" w:color="auto"/>
              <w:left w:val="single" w:sz="4" w:space="0" w:color="auto"/>
              <w:bottom w:val="single" w:sz="4" w:space="0" w:color="auto"/>
              <w:right w:val="single" w:sz="4" w:space="0" w:color="auto"/>
            </w:tcBorders>
            <w:noWrap/>
            <w:hideMark/>
          </w:tcPr>
          <w:p w14:paraId="17A06A7B"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2,52</w:t>
            </w:r>
          </w:p>
        </w:tc>
        <w:tc>
          <w:tcPr>
            <w:tcW w:w="1054" w:type="dxa"/>
            <w:tcBorders>
              <w:top w:val="single" w:sz="4" w:space="0" w:color="auto"/>
              <w:left w:val="single" w:sz="4" w:space="0" w:color="auto"/>
              <w:bottom w:val="single" w:sz="4" w:space="0" w:color="auto"/>
              <w:right w:val="single" w:sz="4" w:space="0" w:color="auto"/>
            </w:tcBorders>
            <w:noWrap/>
            <w:hideMark/>
          </w:tcPr>
          <w:p w14:paraId="0021BAA4"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1,38</w:t>
            </w:r>
          </w:p>
        </w:tc>
        <w:tc>
          <w:tcPr>
            <w:tcW w:w="1166" w:type="dxa"/>
            <w:tcBorders>
              <w:top w:val="single" w:sz="4" w:space="0" w:color="auto"/>
              <w:left w:val="single" w:sz="4" w:space="0" w:color="auto"/>
              <w:bottom w:val="single" w:sz="4" w:space="0" w:color="auto"/>
              <w:right w:val="single" w:sz="4" w:space="0" w:color="auto"/>
            </w:tcBorders>
            <w:noWrap/>
            <w:hideMark/>
          </w:tcPr>
          <w:p w14:paraId="2901E3C5"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1,23</w:t>
            </w:r>
          </w:p>
        </w:tc>
      </w:tr>
      <w:tr w:rsidR="00614438" w:rsidRPr="004F5BC1" w14:paraId="2512E761"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364E839E"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2633" w:type="dxa"/>
            <w:tcBorders>
              <w:top w:val="single" w:sz="4" w:space="0" w:color="auto"/>
              <w:left w:val="single" w:sz="4" w:space="0" w:color="auto"/>
              <w:bottom w:val="single" w:sz="4" w:space="0" w:color="auto"/>
              <w:right w:val="single" w:sz="4" w:space="0" w:color="auto"/>
            </w:tcBorders>
            <w:noWrap/>
            <w:hideMark/>
          </w:tcPr>
          <w:p w14:paraId="7D1C1D09"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S-N</w:t>
            </w:r>
          </w:p>
        </w:tc>
        <w:tc>
          <w:tcPr>
            <w:tcW w:w="2963" w:type="dxa"/>
            <w:tcBorders>
              <w:top w:val="single" w:sz="4" w:space="0" w:color="auto"/>
              <w:left w:val="single" w:sz="4" w:space="0" w:color="auto"/>
              <w:bottom w:val="single" w:sz="4" w:space="0" w:color="auto"/>
              <w:right w:val="single" w:sz="4" w:space="0" w:color="auto"/>
            </w:tcBorders>
            <w:noWrap/>
            <w:hideMark/>
          </w:tcPr>
          <w:p w14:paraId="3A92DDE7"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2,52</w:t>
            </w:r>
          </w:p>
        </w:tc>
        <w:tc>
          <w:tcPr>
            <w:tcW w:w="1054" w:type="dxa"/>
            <w:tcBorders>
              <w:top w:val="single" w:sz="4" w:space="0" w:color="auto"/>
              <w:left w:val="single" w:sz="4" w:space="0" w:color="auto"/>
              <w:bottom w:val="single" w:sz="4" w:space="0" w:color="auto"/>
              <w:right w:val="single" w:sz="4" w:space="0" w:color="auto"/>
            </w:tcBorders>
            <w:noWrap/>
            <w:hideMark/>
          </w:tcPr>
          <w:p w14:paraId="2F57B5AB"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1,38</w:t>
            </w:r>
          </w:p>
        </w:tc>
        <w:tc>
          <w:tcPr>
            <w:tcW w:w="1166" w:type="dxa"/>
            <w:tcBorders>
              <w:top w:val="single" w:sz="4" w:space="0" w:color="auto"/>
              <w:left w:val="single" w:sz="4" w:space="0" w:color="auto"/>
              <w:bottom w:val="single" w:sz="4" w:space="0" w:color="auto"/>
              <w:right w:val="single" w:sz="4" w:space="0" w:color="auto"/>
            </w:tcBorders>
            <w:noWrap/>
            <w:hideMark/>
          </w:tcPr>
          <w:p w14:paraId="52E1374A"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1,23</w:t>
            </w:r>
          </w:p>
        </w:tc>
      </w:tr>
      <w:tr w:rsidR="00614438" w:rsidRPr="004F5BC1" w14:paraId="2A9BD45B"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61433161"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2029</w:t>
            </w:r>
          </w:p>
        </w:tc>
        <w:tc>
          <w:tcPr>
            <w:tcW w:w="2633" w:type="dxa"/>
            <w:tcBorders>
              <w:top w:val="single" w:sz="4" w:space="0" w:color="auto"/>
              <w:left w:val="single" w:sz="4" w:space="0" w:color="auto"/>
              <w:bottom w:val="single" w:sz="4" w:space="0" w:color="auto"/>
              <w:right w:val="single" w:sz="4" w:space="0" w:color="auto"/>
            </w:tcBorders>
            <w:noWrap/>
            <w:hideMark/>
          </w:tcPr>
          <w:p w14:paraId="69CA387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WEM</w:t>
            </w:r>
          </w:p>
        </w:tc>
        <w:tc>
          <w:tcPr>
            <w:tcW w:w="2963" w:type="dxa"/>
            <w:tcBorders>
              <w:top w:val="single" w:sz="4" w:space="0" w:color="auto"/>
              <w:left w:val="single" w:sz="4" w:space="0" w:color="auto"/>
              <w:bottom w:val="single" w:sz="4" w:space="0" w:color="auto"/>
              <w:right w:val="single" w:sz="4" w:space="0" w:color="auto"/>
            </w:tcBorders>
            <w:noWrap/>
            <w:hideMark/>
          </w:tcPr>
          <w:p w14:paraId="0DE53275"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2,48</w:t>
            </w:r>
          </w:p>
        </w:tc>
        <w:tc>
          <w:tcPr>
            <w:tcW w:w="1054" w:type="dxa"/>
            <w:tcBorders>
              <w:top w:val="single" w:sz="4" w:space="0" w:color="auto"/>
              <w:left w:val="single" w:sz="4" w:space="0" w:color="auto"/>
              <w:bottom w:val="single" w:sz="4" w:space="0" w:color="auto"/>
              <w:right w:val="single" w:sz="4" w:space="0" w:color="auto"/>
            </w:tcBorders>
            <w:noWrap/>
            <w:hideMark/>
          </w:tcPr>
          <w:p w14:paraId="2CCD6455"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0,75</w:t>
            </w:r>
          </w:p>
        </w:tc>
        <w:tc>
          <w:tcPr>
            <w:tcW w:w="1166" w:type="dxa"/>
            <w:tcBorders>
              <w:top w:val="single" w:sz="4" w:space="0" w:color="auto"/>
              <w:left w:val="single" w:sz="4" w:space="0" w:color="auto"/>
              <w:bottom w:val="single" w:sz="4" w:space="0" w:color="auto"/>
              <w:right w:val="single" w:sz="4" w:space="0" w:color="auto"/>
            </w:tcBorders>
            <w:noWrap/>
            <w:hideMark/>
          </w:tcPr>
          <w:p w14:paraId="5E8EE2B3"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0,38</w:t>
            </w:r>
          </w:p>
        </w:tc>
      </w:tr>
      <w:tr w:rsidR="00614438" w:rsidRPr="004F5BC1" w14:paraId="2A8AFB31"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372E6D0B"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2633" w:type="dxa"/>
            <w:tcBorders>
              <w:top w:val="single" w:sz="4" w:space="0" w:color="auto"/>
              <w:left w:val="single" w:sz="4" w:space="0" w:color="auto"/>
              <w:bottom w:val="single" w:sz="4" w:space="0" w:color="auto"/>
              <w:right w:val="single" w:sz="4" w:space="0" w:color="auto"/>
            </w:tcBorders>
            <w:noWrap/>
            <w:hideMark/>
          </w:tcPr>
          <w:p w14:paraId="0B1A0B80"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w:t>
            </w:r>
          </w:p>
        </w:tc>
        <w:tc>
          <w:tcPr>
            <w:tcW w:w="2963" w:type="dxa"/>
            <w:tcBorders>
              <w:top w:val="single" w:sz="4" w:space="0" w:color="auto"/>
              <w:left w:val="single" w:sz="4" w:space="0" w:color="auto"/>
              <w:bottom w:val="single" w:sz="4" w:space="0" w:color="auto"/>
              <w:right w:val="single" w:sz="4" w:space="0" w:color="auto"/>
            </w:tcBorders>
            <w:noWrap/>
            <w:hideMark/>
          </w:tcPr>
          <w:p w14:paraId="0137F270"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2,52</w:t>
            </w:r>
          </w:p>
        </w:tc>
        <w:tc>
          <w:tcPr>
            <w:tcW w:w="1054" w:type="dxa"/>
            <w:tcBorders>
              <w:top w:val="single" w:sz="4" w:space="0" w:color="auto"/>
              <w:left w:val="single" w:sz="4" w:space="0" w:color="auto"/>
              <w:bottom w:val="single" w:sz="4" w:space="0" w:color="auto"/>
              <w:right w:val="single" w:sz="4" w:space="0" w:color="auto"/>
            </w:tcBorders>
            <w:noWrap/>
            <w:hideMark/>
          </w:tcPr>
          <w:p w14:paraId="5A5C6A5C"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1,57</w:t>
            </w:r>
          </w:p>
        </w:tc>
        <w:tc>
          <w:tcPr>
            <w:tcW w:w="1166" w:type="dxa"/>
            <w:tcBorders>
              <w:top w:val="single" w:sz="4" w:space="0" w:color="auto"/>
              <w:left w:val="single" w:sz="4" w:space="0" w:color="auto"/>
              <w:bottom w:val="single" w:sz="4" w:space="0" w:color="auto"/>
              <w:right w:val="single" w:sz="4" w:space="0" w:color="auto"/>
            </w:tcBorders>
            <w:noWrap/>
            <w:hideMark/>
          </w:tcPr>
          <w:p w14:paraId="266923B1"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1,48</w:t>
            </w:r>
          </w:p>
        </w:tc>
      </w:tr>
      <w:tr w:rsidR="00614438" w:rsidRPr="004F5BC1" w14:paraId="36AD9127"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30D361FD"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2633" w:type="dxa"/>
            <w:tcBorders>
              <w:top w:val="single" w:sz="4" w:space="0" w:color="auto"/>
              <w:left w:val="single" w:sz="4" w:space="0" w:color="auto"/>
              <w:bottom w:val="single" w:sz="4" w:space="0" w:color="auto"/>
              <w:right w:val="single" w:sz="4" w:space="0" w:color="auto"/>
            </w:tcBorders>
            <w:noWrap/>
            <w:hideMark/>
          </w:tcPr>
          <w:p w14:paraId="386302EC"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S-N</w:t>
            </w:r>
          </w:p>
        </w:tc>
        <w:tc>
          <w:tcPr>
            <w:tcW w:w="2963" w:type="dxa"/>
            <w:tcBorders>
              <w:top w:val="single" w:sz="4" w:space="0" w:color="auto"/>
              <w:left w:val="single" w:sz="4" w:space="0" w:color="auto"/>
              <w:bottom w:val="single" w:sz="4" w:space="0" w:color="auto"/>
              <w:right w:val="single" w:sz="4" w:space="0" w:color="auto"/>
            </w:tcBorders>
            <w:noWrap/>
            <w:hideMark/>
          </w:tcPr>
          <w:p w14:paraId="4973F3AC"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2,52</w:t>
            </w:r>
          </w:p>
        </w:tc>
        <w:tc>
          <w:tcPr>
            <w:tcW w:w="1054" w:type="dxa"/>
            <w:tcBorders>
              <w:top w:val="single" w:sz="4" w:space="0" w:color="auto"/>
              <w:left w:val="single" w:sz="4" w:space="0" w:color="auto"/>
              <w:bottom w:val="single" w:sz="4" w:space="0" w:color="auto"/>
              <w:right w:val="single" w:sz="4" w:space="0" w:color="auto"/>
            </w:tcBorders>
            <w:noWrap/>
            <w:hideMark/>
          </w:tcPr>
          <w:p w14:paraId="0057E275"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1,57</w:t>
            </w:r>
          </w:p>
        </w:tc>
        <w:tc>
          <w:tcPr>
            <w:tcW w:w="1166" w:type="dxa"/>
            <w:tcBorders>
              <w:top w:val="single" w:sz="4" w:space="0" w:color="auto"/>
              <w:left w:val="single" w:sz="4" w:space="0" w:color="auto"/>
              <w:bottom w:val="single" w:sz="4" w:space="0" w:color="auto"/>
              <w:right w:val="single" w:sz="4" w:space="0" w:color="auto"/>
            </w:tcBorders>
            <w:noWrap/>
            <w:hideMark/>
          </w:tcPr>
          <w:p w14:paraId="4697553B"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1,48</w:t>
            </w:r>
          </w:p>
        </w:tc>
      </w:tr>
      <w:tr w:rsidR="00614438" w:rsidRPr="004F5BC1" w14:paraId="54BE86B1"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3BA6496E"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2030</w:t>
            </w:r>
          </w:p>
        </w:tc>
        <w:tc>
          <w:tcPr>
            <w:tcW w:w="2633" w:type="dxa"/>
            <w:tcBorders>
              <w:top w:val="single" w:sz="4" w:space="0" w:color="auto"/>
              <w:left w:val="single" w:sz="4" w:space="0" w:color="auto"/>
              <w:bottom w:val="single" w:sz="4" w:space="0" w:color="auto"/>
              <w:right w:val="single" w:sz="4" w:space="0" w:color="auto"/>
            </w:tcBorders>
            <w:noWrap/>
            <w:hideMark/>
          </w:tcPr>
          <w:p w14:paraId="755BC6A4"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WEM</w:t>
            </w:r>
          </w:p>
        </w:tc>
        <w:tc>
          <w:tcPr>
            <w:tcW w:w="2963" w:type="dxa"/>
            <w:tcBorders>
              <w:top w:val="single" w:sz="4" w:space="0" w:color="auto"/>
              <w:left w:val="single" w:sz="4" w:space="0" w:color="auto"/>
              <w:bottom w:val="single" w:sz="4" w:space="0" w:color="auto"/>
              <w:right w:val="single" w:sz="4" w:space="0" w:color="auto"/>
            </w:tcBorders>
            <w:noWrap/>
            <w:hideMark/>
          </w:tcPr>
          <w:p w14:paraId="5CE07EEF"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2,48</w:t>
            </w:r>
          </w:p>
        </w:tc>
        <w:tc>
          <w:tcPr>
            <w:tcW w:w="1054" w:type="dxa"/>
            <w:tcBorders>
              <w:top w:val="single" w:sz="4" w:space="0" w:color="auto"/>
              <w:left w:val="single" w:sz="4" w:space="0" w:color="auto"/>
              <w:bottom w:val="single" w:sz="4" w:space="0" w:color="auto"/>
              <w:right w:val="single" w:sz="4" w:space="0" w:color="auto"/>
            </w:tcBorders>
            <w:noWrap/>
            <w:hideMark/>
          </w:tcPr>
          <w:p w14:paraId="2B726C52"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0,75</w:t>
            </w:r>
          </w:p>
        </w:tc>
        <w:tc>
          <w:tcPr>
            <w:tcW w:w="1166" w:type="dxa"/>
            <w:tcBorders>
              <w:top w:val="single" w:sz="4" w:space="0" w:color="auto"/>
              <w:left w:val="single" w:sz="4" w:space="0" w:color="auto"/>
              <w:bottom w:val="single" w:sz="4" w:space="0" w:color="auto"/>
              <w:right w:val="single" w:sz="4" w:space="0" w:color="auto"/>
            </w:tcBorders>
            <w:noWrap/>
            <w:hideMark/>
          </w:tcPr>
          <w:p w14:paraId="5FB242EE"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0,38</w:t>
            </w:r>
          </w:p>
        </w:tc>
      </w:tr>
      <w:tr w:rsidR="00614438" w:rsidRPr="004F5BC1" w14:paraId="0C23DEF1"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2C421329"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2633" w:type="dxa"/>
            <w:tcBorders>
              <w:top w:val="single" w:sz="4" w:space="0" w:color="auto"/>
              <w:left w:val="single" w:sz="4" w:space="0" w:color="auto"/>
              <w:bottom w:val="single" w:sz="4" w:space="0" w:color="auto"/>
              <w:right w:val="single" w:sz="4" w:space="0" w:color="auto"/>
            </w:tcBorders>
            <w:noWrap/>
            <w:hideMark/>
          </w:tcPr>
          <w:p w14:paraId="7DE5E415"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w:t>
            </w:r>
          </w:p>
        </w:tc>
        <w:tc>
          <w:tcPr>
            <w:tcW w:w="2963" w:type="dxa"/>
            <w:tcBorders>
              <w:top w:val="single" w:sz="4" w:space="0" w:color="auto"/>
              <w:left w:val="single" w:sz="4" w:space="0" w:color="auto"/>
              <w:bottom w:val="single" w:sz="4" w:space="0" w:color="auto"/>
              <w:right w:val="single" w:sz="4" w:space="0" w:color="auto"/>
            </w:tcBorders>
            <w:noWrap/>
            <w:hideMark/>
          </w:tcPr>
          <w:p w14:paraId="776BF1D0"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2,62</w:t>
            </w:r>
          </w:p>
        </w:tc>
        <w:tc>
          <w:tcPr>
            <w:tcW w:w="1054" w:type="dxa"/>
            <w:tcBorders>
              <w:top w:val="single" w:sz="4" w:space="0" w:color="auto"/>
              <w:left w:val="single" w:sz="4" w:space="0" w:color="auto"/>
              <w:bottom w:val="single" w:sz="4" w:space="0" w:color="auto"/>
              <w:right w:val="single" w:sz="4" w:space="0" w:color="auto"/>
            </w:tcBorders>
            <w:noWrap/>
            <w:hideMark/>
          </w:tcPr>
          <w:p w14:paraId="03289FE5"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1,77</w:t>
            </w:r>
          </w:p>
        </w:tc>
        <w:tc>
          <w:tcPr>
            <w:tcW w:w="1166" w:type="dxa"/>
            <w:tcBorders>
              <w:top w:val="single" w:sz="4" w:space="0" w:color="auto"/>
              <w:left w:val="single" w:sz="4" w:space="0" w:color="auto"/>
              <w:bottom w:val="single" w:sz="4" w:space="0" w:color="auto"/>
              <w:right w:val="single" w:sz="4" w:space="0" w:color="auto"/>
            </w:tcBorders>
            <w:noWrap/>
            <w:hideMark/>
          </w:tcPr>
          <w:p w14:paraId="488AB3E3"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1,73</w:t>
            </w:r>
          </w:p>
        </w:tc>
      </w:tr>
      <w:tr w:rsidR="00614438" w:rsidRPr="004F5BC1" w14:paraId="43EB1BE2"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572C7501"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2633" w:type="dxa"/>
            <w:tcBorders>
              <w:top w:val="single" w:sz="4" w:space="0" w:color="auto"/>
              <w:left w:val="single" w:sz="4" w:space="0" w:color="auto"/>
              <w:bottom w:val="single" w:sz="4" w:space="0" w:color="auto"/>
              <w:right w:val="single" w:sz="4" w:space="0" w:color="auto"/>
            </w:tcBorders>
            <w:noWrap/>
            <w:hideMark/>
          </w:tcPr>
          <w:p w14:paraId="5F917CB4"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S-N</w:t>
            </w:r>
          </w:p>
        </w:tc>
        <w:tc>
          <w:tcPr>
            <w:tcW w:w="2963" w:type="dxa"/>
            <w:tcBorders>
              <w:top w:val="single" w:sz="4" w:space="0" w:color="auto"/>
              <w:left w:val="single" w:sz="4" w:space="0" w:color="auto"/>
              <w:bottom w:val="single" w:sz="4" w:space="0" w:color="auto"/>
              <w:right w:val="single" w:sz="4" w:space="0" w:color="auto"/>
            </w:tcBorders>
            <w:noWrap/>
            <w:hideMark/>
          </w:tcPr>
          <w:p w14:paraId="6B6A0152"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2,62</w:t>
            </w:r>
          </w:p>
        </w:tc>
        <w:tc>
          <w:tcPr>
            <w:tcW w:w="1054" w:type="dxa"/>
            <w:tcBorders>
              <w:top w:val="single" w:sz="4" w:space="0" w:color="auto"/>
              <w:left w:val="single" w:sz="4" w:space="0" w:color="auto"/>
              <w:bottom w:val="single" w:sz="4" w:space="0" w:color="auto"/>
              <w:right w:val="single" w:sz="4" w:space="0" w:color="auto"/>
            </w:tcBorders>
            <w:noWrap/>
            <w:hideMark/>
          </w:tcPr>
          <w:p w14:paraId="5CC19143"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1,77</w:t>
            </w:r>
          </w:p>
        </w:tc>
        <w:tc>
          <w:tcPr>
            <w:tcW w:w="1166" w:type="dxa"/>
            <w:tcBorders>
              <w:top w:val="single" w:sz="4" w:space="0" w:color="auto"/>
              <w:left w:val="single" w:sz="4" w:space="0" w:color="auto"/>
              <w:bottom w:val="single" w:sz="4" w:space="0" w:color="auto"/>
              <w:right w:val="single" w:sz="4" w:space="0" w:color="auto"/>
            </w:tcBorders>
            <w:noWrap/>
            <w:hideMark/>
          </w:tcPr>
          <w:p w14:paraId="08EE9587"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1,73</w:t>
            </w:r>
          </w:p>
        </w:tc>
      </w:tr>
      <w:tr w:rsidR="00614438" w:rsidRPr="004F5BC1" w14:paraId="1925BF7C"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2D997DA7"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2035</w:t>
            </w:r>
          </w:p>
        </w:tc>
        <w:tc>
          <w:tcPr>
            <w:tcW w:w="2633" w:type="dxa"/>
            <w:tcBorders>
              <w:top w:val="single" w:sz="4" w:space="0" w:color="auto"/>
              <w:left w:val="single" w:sz="4" w:space="0" w:color="auto"/>
              <w:bottom w:val="single" w:sz="4" w:space="0" w:color="auto"/>
              <w:right w:val="single" w:sz="4" w:space="0" w:color="auto"/>
            </w:tcBorders>
            <w:noWrap/>
            <w:hideMark/>
          </w:tcPr>
          <w:p w14:paraId="74762D42"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WEM</w:t>
            </w:r>
          </w:p>
        </w:tc>
        <w:tc>
          <w:tcPr>
            <w:tcW w:w="2963" w:type="dxa"/>
            <w:tcBorders>
              <w:top w:val="single" w:sz="4" w:space="0" w:color="auto"/>
              <w:left w:val="single" w:sz="4" w:space="0" w:color="auto"/>
              <w:bottom w:val="single" w:sz="4" w:space="0" w:color="auto"/>
              <w:right w:val="single" w:sz="4" w:space="0" w:color="auto"/>
            </w:tcBorders>
            <w:noWrap/>
            <w:hideMark/>
          </w:tcPr>
          <w:p w14:paraId="74B322A7"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2,62</w:t>
            </w:r>
          </w:p>
        </w:tc>
        <w:tc>
          <w:tcPr>
            <w:tcW w:w="1054" w:type="dxa"/>
            <w:tcBorders>
              <w:top w:val="single" w:sz="4" w:space="0" w:color="auto"/>
              <w:left w:val="single" w:sz="4" w:space="0" w:color="auto"/>
              <w:bottom w:val="single" w:sz="4" w:space="0" w:color="auto"/>
              <w:right w:val="single" w:sz="4" w:space="0" w:color="auto"/>
            </w:tcBorders>
            <w:noWrap/>
            <w:hideMark/>
          </w:tcPr>
          <w:p w14:paraId="17454D3E"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0,75</w:t>
            </w:r>
          </w:p>
        </w:tc>
        <w:tc>
          <w:tcPr>
            <w:tcW w:w="1166" w:type="dxa"/>
            <w:tcBorders>
              <w:top w:val="single" w:sz="4" w:space="0" w:color="auto"/>
              <w:left w:val="single" w:sz="4" w:space="0" w:color="auto"/>
              <w:bottom w:val="single" w:sz="4" w:space="0" w:color="auto"/>
              <w:right w:val="single" w:sz="4" w:space="0" w:color="auto"/>
            </w:tcBorders>
            <w:noWrap/>
            <w:hideMark/>
          </w:tcPr>
          <w:p w14:paraId="58B0FEA4"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0,38</w:t>
            </w:r>
          </w:p>
        </w:tc>
      </w:tr>
      <w:tr w:rsidR="00614438" w:rsidRPr="004F5BC1" w14:paraId="24EC5690"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582FACB8"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2633" w:type="dxa"/>
            <w:tcBorders>
              <w:top w:val="single" w:sz="4" w:space="0" w:color="auto"/>
              <w:left w:val="single" w:sz="4" w:space="0" w:color="auto"/>
              <w:bottom w:val="single" w:sz="4" w:space="0" w:color="auto"/>
              <w:right w:val="single" w:sz="4" w:space="0" w:color="auto"/>
            </w:tcBorders>
            <w:noWrap/>
            <w:hideMark/>
          </w:tcPr>
          <w:p w14:paraId="3802034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w:t>
            </w:r>
          </w:p>
        </w:tc>
        <w:tc>
          <w:tcPr>
            <w:tcW w:w="2963" w:type="dxa"/>
            <w:tcBorders>
              <w:top w:val="single" w:sz="4" w:space="0" w:color="auto"/>
              <w:left w:val="single" w:sz="4" w:space="0" w:color="auto"/>
              <w:bottom w:val="single" w:sz="4" w:space="0" w:color="auto"/>
              <w:right w:val="single" w:sz="4" w:space="0" w:color="auto"/>
            </w:tcBorders>
            <w:noWrap/>
            <w:hideMark/>
          </w:tcPr>
          <w:p w14:paraId="4044C556"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2,95</w:t>
            </w:r>
          </w:p>
        </w:tc>
        <w:tc>
          <w:tcPr>
            <w:tcW w:w="1054" w:type="dxa"/>
            <w:tcBorders>
              <w:top w:val="single" w:sz="4" w:space="0" w:color="auto"/>
              <w:left w:val="single" w:sz="4" w:space="0" w:color="auto"/>
              <w:bottom w:val="single" w:sz="4" w:space="0" w:color="auto"/>
              <w:right w:val="single" w:sz="4" w:space="0" w:color="auto"/>
            </w:tcBorders>
            <w:noWrap/>
            <w:hideMark/>
          </w:tcPr>
          <w:p w14:paraId="29534877"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3,07</w:t>
            </w:r>
          </w:p>
        </w:tc>
        <w:tc>
          <w:tcPr>
            <w:tcW w:w="1166" w:type="dxa"/>
            <w:tcBorders>
              <w:top w:val="single" w:sz="4" w:space="0" w:color="auto"/>
              <w:left w:val="single" w:sz="4" w:space="0" w:color="auto"/>
              <w:bottom w:val="single" w:sz="4" w:space="0" w:color="auto"/>
              <w:right w:val="single" w:sz="4" w:space="0" w:color="auto"/>
            </w:tcBorders>
            <w:noWrap/>
            <w:hideMark/>
          </w:tcPr>
          <w:p w14:paraId="7B0FB6FF"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3,93</w:t>
            </w:r>
          </w:p>
        </w:tc>
      </w:tr>
      <w:tr w:rsidR="00614438" w:rsidRPr="004F5BC1" w14:paraId="5332CA9B"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19C1AAF5"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2633" w:type="dxa"/>
            <w:tcBorders>
              <w:top w:val="single" w:sz="4" w:space="0" w:color="auto"/>
              <w:left w:val="single" w:sz="4" w:space="0" w:color="auto"/>
              <w:bottom w:val="single" w:sz="4" w:space="0" w:color="auto"/>
              <w:right w:val="single" w:sz="4" w:space="0" w:color="auto"/>
            </w:tcBorders>
            <w:noWrap/>
            <w:hideMark/>
          </w:tcPr>
          <w:p w14:paraId="35C827E9"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S-N</w:t>
            </w:r>
          </w:p>
        </w:tc>
        <w:tc>
          <w:tcPr>
            <w:tcW w:w="2963" w:type="dxa"/>
            <w:tcBorders>
              <w:top w:val="single" w:sz="4" w:space="0" w:color="auto"/>
              <w:left w:val="single" w:sz="4" w:space="0" w:color="auto"/>
              <w:bottom w:val="single" w:sz="4" w:space="0" w:color="auto"/>
              <w:right w:val="single" w:sz="4" w:space="0" w:color="auto"/>
            </w:tcBorders>
            <w:noWrap/>
            <w:hideMark/>
          </w:tcPr>
          <w:p w14:paraId="5AAFE43E"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2,95</w:t>
            </w:r>
          </w:p>
        </w:tc>
        <w:tc>
          <w:tcPr>
            <w:tcW w:w="1054" w:type="dxa"/>
            <w:tcBorders>
              <w:top w:val="single" w:sz="4" w:space="0" w:color="auto"/>
              <w:left w:val="single" w:sz="4" w:space="0" w:color="auto"/>
              <w:bottom w:val="single" w:sz="4" w:space="0" w:color="auto"/>
              <w:right w:val="single" w:sz="4" w:space="0" w:color="auto"/>
            </w:tcBorders>
            <w:noWrap/>
            <w:hideMark/>
          </w:tcPr>
          <w:p w14:paraId="28D40D1F"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3,11</w:t>
            </w:r>
          </w:p>
        </w:tc>
        <w:tc>
          <w:tcPr>
            <w:tcW w:w="1166" w:type="dxa"/>
            <w:tcBorders>
              <w:top w:val="single" w:sz="4" w:space="0" w:color="auto"/>
              <w:left w:val="single" w:sz="4" w:space="0" w:color="auto"/>
              <w:bottom w:val="single" w:sz="4" w:space="0" w:color="auto"/>
              <w:right w:val="single" w:sz="4" w:space="0" w:color="auto"/>
            </w:tcBorders>
            <w:noWrap/>
            <w:hideMark/>
          </w:tcPr>
          <w:p w14:paraId="6A0815A2"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3,93</w:t>
            </w:r>
          </w:p>
        </w:tc>
      </w:tr>
      <w:tr w:rsidR="00614438" w:rsidRPr="004F5BC1" w14:paraId="6CC214E9"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5E938595"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2040</w:t>
            </w:r>
          </w:p>
        </w:tc>
        <w:tc>
          <w:tcPr>
            <w:tcW w:w="2633" w:type="dxa"/>
            <w:tcBorders>
              <w:top w:val="single" w:sz="4" w:space="0" w:color="auto"/>
              <w:left w:val="single" w:sz="4" w:space="0" w:color="auto"/>
              <w:bottom w:val="single" w:sz="4" w:space="0" w:color="auto"/>
              <w:right w:val="single" w:sz="4" w:space="0" w:color="auto"/>
            </w:tcBorders>
            <w:noWrap/>
            <w:hideMark/>
          </w:tcPr>
          <w:p w14:paraId="5C7886D6"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WEM</w:t>
            </w:r>
          </w:p>
        </w:tc>
        <w:tc>
          <w:tcPr>
            <w:tcW w:w="2963" w:type="dxa"/>
            <w:tcBorders>
              <w:top w:val="single" w:sz="4" w:space="0" w:color="auto"/>
              <w:left w:val="single" w:sz="4" w:space="0" w:color="auto"/>
              <w:bottom w:val="single" w:sz="4" w:space="0" w:color="auto"/>
              <w:right w:val="single" w:sz="4" w:space="0" w:color="auto"/>
            </w:tcBorders>
            <w:noWrap/>
            <w:hideMark/>
          </w:tcPr>
          <w:p w14:paraId="16D99430"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2,94</w:t>
            </w:r>
          </w:p>
        </w:tc>
        <w:tc>
          <w:tcPr>
            <w:tcW w:w="1054" w:type="dxa"/>
            <w:tcBorders>
              <w:top w:val="single" w:sz="4" w:space="0" w:color="auto"/>
              <w:left w:val="single" w:sz="4" w:space="0" w:color="auto"/>
              <w:bottom w:val="single" w:sz="4" w:space="0" w:color="auto"/>
              <w:right w:val="single" w:sz="4" w:space="0" w:color="auto"/>
            </w:tcBorders>
            <w:noWrap/>
            <w:hideMark/>
          </w:tcPr>
          <w:p w14:paraId="3416C41D"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0,75</w:t>
            </w:r>
          </w:p>
        </w:tc>
        <w:tc>
          <w:tcPr>
            <w:tcW w:w="1166" w:type="dxa"/>
            <w:tcBorders>
              <w:top w:val="single" w:sz="4" w:space="0" w:color="auto"/>
              <w:left w:val="single" w:sz="4" w:space="0" w:color="auto"/>
              <w:bottom w:val="single" w:sz="4" w:space="0" w:color="auto"/>
              <w:right w:val="single" w:sz="4" w:space="0" w:color="auto"/>
            </w:tcBorders>
            <w:noWrap/>
            <w:hideMark/>
          </w:tcPr>
          <w:p w14:paraId="686E5BBB"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0,38</w:t>
            </w:r>
          </w:p>
        </w:tc>
      </w:tr>
      <w:tr w:rsidR="00614438" w:rsidRPr="004F5BC1" w14:paraId="73D16FC5"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6CA911C6"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2633" w:type="dxa"/>
            <w:tcBorders>
              <w:top w:val="single" w:sz="4" w:space="0" w:color="auto"/>
              <w:left w:val="single" w:sz="4" w:space="0" w:color="auto"/>
              <w:bottom w:val="single" w:sz="4" w:space="0" w:color="auto"/>
              <w:right w:val="single" w:sz="4" w:space="0" w:color="auto"/>
            </w:tcBorders>
            <w:noWrap/>
            <w:hideMark/>
          </w:tcPr>
          <w:p w14:paraId="2D1BBEC2"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w:t>
            </w:r>
          </w:p>
        </w:tc>
        <w:tc>
          <w:tcPr>
            <w:tcW w:w="2963" w:type="dxa"/>
            <w:tcBorders>
              <w:top w:val="single" w:sz="4" w:space="0" w:color="auto"/>
              <w:left w:val="single" w:sz="4" w:space="0" w:color="auto"/>
              <w:bottom w:val="single" w:sz="4" w:space="0" w:color="auto"/>
              <w:right w:val="single" w:sz="4" w:space="0" w:color="auto"/>
            </w:tcBorders>
            <w:noWrap/>
            <w:hideMark/>
          </w:tcPr>
          <w:p w14:paraId="1C71ECA0"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3,27</w:t>
            </w:r>
          </w:p>
        </w:tc>
        <w:tc>
          <w:tcPr>
            <w:tcW w:w="1054" w:type="dxa"/>
            <w:tcBorders>
              <w:top w:val="single" w:sz="4" w:space="0" w:color="auto"/>
              <w:left w:val="single" w:sz="4" w:space="0" w:color="auto"/>
              <w:bottom w:val="single" w:sz="4" w:space="0" w:color="auto"/>
              <w:right w:val="single" w:sz="4" w:space="0" w:color="auto"/>
            </w:tcBorders>
            <w:noWrap/>
            <w:hideMark/>
          </w:tcPr>
          <w:p w14:paraId="598F68ED"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3,12</w:t>
            </w:r>
          </w:p>
        </w:tc>
        <w:tc>
          <w:tcPr>
            <w:tcW w:w="1166" w:type="dxa"/>
            <w:tcBorders>
              <w:top w:val="single" w:sz="4" w:space="0" w:color="auto"/>
              <w:left w:val="single" w:sz="4" w:space="0" w:color="auto"/>
              <w:bottom w:val="single" w:sz="4" w:space="0" w:color="auto"/>
              <w:right w:val="single" w:sz="4" w:space="0" w:color="auto"/>
            </w:tcBorders>
            <w:noWrap/>
            <w:hideMark/>
          </w:tcPr>
          <w:p w14:paraId="6DB92BC7"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7,36</w:t>
            </w:r>
          </w:p>
        </w:tc>
      </w:tr>
      <w:tr w:rsidR="00614438" w:rsidRPr="004F5BC1" w14:paraId="4A3FC156"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44B9C9C8"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2633" w:type="dxa"/>
            <w:tcBorders>
              <w:top w:val="single" w:sz="4" w:space="0" w:color="auto"/>
              <w:left w:val="single" w:sz="4" w:space="0" w:color="auto"/>
              <w:bottom w:val="single" w:sz="4" w:space="0" w:color="auto"/>
              <w:right w:val="single" w:sz="4" w:space="0" w:color="auto"/>
            </w:tcBorders>
            <w:noWrap/>
            <w:hideMark/>
          </w:tcPr>
          <w:p w14:paraId="267EE92E"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S-N</w:t>
            </w:r>
          </w:p>
        </w:tc>
        <w:tc>
          <w:tcPr>
            <w:tcW w:w="2963" w:type="dxa"/>
            <w:tcBorders>
              <w:top w:val="single" w:sz="4" w:space="0" w:color="auto"/>
              <w:left w:val="single" w:sz="4" w:space="0" w:color="auto"/>
              <w:bottom w:val="single" w:sz="4" w:space="0" w:color="auto"/>
              <w:right w:val="single" w:sz="4" w:space="0" w:color="auto"/>
            </w:tcBorders>
            <w:noWrap/>
            <w:hideMark/>
          </w:tcPr>
          <w:p w14:paraId="6DC45649"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3,27</w:t>
            </w:r>
          </w:p>
        </w:tc>
        <w:tc>
          <w:tcPr>
            <w:tcW w:w="1054" w:type="dxa"/>
            <w:tcBorders>
              <w:top w:val="single" w:sz="4" w:space="0" w:color="auto"/>
              <w:left w:val="single" w:sz="4" w:space="0" w:color="auto"/>
              <w:bottom w:val="single" w:sz="4" w:space="0" w:color="auto"/>
              <w:right w:val="single" w:sz="4" w:space="0" w:color="auto"/>
            </w:tcBorders>
            <w:noWrap/>
            <w:hideMark/>
          </w:tcPr>
          <w:p w14:paraId="202F20CA"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3,16</w:t>
            </w:r>
          </w:p>
        </w:tc>
        <w:tc>
          <w:tcPr>
            <w:tcW w:w="1166" w:type="dxa"/>
            <w:tcBorders>
              <w:top w:val="single" w:sz="4" w:space="0" w:color="auto"/>
              <w:left w:val="single" w:sz="4" w:space="0" w:color="auto"/>
              <w:bottom w:val="single" w:sz="4" w:space="0" w:color="auto"/>
              <w:right w:val="single" w:sz="4" w:space="0" w:color="auto"/>
            </w:tcBorders>
            <w:noWrap/>
            <w:hideMark/>
          </w:tcPr>
          <w:p w14:paraId="4B099902"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7,37</w:t>
            </w:r>
          </w:p>
        </w:tc>
      </w:tr>
      <w:tr w:rsidR="00614438" w:rsidRPr="004F5BC1" w14:paraId="3804F54D"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0AE8D165"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2045</w:t>
            </w:r>
          </w:p>
        </w:tc>
        <w:tc>
          <w:tcPr>
            <w:tcW w:w="2633" w:type="dxa"/>
            <w:tcBorders>
              <w:top w:val="single" w:sz="4" w:space="0" w:color="auto"/>
              <w:left w:val="single" w:sz="4" w:space="0" w:color="auto"/>
              <w:bottom w:val="single" w:sz="4" w:space="0" w:color="auto"/>
              <w:right w:val="single" w:sz="4" w:space="0" w:color="auto"/>
            </w:tcBorders>
            <w:noWrap/>
            <w:hideMark/>
          </w:tcPr>
          <w:p w14:paraId="20B5B84E"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WEM</w:t>
            </w:r>
          </w:p>
        </w:tc>
        <w:tc>
          <w:tcPr>
            <w:tcW w:w="2963" w:type="dxa"/>
            <w:tcBorders>
              <w:top w:val="single" w:sz="4" w:space="0" w:color="auto"/>
              <w:left w:val="single" w:sz="4" w:space="0" w:color="auto"/>
              <w:bottom w:val="single" w:sz="4" w:space="0" w:color="auto"/>
              <w:right w:val="single" w:sz="4" w:space="0" w:color="auto"/>
            </w:tcBorders>
            <w:noWrap/>
            <w:hideMark/>
          </w:tcPr>
          <w:p w14:paraId="766C4D0B"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2,94</w:t>
            </w:r>
          </w:p>
        </w:tc>
        <w:tc>
          <w:tcPr>
            <w:tcW w:w="1054" w:type="dxa"/>
            <w:tcBorders>
              <w:top w:val="single" w:sz="4" w:space="0" w:color="auto"/>
              <w:left w:val="single" w:sz="4" w:space="0" w:color="auto"/>
              <w:bottom w:val="single" w:sz="4" w:space="0" w:color="auto"/>
              <w:right w:val="single" w:sz="4" w:space="0" w:color="auto"/>
            </w:tcBorders>
            <w:noWrap/>
            <w:hideMark/>
          </w:tcPr>
          <w:p w14:paraId="33D48E7E"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0,74</w:t>
            </w:r>
          </w:p>
        </w:tc>
        <w:tc>
          <w:tcPr>
            <w:tcW w:w="1166" w:type="dxa"/>
            <w:tcBorders>
              <w:top w:val="single" w:sz="4" w:space="0" w:color="auto"/>
              <w:left w:val="single" w:sz="4" w:space="0" w:color="auto"/>
              <w:bottom w:val="single" w:sz="4" w:space="0" w:color="auto"/>
              <w:right w:val="single" w:sz="4" w:space="0" w:color="auto"/>
            </w:tcBorders>
            <w:noWrap/>
            <w:hideMark/>
          </w:tcPr>
          <w:p w14:paraId="7C6B3609"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0,37</w:t>
            </w:r>
          </w:p>
        </w:tc>
      </w:tr>
      <w:tr w:rsidR="00614438" w:rsidRPr="004F5BC1" w14:paraId="38FA8E28"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31435288"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2633" w:type="dxa"/>
            <w:tcBorders>
              <w:top w:val="single" w:sz="4" w:space="0" w:color="auto"/>
              <w:left w:val="single" w:sz="4" w:space="0" w:color="auto"/>
              <w:bottom w:val="single" w:sz="4" w:space="0" w:color="auto"/>
              <w:right w:val="single" w:sz="4" w:space="0" w:color="auto"/>
            </w:tcBorders>
            <w:noWrap/>
            <w:hideMark/>
          </w:tcPr>
          <w:p w14:paraId="7EC1F0C9"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w:t>
            </w:r>
          </w:p>
        </w:tc>
        <w:tc>
          <w:tcPr>
            <w:tcW w:w="2963" w:type="dxa"/>
            <w:tcBorders>
              <w:top w:val="single" w:sz="4" w:space="0" w:color="auto"/>
              <w:left w:val="single" w:sz="4" w:space="0" w:color="auto"/>
              <w:bottom w:val="single" w:sz="4" w:space="0" w:color="auto"/>
              <w:right w:val="single" w:sz="4" w:space="0" w:color="auto"/>
            </w:tcBorders>
            <w:noWrap/>
            <w:hideMark/>
          </w:tcPr>
          <w:p w14:paraId="713F56DD"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3,39</w:t>
            </w:r>
          </w:p>
        </w:tc>
        <w:tc>
          <w:tcPr>
            <w:tcW w:w="1054" w:type="dxa"/>
            <w:tcBorders>
              <w:top w:val="single" w:sz="4" w:space="0" w:color="auto"/>
              <w:left w:val="single" w:sz="4" w:space="0" w:color="auto"/>
              <w:bottom w:val="single" w:sz="4" w:space="0" w:color="auto"/>
              <w:right w:val="single" w:sz="4" w:space="0" w:color="auto"/>
            </w:tcBorders>
            <w:noWrap/>
            <w:hideMark/>
          </w:tcPr>
          <w:p w14:paraId="25F44244"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5,42</w:t>
            </w:r>
          </w:p>
        </w:tc>
        <w:tc>
          <w:tcPr>
            <w:tcW w:w="1166" w:type="dxa"/>
            <w:tcBorders>
              <w:top w:val="single" w:sz="4" w:space="0" w:color="auto"/>
              <w:left w:val="single" w:sz="4" w:space="0" w:color="auto"/>
              <w:bottom w:val="single" w:sz="4" w:space="0" w:color="auto"/>
              <w:right w:val="single" w:sz="4" w:space="0" w:color="auto"/>
            </w:tcBorders>
            <w:noWrap/>
            <w:hideMark/>
          </w:tcPr>
          <w:p w14:paraId="269EE66C"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11,98</w:t>
            </w:r>
          </w:p>
        </w:tc>
      </w:tr>
      <w:tr w:rsidR="00614438" w:rsidRPr="004F5BC1" w14:paraId="47DD8720"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7F2C74F6"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2633" w:type="dxa"/>
            <w:tcBorders>
              <w:top w:val="single" w:sz="4" w:space="0" w:color="auto"/>
              <w:left w:val="single" w:sz="4" w:space="0" w:color="auto"/>
              <w:bottom w:val="single" w:sz="4" w:space="0" w:color="auto"/>
              <w:right w:val="single" w:sz="4" w:space="0" w:color="auto"/>
            </w:tcBorders>
            <w:noWrap/>
            <w:hideMark/>
          </w:tcPr>
          <w:p w14:paraId="678FF8CD"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S-N</w:t>
            </w:r>
          </w:p>
        </w:tc>
        <w:tc>
          <w:tcPr>
            <w:tcW w:w="2963" w:type="dxa"/>
            <w:tcBorders>
              <w:top w:val="single" w:sz="4" w:space="0" w:color="auto"/>
              <w:left w:val="single" w:sz="4" w:space="0" w:color="auto"/>
              <w:bottom w:val="single" w:sz="4" w:space="0" w:color="auto"/>
              <w:right w:val="single" w:sz="4" w:space="0" w:color="auto"/>
            </w:tcBorders>
            <w:noWrap/>
            <w:hideMark/>
          </w:tcPr>
          <w:p w14:paraId="1948BEFF"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3,39</w:t>
            </w:r>
          </w:p>
        </w:tc>
        <w:tc>
          <w:tcPr>
            <w:tcW w:w="1054" w:type="dxa"/>
            <w:tcBorders>
              <w:top w:val="single" w:sz="4" w:space="0" w:color="auto"/>
              <w:left w:val="single" w:sz="4" w:space="0" w:color="auto"/>
              <w:bottom w:val="single" w:sz="4" w:space="0" w:color="auto"/>
              <w:right w:val="single" w:sz="4" w:space="0" w:color="auto"/>
            </w:tcBorders>
            <w:noWrap/>
            <w:hideMark/>
          </w:tcPr>
          <w:p w14:paraId="16D3ED0B"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5,46</w:t>
            </w:r>
          </w:p>
        </w:tc>
        <w:tc>
          <w:tcPr>
            <w:tcW w:w="1166" w:type="dxa"/>
            <w:tcBorders>
              <w:top w:val="single" w:sz="4" w:space="0" w:color="auto"/>
              <w:left w:val="single" w:sz="4" w:space="0" w:color="auto"/>
              <w:bottom w:val="single" w:sz="4" w:space="0" w:color="auto"/>
              <w:right w:val="single" w:sz="4" w:space="0" w:color="auto"/>
            </w:tcBorders>
            <w:noWrap/>
            <w:hideMark/>
          </w:tcPr>
          <w:p w14:paraId="5B397F82"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11,70</w:t>
            </w:r>
          </w:p>
        </w:tc>
      </w:tr>
      <w:tr w:rsidR="00614438" w:rsidRPr="004F5BC1" w14:paraId="322170F4"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1895BBDB"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2050</w:t>
            </w:r>
          </w:p>
        </w:tc>
        <w:tc>
          <w:tcPr>
            <w:tcW w:w="2633" w:type="dxa"/>
            <w:tcBorders>
              <w:top w:val="single" w:sz="4" w:space="0" w:color="auto"/>
              <w:left w:val="single" w:sz="4" w:space="0" w:color="auto"/>
              <w:bottom w:val="single" w:sz="4" w:space="0" w:color="auto"/>
              <w:right w:val="single" w:sz="4" w:space="0" w:color="auto"/>
            </w:tcBorders>
            <w:noWrap/>
            <w:hideMark/>
          </w:tcPr>
          <w:p w14:paraId="4354833F"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WEM</w:t>
            </w:r>
          </w:p>
        </w:tc>
        <w:tc>
          <w:tcPr>
            <w:tcW w:w="2963" w:type="dxa"/>
            <w:tcBorders>
              <w:top w:val="single" w:sz="4" w:space="0" w:color="auto"/>
              <w:left w:val="single" w:sz="4" w:space="0" w:color="auto"/>
              <w:bottom w:val="single" w:sz="4" w:space="0" w:color="auto"/>
              <w:right w:val="single" w:sz="4" w:space="0" w:color="auto"/>
            </w:tcBorders>
            <w:noWrap/>
            <w:hideMark/>
          </w:tcPr>
          <w:p w14:paraId="1C3BD4B1"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3,29</w:t>
            </w:r>
          </w:p>
        </w:tc>
        <w:tc>
          <w:tcPr>
            <w:tcW w:w="1054" w:type="dxa"/>
            <w:tcBorders>
              <w:top w:val="single" w:sz="4" w:space="0" w:color="auto"/>
              <w:left w:val="single" w:sz="4" w:space="0" w:color="auto"/>
              <w:bottom w:val="single" w:sz="4" w:space="0" w:color="auto"/>
              <w:right w:val="single" w:sz="4" w:space="0" w:color="auto"/>
            </w:tcBorders>
            <w:noWrap/>
            <w:hideMark/>
          </w:tcPr>
          <w:p w14:paraId="3E5B44BF"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1,66</w:t>
            </w:r>
          </w:p>
        </w:tc>
        <w:tc>
          <w:tcPr>
            <w:tcW w:w="1166" w:type="dxa"/>
            <w:tcBorders>
              <w:top w:val="single" w:sz="4" w:space="0" w:color="auto"/>
              <w:left w:val="single" w:sz="4" w:space="0" w:color="auto"/>
              <w:bottom w:val="single" w:sz="4" w:space="0" w:color="auto"/>
              <w:right w:val="single" w:sz="4" w:space="0" w:color="auto"/>
            </w:tcBorders>
            <w:noWrap/>
            <w:hideMark/>
          </w:tcPr>
          <w:p w14:paraId="4E6920F0"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1,77</w:t>
            </w:r>
          </w:p>
        </w:tc>
      </w:tr>
      <w:tr w:rsidR="00614438" w:rsidRPr="004F5BC1" w14:paraId="7CC16BA9"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47F70B58"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2633" w:type="dxa"/>
            <w:tcBorders>
              <w:top w:val="single" w:sz="4" w:space="0" w:color="auto"/>
              <w:left w:val="single" w:sz="4" w:space="0" w:color="auto"/>
              <w:bottom w:val="single" w:sz="4" w:space="0" w:color="auto"/>
              <w:right w:val="single" w:sz="4" w:space="0" w:color="auto"/>
            </w:tcBorders>
            <w:noWrap/>
            <w:hideMark/>
          </w:tcPr>
          <w:p w14:paraId="6B7B0C7A"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w:t>
            </w:r>
          </w:p>
        </w:tc>
        <w:tc>
          <w:tcPr>
            <w:tcW w:w="2963" w:type="dxa"/>
            <w:tcBorders>
              <w:top w:val="single" w:sz="4" w:space="0" w:color="auto"/>
              <w:left w:val="single" w:sz="4" w:space="0" w:color="auto"/>
              <w:bottom w:val="single" w:sz="4" w:space="0" w:color="auto"/>
              <w:right w:val="single" w:sz="4" w:space="0" w:color="auto"/>
            </w:tcBorders>
            <w:noWrap/>
            <w:hideMark/>
          </w:tcPr>
          <w:p w14:paraId="6A9A988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3,39</w:t>
            </w:r>
          </w:p>
        </w:tc>
        <w:tc>
          <w:tcPr>
            <w:tcW w:w="1054" w:type="dxa"/>
            <w:tcBorders>
              <w:top w:val="single" w:sz="4" w:space="0" w:color="auto"/>
              <w:left w:val="single" w:sz="4" w:space="0" w:color="auto"/>
              <w:bottom w:val="single" w:sz="4" w:space="0" w:color="auto"/>
              <w:right w:val="single" w:sz="4" w:space="0" w:color="auto"/>
            </w:tcBorders>
            <w:noWrap/>
            <w:hideMark/>
          </w:tcPr>
          <w:p w14:paraId="47DA8F1E"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7,97</w:t>
            </w:r>
          </w:p>
        </w:tc>
        <w:tc>
          <w:tcPr>
            <w:tcW w:w="1166" w:type="dxa"/>
            <w:tcBorders>
              <w:top w:val="single" w:sz="4" w:space="0" w:color="auto"/>
              <w:left w:val="single" w:sz="4" w:space="0" w:color="auto"/>
              <w:bottom w:val="single" w:sz="4" w:space="0" w:color="auto"/>
              <w:right w:val="single" w:sz="4" w:space="0" w:color="auto"/>
            </w:tcBorders>
            <w:noWrap/>
            <w:hideMark/>
          </w:tcPr>
          <w:p w14:paraId="26B15974"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18,50</w:t>
            </w:r>
          </w:p>
        </w:tc>
      </w:tr>
      <w:tr w:rsidR="00614438" w:rsidRPr="004F5BC1" w14:paraId="088F53D7" w14:textId="77777777" w:rsidTr="00614438">
        <w:trPr>
          <w:trHeight w:val="300"/>
          <w:jc w:val="center"/>
        </w:trPr>
        <w:tc>
          <w:tcPr>
            <w:tcW w:w="906" w:type="dxa"/>
            <w:tcBorders>
              <w:top w:val="single" w:sz="4" w:space="0" w:color="auto"/>
              <w:left w:val="single" w:sz="4" w:space="0" w:color="auto"/>
              <w:bottom w:val="single" w:sz="4" w:space="0" w:color="auto"/>
              <w:right w:val="single" w:sz="4" w:space="0" w:color="auto"/>
            </w:tcBorders>
            <w:noWrap/>
            <w:hideMark/>
          </w:tcPr>
          <w:p w14:paraId="234C3F43"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2633" w:type="dxa"/>
            <w:tcBorders>
              <w:top w:val="single" w:sz="4" w:space="0" w:color="auto"/>
              <w:left w:val="single" w:sz="4" w:space="0" w:color="auto"/>
              <w:bottom w:val="single" w:sz="4" w:space="0" w:color="auto"/>
              <w:right w:val="single" w:sz="4" w:space="0" w:color="auto"/>
            </w:tcBorders>
            <w:noWrap/>
            <w:hideMark/>
          </w:tcPr>
          <w:p w14:paraId="3F23B366"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S-N</w:t>
            </w:r>
          </w:p>
        </w:tc>
        <w:tc>
          <w:tcPr>
            <w:tcW w:w="2963" w:type="dxa"/>
            <w:tcBorders>
              <w:top w:val="single" w:sz="4" w:space="0" w:color="auto"/>
              <w:left w:val="single" w:sz="4" w:space="0" w:color="auto"/>
              <w:bottom w:val="single" w:sz="4" w:space="0" w:color="auto"/>
              <w:right w:val="single" w:sz="4" w:space="0" w:color="auto"/>
            </w:tcBorders>
            <w:noWrap/>
            <w:hideMark/>
          </w:tcPr>
          <w:p w14:paraId="57A62386"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3,39</w:t>
            </w:r>
          </w:p>
        </w:tc>
        <w:tc>
          <w:tcPr>
            <w:tcW w:w="1054" w:type="dxa"/>
            <w:tcBorders>
              <w:top w:val="single" w:sz="4" w:space="0" w:color="auto"/>
              <w:left w:val="single" w:sz="4" w:space="0" w:color="auto"/>
              <w:bottom w:val="single" w:sz="4" w:space="0" w:color="auto"/>
              <w:right w:val="single" w:sz="4" w:space="0" w:color="auto"/>
            </w:tcBorders>
            <w:noWrap/>
            <w:hideMark/>
          </w:tcPr>
          <w:p w14:paraId="1BADB2DC"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8,01</w:t>
            </w:r>
          </w:p>
        </w:tc>
        <w:tc>
          <w:tcPr>
            <w:tcW w:w="1166" w:type="dxa"/>
            <w:tcBorders>
              <w:top w:val="single" w:sz="4" w:space="0" w:color="auto"/>
              <w:left w:val="single" w:sz="4" w:space="0" w:color="auto"/>
              <w:bottom w:val="single" w:sz="4" w:space="0" w:color="auto"/>
              <w:right w:val="single" w:sz="4" w:space="0" w:color="auto"/>
            </w:tcBorders>
            <w:noWrap/>
            <w:hideMark/>
          </w:tcPr>
          <w:p w14:paraId="71B359F7"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16,66</w:t>
            </w:r>
          </w:p>
        </w:tc>
      </w:tr>
    </w:tbl>
    <w:p w14:paraId="7D90235D" w14:textId="77777777" w:rsidR="00614438" w:rsidRPr="00614438" w:rsidRDefault="00614438" w:rsidP="00614438">
      <w:pPr>
        <w:jc w:val="both"/>
        <w:rPr>
          <w:rFonts w:ascii="Times New Roman" w:hAnsi="Times New Roman" w:cs="Times New Roman"/>
          <w:sz w:val="24"/>
          <w:szCs w:val="24"/>
          <w:lang w:val="en-GB"/>
        </w:rPr>
      </w:pPr>
    </w:p>
    <w:p w14:paraId="1DA992D6" w14:textId="77777777" w:rsidR="00614438" w:rsidRPr="00614438" w:rsidRDefault="00614438" w:rsidP="001A0653">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electricity generation by source type in Scenario S can be seen in the </w:t>
      </w:r>
      <w:r w:rsidR="00FA29EF">
        <w:fldChar w:fldCharType="begin"/>
      </w:r>
      <w:r w:rsidR="00FA29EF">
        <w:instrText xml:space="preserve"> REF _Ref153526168 \h  \* MERGEFORMAT </w:instrText>
      </w:r>
      <w:r w:rsidR="00FA29EF">
        <w:fldChar w:fldCharType="separate"/>
      </w:r>
      <w:r w:rsidRPr="00614438">
        <w:rPr>
          <w:rFonts w:ascii="Times New Roman" w:hAnsi="Times New Roman" w:cs="Times New Roman"/>
          <w:sz w:val="24"/>
          <w:szCs w:val="24"/>
          <w:lang w:val="en-GB"/>
        </w:rPr>
        <w:t>Figure 5.15</w:t>
      </w:r>
      <w:r w:rsidR="00FA29EF">
        <w:fldChar w:fldCharType="end"/>
      </w:r>
      <w:r w:rsidRPr="00614438">
        <w:rPr>
          <w:rFonts w:ascii="Times New Roman" w:hAnsi="Times New Roman" w:cs="Times New Roman"/>
          <w:sz w:val="24"/>
          <w:szCs w:val="24"/>
          <w:lang w:val="en-GB"/>
        </w:rPr>
        <w:t>. As can be seen there is no generation from lignite fired power plants by 2050, and only a small amount of generation from gas fired power plants continues to exist for generation adequacy reason.</w:t>
      </w:r>
    </w:p>
    <w:p w14:paraId="0D72CC86" w14:textId="77777777" w:rsidR="00614438" w:rsidRPr="00614438" w:rsidRDefault="00614438" w:rsidP="00614438">
      <w:pPr>
        <w:jc w:val="both"/>
        <w:rPr>
          <w:rFonts w:ascii="Times New Roman" w:hAnsi="Times New Roman" w:cs="Times New Roman"/>
          <w:sz w:val="24"/>
          <w:szCs w:val="24"/>
        </w:rPr>
      </w:pPr>
      <w:bookmarkStart w:id="415" w:name="_Ref153526168"/>
      <w:bookmarkStart w:id="416" w:name="_Toc154575288"/>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15</w:t>
      </w:r>
      <w:r w:rsidR="00C83251" w:rsidRPr="00614438">
        <w:rPr>
          <w:rFonts w:ascii="Times New Roman" w:hAnsi="Times New Roman" w:cs="Times New Roman"/>
          <w:sz w:val="24"/>
          <w:szCs w:val="24"/>
        </w:rPr>
        <w:fldChar w:fldCharType="end"/>
      </w:r>
      <w:bookmarkEnd w:id="415"/>
      <w:r w:rsidRPr="00614438">
        <w:rPr>
          <w:rFonts w:ascii="Times New Roman" w:hAnsi="Times New Roman" w:cs="Times New Roman"/>
          <w:sz w:val="24"/>
          <w:szCs w:val="24"/>
        </w:rPr>
        <w:t>: Electricity generation by source in Scenario S</w:t>
      </w:r>
      <w:bookmarkEnd w:id="416"/>
    </w:p>
    <w:p w14:paraId="081CEDAD"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27671C63" wp14:editId="39B8BA89">
            <wp:extent cx="6134100" cy="4810125"/>
            <wp:effectExtent l="0" t="0" r="0" b="9525"/>
            <wp:docPr id="732942828" name="Chart 258">
              <a:extLst xmlns:a="http://schemas.openxmlformats.org/drawingml/2006/main">
                <a:ext uri="{FF2B5EF4-FFF2-40B4-BE49-F238E27FC236}">
                  <a16:creationId xmlns:a16="http://schemas.microsoft.com/office/drawing/2014/main" id="{57F68632-A3EC-F9B4-CE2B-AC653222FE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58D6B3C7" w14:textId="6FDC1A06" w:rsidR="00614438" w:rsidRPr="00614438" w:rsidRDefault="00614438" w:rsidP="00F7260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 detailed analysis of the operation of the power system under the S scenario, on an hourly basis</w:t>
      </w:r>
      <w:r w:rsidR="00F7260E">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was performed for two milestone years (2030 and 2040) using the ANTARES software (Annex </w:t>
      </w:r>
      <w:r w:rsidRPr="00614438">
        <w:rPr>
          <w:rFonts w:ascii="Times New Roman" w:hAnsi="Times New Roman" w:cs="Times New Roman"/>
          <w:sz w:val="24"/>
          <w:szCs w:val="24"/>
          <w:lang w:val="en-GB"/>
        </w:rPr>
        <w:lastRenderedPageBreak/>
        <w:t xml:space="preserve">II). For 2030 the results indicate that the unsupplied energy is practically zero, which means that the generation adequacy of the system is robust. Furthermore, there is no spilled energy (no curtailment of electricity generation from variable renewables), therefore the system is flexible enough to accommodate the modelled variable RES capacities, at least at the Day-Ahead market level. The analysis for 2040, indicates that unsupplied energy is zero, signifying </w:t>
      </w:r>
      <w:r w:rsidR="00F7260E">
        <w:rPr>
          <w:rFonts w:ascii="Times New Roman" w:hAnsi="Times New Roman" w:cs="Times New Roman"/>
          <w:sz w:val="24"/>
          <w:szCs w:val="24"/>
          <w:lang w:val="en-GB"/>
        </w:rPr>
        <w:t xml:space="preserve">that </w:t>
      </w:r>
      <w:r w:rsidRPr="00614438">
        <w:rPr>
          <w:rFonts w:ascii="Times New Roman" w:hAnsi="Times New Roman" w:cs="Times New Roman"/>
          <w:sz w:val="24"/>
          <w:szCs w:val="24"/>
          <w:lang w:val="en-GB"/>
        </w:rPr>
        <w:t>generation adequacy of the system</w:t>
      </w:r>
      <w:r w:rsidR="00F7260E">
        <w:rPr>
          <w:rFonts w:ascii="Times New Roman" w:hAnsi="Times New Roman" w:cs="Times New Roman"/>
          <w:sz w:val="24"/>
          <w:szCs w:val="24"/>
          <w:lang w:val="en-GB"/>
        </w:rPr>
        <w:t xml:space="preserve"> has been met</w:t>
      </w:r>
      <w:r w:rsidRPr="00614438">
        <w:rPr>
          <w:rFonts w:ascii="Times New Roman" w:hAnsi="Times New Roman" w:cs="Times New Roman"/>
          <w:sz w:val="24"/>
          <w:szCs w:val="24"/>
          <w:lang w:val="en-GB"/>
        </w:rPr>
        <w:t>. There is some spilled energy in 2040</w:t>
      </w:r>
      <w:r w:rsidR="00F7260E">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but the level is negligible and does not exceed 0.01% of the total available wind and solar generation. This means that the system is flexible enough to accommodate the modelled variable RES capacities for 2040, at least at the Day-Ahead market level.</w:t>
      </w:r>
    </w:p>
    <w:p w14:paraId="3FBBC065" w14:textId="6BE5D371" w:rsidR="00614438" w:rsidRPr="00614438" w:rsidRDefault="00614438" w:rsidP="00F7260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w:t>
      </w:r>
      <w:r w:rsidR="004D7EBF">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WEM scenario, the non-road RE</w:t>
      </w:r>
      <w:r w:rsidR="00F7260E">
        <w:rPr>
          <w:rFonts w:ascii="Times New Roman" w:hAnsi="Times New Roman" w:cs="Times New Roman"/>
          <w:sz w:val="24"/>
          <w:szCs w:val="24"/>
          <w:lang w:val="en-GB"/>
        </w:rPr>
        <w:t>S</w:t>
      </w:r>
      <w:r w:rsidRPr="00614438">
        <w:rPr>
          <w:rFonts w:ascii="Times New Roman" w:hAnsi="Times New Roman" w:cs="Times New Roman"/>
          <w:sz w:val="24"/>
          <w:szCs w:val="24"/>
          <w:lang w:val="en-GB"/>
        </w:rPr>
        <w:t xml:space="preserve"> electricity consumption in transport is expected to reach 14 ktoe in 2030, while it will stand at 11 ktoe in both scenarios S and S-N over the same year (</w:t>
      </w:r>
      <w:r w:rsidR="00FA29EF">
        <w:fldChar w:fldCharType="begin"/>
      </w:r>
      <w:r w:rsidR="00FA29EF">
        <w:instrText xml:space="preserve"> REF _Ref153526207 \h  \* MERGEFORMAT </w:instrText>
      </w:r>
      <w:r w:rsidR="00FA29EF">
        <w:fldChar w:fldCharType="separate"/>
      </w:r>
      <w:r w:rsidRPr="00614438">
        <w:rPr>
          <w:rFonts w:ascii="Times New Roman" w:hAnsi="Times New Roman" w:cs="Times New Roman"/>
          <w:sz w:val="24"/>
          <w:szCs w:val="24"/>
          <w:lang w:val="en-GB"/>
        </w:rPr>
        <w:t>Figure 5.16</w:t>
      </w:r>
      <w:r w:rsidR="00FA29EF">
        <w:fldChar w:fldCharType="end"/>
      </w:r>
      <w:r w:rsidRPr="00614438">
        <w:rPr>
          <w:rFonts w:ascii="Times New Roman" w:hAnsi="Times New Roman" w:cs="Times New Roman"/>
          <w:sz w:val="24"/>
          <w:szCs w:val="24"/>
          <w:lang w:val="en-GB"/>
        </w:rPr>
        <w:t>). In 2050, an increase of the non-road RE</w:t>
      </w:r>
      <w:r w:rsidR="00F7260E">
        <w:rPr>
          <w:rFonts w:ascii="Times New Roman" w:hAnsi="Times New Roman" w:cs="Times New Roman"/>
          <w:sz w:val="24"/>
          <w:szCs w:val="24"/>
          <w:lang w:val="en-GB"/>
        </w:rPr>
        <w:t>S</w:t>
      </w:r>
      <w:r w:rsidRPr="00614438">
        <w:rPr>
          <w:rFonts w:ascii="Times New Roman" w:hAnsi="Times New Roman" w:cs="Times New Roman"/>
          <w:sz w:val="24"/>
          <w:szCs w:val="24"/>
          <w:lang w:val="en-GB"/>
        </w:rPr>
        <w:t xml:space="preserve"> electricity consumption in transport is anticipated in WEM scenario, reaching 19 ktoe, compared to scenarios S and S-N, where it will significantly rise to 41 ktoe in scenario S and 38 ktoe in scenario S-N. The increase is even higher for roa</w:t>
      </w:r>
      <w:r w:rsidR="00F7260E">
        <w:rPr>
          <w:rFonts w:ascii="Times New Roman" w:hAnsi="Times New Roman" w:cs="Times New Roman"/>
          <w:sz w:val="24"/>
          <w:szCs w:val="24"/>
          <w:lang w:val="en-GB"/>
        </w:rPr>
        <w:t>d</w:t>
      </w:r>
      <w:r w:rsidRPr="00614438">
        <w:rPr>
          <w:rFonts w:ascii="Times New Roman" w:hAnsi="Times New Roman" w:cs="Times New Roman"/>
          <w:sz w:val="24"/>
          <w:szCs w:val="24"/>
          <w:lang w:val="en-GB"/>
        </w:rPr>
        <w:t xml:space="preserve"> electricity consumption, especially for scenarios S and S-N, where a rise from 13 ktoe in 2030 to 415 ktoe in scenario S in 2050 and from 13 ktoe in 2030 to 422 ktoe in 2050 in scenario S-N is expected.</w:t>
      </w:r>
    </w:p>
    <w:p w14:paraId="6165933C" w14:textId="6E143214" w:rsidR="00F7260E" w:rsidRDefault="00F7260E" w:rsidP="00F7260E">
      <w:pPr>
        <w:ind w:firstLine="720"/>
        <w:jc w:val="both"/>
        <w:rPr>
          <w:rFonts w:ascii="Times New Roman" w:hAnsi="Times New Roman" w:cs="Times New Roman"/>
          <w:sz w:val="24"/>
          <w:szCs w:val="24"/>
          <w:lang w:val="en-GB"/>
        </w:rPr>
      </w:pPr>
      <w:bookmarkStart w:id="417" w:name="_Ref153526207"/>
      <w:bookmarkStart w:id="418" w:name="_Toc154575289"/>
      <w:r w:rsidRPr="00614438">
        <w:rPr>
          <w:rFonts w:ascii="Times New Roman" w:hAnsi="Times New Roman" w:cs="Times New Roman"/>
          <w:sz w:val="24"/>
          <w:szCs w:val="24"/>
          <w:lang w:val="en-GB"/>
        </w:rPr>
        <w:t>In WEM scenario, the total installed capacity in the district heating sector is projected to reach 8 GW in 2030 and 6 GW in 2050. Similarly, it will reach 8 GW in scenarios S and S-N in 2030 and 7 GW in scenario S and 8 GW in scenario S-N in 2050 (</w:t>
      </w:r>
      <w:r>
        <w:fldChar w:fldCharType="begin"/>
      </w:r>
      <w:r>
        <w:instrText xml:space="preserve"> REF _Ref153526233 \h  \* MERGEFORMAT </w:instrText>
      </w:r>
      <w:r>
        <w:fldChar w:fldCharType="separate"/>
      </w:r>
      <w:r w:rsidRPr="00614438">
        <w:rPr>
          <w:rFonts w:ascii="Times New Roman" w:hAnsi="Times New Roman" w:cs="Times New Roman"/>
          <w:sz w:val="24"/>
          <w:szCs w:val="24"/>
          <w:lang w:val="en-GB"/>
        </w:rPr>
        <w:t>Figure 5.17</w:t>
      </w:r>
      <w:r>
        <w:fldChar w:fldCharType="end"/>
      </w:r>
      <w:r w:rsidRPr="00614438">
        <w:rPr>
          <w:rFonts w:ascii="Times New Roman" w:hAnsi="Times New Roman" w:cs="Times New Roman"/>
          <w:sz w:val="24"/>
          <w:szCs w:val="24"/>
          <w:lang w:val="en-GB"/>
        </w:rPr>
        <w:t xml:space="preserve">). Natural gas is anticipated to have the largest contribution in all scenarios in 2030 and 2050, as a transitional fuel, replacing the polluting solid fuels used in heat stations and respecting the sustainable utilisation of biomass in </w:t>
      </w:r>
      <w:r w:rsidR="000F0CC8">
        <w:rPr>
          <w:rFonts w:ascii="Times New Roman" w:hAnsi="Times New Roman" w:cs="Times New Roman"/>
          <w:sz w:val="24"/>
          <w:szCs w:val="24"/>
          <w:lang w:val="en-GB"/>
        </w:rPr>
        <w:t xml:space="preserve">the Republic of </w:t>
      </w:r>
      <w:r w:rsidRPr="00614438">
        <w:rPr>
          <w:rFonts w:ascii="Times New Roman" w:hAnsi="Times New Roman" w:cs="Times New Roman"/>
          <w:sz w:val="24"/>
          <w:szCs w:val="24"/>
          <w:lang w:val="en-GB"/>
        </w:rPr>
        <w:t>Serbia. The options of centralised heat pumps and other clean technologies for centralised heat production were included in the analysis but their relative costs remain high within the considered time period.</w:t>
      </w:r>
    </w:p>
    <w:p w14:paraId="438D76C2" w14:textId="491CF293" w:rsidR="000F0CC8" w:rsidRPr="00614438" w:rsidRDefault="000F0CC8" w:rsidP="000F0CC8">
      <w:pPr>
        <w:ind w:firstLine="720"/>
        <w:jc w:val="both"/>
        <w:rPr>
          <w:rFonts w:ascii="Times New Roman" w:hAnsi="Times New Roman" w:cs="Times New Roman"/>
          <w:sz w:val="24"/>
          <w:szCs w:val="24"/>
          <w:lang w:val="en-GB"/>
        </w:rPr>
      </w:pPr>
      <w:r w:rsidRPr="004D7EBF">
        <w:rPr>
          <w:rFonts w:ascii="Times New Roman" w:hAnsi="Times New Roman" w:cs="Times New Roman"/>
          <w:sz w:val="24"/>
          <w:szCs w:val="24"/>
          <w:lang w:val="en-GB"/>
        </w:rPr>
        <w:t>In 2030, the primary and the final energy consumption are equal to 14.7 Mtoe and 9.7 Mtoe respectively in scenarios S and S-N</w:t>
      </w:r>
      <w:r w:rsidR="004D7EBF">
        <w:rPr>
          <w:rFonts w:ascii="Times New Roman" w:hAnsi="Times New Roman" w:cs="Times New Roman"/>
          <w:sz w:val="24"/>
          <w:szCs w:val="24"/>
          <w:lang w:val="en-GB"/>
        </w:rPr>
        <w:t>,</w:t>
      </w:r>
      <w:r w:rsidRPr="004D7EBF">
        <w:rPr>
          <w:rFonts w:ascii="Times New Roman" w:hAnsi="Times New Roman" w:cs="Times New Roman"/>
          <w:sz w:val="24"/>
          <w:szCs w:val="24"/>
          <w:lang w:val="en-GB"/>
        </w:rPr>
        <w:t xml:space="preserve"> leading to lower levels by 17%</w:t>
      </w:r>
      <w:r w:rsidR="004D7EBF">
        <w:rPr>
          <w:rFonts w:ascii="Times New Roman" w:hAnsi="Times New Roman" w:cs="Times New Roman"/>
          <w:sz w:val="24"/>
          <w:szCs w:val="24"/>
          <w:lang w:val="en-GB"/>
        </w:rPr>
        <w:t xml:space="preserve"> (Figure 5.18)</w:t>
      </w:r>
      <w:r w:rsidRPr="004D7EBF">
        <w:rPr>
          <w:rFonts w:ascii="Times New Roman" w:hAnsi="Times New Roman" w:cs="Times New Roman"/>
          <w:sz w:val="24"/>
          <w:szCs w:val="24"/>
          <w:lang w:val="en-GB"/>
        </w:rPr>
        <w:t xml:space="preserve"> and 9% </w:t>
      </w:r>
      <w:r w:rsidR="004D7EBF">
        <w:rPr>
          <w:rFonts w:ascii="Times New Roman" w:hAnsi="Times New Roman" w:cs="Times New Roman"/>
          <w:sz w:val="24"/>
          <w:szCs w:val="24"/>
          <w:lang w:val="en-GB"/>
        </w:rPr>
        <w:t xml:space="preserve">(Figure 5.19) </w:t>
      </w:r>
      <w:r w:rsidRPr="004D7EBF">
        <w:rPr>
          <w:rFonts w:ascii="Times New Roman" w:hAnsi="Times New Roman" w:cs="Times New Roman"/>
          <w:sz w:val="24"/>
          <w:szCs w:val="24"/>
          <w:lang w:val="en-GB"/>
        </w:rPr>
        <w:t>respectively</w:t>
      </w:r>
      <w:r w:rsidR="004D7EBF">
        <w:rPr>
          <w:rFonts w:ascii="Times New Roman" w:hAnsi="Times New Roman" w:cs="Times New Roman"/>
          <w:sz w:val="24"/>
          <w:szCs w:val="24"/>
          <w:lang w:val="en-GB"/>
        </w:rPr>
        <w:t>,</w:t>
      </w:r>
      <w:r w:rsidRPr="004D7EBF">
        <w:rPr>
          <w:rFonts w:ascii="Times New Roman" w:hAnsi="Times New Roman" w:cs="Times New Roman"/>
          <w:sz w:val="24"/>
          <w:szCs w:val="24"/>
          <w:lang w:val="en-GB"/>
        </w:rPr>
        <w:t xml:space="preserve"> compared to the WEM scenario. The reduction in the primary and final energy consumption is mostly due to the implementation of additional policies and measures for the promotion of energy efficiency and RES. The difference in the final energy consumption </w:t>
      </w:r>
      <w:r w:rsidR="006228AB">
        <w:rPr>
          <w:rFonts w:ascii="Times New Roman" w:hAnsi="Times New Roman" w:cs="Times New Roman"/>
          <w:sz w:val="24"/>
          <w:szCs w:val="24"/>
          <w:lang w:val="en-GB"/>
        </w:rPr>
        <w:t>between</w:t>
      </w:r>
      <w:r w:rsidRPr="004D7EBF">
        <w:rPr>
          <w:rFonts w:ascii="Times New Roman" w:hAnsi="Times New Roman" w:cs="Times New Roman"/>
          <w:sz w:val="24"/>
          <w:szCs w:val="24"/>
          <w:lang w:val="en-GB"/>
        </w:rPr>
        <w:t xml:space="preserve"> WEM and scenarios S and S-N is distributed on average among the residential (36%), industry (27%) and transport (26%) sectors in 2030.</w:t>
      </w:r>
    </w:p>
    <w:p w14:paraId="2511D3D5" w14:textId="415C3F7D" w:rsidR="000F0CC8" w:rsidRPr="00614438" w:rsidRDefault="000F0CC8" w:rsidP="006228AB">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2050, the primary energy consumption is equal to 11.5 Mtoe and 12.5 Mtoe in scenarios S and S-N respectively</w:t>
      </w:r>
      <w:r w:rsidR="006228AB">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leading to reduced levels by 40% and 35% compared to the WEM scenario. The same tendency is observed for the case of final energy consumption leading to approximately identical level (9.5 Mtoe presenting 27% reduction compared to</w:t>
      </w:r>
      <w:r w:rsidR="006228AB">
        <w:rPr>
          <w:rFonts w:ascii="Times New Roman" w:hAnsi="Times New Roman" w:cs="Times New Roman"/>
          <w:sz w:val="24"/>
          <w:szCs w:val="24"/>
          <w:lang w:val="en-GB"/>
        </w:rPr>
        <w:t xml:space="preserve"> the</w:t>
      </w:r>
      <w:r w:rsidRPr="00614438">
        <w:rPr>
          <w:rFonts w:ascii="Times New Roman" w:hAnsi="Times New Roman" w:cs="Times New Roman"/>
          <w:sz w:val="24"/>
          <w:szCs w:val="24"/>
          <w:lang w:val="en-GB"/>
        </w:rPr>
        <w:t xml:space="preserve"> WEM scenario). The reduction in the primary and final energy consumption is mostly due to the intensified implementation of additional policies and measures for the promotion of energy efficiency and RES.</w:t>
      </w:r>
    </w:p>
    <w:p w14:paraId="197A4E77" w14:textId="77777777" w:rsidR="000F0CC8" w:rsidRPr="00614438" w:rsidRDefault="000F0CC8" w:rsidP="00F7260E">
      <w:pPr>
        <w:ind w:firstLine="720"/>
        <w:jc w:val="both"/>
        <w:rPr>
          <w:rFonts w:ascii="Times New Roman" w:hAnsi="Times New Roman" w:cs="Times New Roman"/>
          <w:sz w:val="24"/>
          <w:szCs w:val="24"/>
          <w:lang w:val="en-GB"/>
        </w:rPr>
      </w:pPr>
    </w:p>
    <w:p w14:paraId="20D0BA23" w14:textId="77777777" w:rsidR="00614438" w:rsidRPr="00614438" w:rsidRDefault="00614438" w:rsidP="00614438">
      <w:pPr>
        <w:jc w:val="both"/>
        <w:rPr>
          <w:rFonts w:ascii="Times New Roman" w:hAnsi="Times New Roman" w:cs="Times New Roman"/>
          <w:sz w:val="24"/>
          <w:szCs w:val="24"/>
        </w:rPr>
      </w:pPr>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16</w:t>
      </w:r>
      <w:r w:rsidR="00C83251" w:rsidRPr="00614438">
        <w:rPr>
          <w:rFonts w:ascii="Times New Roman" w:hAnsi="Times New Roman" w:cs="Times New Roman"/>
          <w:sz w:val="24"/>
          <w:szCs w:val="24"/>
        </w:rPr>
        <w:fldChar w:fldCharType="end"/>
      </w:r>
      <w:bookmarkEnd w:id="417"/>
      <w:r w:rsidRPr="00614438">
        <w:rPr>
          <w:rFonts w:ascii="Times New Roman" w:hAnsi="Times New Roman" w:cs="Times New Roman"/>
          <w:sz w:val="24"/>
          <w:szCs w:val="24"/>
        </w:rPr>
        <w:t>: Electricity consumption from RES in transport</w:t>
      </w:r>
      <w:bookmarkEnd w:id="418"/>
    </w:p>
    <w:p w14:paraId="02818338" w14:textId="4028681F"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707392" behindDoc="0" locked="0" layoutInCell="1" allowOverlap="1" wp14:anchorId="7ED8F8ED" wp14:editId="14D4BB76">
                <wp:simplePos x="0" y="0"/>
                <wp:positionH relativeFrom="column">
                  <wp:posOffset>432435</wp:posOffset>
                </wp:positionH>
                <wp:positionV relativeFrom="paragraph">
                  <wp:posOffset>1906270</wp:posOffset>
                </wp:positionV>
                <wp:extent cx="3495675" cy="1847850"/>
                <wp:effectExtent l="0" t="0" r="0" b="0"/>
                <wp:wrapNone/>
                <wp:docPr id="1373749838"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5675" cy="184785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29809AC" id="Text Box 49" o:spid="_x0000_s1026" type="#_x0000_t202" style="position:absolute;margin-left:34.05pt;margin-top:150.1pt;width:275.25pt;height:145.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64D29029" wp14:editId="7CF15CAB">
            <wp:extent cx="6120130" cy="4723130"/>
            <wp:effectExtent l="0" t="0" r="0" b="1270"/>
            <wp:docPr id="822575389"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5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120130" cy="4723130"/>
                    </a:xfrm>
                    <a:prstGeom prst="rect">
                      <a:avLst/>
                    </a:prstGeom>
                    <a:noFill/>
                    <a:ln>
                      <a:noFill/>
                    </a:ln>
                  </pic:spPr>
                </pic:pic>
              </a:graphicData>
            </a:graphic>
          </wp:inline>
        </w:drawing>
      </w:r>
    </w:p>
    <w:p w14:paraId="681923C5" w14:textId="77777777" w:rsidR="00614438" w:rsidRPr="00614438" w:rsidRDefault="00614438" w:rsidP="00614438">
      <w:pPr>
        <w:jc w:val="both"/>
        <w:rPr>
          <w:rFonts w:ascii="Times New Roman" w:hAnsi="Times New Roman" w:cs="Times New Roman"/>
          <w:sz w:val="24"/>
          <w:szCs w:val="24"/>
        </w:rPr>
      </w:pPr>
      <w:bookmarkStart w:id="419" w:name="_heading=h.320vgez"/>
      <w:bookmarkStart w:id="420" w:name="_Ref153526233"/>
      <w:bookmarkStart w:id="421" w:name="_Toc154575290"/>
      <w:bookmarkEnd w:id="419"/>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17</w:t>
      </w:r>
      <w:r w:rsidR="00C83251" w:rsidRPr="00614438">
        <w:rPr>
          <w:rFonts w:ascii="Times New Roman" w:hAnsi="Times New Roman" w:cs="Times New Roman"/>
          <w:sz w:val="24"/>
          <w:szCs w:val="24"/>
        </w:rPr>
        <w:fldChar w:fldCharType="end"/>
      </w:r>
      <w:bookmarkEnd w:id="420"/>
      <w:r w:rsidRPr="00614438">
        <w:rPr>
          <w:rFonts w:ascii="Times New Roman" w:hAnsi="Times New Roman" w:cs="Times New Roman"/>
          <w:sz w:val="24"/>
          <w:szCs w:val="24"/>
        </w:rPr>
        <w:t>: Installed capacity per technology in the district heating sector</w:t>
      </w:r>
      <w:bookmarkEnd w:id="421"/>
    </w:p>
    <w:p w14:paraId="277E1CED" w14:textId="38BBDE2D" w:rsidR="00614438" w:rsidRPr="00614438" w:rsidRDefault="00395FC1" w:rsidP="00614438">
      <w:pPr>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731968" behindDoc="0" locked="0" layoutInCell="1" allowOverlap="1" wp14:anchorId="527CFBEA" wp14:editId="6E908143">
                <wp:simplePos x="0" y="0"/>
                <wp:positionH relativeFrom="column">
                  <wp:posOffset>368300</wp:posOffset>
                </wp:positionH>
                <wp:positionV relativeFrom="paragraph">
                  <wp:posOffset>48895</wp:posOffset>
                </wp:positionV>
                <wp:extent cx="3369945" cy="4657725"/>
                <wp:effectExtent l="0" t="0" r="0" b="0"/>
                <wp:wrapNone/>
                <wp:docPr id="308862590"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9945" cy="4657725"/>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page">
                  <wp14:pctHeight>0</wp14:pctHeight>
                </wp14:sizeRelV>
              </wp:anchor>
            </w:drawing>
          </mc:Choice>
          <mc:Fallback xmlns:w16du="http://schemas.microsoft.com/office/word/2023/wordml/word16du">
            <w:pict>
              <v:shape w14:anchorId="25307F32" id="Text Box 47" o:spid="_x0000_s1026" type="#_x0000_t202" style="position:absolute;margin-left:29pt;margin-top:3.85pt;width:265.35pt;height:366.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1FD91A26" wp14:editId="66CCEAFC">
            <wp:extent cx="6105525" cy="5010150"/>
            <wp:effectExtent l="0" t="0" r="9525" b="0"/>
            <wp:docPr id="1540022477" name="Picture 256" descr="A graph with blue and 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descr="A graph with blue and red dots&#10;&#10;Description automatically generated"/>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105525" cy="5010150"/>
                    </a:xfrm>
                    <a:prstGeom prst="rect">
                      <a:avLst/>
                    </a:prstGeom>
                    <a:noFill/>
                    <a:ln>
                      <a:noFill/>
                    </a:ln>
                  </pic:spPr>
                </pic:pic>
              </a:graphicData>
            </a:graphic>
          </wp:inline>
        </w:drawing>
      </w:r>
    </w:p>
    <w:p w14:paraId="13CC2D46" w14:textId="25087C38" w:rsidR="00614438" w:rsidRPr="00614438" w:rsidRDefault="00614438" w:rsidP="00614438">
      <w:pPr>
        <w:jc w:val="both"/>
        <w:rPr>
          <w:rFonts w:ascii="Times New Roman" w:hAnsi="Times New Roman" w:cs="Times New Roman"/>
          <w:sz w:val="24"/>
          <w:szCs w:val="24"/>
          <w:lang w:val="en-GB"/>
        </w:rPr>
      </w:pPr>
      <w:bookmarkStart w:id="422" w:name="_Toc154575291"/>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18</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PEC</w:t>
      </w:r>
      <w:bookmarkEnd w:id="422"/>
    </w:p>
    <w:p w14:paraId="1AF1A2B6" w14:textId="792D0155"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da-DK"/>
        </w:rPr>
        <mc:AlternateContent>
          <mc:Choice Requires="wps">
            <w:drawing>
              <wp:anchor distT="0" distB="0" distL="114300" distR="114300" simplePos="0" relativeHeight="251708416" behindDoc="0" locked="0" layoutInCell="1" allowOverlap="1" wp14:anchorId="5E5FB4D0" wp14:editId="1BAA8E97">
                <wp:simplePos x="0" y="0"/>
                <wp:positionH relativeFrom="column">
                  <wp:posOffset>775335</wp:posOffset>
                </wp:positionH>
                <wp:positionV relativeFrom="paragraph">
                  <wp:posOffset>346710</wp:posOffset>
                </wp:positionV>
                <wp:extent cx="3009900" cy="2381250"/>
                <wp:effectExtent l="0" t="0" r="0" b="0"/>
                <wp:wrapNone/>
                <wp:docPr id="854629312"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0" cy="238125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B3E19AA" id="Text Box 45" o:spid="_x0000_s1026" type="#_x0000_t202" style="position:absolute;margin-left:61.05pt;margin-top:27.3pt;width:237pt;height:18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" fillcolor="#a6a6a6" stroked="f">
                <v:fill opacity="32896f"/>
              </v:shape>
            </w:pict>
          </mc:Fallback>
        </mc:AlternateContent>
      </w:r>
      <w:bookmarkStart w:id="423" w:name="_heading=h.415t9al"/>
      <w:bookmarkEnd w:id="423"/>
      <w:r w:rsidR="00614438" w:rsidRPr="00013008">
        <w:rPr>
          <w:rFonts w:ascii="Times New Roman" w:hAnsi="Times New Roman" w:cs="Times New Roman"/>
          <w:noProof/>
          <w:sz w:val="24"/>
          <w:szCs w:val="24"/>
          <w:lang w:val="en-GB" w:eastAsia="en-GB"/>
        </w:rPr>
        <w:drawing>
          <wp:inline distT="0" distB="0" distL="0" distR="0" wp14:anchorId="18A885A7" wp14:editId="141C1556">
            <wp:extent cx="5467350" cy="3486150"/>
            <wp:effectExtent l="0" t="0" r="0" b="0"/>
            <wp:docPr id="2109573803"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6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467350" cy="3486150"/>
                    </a:xfrm>
                    <a:prstGeom prst="rect">
                      <a:avLst/>
                    </a:prstGeom>
                    <a:noFill/>
                    <a:ln>
                      <a:noFill/>
                    </a:ln>
                  </pic:spPr>
                </pic:pic>
              </a:graphicData>
            </a:graphic>
          </wp:inline>
        </w:drawing>
      </w:r>
    </w:p>
    <w:p w14:paraId="42FBD025" w14:textId="3A586EC8" w:rsidR="00614438" w:rsidRPr="00614438" w:rsidRDefault="00614438" w:rsidP="00614438">
      <w:pPr>
        <w:jc w:val="both"/>
        <w:rPr>
          <w:rFonts w:ascii="Times New Roman" w:hAnsi="Times New Roman" w:cs="Times New Roman"/>
          <w:sz w:val="24"/>
          <w:szCs w:val="24"/>
          <w:lang w:val="en-GB"/>
        </w:rPr>
      </w:pPr>
      <w:bookmarkStart w:id="424" w:name="_Toc154575292"/>
      <w:r w:rsidRPr="00614438">
        <w:rPr>
          <w:rFonts w:ascii="Times New Roman" w:hAnsi="Times New Roman" w:cs="Times New Roman"/>
          <w:sz w:val="24"/>
          <w:szCs w:val="24"/>
        </w:rPr>
        <w:lastRenderedPageBreak/>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19</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F</w:t>
      </w:r>
      <w:r w:rsidR="006228AB">
        <w:rPr>
          <w:rFonts w:ascii="Times New Roman" w:hAnsi="Times New Roman" w:cs="Times New Roman"/>
          <w:sz w:val="24"/>
          <w:szCs w:val="24"/>
        </w:rPr>
        <w:t>E</w:t>
      </w:r>
      <w:r w:rsidRPr="00614438">
        <w:rPr>
          <w:rFonts w:ascii="Times New Roman" w:hAnsi="Times New Roman" w:cs="Times New Roman"/>
          <w:sz w:val="24"/>
          <w:szCs w:val="24"/>
        </w:rPr>
        <w:t>C</w:t>
      </w:r>
      <w:bookmarkEnd w:id="424"/>
    </w:p>
    <w:p w14:paraId="516D05D7" w14:textId="6C314C88"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da-DK"/>
        </w:rPr>
        <mc:AlternateContent>
          <mc:Choice Requires="wps">
            <w:drawing>
              <wp:anchor distT="0" distB="0" distL="114300" distR="114300" simplePos="0" relativeHeight="251709440" behindDoc="0" locked="0" layoutInCell="1" allowOverlap="1" wp14:anchorId="146B4A87" wp14:editId="315A31B2">
                <wp:simplePos x="0" y="0"/>
                <wp:positionH relativeFrom="column">
                  <wp:posOffset>537210</wp:posOffset>
                </wp:positionH>
                <wp:positionV relativeFrom="paragraph">
                  <wp:posOffset>316230</wp:posOffset>
                </wp:positionV>
                <wp:extent cx="3190875" cy="2400300"/>
                <wp:effectExtent l="0" t="0" r="0" b="0"/>
                <wp:wrapNone/>
                <wp:docPr id="77458719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0875" cy="240030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1847D69" id="Text Box 43" o:spid="_x0000_s1026" type="#_x0000_t202" style="position:absolute;margin-left:42.3pt;margin-top:24.9pt;width:251.25pt;height:189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7316DF0D" wp14:editId="764C0C06">
            <wp:extent cx="5791200" cy="3171825"/>
            <wp:effectExtent l="0" t="0" r="0" b="9525"/>
            <wp:docPr id="563995263"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6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91200" cy="3171825"/>
                    </a:xfrm>
                    <a:prstGeom prst="rect">
                      <a:avLst/>
                    </a:prstGeom>
                    <a:noFill/>
                    <a:ln>
                      <a:noFill/>
                    </a:ln>
                  </pic:spPr>
                </pic:pic>
              </a:graphicData>
            </a:graphic>
          </wp:inline>
        </w:drawing>
      </w:r>
    </w:p>
    <w:p w14:paraId="5E85E03F" w14:textId="77777777" w:rsidR="00614438" w:rsidRPr="00614438" w:rsidRDefault="00614438" w:rsidP="00614438">
      <w:pPr>
        <w:jc w:val="both"/>
        <w:rPr>
          <w:rFonts w:ascii="Times New Roman" w:hAnsi="Times New Roman" w:cs="Times New Roman"/>
          <w:sz w:val="24"/>
          <w:szCs w:val="24"/>
          <w:lang w:val="en-GB"/>
        </w:rPr>
      </w:pPr>
    </w:p>
    <w:p w14:paraId="50F8B43E" w14:textId="504481A6"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final energy consumption of the industrial sector stands at 2,547 ktoe in 2030 in scenarios S and S-N</w:t>
      </w:r>
      <w:r w:rsidR="006228AB">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leading to 9% lower consumption compared to </w:t>
      </w:r>
      <w:r w:rsidR="006228AB">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WEM scenario due to the promotion of energy efficient equipment, the further development of energy management systems and the exploitation of the waste heat. The respective reduction will be increased to 11% in 2050 compared to </w:t>
      </w:r>
      <w:r w:rsidR="006228AB">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WEM scenario </w:t>
      </w:r>
      <w:r w:rsidR="006228AB">
        <w:rPr>
          <w:rFonts w:ascii="Times New Roman" w:hAnsi="Times New Roman" w:cs="Times New Roman"/>
          <w:sz w:val="24"/>
          <w:szCs w:val="24"/>
          <w:lang w:val="en-GB"/>
        </w:rPr>
        <w:t>because</w:t>
      </w:r>
      <w:r w:rsidRPr="00614438">
        <w:rPr>
          <w:rFonts w:ascii="Times New Roman" w:hAnsi="Times New Roman" w:cs="Times New Roman"/>
          <w:sz w:val="24"/>
          <w:szCs w:val="24"/>
          <w:lang w:val="en-GB"/>
        </w:rPr>
        <w:t xml:space="preserve"> the final energy consumption will be equal to about 3.4 Mtoe due to the intensification of the energy efficiency measures counterbalancing the increased industrial output </w:t>
      </w:r>
      <w:r w:rsidR="006228AB">
        <w:rPr>
          <w:rFonts w:ascii="Times New Roman" w:hAnsi="Times New Roman" w:cs="Times New Roman"/>
          <w:sz w:val="24"/>
          <w:szCs w:val="24"/>
          <w:lang w:val="en-GB"/>
        </w:rPr>
        <w:t>as a result of</w:t>
      </w:r>
      <w:r w:rsidRPr="00614438">
        <w:rPr>
          <w:rFonts w:ascii="Times New Roman" w:hAnsi="Times New Roman" w:cs="Times New Roman"/>
          <w:sz w:val="24"/>
          <w:szCs w:val="24"/>
          <w:lang w:val="en-GB"/>
        </w:rPr>
        <w:t xml:space="preserve"> the GDP growth</w:t>
      </w:r>
      <w:r w:rsidR="006228AB">
        <w:rPr>
          <w:rFonts w:ascii="Times New Roman" w:hAnsi="Times New Roman" w:cs="Times New Roman"/>
          <w:sz w:val="24"/>
          <w:szCs w:val="24"/>
          <w:lang w:val="en-GB"/>
        </w:rPr>
        <w:t xml:space="preserve"> (Figure 5.20)</w:t>
      </w:r>
      <w:r w:rsidRPr="00614438">
        <w:rPr>
          <w:rFonts w:ascii="Times New Roman" w:hAnsi="Times New Roman" w:cs="Times New Roman"/>
          <w:sz w:val="24"/>
          <w:szCs w:val="24"/>
          <w:lang w:val="en-GB"/>
        </w:rPr>
        <w:t>. Electricity, natural gas and oil products consist the fuels with the highest contribution in scenarios S and S-N for both 2030 and 2050.</w:t>
      </w:r>
    </w:p>
    <w:p w14:paraId="691B9B9A" w14:textId="403E12BD" w:rsidR="006228AB" w:rsidRPr="00614438" w:rsidRDefault="006228AB" w:rsidP="006228AB">
      <w:pPr>
        <w:ind w:firstLine="720"/>
        <w:jc w:val="both"/>
        <w:rPr>
          <w:rFonts w:ascii="Times New Roman" w:hAnsi="Times New Roman" w:cs="Times New Roman"/>
          <w:sz w:val="24"/>
          <w:szCs w:val="24"/>
          <w:lang w:val="da-DK"/>
        </w:rPr>
      </w:pPr>
      <w:bookmarkStart w:id="425" w:name="_Toc154575293"/>
      <w:r w:rsidRPr="00614438">
        <w:rPr>
          <w:rFonts w:ascii="Times New Roman" w:hAnsi="Times New Roman" w:cs="Times New Roman"/>
          <w:sz w:val="24"/>
          <w:szCs w:val="24"/>
          <w:lang w:val="da-DK"/>
        </w:rPr>
        <w:t xml:space="preserve">In </w:t>
      </w:r>
      <w:r>
        <w:rPr>
          <w:rFonts w:ascii="Times New Roman" w:hAnsi="Times New Roman" w:cs="Times New Roman"/>
          <w:sz w:val="24"/>
          <w:szCs w:val="24"/>
          <w:lang w:val="da-DK"/>
        </w:rPr>
        <w:t xml:space="preserve">the </w:t>
      </w:r>
      <w:r w:rsidRPr="00614438">
        <w:rPr>
          <w:rFonts w:ascii="Times New Roman" w:hAnsi="Times New Roman" w:cs="Times New Roman"/>
          <w:sz w:val="24"/>
          <w:szCs w:val="24"/>
          <w:lang w:val="da-DK"/>
        </w:rPr>
        <w:t xml:space="preserve">residential sector, the final energy consumption amounts to 3,798 ktoe in </w:t>
      </w:r>
      <w:r>
        <w:rPr>
          <w:rFonts w:ascii="Times New Roman" w:hAnsi="Times New Roman" w:cs="Times New Roman"/>
          <w:sz w:val="24"/>
          <w:szCs w:val="24"/>
          <w:lang w:val="da-DK"/>
        </w:rPr>
        <w:t xml:space="preserve">the </w:t>
      </w:r>
      <w:r w:rsidRPr="00614438">
        <w:rPr>
          <w:rFonts w:ascii="Times New Roman" w:hAnsi="Times New Roman" w:cs="Times New Roman"/>
          <w:sz w:val="24"/>
          <w:szCs w:val="24"/>
          <w:lang w:val="da-DK"/>
        </w:rPr>
        <w:t>WEM scenario and about 3,523 ktoe in scenarios S and S-N in 2030</w:t>
      </w:r>
      <w:r>
        <w:rPr>
          <w:rFonts w:ascii="Times New Roman" w:hAnsi="Times New Roman" w:cs="Times New Roman"/>
          <w:sz w:val="24"/>
          <w:szCs w:val="24"/>
          <w:lang w:val="da-DK"/>
        </w:rPr>
        <w:t>,</w:t>
      </w:r>
      <w:r w:rsidRPr="00614438">
        <w:rPr>
          <w:rFonts w:ascii="Times New Roman" w:hAnsi="Times New Roman" w:cs="Times New Roman"/>
          <w:sz w:val="24"/>
          <w:szCs w:val="24"/>
          <w:lang w:val="da-DK"/>
        </w:rPr>
        <w:t xml:space="preserve"> mainly due to the increased energy renovation of the buildings, the installation of aerothermal heat pumps and the promotion of energy efficient appliances and lighting. The reduction of the final energy consumption is higher in 2050 for the case of scenarios S and S-N reaching 2.5 Mtoe compared to 3.7 Mtoe in </w:t>
      </w:r>
      <w:r>
        <w:rPr>
          <w:rFonts w:ascii="Times New Roman" w:hAnsi="Times New Roman" w:cs="Times New Roman"/>
          <w:sz w:val="24"/>
          <w:szCs w:val="24"/>
          <w:lang w:val="da-DK"/>
        </w:rPr>
        <w:t xml:space="preserve">the </w:t>
      </w:r>
      <w:r w:rsidRPr="00614438">
        <w:rPr>
          <w:rFonts w:ascii="Times New Roman" w:hAnsi="Times New Roman" w:cs="Times New Roman"/>
          <w:sz w:val="24"/>
          <w:szCs w:val="24"/>
          <w:lang w:val="da-DK"/>
        </w:rPr>
        <w:t>WEM scenario due to the enhanced implementation of energy efficiency measures</w:t>
      </w:r>
      <w:r>
        <w:rPr>
          <w:rFonts w:ascii="Times New Roman" w:hAnsi="Times New Roman" w:cs="Times New Roman"/>
          <w:sz w:val="24"/>
          <w:szCs w:val="24"/>
          <w:lang w:val="da-DK"/>
        </w:rPr>
        <w:t xml:space="preserve"> (Figure 5.21)</w:t>
      </w:r>
      <w:r w:rsidRPr="00614438">
        <w:rPr>
          <w:rFonts w:ascii="Times New Roman" w:hAnsi="Times New Roman" w:cs="Times New Roman"/>
          <w:sz w:val="24"/>
          <w:szCs w:val="24"/>
          <w:lang w:val="da-DK"/>
        </w:rPr>
        <w:t>.</w:t>
      </w:r>
      <w:r w:rsidRPr="00614438">
        <w:rPr>
          <w:rFonts w:ascii="Times New Roman" w:hAnsi="Times New Roman" w:cs="Times New Roman"/>
          <w:sz w:val="24"/>
          <w:szCs w:val="24"/>
          <w:lang w:val="da-DK"/>
        </w:rPr>
        <w:fldChar w:fldCharType="begin"/>
      </w:r>
      <w:r w:rsidRPr="00614438">
        <w:rPr>
          <w:rFonts w:ascii="Times New Roman" w:hAnsi="Times New Roman" w:cs="Times New Roman"/>
          <w:sz w:val="24"/>
          <w:szCs w:val="24"/>
          <w:lang w:val="da-DK"/>
        </w:rPr>
        <w:instrText xml:space="preserve"> REF _Ref113536861 \h  \* MERGEFORMAT </w:instrText>
      </w:r>
      <w:r w:rsidRPr="00614438">
        <w:rPr>
          <w:rFonts w:ascii="Times New Roman" w:hAnsi="Times New Roman" w:cs="Times New Roman"/>
          <w:sz w:val="24"/>
          <w:szCs w:val="24"/>
          <w:lang w:val="da-DK"/>
        </w:rPr>
      </w:r>
      <w:r w:rsidRPr="00614438">
        <w:rPr>
          <w:rFonts w:ascii="Times New Roman" w:hAnsi="Times New Roman" w:cs="Times New Roman"/>
          <w:sz w:val="24"/>
          <w:szCs w:val="24"/>
        </w:rPr>
        <w:fldChar w:fldCharType="end"/>
      </w:r>
      <w:r w:rsidRPr="00614438">
        <w:rPr>
          <w:rFonts w:ascii="Times New Roman" w:hAnsi="Times New Roman" w:cs="Times New Roman"/>
          <w:sz w:val="24"/>
          <w:szCs w:val="24"/>
          <w:lang w:val="da-DK"/>
        </w:rPr>
        <w:t xml:space="preserve"> Biomass/biogas, electricity and derived heat present the highest contribution in both 2030 and 2050.</w:t>
      </w:r>
    </w:p>
    <w:p w14:paraId="484416EE" w14:textId="06C91214" w:rsidR="006228AB" w:rsidRPr="00614438" w:rsidRDefault="006228AB" w:rsidP="006228AB">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final energy consumption of the tertiary sector</w:t>
      </w:r>
      <w:r w:rsidRPr="00614438">
        <w:rPr>
          <w:rFonts w:ascii="Times New Roman" w:hAnsi="Times New Roman" w:cs="Times New Roman"/>
          <w:sz w:val="24"/>
          <w:szCs w:val="24"/>
        </w:rPr>
        <w:t xml:space="preserve"> in 2030</w:t>
      </w:r>
      <w:r w:rsidRPr="00614438">
        <w:rPr>
          <w:rFonts w:ascii="Times New Roman" w:hAnsi="Times New Roman" w:cs="Times New Roman"/>
          <w:sz w:val="24"/>
          <w:szCs w:val="24"/>
          <w:lang w:val="en-GB"/>
        </w:rPr>
        <w:t xml:space="preserve"> is equal to 1,097 ktoe in </w:t>
      </w:r>
      <w:r>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WEM scenario, while a </w:t>
      </w:r>
      <w:r>
        <w:rPr>
          <w:rFonts w:ascii="Times New Roman" w:hAnsi="Times New Roman" w:cs="Times New Roman"/>
          <w:sz w:val="24"/>
          <w:szCs w:val="24"/>
          <w:lang w:val="en-GB"/>
        </w:rPr>
        <w:t>significant</w:t>
      </w:r>
      <w:r w:rsidRPr="00614438">
        <w:rPr>
          <w:rFonts w:ascii="Times New Roman" w:hAnsi="Times New Roman" w:cs="Times New Roman"/>
          <w:sz w:val="24"/>
          <w:szCs w:val="24"/>
          <w:lang w:val="en-GB"/>
        </w:rPr>
        <w:t xml:space="preserve"> reduction</w:t>
      </w:r>
      <w:r>
        <w:rPr>
          <w:rFonts w:ascii="Times New Roman" w:hAnsi="Times New Roman" w:cs="Times New Roman"/>
          <w:sz w:val="24"/>
          <w:szCs w:val="24"/>
          <w:lang w:val="en-GB"/>
        </w:rPr>
        <w:t xml:space="preserve"> of</w:t>
      </w:r>
      <w:r w:rsidRPr="00614438">
        <w:rPr>
          <w:rFonts w:ascii="Times New Roman" w:hAnsi="Times New Roman" w:cs="Times New Roman"/>
          <w:sz w:val="24"/>
          <w:szCs w:val="24"/>
          <w:lang w:val="en-GB"/>
        </w:rPr>
        <w:t xml:space="preserve"> up to 17% is observed in scenarios S and S-N</w:t>
      </w:r>
      <w:r>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reaching 910 ktoe in absolute levels</w:t>
      </w:r>
      <w:r>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due to the increased energy renovation of the buildings, the installation of aerothermal and geothermal heat pumps and the promotion of energy efficient appliances and lighting. The intensification of the energy efficiency measures leads to a 24% reduction in 2050, as the final energy consumption reaches 1,579 ktoe in </w:t>
      </w:r>
      <w:r w:rsidR="00AE123E">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WEM scenario and about 1,200 ktoe in scenarios S and S-N (</w:t>
      </w:r>
      <w:r w:rsidR="00AE123E">
        <w:rPr>
          <w:rFonts w:ascii="Times New Roman" w:hAnsi="Times New Roman" w:cs="Times New Roman"/>
          <w:sz w:val="24"/>
          <w:szCs w:val="24"/>
          <w:lang w:val="en-GB"/>
        </w:rPr>
        <w:t>Figure 5.2</w:t>
      </w:r>
      <w:r w:rsidRPr="00614438">
        <w:rPr>
          <w:rFonts w:ascii="Times New Roman" w:hAnsi="Times New Roman" w:cs="Times New Roman"/>
          <w:sz w:val="24"/>
          <w:szCs w:val="24"/>
          <w:lang w:val="en-GB"/>
        </w:rPr>
        <w:t>2). Electricity and natural gas comprise the fuels with the highest contribution in both 2030 and 2050</w:t>
      </w:r>
      <w:r w:rsidR="00AE123E">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retaining almost identical shares in scenarios S and S-N.</w:t>
      </w:r>
    </w:p>
    <w:p w14:paraId="702782D1" w14:textId="19B6489C" w:rsidR="00614438" w:rsidRPr="00614438" w:rsidRDefault="00614438" w:rsidP="00614438">
      <w:pPr>
        <w:jc w:val="both"/>
        <w:rPr>
          <w:rFonts w:ascii="Times New Roman" w:hAnsi="Times New Roman" w:cs="Times New Roman"/>
          <w:sz w:val="24"/>
          <w:szCs w:val="24"/>
        </w:rPr>
      </w:pPr>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20</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xml:space="preserve">: FEC </w:t>
      </w:r>
      <w:r w:rsidR="00AE123E">
        <w:rPr>
          <w:rFonts w:ascii="Times New Roman" w:hAnsi="Times New Roman" w:cs="Times New Roman"/>
          <w:sz w:val="24"/>
          <w:szCs w:val="24"/>
        </w:rPr>
        <w:t>in the i</w:t>
      </w:r>
      <w:r w:rsidRPr="00614438">
        <w:rPr>
          <w:rFonts w:ascii="Times New Roman" w:hAnsi="Times New Roman" w:cs="Times New Roman"/>
          <w:sz w:val="24"/>
          <w:szCs w:val="24"/>
        </w:rPr>
        <w:t>ndustry by energy source</w:t>
      </w:r>
      <w:bookmarkEnd w:id="425"/>
    </w:p>
    <w:p w14:paraId="36D27307" w14:textId="451EBA66"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da-DK"/>
        </w:rPr>
        <w:lastRenderedPageBreak/>
        <mc:AlternateContent>
          <mc:Choice Requires="wps">
            <w:drawing>
              <wp:anchor distT="0" distB="0" distL="114300" distR="114300" simplePos="0" relativeHeight="251710464" behindDoc="0" locked="0" layoutInCell="1" allowOverlap="1" wp14:anchorId="4847B517" wp14:editId="30443E81">
                <wp:simplePos x="0" y="0"/>
                <wp:positionH relativeFrom="column">
                  <wp:posOffset>518160</wp:posOffset>
                </wp:positionH>
                <wp:positionV relativeFrom="paragraph">
                  <wp:posOffset>346710</wp:posOffset>
                </wp:positionV>
                <wp:extent cx="3267075" cy="2362200"/>
                <wp:effectExtent l="0" t="0" r="0" b="0"/>
                <wp:wrapNone/>
                <wp:docPr id="1321409395"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7075" cy="236220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12670B6" id="Text Box 41" o:spid="_x0000_s1026" type="#_x0000_t202" style="position:absolute;margin-left:40.8pt;margin-top:27.3pt;width:257.25pt;height:18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01FAFD8A" wp14:editId="14DD43DE">
            <wp:extent cx="5934075" cy="3409950"/>
            <wp:effectExtent l="0" t="0" r="9525" b="0"/>
            <wp:docPr id="1684915636"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6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34075" cy="3409950"/>
                    </a:xfrm>
                    <a:prstGeom prst="rect">
                      <a:avLst/>
                    </a:prstGeom>
                    <a:noFill/>
                    <a:ln>
                      <a:noFill/>
                    </a:ln>
                  </pic:spPr>
                </pic:pic>
              </a:graphicData>
            </a:graphic>
          </wp:inline>
        </w:drawing>
      </w:r>
    </w:p>
    <w:p w14:paraId="36135E6A" w14:textId="34661F3B" w:rsidR="00614438" w:rsidRPr="00614438" w:rsidRDefault="00614438" w:rsidP="00614438">
      <w:pPr>
        <w:jc w:val="both"/>
        <w:rPr>
          <w:rFonts w:ascii="Times New Roman" w:hAnsi="Times New Roman" w:cs="Times New Roman"/>
          <w:sz w:val="24"/>
          <w:szCs w:val="24"/>
        </w:rPr>
      </w:pPr>
      <w:bookmarkStart w:id="426" w:name="_Toc154575294"/>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xml:space="preserve">: FEC </w:t>
      </w:r>
      <w:r w:rsidR="00AE123E">
        <w:rPr>
          <w:rFonts w:ascii="Times New Roman" w:hAnsi="Times New Roman" w:cs="Times New Roman"/>
          <w:sz w:val="24"/>
          <w:szCs w:val="24"/>
        </w:rPr>
        <w:t>in the r</w:t>
      </w:r>
      <w:r w:rsidRPr="00614438">
        <w:rPr>
          <w:rFonts w:ascii="Times New Roman" w:hAnsi="Times New Roman" w:cs="Times New Roman"/>
          <w:sz w:val="24"/>
          <w:szCs w:val="24"/>
        </w:rPr>
        <w:t xml:space="preserve">esidential </w:t>
      </w:r>
      <w:r w:rsidR="00AE123E">
        <w:rPr>
          <w:rFonts w:ascii="Times New Roman" w:hAnsi="Times New Roman" w:cs="Times New Roman"/>
          <w:sz w:val="24"/>
          <w:szCs w:val="24"/>
        </w:rPr>
        <w:t xml:space="preserve">sector </w:t>
      </w:r>
      <w:r w:rsidRPr="00614438">
        <w:rPr>
          <w:rFonts w:ascii="Times New Roman" w:hAnsi="Times New Roman" w:cs="Times New Roman"/>
          <w:sz w:val="24"/>
          <w:szCs w:val="24"/>
        </w:rPr>
        <w:t>by energy source</w:t>
      </w:r>
      <w:bookmarkEnd w:id="426"/>
    </w:p>
    <w:p w14:paraId="2019CC52" w14:textId="47BAC3A9"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da-DK"/>
        </w:rPr>
        <mc:AlternateContent>
          <mc:Choice Requires="wps">
            <w:drawing>
              <wp:anchor distT="0" distB="0" distL="114300" distR="114300" simplePos="0" relativeHeight="251711488" behindDoc="0" locked="0" layoutInCell="1" allowOverlap="1" wp14:anchorId="07815FFD" wp14:editId="3F0897F7">
                <wp:simplePos x="0" y="0"/>
                <wp:positionH relativeFrom="column">
                  <wp:posOffset>474345</wp:posOffset>
                </wp:positionH>
                <wp:positionV relativeFrom="paragraph">
                  <wp:posOffset>62230</wp:posOffset>
                </wp:positionV>
                <wp:extent cx="3305175" cy="2676525"/>
                <wp:effectExtent l="0" t="0" r="0" b="0"/>
                <wp:wrapNone/>
                <wp:docPr id="155677587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5175" cy="2676525"/>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D53EC51" id="Text Box 39" o:spid="_x0000_s1026" type="#_x0000_t202" style="position:absolute;margin-left:37.35pt;margin-top:4.9pt;width:260.25pt;height:210.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094C2A35" wp14:editId="49FBD6B2">
            <wp:extent cx="6057900" cy="3486150"/>
            <wp:effectExtent l="0" t="0" r="0" b="0"/>
            <wp:docPr id="596053434"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6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057900" cy="3486150"/>
                    </a:xfrm>
                    <a:prstGeom prst="rect">
                      <a:avLst/>
                    </a:prstGeom>
                    <a:noFill/>
                    <a:ln>
                      <a:noFill/>
                    </a:ln>
                  </pic:spPr>
                </pic:pic>
              </a:graphicData>
            </a:graphic>
          </wp:inline>
        </w:drawing>
      </w:r>
    </w:p>
    <w:p w14:paraId="1ECC5DE6" w14:textId="3FCE36BF" w:rsidR="00614438" w:rsidRPr="00614438" w:rsidRDefault="00614438" w:rsidP="00614438">
      <w:pPr>
        <w:jc w:val="both"/>
        <w:rPr>
          <w:rFonts w:ascii="Times New Roman" w:hAnsi="Times New Roman" w:cs="Times New Roman"/>
          <w:sz w:val="24"/>
          <w:szCs w:val="24"/>
        </w:rPr>
      </w:pPr>
      <w:bookmarkStart w:id="427" w:name="_Toc154575295"/>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22</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xml:space="preserve">: FEC </w:t>
      </w:r>
      <w:r w:rsidR="00AE123E">
        <w:rPr>
          <w:rFonts w:ascii="Times New Roman" w:hAnsi="Times New Roman" w:cs="Times New Roman"/>
          <w:sz w:val="24"/>
          <w:szCs w:val="24"/>
        </w:rPr>
        <w:t>in the s</w:t>
      </w:r>
      <w:r w:rsidRPr="00614438">
        <w:rPr>
          <w:rFonts w:ascii="Times New Roman" w:hAnsi="Times New Roman" w:cs="Times New Roman"/>
          <w:sz w:val="24"/>
          <w:szCs w:val="24"/>
        </w:rPr>
        <w:t>ervice</w:t>
      </w:r>
      <w:r w:rsidR="00AE123E">
        <w:rPr>
          <w:rFonts w:ascii="Times New Roman" w:hAnsi="Times New Roman" w:cs="Times New Roman"/>
          <w:sz w:val="24"/>
          <w:szCs w:val="24"/>
        </w:rPr>
        <w:t xml:space="preserve"> </w:t>
      </w:r>
      <w:r w:rsidRPr="00614438">
        <w:rPr>
          <w:rFonts w:ascii="Times New Roman" w:hAnsi="Times New Roman" w:cs="Times New Roman"/>
          <w:sz w:val="24"/>
          <w:szCs w:val="24"/>
        </w:rPr>
        <w:t>s</w:t>
      </w:r>
      <w:r w:rsidR="00AE123E">
        <w:rPr>
          <w:rFonts w:ascii="Times New Roman" w:hAnsi="Times New Roman" w:cs="Times New Roman"/>
          <w:sz w:val="24"/>
          <w:szCs w:val="24"/>
        </w:rPr>
        <w:t>ector</w:t>
      </w:r>
      <w:r w:rsidRPr="00614438">
        <w:rPr>
          <w:rFonts w:ascii="Times New Roman" w:hAnsi="Times New Roman" w:cs="Times New Roman"/>
          <w:sz w:val="24"/>
          <w:szCs w:val="24"/>
        </w:rPr>
        <w:t xml:space="preserve"> by energy source</w:t>
      </w:r>
      <w:bookmarkEnd w:id="427"/>
    </w:p>
    <w:p w14:paraId="213B13BA" w14:textId="7317B3EC"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da-DK"/>
        </w:rPr>
        <w:lastRenderedPageBreak/>
        <mc:AlternateContent>
          <mc:Choice Requires="wps">
            <w:drawing>
              <wp:anchor distT="0" distB="0" distL="114300" distR="114300" simplePos="0" relativeHeight="251712512" behindDoc="0" locked="0" layoutInCell="1" allowOverlap="1" wp14:anchorId="5D684148" wp14:editId="49EF0ECD">
                <wp:simplePos x="0" y="0"/>
                <wp:positionH relativeFrom="column">
                  <wp:posOffset>470535</wp:posOffset>
                </wp:positionH>
                <wp:positionV relativeFrom="paragraph">
                  <wp:posOffset>108585</wp:posOffset>
                </wp:positionV>
                <wp:extent cx="3314700" cy="2647950"/>
                <wp:effectExtent l="0" t="0" r="0" b="0"/>
                <wp:wrapNone/>
                <wp:docPr id="94680569"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4700" cy="264795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C6FFB15" id="Text Box 37" o:spid="_x0000_s1026" type="#_x0000_t202" style="position:absolute;margin-left:37.05pt;margin-top:8.55pt;width:261pt;height:20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039D401A" wp14:editId="42B0C9DC">
            <wp:extent cx="6048375" cy="3486150"/>
            <wp:effectExtent l="0" t="0" r="9525" b="0"/>
            <wp:docPr id="2100160514"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6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048375" cy="3486150"/>
                    </a:xfrm>
                    <a:prstGeom prst="rect">
                      <a:avLst/>
                    </a:prstGeom>
                    <a:noFill/>
                    <a:ln>
                      <a:noFill/>
                    </a:ln>
                  </pic:spPr>
                </pic:pic>
              </a:graphicData>
            </a:graphic>
          </wp:inline>
        </w:drawing>
      </w:r>
    </w:p>
    <w:p w14:paraId="727091DF" w14:textId="434A6EB9" w:rsidR="00614438" w:rsidRPr="00614438" w:rsidRDefault="00614438" w:rsidP="00AE123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final energy consumption of the transport sector in 2030 stands at 2,748 ktoe in </w:t>
      </w:r>
      <w:r w:rsidR="00AE123E">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WEM scenario, which is 9% higher compared to scenarios S and S-N (2,512 ktoe) due to the promotion of electromobility and the further penetration of hybrid diesel and gasoline vehicles in scenarios S and S-N. The final energy consumption is reduced by approximately 40% in 2050 for the case of scenarios S and S-N (about 2.2 Mtoe) compared to </w:t>
      </w:r>
      <w:r w:rsidR="00AE123E">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WEM scenario (3.7 Mtoe) due to the further deployment of electromobility and the promotion of hydrogen (</w:t>
      </w:r>
      <w:r w:rsidR="00AE123E">
        <w:rPr>
          <w:rFonts w:ascii="Times New Roman" w:hAnsi="Times New Roman" w:cs="Times New Roman"/>
          <w:sz w:val="24"/>
          <w:szCs w:val="24"/>
          <w:lang w:val="en-GB"/>
        </w:rPr>
        <w:t>Figure 5.</w:t>
      </w:r>
      <w:r w:rsidR="00C83251" w:rsidRPr="00614438">
        <w:rPr>
          <w:rFonts w:ascii="Times New Roman" w:hAnsi="Times New Roman" w:cs="Times New Roman"/>
          <w:sz w:val="24"/>
          <w:szCs w:val="24"/>
          <w:lang w:val="da-DK"/>
        </w:rPr>
        <w:fldChar w:fldCharType="begin"/>
      </w:r>
      <w:r w:rsidRPr="00614438">
        <w:rPr>
          <w:rFonts w:ascii="Times New Roman" w:hAnsi="Times New Roman" w:cs="Times New Roman"/>
          <w:sz w:val="24"/>
          <w:szCs w:val="24"/>
          <w:lang w:val="en-GB"/>
        </w:rPr>
        <w:instrText xml:space="preserve"> REF _Ref113536926 \h  \* MERGEFORMAT </w:instrText>
      </w:r>
      <w:r w:rsidR="00C83251" w:rsidRPr="00614438">
        <w:rPr>
          <w:rFonts w:ascii="Times New Roman" w:hAnsi="Times New Roman" w:cs="Times New Roman"/>
          <w:sz w:val="24"/>
          <w:szCs w:val="24"/>
          <w:lang w:val="da-DK"/>
        </w:rPr>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lang w:val="en-GB"/>
        </w:rPr>
        <w:t>2</w:t>
      </w:r>
      <w:r w:rsidR="00AE123E">
        <w:rPr>
          <w:rFonts w:ascii="Times New Roman" w:hAnsi="Times New Roman" w:cs="Times New Roman"/>
          <w:sz w:val="24"/>
          <w:szCs w:val="24"/>
          <w:lang w:val="en-GB"/>
        </w:rPr>
        <w:t>3</w:t>
      </w:r>
      <w:r w:rsidRPr="00614438">
        <w:rPr>
          <w:rFonts w:ascii="Times New Roman" w:hAnsi="Times New Roman" w:cs="Times New Roman"/>
          <w:sz w:val="24"/>
          <w:szCs w:val="24"/>
          <w:lang w:val="en-GB"/>
        </w:rPr>
        <w:t xml:space="preserve">). Oil products </w:t>
      </w:r>
      <w:r w:rsidR="00AE123E">
        <w:rPr>
          <w:rFonts w:ascii="Times New Roman" w:hAnsi="Times New Roman" w:cs="Times New Roman"/>
          <w:sz w:val="24"/>
          <w:szCs w:val="24"/>
          <w:lang w:val="en-GB"/>
        </w:rPr>
        <w:t>are</w:t>
      </w:r>
      <w:r w:rsidRPr="00614438">
        <w:rPr>
          <w:rFonts w:ascii="Times New Roman" w:hAnsi="Times New Roman" w:cs="Times New Roman"/>
          <w:sz w:val="24"/>
          <w:szCs w:val="24"/>
          <w:lang w:val="en-GB"/>
        </w:rPr>
        <w:t xml:space="preserve"> the most prevailing fuel</w:t>
      </w:r>
      <w:r w:rsidR="00AE123E">
        <w:rPr>
          <w:rFonts w:ascii="Times New Roman" w:hAnsi="Times New Roman" w:cs="Times New Roman"/>
          <w:sz w:val="24"/>
          <w:szCs w:val="24"/>
          <w:lang w:val="en-GB"/>
        </w:rPr>
        <w:t>s</w:t>
      </w:r>
      <w:r w:rsidRPr="00614438">
        <w:rPr>
          <w:rFonts w:ascii="Times New Roman" w:hAnsi="Times New Roman" w:cs="Times New Roman"/>
          <w:sz w:val="24"/>
          <w:szCs w:val="24"/>
          <w:lang w:val="en-GB"/>
        </w:rPr>
        <w:t xml:space="preserve"> in scenarios S and S-N for both 2030 and 2050.</w:t>
      </w:r>
    </w:p>
    <w:p w14:paraId="5B976842" w14:textId="33CFD0A7" w:rsidR="00AE123E" w:rsidRPr="00614438" w:rsidRDefault="00AE123E" w:rsidP="00AE123E">
      <w:pPr>
        <w:ind w:firstLine="720"/>
        <w:jc w:val="both"/>
        <w:rPr>
          <w:rFonts w:ascii="Times New Roman" w:hAnsi="Times New Roman" w:cs="Times New Roman"/>
          <w:sz w:val="24"/>
          <w:szCs w:val="24"/>
          <w:lang w:val="en-GB"/>
        </w:rPr>
      </w:pPr>
      <w:bookmarkStart w:id="428" w:name="_Toc154575296"/>
      <w:r w:rsidRPr="00614438">
        <w:rPr>
          <w:rFonts w:ascii="Times New Roman" w:hAnsi="Times New Roman" w:cs="Times New Roman"/>
          <w:sz w:val="24"/>
          <w:szCs w:val="24"/>
          <w:lang w:val="en-GB"/>
        </w:rPr>
        <w:t xml:space="preserve">In </w:t>
      </w:r>
      <w:r>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agriculture sector, the final energy consumption amounts to 159 ktoe in </w:t>
      </w:r>
      <w:r>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WEM scenario and 150 ktoe in scenarios S and S-N in 2030</w:t>
      </w:r>
      <w:r>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due to the promotion of energy efficient machinery and the installation of energy efficiency equipment in greenhouses and pumping stations. The final energy consumption is increased slightly in 2050, </w:t>
      </w:r>
      <w:r>
        <w:rPr>
          <w:rFonts w:ascii="Times New Roman" w:hAnsi="Times New Roman" w:cs="Times New Roman"/>
          <w:sz w:val="24"/>
          <w:szCs w:val="24"/>
          <w:lang w:val="en-GB"/>
        </w:rPr>
        <w:t>reaching</w:t>
      </w:r>
      <w:r w:rsidRPr="00614438">
        <w:rPr>
          <w:rFonts w:ascii="Times New Roman" w:hAnsi="Times New Roman" w:cs="Times New Roman"/>
          <w:sz w:val="24"/>
          <w:szCs w:val="24"/>
          <w:lang w:val="en-GB"/>
        </w:rPr>
        <w:t xml:space="preserve"> 169 ktoe in </w:t>
      </w:r>
      <w:r>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WEM scenario and 159 ktoe in scenarios S and S-N</w:t>
      </w:r>
      <w:r>
        <w:rPr>
          <w:rFonts w:ascii="Times New Roman" w:hAnsi="Times New Roman" w:cs="Times New Roman"/>
          <w:sz w:val="24"/>
          <w:szCs w:val="24"/>
          <w:lang w:val="en-GB"/>
        </w:rPr>
        <w:t xml:space="preserve"> (Figure 5.24)</w:t>
      </w:r>
      <w:r w:rsidRPr="00614438">
        <w:rPr>
          <w:rFonts w:ascii="Times New Roman" w:hAnsi="Times New Roman" w:cs="Times New Roman"/>
          <w:sz w:val="24"/>
          <w:szCs w:val="24"/>
          <w:lang w:val="en-GB"/>
        </w:rPr>
        <w:t xml:space="preserve">. Oil products and electricity </w:t>
      </w:r>
      <w:r>
        <w:rPr>
          <w:rFonts w:ascii="Times New Roman" w:hAnsi="Times New Roman" w:cs="Times New Roman"/>
          <w:sz w:val="24"/>
          <w:szCs w:val="24"/>
          <w:lang w:val="en-GB"/>
        </w:rPr>
        <w:t>are</w:t>
      </w:r>
      <w:r w:rsidRPr="00614438">
        <w:rPr>
          <w:rFonts w:ascii="Times New Roman" w:hAnsi="Times New Roman" w:cs="Times New Roman"/>
          <w:sz w:val="24"/>
          <w:szCs w:val="24"/>
          <w:lang w:val="en-GB"/>
        </w:rPr>
        <w:t xml:space="preserve"> the fuels with the highest contribution in both 2030 and 2050 in scenarios S and S-N retaining identical shares.</w:t>
      </w:r>
    </w:p>
    <w:p w14:paraId="639906E7" w14:textId="78121A98"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23</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xml:space="preserve">: FEC </w:t>
      </w:r>
      <w:r w:rsidR="00AE123E">
        <w:rPr>
          <w:rFonts w:ascii="Times New Roman" w:hAnsi="Times New Roman" w:cs="Times New Roman"/>
          <w:sz w:val="24"/>
          <w:szCs w:val="24"/>
        </w:rPr>
        <w:t>in the t</w:t>
      </w:r>
      <w:r w:rsidRPr="00614438">
        <w:rPr>
          <w:rFonts w:ascii="Times New Roman" w:hAnsi="Times New Roman" w:cs="Times New Roman"/>
          <w:sz w:val="24"/>
          <w:szCs w:val="24"/>
        </w:rPr>
        <w:t xml:space="preserve">ransport </w:t>
      </w:r>
      <w:r w:rsidR="00AE123E">
        <w:rPr>
          <w:rFonts w:ascii="Times New Roman" w:hAnsi="Times New Roman" w:cs="Times New Roman"/>
          <w:sz w:val="24"/>
          <w:szCs w:val="24"/>
        </w:rPr>
        <w:t xml:space="preserve">sector </w:t>
      </w:r>
      <w:r w:rsidRPr="00614438">
        <w:rPr>
          <w:rFonts w:ascii="Times New Roman" w:hAnsi="Times New Roman" w:cs="Times New Roman"/>
          <w:sz w:val="24"/>
          <w:szCs w:val="24"/>
        </w:rPr>
        <w:t xml:space="preserve">by </w:t>
      </w:r>
      <w:r w:rsidR="00AE123E">
        <w:rPr>
          <w:rFonts w:ascii="Times New Roman" w:hAnsi="Times New Roman" w:cs="Times New Roman"/>
          <w:sz w:val="24"/>
          <w:szCs w:val="24"/>
        </w:rPr>
        <w:t>f</w:t>
      </w:r>
      <w:r w:rsidRPr="00614438">
        <w:rPr>
          <w:rFonts w:ascii="Times New Roman" w:hAnsi="Times New Roman" w:cs="Times New Roman"/>
          <w:sz w:val="24"/>
          <w:szCs w:val="24"/>
        </w:rPr>
        <w:t>uel</w:t>
      </w:r>
      <w:bookmarkEnd w:id="428"/>
      <w:r w:rsidR="00AE123E">
        <w:rPr>
          <w:rFonts w:ascii="Times New Roman" w:hAnsi="Times New Roman" w:cs="Times New Roman"/>
          <w:sz w:val="24"/>
          <w:szCs w:val="24"/>
        </w:rPr>
        <w:t xml:space="preserve"> type</w:t>
      </w:r>
    </w:p>
    <w:p w14:paraId="00AAC588" w14:textId="233349D1"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713536" behindDoc="0" locked="0" layoutInCell="1" allowOverlap="1" wp14:anchorId="133CE167" wp14:editId="476FB303">
                <wp:simplePos x="0" y="0"/>
                <wp:positionH relativeFrom="column">
                  <wp:posOffset>499110</wp:posOffset>
                </wp:positionH>
                <wp:positionV relativeFrom="paragraph">
                  <wp:posOffset>80010</wp:posOffset>
                </wp:positionV>
                <wp:extent cx="3286125" cy="2667000"/>
                <wp:effectExtent l="0" t="0" r="0" b="0"/>
                <wp:wrapNone/>
                <wp:docPr id="102011915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6125" cy="266700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ED2B317" id="Text Box 35" o:spid="_x0000_s1026" type="#_x0000_t202" style="position:absolute;margin-left:39.3pt;margin-top:6.3pt;width:258.75pt;height:210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219FF626" wp14:editId="10B2DF75">
            <wp:extent cx="6000750" cy="3448050"/>
            <wp:effectExtent l="0" t="0" r="0" b="0"/>
            <wp:docPr id="68119518"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6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000750" cy="3448050"/>
                    </a:xfrm>
                    <a:prstGeom prst="rect">
                      <a:avLst/>
                    </a:prstGeom>
                    <a:noFill/>
                    <a:ln>
                      <a:noFill/>
                    </a:ln>
                  </pic:spPr>
                </pic:pic>
              </a:graphicData>
            </a:graphic>
          </wp:inline>
        </w:drawing>
      </w:r>
    </w:p>
    <w:p w14:paraId="728E4DD5" w14:textId="590E5002" w:rsidR="00614438" w:rsidRPr="00614438" w:rsidRDefault="00614438" w:rsidP="00614438">
      <w:pPr>
        <w:jc w:val="both"/>
        <w:rPr>
          <w:rFonts w:ascii="Times New Roman" w:hAnsi="Times New Roman" w:cs="Times New Roman"/>
          <w:sz w:val="24"/>
          <w:szCs w:val="24"/>
        </w:rPr>
      </w:pPr>
      <w:bookmarkStart w:id="429" w:name="_Toc154575297"/>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xml:space="preserve">: FEC </w:t>
      </w:r>
      <w:r w:rsidR="00AE123E">
        <w:rPr>
          <w:rFonts w:ascii="Times New Roman" w:hAnsi="Times New Roman" w:cs="Times New Roman"/>
          <w:sz w:val="24"/>
          <w:szCs w:val="24"/>
        </w:rPr>
        <w:t>in the a</w:t>
      </w:r>
      <w:r w:rsidRPr="00614438">
        <w:rPr>
          <w:rFonts w:ascii="Times New Roman" w:hAnsi="Times New Roman" w:cs="Times New Roman"/>
          <w:sz w:val="24"/>
          <w:szCs w:val="24"/>
        </w:rPr>
        <w:t xml:space="preserve">griculture </w:t>
      </w:r>
      <w:r w:rsidR="00AE123E">
        <w:rPr>
          <w:rFonts w:ascii="Times New Roman" w:hAnsi="Times New Roman" w:cs="Times New Roman"/>
          <w:sz w:val="24"/>
          <w:szCs w:val="24"/>
        </w:rPr>
        <w:t xml:space="preserve">sector </w:t>
      </w:r>
      <w:r w:rsidRPr="00614438">
        <w:rPr>
          <w:rFonts w:ascii="Times New Roman" w:hAnsi="Times New Roman" w:cs="Times New Roman"/>
          <w:sz w:val="24"/>
          <w:szCs w:val="24"/>
        </w:rPr>
        <w:t xml:space="preserve">by </w:t>
      </w:r>
      <w:r w:rsidR="00AE123E">
        <w:rPr>
          <w:rFonts w:ascii="Times New Roman" w:hAnsi="Times New Roman" w:cs="Times New Roman"/>
          <w:sz w:val="24"/>
          <w:szCs w:val="24"/>
        </w:rPr>
        <w:t>f</w:t>
      </w:r>
      <w:r w:rsidRPr="00614438">
        <w:rPr>
          <w:rFonts w:ascii="Times New Roman" w:hAnsi="Times New Roman" w:cs="Times New Roman"/>
          <w:sz w:val="24"/>
          <w:szCs w:val="24"/>
        </w:rPr>
        <w:t>uel</w:t>
      </w:r>
      <w:bookmarkEnd w:id="429"/>
      <w:r w:rsidR="00AE123E">
        <w:rPr>
          <w:rFonts w:ascii="Times New Roman" w:hAnsi="Times New Roman" w:cs="Times New Roman"/>
          <w:sz w:val="24"/>
          <w:szCs w:val="24"/>
        </w:rPr>
        <w:t xml:space="preserve"> type</w:t>
      </w:r>
    </w:p>
    <w:p w14:paraId="584CE9DD" w14:textId="5504D63D"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714560" behindDoc="0" locked="0" layoutInCell="1" allowOverlap="1" wp14:anchorId="39334234" wp14:editId="2EBAF2E4">
                <wp:simplePos x="0" y="0"/>
                <wp:positionH relativeFrom="column">
                  <wp:posOffset>527685</wp:posOffset>
                </wp:positionH>
                <wp:positionV relativeFrom="paragraph">
                  <wp:posOffset>85725</wp:posOffset>
                </wp:positionV>
                <wp:extent cx="3209925" cy="2552700"/>
                <wp:effectExtent l="0" t="0" r="0" b="0"/>
                <wp:wrapNone/>
                <wp:docPr id="90624473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9925" cy="255270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A34FB65" id="Text Box 33" o:spid="_x0000_s1026" type="#_x0000_t202" style="position:absolute;margin-left:41.55pt;margin-top:6.75pt;width:252.75pt;height:20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7E7F8F4A" wp14:editId="7EA9183E">
            <wp:extent cx="5772150" cy="3324225"/>
            <wp:effectExtent l="0" t="0" r="0" b="9525"/>
            <wp:docPr id="142733125"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6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72150" cy="3324225"/>
                    </a:xfrm>
                    <a:prstGeom prst="rect">
                      <a:avLst/>
                    </a:prstGeom>
                    <a:noFill/>
                    <a:ln>
                      <a:noFill/>
                    </a:ln>
                  </pic:spPr>
                </pic:pic>
              </a:graphicData>
            </a:graphic>
          </wp:inline>
        </w:drawing>
      </w:r>
    </w:p>
    <w:p w14:paraId="19B4A0B9" w14:textId="16BD298A" w:rsidR="00614438" w:rsidRPr="00614438" w:rsidRDefault="00614438" w:rsidP="00AE123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w:t>
      </w:r>
      <w:r w:rsidR="00AE123E">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WEM scenario, the final energy intensity is equal to 0.17 toe/000 Euro in 2030, almost similar to 0.16 toe/000 Euro, which corresponds to scenarios S and S-N over the same year. Similarly, the final energy intensity is equal to 0.12 toe/000 Euro in 2050 in </w:t>
      </w:r>
      <w:r w:rsidR="00AE123E">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WEM scenario, compared to about 0.09 toe/000 Euro in scenarios S and S-N.</w:t>
      </w:r>
    </w:p>
    <w:p w14:paraId="4186A017" w14:textId="71EF5CB6" w:rsidR="00614438" w:rsidRPr="00614438" w:rsidRDefault="00614438" w:rsidP="00614438">
      <w:pPr>
        <w:jc w:val="both"/>
        <w:rPr>
          <w:rFonts w:ascii="Times New Roman" w:hAnsi="Times New Roman" w:cs="Times New Roman"/>
          <w:sz w:val="24"/>
          <w:szCs w:val="24"/>
        </w:rPr>
      </w:pPr>
      <w:bookmarkStart w:id="430" w:name="_Toc154575298"/>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Final energy intensity</w:t>
      </w:r>
      <w:bookmarkEnd w:id="430"/>
    </w:p>
    <w:p w14:paraId="64B865C0" w14:textId="16648486"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715584" behindDoc="0" locked="0" layoutInCell="1" allowOverlap="1" wp14:anchorId="38140739" wp14:editId="0FAA6154">
                <wp:simplePos x="0" y="0"/>
                <wp:positionH relativeFrom="column">
                  <wp:posOffset>680085</wp:posOffset>
                </wp:positionH>
                <wp:positionV relativeFrom="paragraph">
                  <wp:posOffset>485775</wp:posOffset>
                </wp:positionV>
                <wp:extent cx="3171825" cy="3390900"/>
                <wp:effectExtent l="0" t="0" r="0" b="0"/>
                <wp:wrapNone/>
                <wp:docPr id="1063850743"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1825" cy="339090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09F07C5" id="Text Box 31" o:spid="_x0000_s1026" type="#_x0000_t202" style="position:absolute;margin-left:53.55pt;margin-top:38.25pt;width:249.75pt;height:26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7365E38E" wp14:editId="5F87C2E1">
            <wp:extent cx="5934075" cy="4914900"/>
            <wp:effectExtent l="0" t="0" r="9525" b="0"/>
            <wp:docPr id="1512517055"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6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34075" cy="4914900"/>
                    </a:xfrm>
                    <a:prstGeom prst="rect">
                      <a:avLst/>
                    </a:prstGeom>
                    <a:noFill/>
                    <a:ln>
                      <a:noFill/>
                    </a:ln>
                  </pic:spPr>
                </pic:pic>
              </a:graphicData>
            </a:graphic>
          </wp:inline>
        </w:drawing>
      </w:r>
    </w:p>
    <w:p w14:paraId="112456F6" w14:textId="239CDFFB" w:rsidR="00614438" w:rsidRPr="00614438" w:rsidRDefault="00614438" w:rsidP="00AE123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w:t>
      </w:r>
      <w:r w:rsidR="00AE123E">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WEM scenario, gross </w:t>
      </w:r>
      <w:r w:rsidR="00AE123E">
        <w:rPr>
          <w:rFonts w:ascii="Times New Roman" w:hAnsi="Times New Roman" w:cs="Times New Roman"/>
          <w:sz w:val="24"/>
          <w:szCs w:val="24"/>
          <w:lang w:val="en-GB"/>
        </w:rPr>
        <w:t>inland</w:t>
      </w:r>
      <w:r w:rsidRPr="00614438">
        <w:rPr>
          <w:rFonts w:ascii="Times New Roman" w:hAnsi="Times New Roman" w:cs="Times New Roman"/>
          <w:sz w:val="24"/>
          <w:szCs w:val="24"/>
          <w:lang w:val="en-GB"/>
        </w:rPr>
        <w:t xml:space="preserve"> consumption is equal to 18.5 Mtoe in 2030, </w:t>
      </w:r>
      <w:r w:rsidR="00AE123E">
        <w:rPr>
          <w:rFonts w:ascii="Times New Roman" w:hAnsi="Times New Roman" w:cs="Times New Roman"/>
          <w:sz w:val="24"/>
          <w:szCs w:val="24"/>
          <w:lang w:val="en-GB"/>
        </w:rPr>
        <w:t xml:space="preserve">which is </w:t>
      </w:r>
      <w:r w:rsidRPr="00614438">
        <w:rPr>
          <w:rFonts w:ascii="Times New Roman" w:hAnsi="Times New Roman" w:cs="Times New Roman"/>
          <w:sz w:val="24"/>
          <w:szCs w:val="24"/>
          <w:lang w:val="en-GB"/>
        </w:rPr>
        <w:t>higher than 15.5 Mtoe</w:t>
      </w:r>
      <w:r w:rsidR="00AE123E">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correspond</w:t>
      </w:r>
      <w:r w:rsidR="00AE123E">
        <w:rPr>
          <w:rFonts w:ascii="Times New Roman" w:hAnsi="Times New Roman" w:cs="Times New Roman"/>
          <w:sz w:val="24"/>
          <w:szCs w:val="24"/>
          <w:lang w:val="en-GB"/>
        </w:rPr>
        <w:t>ing</w:t>
      </w:r>
      <w:r w:rsidRPr="00614438">
        <w:rPr>
          <w:rFonts w:ascii="Times New Roman" w:hAnsi="Times New Roman" w:cs="Times New Roman"/>
          <w:sz w:val="24"/>
          <w:szCs w:val="24"/>
          <w:lang w:val="en-GB"/>
        </w:rPr>
        <w:t xml:space="preserve"> to scenarios S and S-N over the same year</w:t>
      </w:r>
      <w:r w:rsidR="00AE123E">
        <w:rPr>
          <w:rFonts w:ascii="Times New Roman" w:hAnsi="Times New Roman" w:cs="Times New Roman"/>
          <w:sz w:val="24"/>
          <w:szCs w:val="24"/>
          <w:lang w:val="en-GB"/>
        </w:rPr>
        <w:t xml:space="preserve"> (Figure 5.26)</w:t>
      </w:r>
      <w:r w:rsidRPr="00614438">
        <w:rPr>
          <w:rFonts w:ascii="Times New Roman" w:hAnsi="Times New Roman" w:cs="Times New Roman"/>
          <w:sz w:val="24"/>
          <w:szCs w:val="24"/>
          <w:lang w:val="en-GB"/>
        </w:rPr>
        <w:t xml:space="preserve">. Similarly, gross inland consumption is equal to 20.6 Mtoe in 2050 in </w:t>
      </w:r>
      <w:r w:rsidR="00AE123E">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WEM scenario, compared to 12.7 Mtoe in scenario S and 11.8 Mtoe in scenario S-N. Solid fuels as well as renewables and wastes comprise the fuels with the highest contribution in both 2030 and 2050.</w:t>
      </w:r>
    </w:p>
    <w:p w14:paraId="3A28D789" w14:textId="77777777" w:rsidR="00614438" w:rsidRPr="00614438" w:rsidRDefault="00614438" w:rsidP="00614438">
      <w:pPr>
        <w:jc w:val="both"/>
        <w:rPr>
          <w:rFonts w:ascii="Times New Roman" w:hAnsi="Times New Roman" w:cs="Times New Roman"/>
          <w:sz w:val="24"/>
          <w:szCs w:val="24"/>
        </w:rPr>
      </w:pPr>
      <w:bookmarkStart w:id="431" w:name="_Toc154575299"/>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26</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Gross inland consumption by fuel</w:t>
      </w:r>
      <w:bookmarkEnd w:id="431"/>
    </w:p>
    <w:p w14:paraId="4BE17723" w14:textId="39397E62"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716608" behindDoc="0" locked="0" layoutInCell="1" allowOverlap="1" wp14:anchorId="3C29CF71" wp14:editId="48672D16">
                <wp:simplePos x="0" y="0"/>
                <wp:positionH relativeFrom="column">
                  <wp:posOffset>422910</wp:posOffset>
                </wp:positionH>
                <wp:positionV relativeFrom="paragraph">
                  <wp:posOffset>222885</wp:posOffset>
                </wp:positionV>
                <wp:extent cx="3362325" cy="3438525"/>
                <wp:effectExtent l="0" t="0" r="0" b="0"/>
                <wp:wrapNone/>
                <wp:docPr id="148855085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2325" cy="3438525"/>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2DD06FF" id="Text Box 29" o:spid="_x0000_s1026" type="#_x0000_t202" style="position:absolute;margin-left:33.3pt;margin-top:17.55pt;width:264.75pt;height:270.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2B07E8A3" wp14:editId="69746CBC">
            <wp:extent cx="6115050" cy="3895725"/>
            <wp:effectExtent l="0" t="0" r="0" b="9525"/>
            <wp:docPr id="1099209852"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6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115050" cy="3895725"/>
                    </a:xfrm>
                    <a:prstGeom prst="rect">
                      <a:avLst/>
                    </a:prstGeom>
                    <a:noFill/>
                    <a:ln>
                      <a:noFill/>
                    </a:ln>
                  </pic:spPr>
                </pic:pic>
              </a:graphicData>
            </a:graphic>
          </wp:inline>
        </w:drawing>
      </w:r>
    </w:p>
    <w:p w14:paraId="23A467C9" w14:textId="6165AC82" w:rsidR="00614438" w:rsidRPr="00614438" w:rsidRDefault="00AE123E" w:rsidP="00AE123E">
      <w:pPr>
        <w:ind w:firstLine="720"/>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When it comes to </w:t>
      </w:r>
      <w:r w:rsidR="00614438" w:rsidRPr="00614438">
        <w:rPr>
          <w:rFonts w:ascii="Times New Roman" w:hAnsi="Times New Roman" w:cs="Times New Roman"/>
          <w:sz w:val="24"/>
          <w:szCs w:val="24"/>
          <w:lang w:val="en-GB"/>
        </w:rPr>
        <w:t xml:space="preserve">residential buildings, the renovation rate of the building envelope is similar and almost stable in all </w:t>
      </w:r>
      <w:r>
        <w:rPr>
          <w:rFonts w:ascii="Times New Roman" w:hAnsi="Times New Roman" w:cs="Times New Roman"/>
          <w:sz w:val="24"/>
          <w:szCs w:val="24"/>
          <w:lang w:val="en-GB"/>
        </w:rPr>
        <w:t xml:space="preserve">the </w:t>
      </w:r>
      <w:r w:rsidR="00614438" w:rsidRPr="00614438">
        <w:rPr>
          <w:rFonts w:ascii="Times New Roman" w:hAnsi="Times New Roman" w:cs="Times New Roman"/>
          <w:sz w:val="24"/>
          <w:szCs w:val="24"/>
          <w:lang w:val="en-GB"/>
        </w:rPr>
        <w:t>examined scenarios over 2025-2030</w:t>
      </w:r>
      <w:r>
        <w:rPr>
          <w:rFonts w:ascii="Times New Roman" w:hAnsi="Times New Roman" w:cs="Times New Roman"/>
          <w:sz w:val="24"/>
          <w:szCs w:val="24"/>
          <w:lang w:val="en-GB"/>
        </w:rPr>
        <w:t xml:space="preserve"> (</w:t>
      </w:r>
      <w:r>
        <w:fldChar w:fldCharType="begin"/>
      </w:r>
      <w:r>
        <w:instrText xml:space="preserve"> REF _Ref153526968 \h  \* MERGEFORMAT </w:instrText>
      </w:r>
      <w:r>
        <w:fldChar w:fldCharType="separate"/>
      </w:r>
      <w:r w:rsidRPr="00614438">
        <w:rPr>
          <w:rFonts w:ascii="Times New Roman" w:hAnsi="Times New Roman" w:cs="Times New Roman"/>
          <w:sz w:val="24"/>
          <w:szCs w:val="24"/>
          <w:lang w:val="en-GB"/>
        </w:rPr>
        <w:t>Figure 5.27</w:t>
      </w:r>
      <w:r>
        <w:fldChar w:fldCharType="end"/>
      </w:r>
      <w:r>
        <w:rPr>
          <w:rFonts w:ascii="Times New Roman" w:hAnsi="Times New Roman" w:cs="Times New Roman"/>
          <w:sz w:val="24"/>
          <w:szCs w:val="24"/>
          <w:lang w:val="en-GB"/>
        </w:rPr>
        <w:t>)</w:t>
      </w:r>
      <w:r w:rsidR="00614438" w:rsidRPr="00614438">
        <w:rPr>
          <w:rFonts w:ascii="Times New Roman" w:hAnsi="Times New Roman" w:cs="Times New Roman"/>
          <w:sz w:val="24"/>
          <w:szCs w:val="24"/>
          <w:lang w:val="en-GB"/>
        </w:rPr>
        <w:t>. A doubling of the annual renovation rate is seen in scenarios S and S-N after 2030 towards 2050. It is important to note that until 2030</w:t>
      </w:r>
      <w:r>
        <w:rPr>
          <w:rFonts w:ascii="Times New Roman" w:hAnsi="Times New Roman" w:cs="Times New Roman"/>
          <w:sz w:val="24"/>
          <w:szCs w:val="24"/>
          <w:lang w:val="en-GB"/>
        </w:rPr>
        <w:t>,</w:t>
      </w:r>
      <w:r w:rsidR="00614438" w:rsidRPr="00614438">
        <w:rPr>
          <w:rFonts w:ascii="Times New Roman" w:hAnsi="Times New Roman" w:cs="Times New Roman"/>
          <w:sz w:val="24"/>
          <w:szCs w:val="24"/>
          <w:lang w:val="en-GB"/>
        </w:rPr>
        <w:t xml:space="preserve"> the renovation rates presented are annual, while after 2030 the renovation rates presented correspond to 5-year periods.</w:t>
      </w:r>
    </w:p>
    <w:p w14:paraId="228C44B3" w14:textId="257472FC" w:rsidR="00AE123E" w:rsidRPr="00614438" w:rsidRDefault="00CA2E0E" w:rsidP="00AE123E">
      <w:pPr>
        <w:ind w:firstLine="720"/>
        <w:jc w:val="both"/>
        <w:rPr>
          <w:rFonts w:ascii="Times New Roman" w:hAnsi="Times New Roman" w:cs="Times New Roman"/>
          <w:sz w:val="24"/>
          <w:szCs w:val="24"/>
          <w:lang w:val="en-GB"/>
        </w:rPr>
      </w:pPr>
      <w:bookmarkStart w:id="432" w:name="_Ref153526968"/>
      <w:bookmarkStart w:id="433" w:name="_Toc154575300"/>
      <w:r>
        <w:rPr>
          <w:rFonts w:ascii="Times New Roman" w:hAnsi="Times New Roman" w:cs="Times New Roman"/>
          <w:sz w:val="24"/>
          <w:szCs w:val="24"/>
          <w:lang w:val="en-GB"/>
        </w:rPr>
        <w:t xml:space="preserve">When it comes to </w:t>
      </w:r>
      <w:r w:rsidR="00AE123E" w:rsidRPr="00614438">
        <w:rPr>
          <w:rFonts w:ascii="Times New Roman" w:hAnsi="Times New Roman" w:cs="Times New Roman"/>
          <w:sz w:val="24"/>
          <w:szCs w:val="24"/>
          <w:lang w:val="en-GB"/>
        </w:rPr>
        <w:t xml:space="preserve">buildings in the tertiary sector, several variations in renovation rate for the different building types are observed. In </w:t>
      </w:r>
      <w:r>
        <w:rPr>
          <w:rFonts w:ascii="Times New Roman" w:hAnsi="Times New Roman" w:cs="Times New Roman"/>
          <w:sz w:val="24"/>
          <w:szCs w:val="24"/>
          <w:lang w:val="en-GB"/>
        </w:rPr>
        <w:t xml:space="preserve">the </w:t>
      </w:r>
      <w:r w:rsidR="00AE123E" w:rsidRPr="00614438">
        <w:rPr>
          <w:rFonts w:ascii="Times New Roman" w:hAnsi="Times New Roman" w:cs="Times New Roman"/>
          <w:sz w:val="24"/>
          <w:szCs w:val="24"/>
          <w:lang w:val="en-GB"/>
        </w:rPr>
        <w:t>WEM scenario, the renovation rate is stable at 0.5% for all building types over 2025-2030, while a renovation rate of 2.5% is expected between 2035 and 2050. In scenarios S and S-N, an intensification of the renovation rate is observed in the period 2035-2050, consistent with the renovation rates foreseen in the Long</w:t>
      </w:r>
      <w:r>
        <w:rPr>
          <w:rFonts w:ascii="Times New Roman" w:hAnsi="Times New Roman" w:cs="Times New Roman"/>
          <w:sz w:val="24"/>
          <w:szCs w:val="24"/>
          <w:lang w:val="en-GB"/>
        </w:rPr>
        <w:t>-</w:t>
      </w:r>
      <w:r w:rsidR="00AE123E" w:rsidRPr="00614438">
        <w:rPr>
          <w:rFonts w:ascii="Times New Roman" w:hAnsi="Times New Roman" w:cs="Times New Roman"/>
          <w:sz w:val="24"/>
          <w:szCs w:val="24"/>
          <w:lang w:val="en-GB"/>
        </w:rPr>
        <w:t xml:space="preserve">Term Building Renovation Strategy, corresponding to 2.3% per year for private sector buildings and 3.3% for public sector buildings, indicating the exemplary role of the public sector in building renovation. As mentioned earlier, the renovation rates shown in the </w:t>
      </w:r>
      <w:r w:rsidR="00AE123E">
        <w:fldChar w:fldCharType="begin"/>
      </w:r>
      <w:r w:rsidR="00AE123E">
        <w:instrText xml:space="preserve"> REF _Ref153527074 \h  \* MERGEFORMAT </w:instrText>
      </w:r>
      <w:r w:rsidR="00AE123E">
        <w:fldChar w:fldCharType="separate"/>
      </w:r>
      <w:r w:rsidR="00AE123E" w:rsidRPr="00614438">
        <w:rPr>
          <w:rFonts w:ascii="Times New Roman" w:hAnsi="Times New Roman" w:cs="Times New Roman"/>
          <w:sz w:val="24"/>
          <w:szCs w:val="24"/>
          <w:lang w:val="en-GB"/>
        </w:rPr>
        <w:t>Figure 5.28</w:t>
      </w:r>
      <w:r w:rsidR="00AE123E">
        <w:fldChar w:fldCharType="end"/>
      </w:r>
      <w:r w:rsidR="00AE123E" w:rsidRPr="00614438">
        <w:rPr>
          <w:rFonts w:ascii="Times New Roman" w:hAnsi="Times New Roman" w:cs="Times New Roman"/>
          <w:sz w:val="24"/>
          <w:szCs w:val="24"/>
          <w:lang w:val="en-GB"/>
        </w:rPr>
        <w:t xml:space="preserve"> until 2030 are annual, while after 2030 they correspond to 5-year periods.</w:t>
      </w:r>
    </w:p>
    <w:p w14:paraId="752E5D56" w14:textId="6ADA61B3"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27</w:t>
      </w:r>
      <w:r w:rsidR="00C83251" w:rsidRPr="00614438">
        <w:rPr>
          <w:rFonts w:ascii="Times New Roman" w:hAnsi="Times New Roman" w:cs="Times New Roman"/>
          <w:sz w:val="24"/>
          <w:szCs w:val="24"/>
        </w:rPr>
        <w:fldChar w:fldCharType="end"/>
      </w:r>
      <w:bookmarkEnd w:id="432"/>
      <w:r w:rsidRPr="00614438">
        <w:rPr>
          <w:rFonts w:ascii="Times New Roman" w:hAnsi="Times New Roman" w:cs="Times New Roman"/>
          <w:sz w:val="24"/>
          <w:szCs w:val="24"/>
        </w:rPr>
        <w:t>: Re</w:t>
      </w:r>
      <w:r w:rsidR="00CA2E0E">
        <w:rPr>
          <w:rFonts w:ascii="Times New Roman" w:hAnsi="Times New Roman" w:cs="Times New Roman"/>
          <w:sz w:val="24"/>
          <w:szCs w:val="24"/>
        </w:rPr>
        <w:t>novation</w:t>
      </w:r>
      <w:r w:rsidRPr="00614438">
        <w:rPr>
          <w:rFonts w:ascii="Times New Roman" w:hAnsi="Times New Roman" w:cs="Times New Roman"/>
          <w:sz w:val="24"/>
          <w:szCs w:val="24"/>
        </w:rPr>
        <w:t xml:space="preserve"> in residential buildings</w:t>
      </w:r>
      <w:bookmarkEnd w:id="433"/>
    </w:p>
    <w:p w14:paraId="0EBFABD9" w14:textId="70531A3D"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718656" behindDoc="0" locked="0" layoutInCell="1" allowOverlap="1" wp14:anchorId="327C58FD" wp14:editId="3D1BD8A6">
                <wp:simplePos x="0" y="0"/>
                <wp:positionH relativeFrom="column">
                  <wp:posOffset>260985</wp:posOffset>
                </wp:positionH>
                <wp:positionV relativeFrom="paragraph">
                  <wp:posOffset>99060</wp:posOffset>
                </wp:positionV>
                <wp:extent cx="3495675" cy="3562350"/>
                <wp:effectExtent l="0" t="0" r="0" b="0"/>
                <wp:wrapNone/>
                <wp:docPr id="181809839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5675" cy="356235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CE86CBB" id="Text Box 27" o:spid="_x0000_s1026" type="#_x0000_t202" style="position:absolute;margin-left:20.55pt;margin-top:7.8pt;width:275.25pt;height:28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" fillcolor="#a6a6a6" stroked="f">
                <v:fill opacity="32896f"/>
              </v:shape>
            </w:pict>
          </mc:Fallback>
        </mc:AlternateContent>
      </w:r>
      <w:r>
        <w:rPr>
          <w:rFonts w:ascii="Times New Roman" w:hAnsi="Times New Roman" w:cs="Times New Roman"/>
          <w:noProof/>
          <w:sz w:val="24"/>
          <w:szCs w:val="24"/>
          <w:lang w:val="en-GB"/>
        </w:rPr>
        <mc:AlternateContent>
          <mc:Choice Requires="wps">
            <w:drawing>
              <wp:anchor distT="45720" distB="45720" distL="114300" distR="114300" simplePos="0" relativeHeight="251717632" behindDoc="0" locked="0" layoutInCell="1" allowOverlap="1" wp14:anchorId="676EC2F1" wp14:editId="09891161">
                <wp:simplePos x="0" y="0"/>
                <wp:positionH relativeFrom="column">
                  <wp:posOffset>943610</wp:posOffset>
                </wp:positionH>
                <wp:positionV relativeFrom="paragraph">
                  <wp:posOffset>190500</wp:posOffset>
                </wp:positionV>
                <wp:extent cx="2429510" cy="765175"/>
                <wp:effectExtent l="0" t="0" r="9525" b="0"/>
                <wp:wrapNone/>
                <wp:docPr id="125011766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9510" cy="765175"/>
                        </a:xfrm>
                        <a:prstGeom prst="rect">
                          <a:avLst/>
                        </a:prstGeom>
                        <a:solidFill>
                          <a:srgbClr val="FFFFFF"/>
                        </a:solidFill>
                        <a:ln w="9525">
                          <a:solidFill>
                            <a:srgbClr val="000000"/>
                          </a:solidFill>
                          <a:miter lim="800000"/>
                          <a:headEnd/>
                          <a:tailEnd/>
                        </a:ln>
                      </wps:spPr>
                      <wps:txbx>
                        <w:txbxContent>
                          <w:p w14:paraId="47091C9C" w14:textId="77777777" w:rsidR="009A1548" w:rsidRDefault="009A1548" w:rsidP="00614438">
                            <w:pPr>
                              <w:pStyle w:val="LDKbody"/>
                              <w:rPr>
                                <w:rFonts w:asciiTheme="majorHAnsi" w:hAnsiTheme="majorHAnsi" w:cstheme="majorHAnsi"/>
                                <w:lang w:val="en-GB"/>
                              </w:rPr>
                            </w:pPr>
                            <w:r>
                              <w:rPr>
                                <w:rFonts w:asciiTheme="majorHAnsi" w:hAnsiTheme="majorHAnsi" w:cstheme="majorHAnsi"/>
                                <w:lang w:val="en-GB"/>
                              </w:rPr>
                              <w:t>the renovation rates until 2030 are annual, while after 2030 they correspond to 5-year periods.</w:t>
                            </w:r>
                          </w:p>
                        </w:txbxContent>
                      </wps:txbx>
                      <wps:bodyPr rot="0" vertOverflow="clip" horzOverflow="clip"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676EC2F1" id="_x0000_t202" coordsize="21600,21600" o:spt="202" path="m,l,21600r21600,l21600,xe">
                <v:stroke joinstyle="miter"/>
                <v:path gradientshapeok="t" o:connecttype="rect"/>
              </v:shapetype>
              <v:shape id="Text Box 25" o:spid="_x0000_s1026" type="#_x0000_t202" style="position:absolute;left:0;text-align:left;margin-left:74.3pt;margin-top:15pt;width:191.3pt;height:60.25pt;z-index:2517176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">
                <v:textbox style="mso-fit-shape-to-text:t">
                  <w:txbxContent>
                    <w:p w14:paraId="47091C9C" w14:textId="77777777" w:rsidR="009A1548" w:rsidRDefault="009A1548" w:rsidP="00614438">
                      <w:pPr>
                        <w:pStyle w:val="LDKbody"/>
                        <w:rPr>
                          <w:rFonts w:asciiTheme="majorHAnsi" w:hAnsiTheme="majorHAnsi" w:cstheme="majorHAnsi"/>
                          <w:lang w:val="en-GB"/>
                        </w:rPr>
                      </w:pPr>
                      <w:r>
                        <w:rPr>
                          <w:rFonts w:asciiTheme="majorHAnsi" w:hAnsiTheme="majorHAnsi" w:cstheme="majorHAnsi"/>
                          <w:lang w:val="en-GB"/>
                        </w:rPr>
                        <w:t>the renovation rates until 2030 are annual, while after 2030 they correspond to 5-year periods.</w:t>
                      </w:r>
                    </w:p>
                  </w:txbxContent>
                </v:textbox>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1F397A02" wp14:editId="7B0A6C20">
            <wp:extent cx="6120130" cy="4117975"/>
            <wp:effectExtent l="0" t="0" r="0" b="0"/>
            <wp:docPr id="1863036809"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7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120130" cy="4117975"/>
                    </a:xfrm>
                    <a:prstGeom prst="rect">
                      <a:avLst/>
                    </a:prstGeom>
                    <a:noFill/>
                    <a:ln>
                      <a:noFill/>
                    </a:ln>
                  </pic:spPr>
                </pic:pic>
              </a:graphicData>
            </a:graphic>
          </wp:inline>
        </w:drawing>
      </w:r>
    </w:p>
    <w:p w14:paraId="0411893A" w14:textId="51D36777" w:rsidR="00CA2E0E" w:rsidRPr="00614438" w:rsidRDefault="00CA2E0E" w:rsidP="00CA2E0E">
      <w:pPr>
        <w:ind w:firstLine="720"/>
        <w:jc w:val="both"/>
        <w:rPr>
          <w:rFonts w:ascii="Times New Roman" w:hAnsi="Times New Roman" w:cs="Times New Roman"/>
          <w:sz w:val="24"/>
          <w:szCs w:val="24"/>
          <w:lang w:val="en-GB"/>
        </w:rPr>
      </w:pPr>
      <w:bookmarkStart w:id="434" w:name="_Ref153527074"/>
      <w:bookmarkStart w:id="435" w:name="_Toc154575301"/>
      <w:r>
        <w:rPr>
          <w:rFonts w:ascii="Times New Roman" w:hAnsi="Times New Roman" w:cs="Times New Roman"/>
          <w:sz w:val="24"/>
          <w:szCs w:val="24"/>
          <w:lang w:val="en-GB"/>
        </w:rPr>
        <w:t>Regarding</w:t>
      </w:r>
      <w:r w:rsidRPr="00614438">
        <w:rPr>
          <w:rFonts w:ascii="Times New Roman" w:hAnsi="Times New Roman" w:cs="Times New Roman"/>
          <w:sz w:val="24"/>
          <w:szCs w:val="24"/>
          <w:lang w:val="en-GB"/>
        </w:rPr>
        <w:t xml:space="preserve"> the change of unit consumption, in </w:t>
      </w:r>
      <w:r>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WEM scenario, the unit consumption of existing commercial buildings is projected to increase from 0.02 ktoe/m</w:t>
      </w:r>
      <w:r w:rsidRPr="00614438">
        <w:rPr>
          <w:rFonts w:ascii="Times New Roman" w:hAnsi="Times New Roman" w:cs="Times New Roman"/>
          <w:sz w:val="24"/>
          <w:szCs w:val="24"/>
          <w:vertAlign w:val="superscript"/>
          <w:lang w:val="en-GB"/>
        </w:rPr>
        <w:t>2</w:t>
      </w:r>
      <w:r w:rsidRPr="00614438">
        <w:rPr>
          <w:rFonts w:ascii="Times New Roman" w:hAnsi="Times New Roman" w:cs="Times New Roman"/>
          <w:sz w:val="24"/>
          <w:szCs w:val="24"/>
          <w:lang w:val="en-GB"/>
        </w:rPr>
        <w:t xml:space="preserve"> in 2025 to 0.035 ktoe/m</w:t>
      </w:r>
      <w:r w:rsidRPr="00614438">
        <w:rPr>
          <w:rFonts w:ascii="Times New Roman" w:hAnsi="Times New Roman" w:cs="Times New Roman"/>
          <w:sz w:val="24"/>
          <w:szCs w:val="24"/>
          <w:vertAlign w:val="superscript"/>
          <w:lang w:val="en-GB"/>
        </w:rPr>
        <w:t>2</w:t>
      </w:r>
      <w:r w:rsidRPr="00614438">
        <w:rPr>
          <w:rFonts w:ascii="Times New Roman" w:hAnsi="Times New Roman" w:cs="Times New Roman"/>
          <w:sz w:val="24"/>
          <w:szCs w:val="24"/>
          <w:lang w:val="en-GB"/>
        </w:rPr>
        <w:t xml:space="preserve"> in 2050, while it maintain</w:t>
      </w:r>
      <w:r>
        <w:rPr>
          <w:rFonts w:ascii="Times New Roman" w:hAnsi="Times New Roman" w:cs="Times New Roman"/>
          <w:sz w:val="24"/>
          <w:szCs w:val="24"/>
          <w:lang w:val="en-GB"/>
        </w:rPr>
        <w:t>s</w:t>
      </w:r>
      <w:r w:rsidRPr="00614438">
        <w:rPr>
          <w:rFonts w:ascii="Times New Roman" w:hAnsi="Times New Roman" w:cs="Times New Roman"/>
          <w:sz w:val="24"/>
          <w:szCs w:val="24"/>
          <w:lang w:val="en-GB"/>
        </w:rPr>
        <w:t xml:space="preserve"> almost stable </w:t>
      </w:r>
      <w:r w:rsidRPr="00614438">
        <w:rPr>
          <w:rFonts w:ascii="Times New Roman" w:hAnsi="Times New Roman" w:cs="Times New Roman"/>
          <w:sz w:val="24"/>
          <w:szCs w:val="24"/>
        </w:rPr>
        <w:t xml:space="preserve">level </w:t>
      </w:r>
      <w:r w:rsidRPr="00614438">
        <w:rPr>
          <w:rFonts w:ascii="Times New Roman" w:hAnsi="Times New Roman" w:cs="Times New Roman"/>
          <w:sz w:val="24"/>
          <w:szCs w:val="24"/>
          <w:lang w:val="en-GB"/>
        </w:rPr>
        <w:t xml:space="preserve">in the other two scenarios at about </w:t>
      </w:r>
      <w:bookmarkStart w:id="436" w:name="_Hlk148783677"/>
      <w:r w:rsidRPr="00614438">
        <w:rPr>
          <w:rFonts w:ascii="Times New Roman" w:hAnsi="Times New Roman" w:cs="Times New Roman"/>
          <w:sz w:val="24"/>
          <w:szCs w:val="24"/>
          <w:lang w:val="en-GB"/>
        </w:rPr>
        <w:t>0.02 ktoe/m</w:t>
      </w:r>
      <w:r w:rsidRPr="00614438">
        <w:rPr>
          <w:rFonts w:ascii="Times New Roman" w:hAnsi="Times New Roman" w:cs="Times New Roman"/>
          <w:sz w:val="24"/>
          <w:szCs w:val="24"/>
          <w:vertAlign w:val="superscript"/>
          <w:lang w:val="en-GB"/>
        </w:rPr>
        <w:t>2</w:t>
      </w:r>
      <w:bookmarkEnd w:id="436"/>
      <w:r w:rsidRPr="00614438">
        <w:rPr>
          <w:rFonts w:ascii="Times New Roman" w:hAnsi="Times New Roman" w:cs="Times New Roman"/>
          <w:sz w:val="24"/>
          <w:szCs w:val="24"/>
          <w:lang w:val="en-GB"/>
        </w:rPr>
        <w:t xml:space="preserve"> over 2025-2040, as a higher rise is expected over 2045-2050, reaching 0.023 ktoe/m</w:t>
      </w:r>
      <w:r w:rsidRPr="00614438">
        <w:rPr>
          <w:rFonts w:ascii="Times New Roman" w:hAnsi="Times New Roman" w:cs="Times New Roman"/>
          <w:sz w:val="24"/>
          <w:szCs w:val="24"/>
          <w:vertAlign w:val="superscript"/>
          <w:lang w:val="en-GB"/>
        </w:rPr>
        <w:t>2</w:t>
      </w:r>
      <w:r w:rsidRPr="00614438">
        <w:rPr>
          <w:rFonts w:ascii="Times New Roman" w:hAnsi="Times New Roman" w:cs="Times New Roman"/>
          <w:sz w:val="24"/>
          <w:szCs w:val="24"/>
          <w:lang w:val="en-GB"/>
        </w:rPr>
        <w:t xml:space="preserve"> in 2045 and 0.026 ktoe/m</w:t>
      </w:r>
      <w:r w:rsidRPr="00614438">
        <w:rPr>
          <w:rFonts w:ascii="Times New Roman" w:hAnsi="Times New Roman" w:cs="Times New Roman"/>
          <w:sz w:val="24"/>
          <w:szCs w:val="24"/>
          <w:vertAlign w:val="superscript"/>
          <w:lang w:val="en-GB"/>
        </w:rPr>
        <w:t>2</w:t>
      </w:r>
      <w:r w:rsidRPr="00614438">
        <w:rPr>
          <w:rFonts w:ascii="Times New Roman" w:hAnsi="Times New Roman" w:cs="Times New Roman"/>
          <w:sz w:val="24"/>
          <w:szCs w:val="24"/>
          <w:lang w:val="en-GB"/>
        </w:rPr>
        <w:t xml:space="preserve"> in 2050. Similarly, the unit consumption of residential </w:t>
      </w:r>
      <w:r w:rsidRPr="00614438">
        <w:rPr>
          <w:rFonts w:ascii="Times New Roman" w:hAnsi="Times New Roman" w:cs="Times New Roman"/>
          <w:sz w:val="24"/>
          <w:szCs w:val="24"/>
        </w:rPr>
        <w:t>dwellings</w:t>
      </w:r>
      <w:r w:rsidRPr="00614438">
        <w:rPr>
          <w:rFonts w:ascii="Times New Roman" w:hAnsi="Times New Roman" w:cs="Times New Roman"/>
          <w:sz w:val="24"/>
          <w:szCs w:val="24"/>
          <w:lang w:val="en-GB"/>
        </w:rPr>
        <w:t xml:space="preserve"> existing in 2020 increases with almost the same growth rate between scenarios S and S-N over 2025-2050, from 1.56 </w:t>
      </w:r>
      <w:bookmarkStart w:id="437" w:name="_Hlk148783875"/>
      <w:r w:rsidRPr="00614438">
        <w:rPr>
          <w:rFonts w:ascii="Times New Roman" w:hAnsi="Times New Roman" w:cs="Times New Roman"/>
          <w:sz w:val="24"/>
          <w:szCs w:val="24"/>
          <w:lang w:val="en-GB"/>
        </w:rPr>
        <w:t>ktoe</w:t>
      </w:r>
      <w:bookmarkStart w:id="438" w:name="_Hlk148785852"/>
      <w:r w:rsidRPr="00614438">
        <w:rPr>
          <w:rFonts w:ascii="Times New Roman" w:hAnsi="Times New Roman" w:cs="Times New Roman"/>
          <w:sz w:val="24"/>
          <w:szCs w:val="24"/>
          <w:lang w:val="en-GB"/>
        </w:rPr>
        <w:t>/’000</w:t>
      </w:r>
      <w:bookmarkEnd w:id="437"/>
      <w:r w:rsidRPr="00614438">
        <w:rPr>
          <w:rFonts w:ascii="Times New Roman" w:hAnsi="Times New Roman" w:cs="Times New Roman"/>
          <w:sz w:val="24"/>
          <w:szCs w:val="24"/>
          <w:lang w:val="en-GB"/>
        </w:rPr>
        <w:t xml:space="preserve"> </w:t>
      </w:r>
      <w:bookmarkEnd w:id="438"/>
      <w:r w:rsidRPr="00614438">
        <w:rPr>
          <w:rFonts w:ascii="Times New Roman" w:hAnsi="Times New Roman" w:cs="Times New Roman"/>
          <w:sz w:val="24"/>
          <w:szCs w:val="24"/>
        </w:rPr>
        <w:t>dwellings</w:t>
      </w:r>
      <w:r w:rsidRPr="00614438">
        <w:rPr>
          <w:rFonts w:ascii="Times New Roman" w:hAnsi="Times New Roman" w:cs="Times New Roman"/>
          <w:sz w:val="24"/>
          <w:szCs w:val="24"/>
          <w:lang w:val="en-GB"/>
        </w:rPr>
        <w:t xml:space="preserve"> in 2025 to about </w:t>
      </w:r>
      <w:bookmarkStart w:id="439" w:name="_Hlk148783955"/>
      <w:r w:rsidRPr="00614438">
        <w:rPr>
          <w:rFonts w:ascii="Times New Roman" w:hAnsi="Times New Roman" w:cs="Times New Roman"/>
          <w:sz w:val="24"/>
          <w:szCs w:val="24"/>
          <w:lang w:val="en-GB"/>
        </w:rPr>
        <w:t>1.72 ktoe/’000</w:t>
      </w:r>
      <w:bookmarkEnd w:id="439"/>
      <w:r w:rsidRPr="00614438">
        <w:rPr>
          <w:rFonts w:ascii="Times New Roman" w:hAnsi="Times New Roman" w:cs="Times New Roman"/>
          <w:sz w:val="24"/>
          <w:szCs w:val="24"/>
          <w:lang w:val="en-GB"/>
        </w:rPr>
        <w:t xml:space="preserve"> </w:t>
      </w:r>
      <w:r w:rsidRPr="00614438">
        <w:rPr>
          <w:rFonts w:ascii="Times New Roman" w:hAnsi="Times New Roman" w:cs="Times New Roman"/>
          <w:sz w:val="24"/>
          <w:szCs w:val="24"/>
        </w:rPr>
        <w:t>dwellings</w:t>
      </w:r>
      <w:r w:rsidRPr="00614438">
        <w:rPr>
          <w:rFonts w:ascii="Times New Roman" w:hAnsi="Times New Roman" w:cs="Times New Roman"/>
          <w:sz w:val="24"/>
          <w:szCs w:val="24"/>
          <w:lang w:val="en-GB"/>
        </w:rPr>
        <w:t xml:space="preserve"> in 2050, while the WEM scenario follows a higher growth rate</w:t>
      </w:r>
      <w:r>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from </w:t>
      </w:r>
      <w:bookmarkStart w:id="440" w:name="_Hlk148784161"/>
      <w:r w:rsidRPr="00614438">
        <w:rPr>
          <w:rFonts w:ascii="Times New Roman" w:hAnsi="Times New Roman" w:cs="Times New Roman"/>
          <w:sz w:val="24"/>
          <w:szCs w:val="24"/>
          <w:lang w:val="en-GB"/>
        </w:rPr>
        <w:t xml:space="preserve">1.66 ktoe/’000 </w:t>
      </w:r>
      <w:r w:rsidRPr="00614438">
        <w:rPr>
          <w:rFonts w:ascii="Times New Roman" w:hAnsi="Times New Roman" w:cs="Times New Roman"/>
          <w:sz w:val="24"/>
          <w:szCs w:val="24"/>
        </w:rPr>
        <w:t>dwellings</w:t>
      </w:r>
      <w:r w:rsidRPr="00614438">
        <w:rPr>
          <w:rFonts w:ascii="Times New Roman" w:hAnsi="Times New Roman" w:cs="Times New Roman"/>
          <w:sz w:val="24"/>
          <w:szCs w:val="24"/>
          <w:lang w:val="en-GB"/>
        </w:rPr>
        <w:t xml:space="preserve"> in 2025 to 2.52 ktoe/’000 </w:t>
      </w:r>
      <w:r w:rsidRPr="00614438">
        <w:rPr>
          <w:rFonts w:ascii="Times New Roman" w:hAnsi="Times New Roman" w:cs="Times New Roman"/>
          <w:sz w:val="24"/>
          <w:szCs w:val="24"/>
        </w:rPr>
        <w:t>dwellings</w:t>
      </w:r>
      <w:r w:rsidRPr="00614438">
        <w:rPr>
          <w:rFonts w:ascii="Times New Roman" w:hAnsi="Times New Roman" w:cs="Times New Roman"/>
          <w:sz w:val="24"/>
          <w:szCs w:val="24"/>
          <w:lang w:val="en-GB"/>
        </w:rPr>
        <w:t xml:space="preserve"> in 2050</w:t>
      </w:r>
      <w:bookmarkEnd w:id="440"/>
      <w:r w:rsidRPr="00614438">
        <w:rPr>
          <w:rFonts w:ascii="Times New Roman" w:hAnsi="Times New Roman" w:cs="Times New Roman"/>
          <w:sz w:val="24"/>
          <w:szCs w:val="24"/>
          <w:lang w:val="en-GB"/>
        </w:rPr>
        <w:t xml:space="preserve">. The growth in the unit consumption is connected to the increase in heat comfort conditions in the existing </w:t>
      </w:r>
      <w:r w:rsidRPr="00614438">
        <w:rPr>
          <w:rFonts w:ascii="Times New Roman" w:hAnsi="Times New Roman" w:cs="Times New Roman"/>
          <w:sz w:val="24"/>
          <w:szCs w:val="24"/>
        </w:rPr>
        <w:t>dwellings</w:t>
      </w:r>
      <w:r w:rsidRPr="00614438">
        <w:rPr>
          <w:rFonts w:ascii="Times New Roman" w:hAnsi="Times New Roman" w:cs="Times New Roman"/>
          <w:sz w:val="24"/>
          <w:szCs w:val="24"/>
          <w:lang w:val="en-GB"/>
        </w:rPr>
        <w:t>, connected with the increase of available income per capita, as the corresponding GDP per capita increases.</w:t>
      </w:r>
    </w:p>
    <w:p w14:paraId="5D80AD20" w14:textId="065A8826"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28</w:t>
      </w:r>
      <w:r w:rsidR="00C83251" w:rsidRPr="00614438">
        <w:rPr>
          <w:rFonts w:ascii="Times New Roman" w:hAnsi="Times New Roman" w:cs="Times New Roman"/>
          <w:sz w:val="24"/>
          <w:szCs w:val="24"/>
        </w:rPr>
        <w:fldChar w:fldCharType="end"/>
      </w:r>
      <w:bookmarkEnd w:id="434"/>
      <w:r w:rsidRPr="00614438">
        <w:rPr>
          <w:rFonts w:ascii="Times New Roman" w:hAnsi="Times New Roman" w:cs="Times New Roman"/>
          <w:sz w:val="24"/>
          <w:szCs w:val="24"/>
        </w:rPr>
        <w:t>: Re</w:t>
      </w:r>
      <w:r w:rsidR="00CA2E0E">
        <w:rPr>
          <w:rFonts w:ascii="Times New Roman" w:hAnsi="Times New Roman" w:cs="Times New Roman"/>
          <w:sz w:val="24"/>
          <w:szCs w:val="24"/>
        </w:rPr>
        <w:t>novation</w:t>
      </w:r>
      <w:r w:rsidRPr="00614438">
        <w:rPr>
          <w:rFonts w:ascii="Times New Roman" w:hAnsi="Times New Roman" w:cs="Times New Roman"/>
          <w:sz w:val="24"/>
          <w:szCs w:val="24"/>
        </w:rPr>
        <w:t xml:space="preserve"> in commercial buildings</w:t>
      </w:r>
      <w:bookmarkEnd w:id="435"/>
    </w:p>
    <w:p w14:paraId="2C7E9219" w14:textId="2D0A5572"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720704" behindDoc="0" locked="0" layoutInCell="1" allowOverlap="1" wp14:anchorId="59E2F9D1" wp14:editId="03534853">
                <wp:simplePos x="0" y="0"/>
                <wp:positionH relativeFrom="column">
                  <wp:posOffset>306705</wp:posOffset>
                </wp:positionH>
                <wp:positionV relativeFrom="paragraph">
                  <wp:posOffset>88900</wp:posOffset>
                </wp:positionV>
                <wp:extent cx="3390900" cy="3152140"/>
                <wp:effectExtent l="0" t="0" r="0" b="0"/>
                <wp:wrapNone/>
                <wp:docPr id="1886617914"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0900" cy="315214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7DD1D16" id="Text Box 23" o:spid="_x0000_s1026" type="#_x0000_t202" style="position:absolute;margin-left:24.15pt;margin-top:7pt;width:267pt;height:248.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" fillcolor="#a6a6a6" stroked="f">
                <v:fill opacity="32896f"/>
              </v:shape>
            </w:pict>
          </mc:Fallback>
        </mc:AlternateContent>
      </w:r>
      <w:r>
        <w:rPr>
          <w:rFonts w:ascii="Times New Roman" w:hAnsi="Times New Roman" w:cs="Times New Roman"/>
          <w:noProof/>
          <w:sz w:val="24"/>
          <w:szCs w:val="24"/>
          <w:lang w:val="en-GB"/>
        </w:rPr>
        <mc:AlternateContent>
          <mc:Choice Requires="wps">
            <w:drawing>
              <wp:anchor distT="45720" distB="45720" distL="114300" distR="114300" simplePos="0" relativeHeight="251719680" behindDoc="0" locked="0" layoutInCell="1" allowOverlap="1" wp14:anchorId="739699DE" wp14:editId="2719A8B5">
                <wp:simplePos x="0" y="0"/>
                <wp:positionH relativeFrom="column">
                  <wp:posOffset>659765</wp:posOffset>
                </wp:positionH>
                <wp:positionV relativeFrom="paragraph">
                  <wp:posOffset>361950</wp:posOffset>
                </wp:positionV>
                <wp:extent cx="2429510" cy="765175"/>
                <wp:effectExtent l="0" t="0" r="9525" b="0"/>
                <wp:wrapNone/>
                <wp:docPr id="62495102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9510" cy="765175"/>
                        </a:xfrm>
                        <a:prstGeom prst="rect">
                          <a:avLst/>
                        </a:prstGeom>
                        <a:solidFill>
                          <a:srgbClr val="FFFFFF"/>
                        </a:solidFill>
                        <a:ln w="9525">
                          <a:solidFill>
                            <a:srgbClr val="000000"/>
                          </a:solidFill>
                          <a:miter lim="800000"/>
                          <a:headEnd/>
                          <a:tailEnd/>
                        </a:ln>
                      </wps:spPr>
                      <wps:txbx>
                        <w:txbxContent>
                          <w:p w14:paraId="3B4B462D" w14:textId="77777777" w:rsidR="009A1548" w:rsidRDefault="009A1548" w:rsidP="00614438">
                            <w:pPr>
                              <w:pStyle w:val="LDKbody"/>
                              <w:rPr>
                                <w:rFonts w:asciiTheme="majorHAnsi" w:hAnsiTheme="majorHAnsi" w:cstheme="majorHAnsi"/>
                                <w:lang w:val="en-GB"/>
                              </w:rPr>
                            </w:pPr>
                            <w:r>
                              <w:rPr>
                                <w:rFonts w:asciiTheme="majorHAnsi" w:hAnsiTheme="majorHAnsi" w:cstheme="majorHAnsi"/>
                                <w:lang w:val="en-GB"/>
                              </w:rPr>
                              <w:t>the renovation rates until 2030 are annual, while after 2030 they correspond to 5-year periods.</w:t>
                            </w:r>
                          </w:p>
                        </w:txbxContent>
                      </wps:txbx>
                      <wps:bodyPr rot="0" vertOverflow="clip" horzOverflow="clip"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39699DE" id="Text Box 21" o:spid="_x0000_s1027" type="#_x0000_t202" style="position:absolute;left:0;text-align:left;margin-left:51.95pt;margin-top:28.5pt;width:191.3pt;height:60.25pt;z-index:2517196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">
                <v:textbox style="mso-fit-shape-to-text:t">
                  <w:txbxContent>
                    <w:p w14:paraId="3B4B462D" w14:textId="77777777" w:rsidR="009A1548" w:rsidRDefault="009A1548" w:rsidP="00614438">
                      <w:pPr>
                        <w:pStyle w:val="LDKbody"/>
                        <w:rPr>
                          <w:rFonts w:asciiTheme="majorHAnsi" w:hAnsiTheme="majorHAnsi" w:cstheme="majorHAnsi"/>
                          <w:lang w:val="en-GB"/>
                        </w:rPr>
                      </w:pPr>
                      <w:r>
                        <w:rPr>
                          <w:rFonts w:asciiTheme="majorHAnsi" w:hAnsiTheme="majorHAnsi" w:cstheme="majorHAnsi"/>
                          <w:lang w:val="en-GB"/>
                        </w:rPr>
                        <w:t>the renovation rates until 2030 are annual, while after 2030 they correspond to 5-year periods.</w:t>
                      </w:r>
                    </w:p>
                  </w:txbxContent>
                </v:textbox>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7399DCC5" wp14:editId="70B76CF8">
            <wp:extent cx="5924550" cy="4267200"/>
            <wp:effectExtent l="0" t="0" r="0" b="0"/>
            <wp:docPr id="1702985889"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7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24550" cy="4267200"/>
                    </a:xfrm>
                    <a:prstGeom prst="rect">
                      <a:avLst/>
                    </a:prstGeom>
                    <a:noFill/>
                    <a:ln>
                      <a:noFill/>
                    </a:ln>
                  </pic:spPr>
                </pic:pic>
              </a:graphicData>
            </a:graphic>
          </wp:inline>
        </w:drawing>
      </w:r>
    </w:p>
    <w:p w14:paraId="325D12AA" w14:textId="77777777" w:rsidR="00614438" w:rsidRPr="00614438" w:rsidRDefault="00614438" w:rsidP="00614438">
      <w:pPr>
        <w:jc w:val="both"/>
        <w:rPr>
          <w:rFonts w:ascii="Times New Roman" w:hAnsi="Times New Roman" w:cs="Times New Roman"/>
          <w:sz w:val="24"/>
          <w:szCs w:val="24"/>
        </w:rPr>
      </w:pPr>
      <w:bookmarkStart w:id="441" w:name="_Toc154575302"/>
      <w:bookmarkStart w:id="442" w:name="_Hlk148786080"/>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29</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Unit consumption of commercial buildings</w:t>
      </w:r>
      <w:bookmarkEnd w:id="441"/>
    </w:p>
    <w:bookmarkEnd w:id="442"/>
    <w:p w14:paraId="37A1C10D"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47DC6C97" wp14:editId="6E3EB87E">
            <wp:extent cx="4581525" cy="2752725"/>
            <wp:effectExtent l="0" t="0" r="9525" b="9525"/>
            <wp:docPr id="1549204864" name="Picture 244" descr="A graph of a number of commercial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A graph of a number of commercial buildings&#10;&#10;Description automatically generated"/>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581525" cy="2752725"/>
                    </a:xfrm>
                    <a:prstGeom prst="rect">
                      <a:avLst/>
                    </a:prstGeom>
                    <a:noFill/>
                    <a:ln>
                      <a:noFill/>
                    </a:ln>
                  </pic:spPr>
                </pic:pic>
              </a:graphicData>
            </a:graphic>
          </wp:inline>
        </w:drawing>
      </w:r>
    </w:p>
    <w:p w14:paraId="5377D987" w14:textId="77777777" w:rsidR="00614438" w:rsidRPr="00614438" w:rsidRDefault="00614438" w:rsidP="00614438">
      <w:pPr>
        <w:jc w:val="both"/>
        <w:rPr>
          <w:rFonts w:ascii="Times New Roman" w:hAnsi="Times New Roman" w:cs="Times New Roman"/>
          <w:sz w:val="24"/>
          <w:szCs w:val="24"/>
        </w:rPr>
      </w:pPr>
      <w:bookmarkStart w:id="443" w:name="_Toc154575303"/>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30</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Unit consumption of residential dwellings</w:t>
      </w:r>
      <w:bookmarkEnd w:id="443"/>
    </w:p>
    <w:p w14:paraId="37E0E6A9"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lastRenderedPageBreak/>
        <w:drawing>
          <wp:inline distT="0" distB="0" distL="0" distR="0" wp14:anchorId="7738993B" wp14:editId="515B5628">
            <wp:extent cx="4533900" cy="2676525"/>
            <wp:effectExtent l="0" t="0" r="0" b="9525"/>
            <wp:docPr id="680242985"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533900" cy="2676525"/>
                    </a:xfrm>
                    <a:prstGeom prst="rect">
                      <a:avLst/>
                    </a:prstGeom>
                    <a:noFill/>
                    <a:ln>
                      <a:noFill/>
                    </a:ln>
                  </pic:spPr>
                </pic:pic>
              </a:graphicData>
            </a:graphic>
          </wp:inline>
        </w:drawing>
      </w:r>
    </w:p>
    <w:p w14:paraId="2A4AA1B7" w14:textId="710DE252" w:rsidR="00CA2E0E" w:rsidRPr="00614438" w:rsidRDefault="00CA2E0E" w:rsidP="00CA2E0E">
      <w:pPr>
        <w:ind w:firstLine="720"/>
        <w:jc w:val="both"/>
        <w:rPr>
          <w:rFonts w:ascii="Times New Roman" w:hAnsi="Times New Roman" w:cs="Times New Roman"/>
          <w:sz w:val="24"/>
          <w:szCs w:val="24"/>
          <w:lang w:val="en-GB"/>
        </w:rPr>
      </w:pPr>
      <w:r w:rsidRPr="00CA2E0E">
        <w:rPr>
          <w:rFonts w:ascii="Times New Roman" w:hAnsi="Times New Roman" w:cs="Times New Roman"/>
          <w:sz w:val="24"/>
          <w:szCs w:val="24"/>
          <w:lang w:val="en-GB"/>
        </w:rPr>
        <w:t>The share of heat pumps is expected to reach 7.05 GWth in 2030 (2.03 GWth in the residential sector and 5.02 GWth in the tertiary sector). Significant growth is expected from 2035 to 2050 in all scenarios. Heat pumps in the residential sector will grow from 4.34 GWth in 2035 in the S and S-N scenarios to 24.88 GWth in the S scenario and 25.16 GWth in the S-N scenario in 2050, from about 1.47 GWth in 2035 in scenarios S and S-N to 6.71 GWth in scenario S and 7.63 GWth in scenario S-N in 2050. Similarly, heat pumps in the tertiary sector will see growth from 8.42 GWth in 2035 in the S and S-N scenarios to 31.62 GWth in the S scenario and to 31.51 GWth in the S-N scenario in 205</w:t>
      </w:r>
      <w:r w:rsidR="007C1A9B">
        <w:rPr>
          <w:rFonts w:ascii="Times New Roman" w:hAnsi="Times New Roman" w:cs="Times New Roman"/>
          <w:sz w:val="24"/>
          <w:szCs w:val="24"/>
          <w:lang w:val="en-GB"/>
        </w:rPr>
        <w:t>0</w:t>
      </w:r>
      <w:r w:rsidRPr="00CA2E0E">
        <w:rPr>
          <w:rFonts w:ascii="Times New Roman" w:hAnsi="Times New Roman" w:cs="Times New Roman"/>
          <w:sz w:val="24"/>
          <w:szCs w:val="24"/>
          <w:lang w:val="en-GB"/>
        </w:rPr>
        <w:t>. As can be seen from the following figures, which show annual additional installed capacity up to 2030 and five-year after 2030, additional capacity is expected to increase significantly after 2040, mostly as we approach 2050.</w:t>
      </w:r>
    </w:p>
    <w:p w14:paraId="25E24006" w14:textId="77777777" w:rsidR="00614438" w:rsidRPr="00614438" w:rsidRDefault="00614438" w:rsidP="00614438">
      <w:pPr>
        <w:jc w:val="both"/>
        <w:rPr>
          <w:rFonts w:ascii="Times New Roman" w:hAnsi="Times New Roman" w:cs="Times New Roman"/>
          <w:sz w:val="24"/>
          <w:szCs w:val="24"/>
        </w:rPr>
      </w:pPr>
      <w:bookmarkStart w:id="444" w:name="_Toc154575304"/>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Annual capacity additions of heat pumps per sector, technology, and scenario until 2030 and capacity additions for five-year periods after 2030</w:t>
      </w:r>
      <w:bookmarkEnd w:id="444"/>
    </w:p>
    <w:p w14:paraId="73BEE44B"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380521C3" wp14:editId="37ECF887">
            <wp:extent cx="5667375" cy="3276600"/>
            <wp:effectExtent l="0" t="0" r="9525" b="0"/>
            <wp:docPr id="1268553424"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667375" cy="3276600"/>
                    </a:xfrm>
                    <a:prstGeom prst="rect">
                      <a:avLst/>
                    </a:prstGeom>
                    <a:noFill/>
                    <a:ln>
                      <a:noFill/>
                    </a:ln>
                  </pic:spPr>
                </pic:pic>
              </a:graphicData>
            </a:graphic>
          </wp:inline>
        </w:drawing>
      </w:r>
    </w:p>
    <w:p w14:paraId="7D490156" w14:textId="77777777" w:rsidR="00614438" w:rsidRPr="00614438" w:rsidRDefault="00614438" w:rsidP="00614438">
      <w:pPr>
        <w:jc w:val="both"/>
        <w:rPr>
          <w:rFonts w:ascii="Times New Roman" w:hAnsi="Times New Roman" w:cs="Times New Roman"/>
          <w:sz w:val="24"/>
          <w:szCs w:val="24"/>
        </w:rPr>
      </w:pPr>
      <w:bookmarkStart w:id="445" w:name="_Toc154575305"/>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32</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Annual capacity additions of heat pumps per sector, technology, and scenario (with differences from WEM) until 2030 and for five-year periods after 2030</w:t>
      </w:r>
      <w:bookmarkEnd w:id="445"/>
    </w:p>
    <w:p w14:paraId="74C53640"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rPr>
        <w:lastRenderedPageBreak/>
        <w:t xml:space="preserve"> </w:t>
      </w:r>
      <w:r w:rsidRPr="00013008">
        <w:rPr>
          <w:rFonts w:ascii="Times New Roman" w:hAnsi="Times New Roman" w:cs="Times New Roman"/>
          <w:noProof/>
          <w:sz w:val="24"/>
          <w:szCs w:val="24"/>
          <w:lang w:val="en-GB" w:eastAsia="en-GB"/>
        </w:rPr>
        <w:drawing>
          <wp:inline distT="0" distB="0" distL="0" distR="0" wp14:anchorId="19071FD9" wp14:editId="415D8247">
            <wp:extent cx="5667375" cy="3714750"/>
            <wp:effectExtent l="0" t="0" r="9525" b="0"/>
            <wp:docPr id="585366974"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667375" cy="3714750"/>
                    </a:xfrm>
                    <a:prstGeom prst="rect">
                      <a:avLst/>
                    </a:prstGeom>
                    <a:noFill/>
                    <a:ln>
                      <a:noFill/>
                    </a:ln>
                  </pic:spPr>
                </pic:pic>
              </a:graphicData>
            </a:graphic>
          </wp:inline>
        </w:drawing>
      </w:r>
    </w:p>
    <w:p w14:paraId="4CBF38C0" w14:textId="661FF6C6" w:rsidR="00614438" w:rsidRDefault="00614438" w:rsidP="007C1A9B">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cumulative number of electric vehicles is equal to 45 thousand</w:t>
      </w:r>
      <w:r w:rsidR="002304BB">
        <w:rPr>
          <w:rFonts w:ascii="Times New Roman" w:hAnsi="Times New Roman" w:cs="Times New Roman"/>
          <w:sz w:val="24"/>
          <w:szCs w:val="24"/>
          <w:lang w:val="en-GB"/>
        </w:rPr>
        <w:t xml:space="preserve"> in 2030</w:t>
      </w:r>
      <w:r w:rsidRPr="00614438">
        <w:rPr>
          <w:rFonts w:ascii="Times New Roman" w:hAnsi="Times New Roman" w:cs="Times New Roman"/>
          <w:sz w:val="24"/>
          <w:szCs w:val="24"/>
          <w:lang w:val="en-GB"/>
        </w:rPr>
        <w:t xml:space="preserve">, 507 thousand </w:t>
      </w:r>
      <w:r w:rsidR="002304BB">
        <w:rPr>
          <w:rFonts w:ascii="Times New Roman" w:hAnsi="Times New Roman" w:cs="Times New Roman"/>
          <w:sz w:val="24"/>
          <w:szCs w:val="24"/>
          <w:lang w:val="en-GB"/>
        </w:rPr>
        <w:t xml:space="preserve">in 2040 </w:t>
      </w:r>
      <w:r w:rsidRPr="00614438">
        <w:rPr>
          <w:rFonts w:ascii="Times New Roman" w:hAnsi="Times New Roman" w:cs="Times New Roman"/>
          <w:sz w:val="24"/>
          <w:szCs w:val="24"/>
          <w:lang w:val="en-GB"/>
        </w:rPr>
        <w:t>and about 2,000 thousand in 2050 in both scenarios S and S-N</w:t>
      </w:r>
      <w:r w:rsidR="002304BB">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indicating the impact of the targeted policies and measures for the promotion of electromobility (</w:t>
      </w:r>
      <w:r w:rsidR="002304BB">
        <w:rPr>
          <w:rFonts w:ascii="Times New Roman" w:hAnsi="Times New Roman" w:cs="Times New Roman"/>
          <w:sz w:val="24"/>
          <w:szCs w:val="24"/>
          <w:lang w:val="en-GB"/>
        </w:rPr>
        <w:t>Figure 5.33)</w:t>
      </w:r>
      <w:r w:rsidRPr="00614438">
        <w:rPr>
          <w:rFonts w:ascii="Times New Roman" w:hAnsi="Times New Roman" w:cs="Times New Roman"/>
          <w:sz w:val="24"/>
          <w:szCs w:val="24"/>
          <w:lang w:val="en-GB"/>
        </w:rPr>
        <w:t xml:space="preserve">. A huge deployment in EVs is anticipated from 2030 to 2050 in both scenarios S and S-N, compared to an insignificant one in </w:t>
      </w:r>
      <w:r w:rsidR="002304BB">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WEM scenario.</w:t>
      </w:r>
    </w:p>
    <w:p w14:paraId="3661D793" w14:textId="2B468521" w:rsidR="002304BB" w:rsidRPr="00614438" w:rsidRDefault="002304BB" w:rsidP="002304BB">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Furthermore, the energy import dependency is equal to 35% in 2030 in </w:t>
      </w:r>
      <w:r>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WEM </w:t>
      </w:r>
      <w:r>
        <w:rPr>
          <w:rFonts w:ascii="Times New Roman" w:hAnsi="Times New Roman" w:cs="Times New Roman"/>
          <w:sz w:val="24"/>
          <w:szCs w:val="24"/>
          <w:lang w:val="en-GB"/>
        </w:rPr>
        <w:t xml:space="preserve">scenario </w:t>
      </w:r>
      <w:r w:rsidRPr="00614438">
        <w:rPr>
          <w:rFonts w:ascii="Times New Roman" w:hAnsi="Times New Roman" w:cs="Times New Roman"/>
          <w:sz w:val="24"/>
          <w:szCs w:val="24"/>
          <w:lang w:val="en-GB"/>
        </w:rPr>
        <w:t xml:space="preserve">and 41% in scenarios S and S-N, </w:t>
      </w:r>
      <w:r>
        <w:rPr>
          <w:rFonts w:ascii="Times New Roman" w:hAnsi="Times New Roman" w:cs="Times New Roman"/>
          <w:sz w:val="24"/>
          <w:szCs w:val="24"/>
          <w:lang w:val="en-GB"/>
        </w:rPr>
        <w:t>pointing to the fact</w:t>
      </w:r>
      <w:r w:rsidRPr="00614438">
        <w:rPr>
          <w:rFonts w:ascii="Times New Roman" w:hAnsi="Times New Roman" w:cs="Times New Roman"/>
          <w:sz w:val="24"/>
          <w:szCs w:val="24"/>
          <w:lang w:val="en-GB"/>
        </w:rPr>
        <w:t xml:space="preserve"> that the reduced utilization of lignite for electricity production is counterbalanced by the combination of the increased penetration of RES and the promotion of energy efficiency. In Scenario S</w:t>
      </w:r>
      <w:r>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energy import dependency is increased to 44% in 2050. In Scenario S-N</w:t>
      </w:r>
      <w:r>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energy import dependency in 2050 remains at the level of 37% due to the introduction of the nuclear plants for electricity production (According to the Eurostat energy balance reporting rules, nuclear heat used in electricity generation is not considered as import but as primary production (local production)). Overall, the main reason of lower energy import dependency in the medium-term time horizon in </w:t>
      </w:r>
      <w:r>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WEM </w:t>
      </w:r>
      <w:r>
        <w:rPr>
          <w:rFonts w:ascii="Times New Roman" w:hAnsi="Times New Roman" w:cs="Times New Roman"/>
          <w:sz w:val="24"/>
          <w:szCs w:val="24"/>
          <w:lang w:val="en-GB"/>
        </w:rPr>
        <w:t xml:space="preserve">scenario </w:t>
      </w:r>
      <w:r w:rsidRPr="00614438">
        <w:rPr>
          <w:rFonts w:ascii="Times New Roman" w:hAnsi="Times New Roman" w:cs="Times New Roman"/>
          <w:sz w:val="24"/>
          <w:szCs w:val="24"/>
          <w:lang w:val="en-GB"/>
        </w:rPr>
        <w:t>is the use of local lignite instead of imported gas</w:t>
      </w:r>
      <w:r>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which</w:t>
      </w:r>
      <w:r>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however</w:t>
      </w:r>
      <w:r>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leads to a significant increase of GHG emissions. In the Scenarios S the transitional role of gas in the medium</w:t>
      </w:r>
      <w:r>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 xml:space="preserve">term leads to an increase on import dependency until the local renewable energy resources are extensively utilised, leading </w:t>
      </w:r>
      <w:r>
        <w:rPr>
          <w:rFonts w:ascii="Times New Roman" w:hAnsi="Times New Roman" w:cs="Times New Roman"/>
          <w:sz w:val="24"/>
          <w:szCs w:val="24"/>
          <w:lang w:val="en-GB"/>
        </w:rPr>
        <w:t xml:space="preserve">further </w:t>
      </w:r>
      <w:r w:rsidRPr="00614438">
        <w:rPr>
          <w:rFonts w:ascii="Times New Roman" w:hAnsi="Times New Roman" w:cs="Times New Roman"/>
          <w:sz w:val="24"/>
          <w:szCs w:val="24"/>
          <w:lang w:val="en-GB"/>
        </w:rPr>
        <w:t xml:space="preserve">to a stabilisation and slight reduction of import dependency </w:t>
      </w:r>
      <w:r>
        <w:rPr>
          <w:rFonts w:ascii="Times New Roman" w:hAnsi="Times New Roman" w:cs="Times New Roman"/>
          <w:sz w:val="24"/>
          <w:szCs w:val="24"/>
          <w:lang w:val="en-GB"/>
        </w:rPr>
        <w:t>until</w:t>
      </w:r>
      <w:r w:rsidRPr="00614438">
        <w:rPr>
          <w:rFonts w:ascii="Times New Roman" w:hAnsi="Times New Roman" w:cs="Times New Roman"/>
          <w:sz w:val="24"/>
          <w:szCs w:val="24"/>
          <w:lang w:val="en-GB"/>
        </w:rPr>
        <w:t xml:space="preserve"> 2050.</w:t>
      </w:r>
    </w:p>
    <w:p w14:paraId="3F363070" w14:textId="77777777" w:rsidR="002304BB" w:rsidRPr="00614438" w:rsidRDefault="002304BB" w:rsidP="007C1A9B">
      <w:pPr>
        <w:ind w:firstLine="720"/>
        <w:jc w:val="both"/>
        <w:rPr>
          <w:rFonts w:ascii="Times New Roman" w:hAnsi="Times New Roman" w:cs="Times New Roman"/>
          <w:sz w:val="24"/>
          <w:szCs w:val="24"/>
          <w:lang w:val="en-GB"/>
        </w:rPr>
      </w:pPr>
    </w:p>
    <w:p w14:paraId="5EF0EF32" w14:textId="77777777" w:rsidR="00614438" w:rsidRPr="00614438" w:rsidRDefault="00614438" w:rsidP="00614438">
      <w:pPr>
        <w:jc w:val="both"/>
        <w:rPr>
          <w:rFonts w:ascii="Times New Roman" w:hAnsi="Times New Roman" w:cs="Times New Roman"/>
          <w:sz w:val="24"/>
          <w:szCs w:val="24"/>
        </w:rPr>
      </w:pPr>
      <w:bookmarkStart w:id="446" w:name="_Toc154575306"/>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33</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Number of EVs</w:t>
      </w:r>
      <w:bookmarkEnd w:id="446"/>
    </w:p>
    <w:p w14:paraId="5C153C03" w14:textId="1246B8C4"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721728" behindDoc="0" locked="0" layoutInCell="1" allowOverlap="1" wp14:anchorId="3B5BAB58" wp14:editId="32556D16">
                <wp:simplePos x="0" y="0"/>
                <wp:positionH relativeFrom="column">
                  <wp:posOffset>615950</wp:posOffset>
                </wp:positionH>
                <wp:positionV relativeFrom="paragraph">
                  <wp:posOffset>365125</wp:posOffset>
                </wp:positionV>
                <wp:extent cx="3286125" cy="2647950"/>
                <wp:effectExtent l="0" t="0" r="0" b="0"/>
                <wp:wrapNone/>
                <wp:docPr id="163320783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6125" cy="264795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D018EE0" id="Text Box 19" o:spid="_x0000_s1026" type="#_x0000_t202" style="position:absolute;margin-left:48.5pt;margin-top:28.75pt;width:258.75pt;height:208.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46C928BC" wp14:editId="2E2C7F00">
            <wp:extent cx="6067425" cy="3819525"/>
            <wp:effectExtent l="0" t="0" r="9525" b="9525"/>
            <wp:docPr id="362181421"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7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067425" cy="3819525"/>
                    </a:xfrm>
                    <a:prstGeom prst="rect">
                      <a:avLst/>
                    </a:prstGeom>
                    <a:noFill/>
                    <a:ln>
                      <a:noFill/>
                    </a:ln>
                  </pic:spPr>
                </pic:pic>
              </a:graphicData>
            </a:graphic>
          </wp:inline>
        </w:drawing>
      </w:r>
    </w:p>
    <w:p w14:paraId="2661F2D7" w14:textId="77777777" w:rsidR="00614438" w:rsidRPr="00614438" w:rsidRDefault="00614438" w:rsidP="00614438">
      <w:pPr>
        <w:jc w:val="both"/>
        <w:rPr>
          <w:rFonts w:ascii="Times New Roman" w:hAnsi="Times New Roman" w:cs="Times New Roman"/>
          <w:sz w:val="24"/>
          <w:szCs w:val="24"/>
        </w:rPr>
      </w:pPr>
      <w:bookmarkStart w:id="447" w:name="_Toc154575307"/>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Energy Import Dependency</w:t>
      </w:r>
      <w:bookmarkEnd w:id="447"/>
    </w:p>
    <w:p w14:paraId="16ADF8A7" w14:textId="1F31D071"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722752" behindDoc="0" locked="0" layoutInCell="1" allowOverlap="1" wp14:anchorId="7C110082" wp14:editId="3FAE5CFB">
                <wp:simplePos x="0" y="0"/>
                <wp:positionH relativeFrom="column">
                  <wp:posOffset>680085</wp:posOffset>
                </wp:positionH>
                <wp:positionV relativeFrom="paragraph">
                  <wp:posOffset>362585</wp:posOffset>
                </wp:positionV>
                <wp:extent cx="3162300" cy="2562225"/>
                <wp:effectExtent l="0" t="0" r="0" b="0"/>
                <wp:wrapNone/>
                <wp:docPr id="154919494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2300" cy="2562225"/>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E049680" id="Text Box 17" o:spid="_x0000_s1026" type="#_x0000_t202" style="position:absolute;margin-left:53.55pt;margin-top:28.55pt;width:249pt;height:201.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334D6F71" wp14:editId="3CB91166">
            <wp:extent cx="5895975" cy="3714750"/>
            <wp:effectExtent l="0" t="0" r="9525" b="0"/>
            <wp:docPr id="957071685"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7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895975" cy="3714750"/>
                    </a:xfrm>
                    <a:prstGeom prst="rect">
                      <a:avLst/>
                    </a:prstGeom>
                    <a:noFill/>
                    <a:ln>
                      <a:noFill/>
                    </a:ln>
                  </pic:spPr>
                </pic:pic>
              </a:graphicData>
            </a:graphic>
          </wp:inline>
        </w:drawing>
      </w:r>
    </w:p>
    <w:p w14:paraId="2B28CA47" w14:textId="5CA8C152" w:rsidR="00614438" w:rsidRPr="00614438" w:rsidRDefault="00614438" w:rsidP="002304BB">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w:t>
      </w:r>
      <w:r w:rsidR="002304BB">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WEM scenario, primary production is equal to 11.8 Mtoe in 2030, higher than 9.1 Mtoe, which corresponds to scenarios S and S-N over the same year</w:t>
      </w:r>
      <w:r w:rsidR="002304BB">
        <w:rPr>
          <w:rFonts w:ascii="Times New Roman" w:hAnsi="Times New Roman" w:cs="Times New Roman"/>
          <w:sz w:val="24"/>
          <w:szCs w:val="24"/>
          <w:lang w:val="en-GB"/>
        </w:rPr>
        <w:t xml:space="preserve"> (Figure 5.35)</w:t>
      </w:r>
      <w:r w:rsidRPr="00614438">
        <w:rPr>
          <w:rFonts w:ascii="Times New Roman" w:hAnsi="Times New Roman" w:cs="Times New Roman"/>
          <w:sz w:val="24"/>
          <w:szCs w:val="24"/>
          <w:lang w:val="en-GB"/>
        </w:rPr>
        <w:t xml:space="preserve">. In 2050, primary production will decrease by 4.5% </w:t>
      </w:r>
      <w:r w:rsidR="002304BB">
        <w:rPr>
          <w:rFonts w:ascii="Times New Roman" w:hAnsi="Times New Roman" w:cs="Times New Roman"/>
          <w:sz w:val="24"/>
          <w:szCs w:val="24"/>
          <w:lang w:val="en-GB"/>
        </w:rPr>
        <w:t>to</w:t>
      </w:r>
      <w:r w:rsidRPr="00614438">
        <w:rPr>
          <w:rFonts w:ascii="Times New Roman" w:hAnsi="Times New Roman" w:cs="Times New Roman"/>
          <w:sz w:val="24"/>
          <w:szCs w:val="24"/>
          <w:lang w:val="en-GB"/>
        </w:rPr>
        <w:t xml:space="preserve"> 11.3 Mtoe in </w:t>
      </w:r>
      <w:r w:rsidR="002304BB">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WEM scenario, compared to 2030 level, while a 23.9% fall in scenario S </w:t>
      </w:r>
      <w:r w:rsidR="002304BB">
        <w:rPr>
          <w:rFonts w:ascii="Times New Roman" w:hAnsi="Times New Roman" w:cs="Times New Roman"/>
          <w:sz w:val="24"/>
          <w:szCs w:val="24"/>
          <w:lang w:val="en-GB"/>
        </w:rPr>
        <w:t>to</w:t>
      </w:r>
      <w:r w:rsidRPr="00614438">
        <w:rPr>
          <w:rFonts w:ascii="Times New Roman" w:hAnsi="Times New Roman" w:cs="Times New Roman"/>
          <w:sz w:val="24"/>
          <w:szCs w:val="24"/>
          <w:lang w:val="en-GB"/>
        </w:rPr>
        <w:t xml:space="preserve"> 6.9 Mtoe and a 27.1% decline in scenario S-N </w:t>
      </w:r>
      <w:r w:rsidR="002304BB">
        <w:rPr>
          <w:rFonts w:ascii="Times New Roman" w:hAnsi="Times New Roman" w:cs="Times New Roman"/>
          <w:sz w:val="24"/>
          <w:szCs w:val="24"/>
          <w:lang w:val="en-GB"/>
        </w:rPr>
        <w:t>to</w:t>
      </w:r>
      <w:r w:rsidRPr="00614438">
        <w:rPr>
          <w:rFonts w:ascii="Times New Roman" w:hAnsi="Times New Roman" w:cs="Times New Roman"/>
          <w:sz w:val="24"/>
          <w:szCs w:val="24"/>
          <w:lang w:val="en-GB"/>
        </w:rPr>
        <w:t xml:space="preserve"> about 6.6 Mtoe are </w:t>
      </w:r>
      <w:r w:rsidRPr="00614438">
        <w:rPr>
          <w:rFonts w:ascii="Times New Roman" w:hAnsi="Times New Roman" w:cs="Times New Roman"/>
          <w:sz w:val="24"/>
          <w:szCs w:val="24"/>
          <w:lang w:val="en-GB"/>
        </w:rPr>
        <w:lastRenderedPageBreak/>
        <w:t>anticipated. Solid fuels</w:t>
      </w:r>
      <w:r w:rsidR="002304BB">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as well as renewables and wastes comprise the fuels with the highest contribution in both 2030 and 2050.</w:t>
      </w:r>
    </w:p>
    <w:p w14:paraId="56E4D4B1" w14:textId="77777777" w:rsidR="00614438" w:rsidRPr="00614438" w:rsidRDefault="00614438" w:rsidP="00614438">
      <w:pPr>
        <w:jc w:val="both"/>
        <w:rPr>
          <w:rFonts w:ascii="Times New Roman" w:hAnsi="Times New Roman" w:cs="Times New Roman"/>
          <w:sz w:val="24"/>
          <w:szCs w:val="24"/>
          <w:lang w:val="en-GB"/>
        </w:rPr>
      </w:pPr>
    </w:p>
    <w:p w14:paraId="23C06E68" w14:textId="77777777" w:rsidR="00614438" w:rsidRPr="00614438" w:rsidRDefault="00614438" w:rsidP="00614438">
      <w:pPr>
        <w:jc w:val="both"/>
        <w:rPr>
          <w:rFonts w:ascii="Times New Roman" w:hAnsi="Times New Roman" w:cs="Times New Roman"/>
          <w:sz w:val="24"/>
          <w:szCs w:val="24"/>
        </w:rPr>
      </w:pPr>
      <w:bookmarkStart w:id="448" w:name="_Toc154575308"/>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Primary production</w:t>
      </w:r>
      <w:bookmarkEnd w:id="448"/>
    </w:p>
    <w:p w14:paraId="28585909" w14:textId="3DF99B4A"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723776" behindDoc="0" locked="0" layoutInCell="1" allowOverlap="1" wp14:anchorId="22DD5D9C" wp14:editId="39243B09">
                <wp:simplePos x="0" y="0"/>
                <wp:positionH relativeFrom="column">
                  <wp:posOffset>516890</wp:posOffset>
                </wp:positionH>
                <wp:positionV relativeFrom="paragraph">
                  <wp:posOffset>474345</wp:posOffset>
                </wp:positionV>
                <wp:extent cx="3248025" cy="3038475"/>
                <wp:effectExtent l="0" t="0" r="0" b="0"/>
                <wp:wrapNone/>
                <wp:docPr id="41371252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8025" cy="3038475"/>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E40CC10" id="Text Box 15" o:spid="_x0000_s1026" type="#_x0000_t202" style="position:absolute;margin-left:40.7pt;margin-top:37.35pt;width:255.75pt;height:239.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215CDE33" wp14:editId="02C50AAC">
            <wp:extent cx="5981700" cy="4324350"/>
            <wp:effectExtent l="0" t="0" r="0" b="0"/>
            <wp:docPr id="933161921"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7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981700" cy="4324350"/>
                    </a:xfrm>
                    <a:prstGeom prst="rect">
                      <a:avLst/>
                    </a:prstGeom>
                    <a:noFill/>
                    <a:ln>
                      <a:noFill/>
                    </a:ln>
                  </pic:spPr>
                </pic:pic>
              </a:graphicData>
            </a:graphic>
          </wp:inline>
        </w:drawing>
      </w:r>
    </w:p>
    <w:p w14:paraId="605C6C29" w14:textId="6C2EDD19" w:rsidR="00614438" w:rsidRPr="00614438" w:rsidRDefault="00614438" w:rsidP="002304BB">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all </w:t>
      </w:r>
      <w:r w:rsidR="002304BB">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scenarios, total energy imports are equal to 7.6 Mtoe in 2030 (</w:t>
      </w:r>
      <w:r w:rsidR="00FA29EF">
        <w:fldChar w:fldCharType="begin"/>
      </w:r>
      <w:r w:rsidR="00FA29EF">
        <w:instrText xml:space="preserve"> REF _Ref153527847 \h  \* MERGEFORMAT </w:instrText>
      </w:r>
      <w:r w:rsidR="00FA29EF">
        <w:fldChar w:fldCharType="separate"/>
      </w:r>
      <w:r w:rsidRPr="00614438">
        <w:rPr>
          <w:rFonts w:ascii="Times New Roman" w:hAnsi="Times New Roman" w:cs="Times New Roman"/>
          <w:sz w:val="24"/>
          <w:szCs w:val="24"/>
          <w:lang w:val="en-GB"/>
        </w:rPr>
        <w:t>Figure 5.36</w:t>
      </w:r>
      <w:r w:rsidR="00FA29EF">
        <w:fldChar w:fldCharType="end"/>
      </w:r>
      <w:r w:rsidRPr="00614438">
        <w:rPr>
          <w:rFonts w:ascii="Times New Roman" w:hAnsi="Times New Roman" w:cs="Times New Roman"/>
          <w:sz w:val="24"/>
          <w:szCs w:val="24"/>
          <w:lang w:val="en-GB"/>
        </w:rPr>
        <w:t xml:space="preserve">). In 2050, total energy imports will increase only in </w:t>
      </w:r>
      <w:r w:rsidR="00BF02DC">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WEM scenario by 29.2% </w:t>
      </w:r>
      <w:r w:rsidR="00BF02DC">
        <w:rPr>
          <w:rFonts w:ascii="Times New Roman" w:hAnsi="Times New Roman" w:cs="Times New Roman"/>
          <w:sz w:val="24"/>
          <w:szCs w:val="24"/>
          <w:lang w:val="en-GB"/>
        </w:rPr>
        <w:t>to</w:t>
      </w:r>
      <w:r w:rsidRPr="00614438">
        <w:rPr>
          <w:rFonts w:ascii="Times New Roman" w:hAnsi="Times New Roman" w:cs="Times New Roman"/>
          <w:sz w:val="24"/>
          <w:szCs w:val="24"/>
          <w:lang w:val="en-GB"/>
        </w:rPr>
        <w:t xml:space="preserve"> 9.8 Mtoe, compared to 2030 level, while a 11% fall (t</w:t>
      </w:r>
      <w:r w:rsidR="00BF02DC">
        <w:rPr>
          <w:rFonts w:ascii="Times New Roman" w:hAnsi="Times New Roman" w:cs="Times New Roman"/>
          <w:sz w:val="24"/>
          <w:szCs w:val="24"/>
          <w:lang w:val="en-GB"/>
        </w:rPr>
        <w:t>o</w:t>
      </w:r>
      <w:r w:rsidRPr="00614438">
        <w:rPr>
          <w:rFonts w:ascii="Times New Roman" w:hAnsi="Times New Roman" w:cs="Times New Roman"/>
          <w:sz w:val="24"/>
          <w:szCs w:val="24"/>
          <w:lang w:val="en-GB"/>
        </w:rPr>
        <w:t xml:space="preserve"> 6.7 Mtoe) in scenario S and a 18.2% decline (t</w:t>
      </w:r>
      <w:r w:rsidR="00BF02DC">
        <w:rPr>
          <w:rFonts w:ascii="Times New Roman" w:hAnsi="Times New Roman" w:cs="Times New Roman"/>
          <w:sz w:val="24"/>
          <w:szCs w:val="24"/>
          <w:lang w:val="en-GB"/>
        </w:rPr>
        <w:t>o</w:t>
      </w:r>
      <w:r w:rsidRPr="00614438">
        <w:rPr>
          <w:rFonts w:ascii="Times New Roman" w:hAnsi="Times New Roman" w:cs="Times New Roman"/>
          <w:sz w:val="24"/>
          <w:szCs w:val="24"/>
          <w:lang w:val="en-GB"/>
        </w:rPr>
        <w:t xml:space="preserve"> 6.1 Mtoe) in scenario S-N are anticipated. Oil and natural gas are the fuels with the highest contribution in both 2030 and 2050 in scenarios S and S-N.</w:t>
      </w:r>
    </w:p>
    <w:p w14:paraId="68C4F558" w14:textId="086582D4" w:rsidR="00BF02DC" w:rsidRDefault="00BF02DC" w:rsidP="00BF02DC">
      <w:pPr>
        <w:ind w:firstLine="720"/>
        <w:jc w:val="both"/>
        <w:rPr>
          <w:rFonts w:ascii="Times New Roman" w:hAnsi="Times New Roman" w:cs="Times New Roman"/>
          <w:sz w:val="24"/>
          <w:szCs w:val="24"/>
          <w:lang w:val="en-GB"/>
        </w:rPr>
      </w:pPr>
      <w:bookmarkStart w:id="449" w:name="_Ref153527847"/>
      <w:bookmarkStart w:id="450" w:name="_Toc154575309"/>
      <w:r w:rsidRPr="00614438">
        <w:rPr>
          <w:rFonts w:ascii="Times New Roman" w:hAnsi="Times New Roman" w:cs="Times New Roman"/>
          <w:sz w:val="24"/>
          <w:szCs w:val="24"/>
          <w:lang w:val="en-GB"/>
        </w:rPr>
        <w:t xml:space="preserve">Similarly, in </w:t>
      </w:r>
      <w:r>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WEM scenario, total energy exports are equal to 914 ktoe in 2030, </w:t>
      </w:r>
      <w:r w:rsidRPr="00BF02DC">
        <w:rPr>
          <w:rFonts w:ascii="Times New Roman" w:hAnsi="Times New Roman" w:cs="Times New Roman"/>
          <w:sz w:val="24"/>
          <w:szCs w:val="24"/>
          <w:lang w:val="en-GB"/>
        </w:rPr>
        <w:t xml:space="preserve">which is </w:t>
      </w:r>
      <w:r w:rsidRPr="00614438">
        <w:rPr>
          <w:rFonts w:ascii="Times New Roman" w:hAnsi="Times New Roman" w:cs="Times New Roman"/>
          <w:sz w:val="24"/>
          <w:szCs w:val="24"/>
          <w:lang w:val="en-GB"/>
        </w:rPr>
        <w:t>about 12% lower than 1,034 ktoe in scenarios S and S-N over the same year (</w:t>
      </w:r>
      <w:r>
        <w:fldChar w:fldCharType="begin"/>
      </w:r>
      <w:r>
        <w:instrText xml:space="preserve"> REF _Ref153527906 \h  \* MERGEFORMAT </w:instrText>
      </w:r>
      <w:r>
        <w:fldChar w:fldCharType="separate"/>
      </w:r>
      <w:r w:rsidRPr="00614438">
        <w:rPr>
          <w:rFonts w:ascii="Times New Roman" w:hAnsi="Times New Roman" w:cs="Times New Roman"/>
          <w:sz w:val="24"/>
          <w:szCs w:val="24"/>
          <w:lang w:val="en-GB"/>
        </w:rPr>
        <w:t>Figure 5.37</w:t>
      </w:r>
      <w:r>
        <w:fldChar w:fldCharType="end"/>
      </w:r>
      <w:r w:rsidRPr="00614438">
        <w:rPr>
          <w:rFonts w:ascii="Times New Roman" w:hAnsi="Times New Roman" w:cs="Times New Roman"/>
          <w:sz w:val="24"/>
          <w:szCs w:val="24"/>
          <w:lang w:val="en-GB"/>
        </w:rPr>
        <w:t xml:space="preserve">). In 2050, total energy exports will decrease </w:t>
      </w:r>
      <w:r w:rsidRPr="00BF02DC">
        <w:rPr>
          <w:rFonts w:ascii="Times New Roman" w:hAnsi="Times New Roman" w:cs="Times New Roman"/>
          <w:sz w:val="24"/>
          <w:szCs w:val="24"/>
          <w:lang w:val="en-GB"/>
        </w:rPr>
        <w:t xml:space="preserve">in the WEM scenario by 48.6% to 470 ktoe, in the S scenario by 15.8% to 870 ktoe and in the S-N scenario by 12.7% to 903 ktoe. Electricity and oil are the largest contributing fuels in both 2030 and 2050 for all </w:t>
      </w:r>
      <w:r>
        <w:rPr>
          <w:rFonts w:ascii="Times New Roman" w:hAnsi="Times New Roman" w:cs="Times New Roman"/>
          <w:sz w:val="24"/>
          <w:szCs w:val="24"/>
          <w:lang w:val="en-GB"/>
        </w:rPr>
        <w:t xml:space="preserve">the </w:t>
      </w:r>
      <w:r w:rsidRPr="00BF02DC">
        <w:rPr>
          <w:rFonts w:ascii="Times New Roman" w:hAnsi="Times New Roman" w:cs="Times New Roman"/>
          <w:sz w:val="24"/>
          <w:szCs w:val="24"/>
          <w:lang w:val="en-GB"/>
        </w:rPr>
        <w:t>scenarios, but it should be noted that there is an increase in solid fuels in total energy exports in the S-N scenario in 2050.</w:t>
      </w:r>
    </w:p>
    <w:p w14:paraId="54AE3C15" w14:textId="77777777" w:rsidR="00614438" w:rsidRPr="00614438" w:rsidRDefault="00614438" w:rsidP="00614438">
      <w:pPr>
        <w:jc w:val="both"/>
        <w:rPr>
          <w:rFonts w:ascii="Times New Roman" w:hAnsi="Times New Roman" w:cs="Times New Roman"/>
          <w:sz w:val="24"/>
          <w:szCs w:val="24"/>
        </w:rPr>
      </w:pPr>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36</w:t>
      </w:r>
      <w:r w:rsidR="00C83251" w:rsidRPr="00614438">
        <w:rPr>
          <w:rFonts w:ascii="Times New Roman" w:hAnsi="Times New Roman" w:cs="Times New Roman"/>
          <w:sz w:val="24"/>
          <w:szCs w:val="24"/>
        </w:rPr>
        <w:fldChar w:fldCharType="end"/>
      </w:r>
      <w:bookmarkEnd w:id="449"/>
      <w:r w:rsidRPr="00614438">
        <w:rPr>
          <w:rFonts w:ascii="Times New Roman" w:hAnsi="Times New Roman" w:cs="Times New Roman"/>
          <w:sz w:val="24"/>
          <w:szCs w:val="24"/>
        </w:rPr>
        <w:t>: Energy imports per fuel</w:t>
      </w:r>
      <w:bookmarkEnd w:id="450"/>
    </w:p>
    <w:p w14:paraId="3B43CDA4" w14:textId="175FD041"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659264" behindDoc="0" locked="0" layoutInCell="1" allowOverlap="1" wp14:anchorId="5C37082D" wp14:editId="0BE97CA7">
                <wp:simplePos x="0" y="0"/>
                <wp:positionH relativeFrom="column">
                  <wp:posOffset>895985</wp:posOffset>
                </wp:positionH>
                <wp:positionV relativeFrom="paragraph">
                  <wp:posOffset>262255</wp:posOffset>
                </wp:positionV>
                <wp:extent cx="2771775" cy="2048510"/>
                <wp:effectExtent l="0" t="0" r="0" b="0"/>
                <wp:wrapNone/>
                <wp:docPr id="100748610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1775" cy="204851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CCDDD42" id="Text Box 13" o:spid="_x0000_s1026" type="#_x0000_t202" style="position:absolute;margin-left:70.55pt;margin-top:20.65pt;width:218.25pt;height:161.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4641A02F" wp14:editId="006FE3EE">
            <wp:extent cx="5095875" cy="2962275"/>
            <wp:effectExtent l="0" t="0" r="9525" b="9525"/>
            <wp:docPr id="114030373"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7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095875" cy="2962275"/>
                    </a:xfrm>
                    <a:prstGeom prst="rect">
                      <a:avLst/>
                    </a:prstGeom>
                    <a:noFill/>
                    <a:ln>
                      <a:noFill/>
                    </a:ln>
                  </pic:spPr>
                </pic:pic>
              </a:graphicData>
            </a:graphic>
          </wp:inline>
        </w:drawing>
      </w:r>
    </w:p>
    <w:p w14:paraId="0FC8E4ED" w14:textId="77777777" w:rsidR="00614438" w:rsidRPr="00614438" w:rsidRDefault="00614438" w:rsidP="00614438">
      <w:pPr>
        <w:jc w:val="both"/>
        <w:rPr>
          <w:rFonts w:ascii="Times New Roman" w:hAnsi="Times New Roman" w:cs="Times New Roman"/>
          <w:sz w:val="24"/>
          <w:szCs w:val="24"/>
        </w:rPr>
      </w:pPr>
      <w:bookmarkStart w:id="451" w:name="_Ref153527906"/>
      <w:bookmarkStart w:id="452" w:name="_Toc154575310"/>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37</w:t>
      </w:r>
      <w:r w:rsidR="00C83251" w:rsidRPr="00614438">
        <w:rPr>
          <w:rFonts w:ascii="Times New Roman" w:hAnsi="Times New Roman" w:cs="Times New Roman"/>
          <w:sz w:val="24"/>
          <w:szCs w:val="24"/>
        </w:rPr>
        <w:fldChar w:fldCharType="end"/>
      </w:r>
      <w:bookmarkEnd w:id="451"/>
      <w:r w:rsidRPr="00614438">
        <w:rPr>
          <w:rFonts w:ascii="Times New Roman" w:hAnsi="Times New Roman" w:cs="Times New Roman"/>
          <w:sz w:val="24"/>
          <w:szCs w:val="24"/>
        </w:rPr>
        <w:t>: Energy exports per fuel</w:t>
      </w:r>
      <w:bookmarkEnd w:id="452"/>
    </w:p>
    <w:p w14:paraId="29030AD3" w14:textId="4A774412"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724800" behindDoc="0" locked="0" layoutInCell="1" allowOverlap="1" wp14:anchorId="619ABA2B" wp14:editId="12D32D23">
                <wp:simplePos x="0" y="0"/>
                <wp:positionH relativeFrom="column">
                  <wp:posOffset>991870</wp:posOffset>
                </wp:positionH>
                <wp:positionV relativeFrom="paragraph">
                  <wp:posOffset>230505</wp:posOffset>
                </wp:positionV>
                <wp:extent cx="2633345" cy="3138170"/>
                <wp:effectExtent l="0" t="0" r="0" b="0"/>
                <wp:wrapNone/>
                <wp:docPr id="111358746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3345" cy="313817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9E98675" id="Text Box 11" o:spid="_x0000_s1026" type="#_x0000_t202" style="position:absolute;margin-left:78.1pt;margin-top:18.15pt;width:207.35pt;height:247.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" fillcolor="#a6a6a6" stroked="f">
                <v:fill opacity="32896f"/>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07E4FF8E" wp14:editId="772CAEB1">
            <wp:extent cx="4819650" cy="3752850"/>
            <wp:effectExtent l="0" t="0" r="0" b="0"/>
            <wp:docPr id="102381122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7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819650" cy="3752850"/>
                    </a:xfrm>
                    <a:prstGeom prst="rect">
                      <a:avLst/>
                    </a:prstGeom>
                    <a:noFill/>
                    <a:ln>
                      <a:noFill/>
                    </a:ln>
                  </pic:spPr>
                </pic:pic>
              </a:graphicData>
            </a:graphic>
          </wp:inline>
        </w:drawing>
      </w:r>
    </w:p>
    <w:p w14:paraId="74C3195D" w14:textId="378D7420" w:rsidR="00614438" w:rsidRPr="00614438" w:rsidRDefault="00614438" w:rsidP="00BF02DC">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Total net energy imports in </w:t>
      </w:r>
      <w:r w:rsidR="00BF02DC">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WEM scenario are equal to 6.7 Mtoe in 2030, </w:t>
      </w:r>
      <w:r w:rsidR="00BF02DC">
        <w:rPr>
          <w:rFonts w:ascii="Times New Roman" w:hAnsi="Times New Roman" w:cs="Times New Roman"/>
          <w:sz w:val="24"/>
          <w:szCs w:val="24"/>
          <w:lang w:val="en-GB"/>
        </w:rPr>
        <w:t xml:space="preserve">which is </w:t>
      </w:r>
      <w:r w:rsidRPr="00614438">
        <w:rPr>
          <w:rFonts w:ascii="Times New Roman" w:hAnsi="Times New Roman" w:cs="Times New Roman"/>
          <w:sz w:val="24"/>
          <w:szCs w:val="24"/>
          <w:lang w:val="en-GB"/>
        </w:rPr>
        <w:t>almost the same, compared with scenarios S and S-N over the same year (</w:t>
      </w:r>
      <w:r w:rsidR="00FA29EF">
        <w:fldChar w:fldCharType="begin"/>
      </w:r>
      <w:r w:rsidR="00FA29EF">
        <w:instrText xml:space="preserve"> REF _Ref153527978 \h  \* MERGEFORMAT </w:instrText>
      </w:r>
      <w:r w:rsidR="00FA29EF">
        <w:fldChar w:fldCharType="separate"/>
      </w:r>
      <w:r w:rsidRPr="00614438">
        <w:rPr>
          <w:rFonts w:ascii="Times New Roman" w:hAnsi="Times New Roman" w:cs="Times New Roman"/>
          <w:sz w:val="24"/>
          <w:szCs w:val="24"/>
          <w:lang w:val="en-GB"/>
        </w:rPr>
        <w:t>Figure 5.38</w:t>
      </w:r>
      <w:r w:rsidR="00FA29EF">
        <w:fldChar w:fldCharType="end"/>
      </w:r>
      <w:r w:rsidRPr="00614438">
        <w:rPr>
          <w:rFonts w:ascii="Times New Roman" w:hAnsi="Times New Roman" w:cs="Times New Roman"/>
          <w:sz w:val="24"/>
          <w:szCs w:val="24"/>
          <w:lang w:val="en-GB"/>
        </w:rPr>
        <w:t xml:space="preserve">). In 2050, total net energy imports will increase only in </w:t>
      </w:r>
      <w:r w:rsidR="00BF02DC">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WEM scenario by 39.9% </w:t>
      </w:r>
      <w:r w:rsidR="00BF02DC">
        <w:rPr>
          <w:rFonts w:ascii="Times New Roman" w:hAnsi="Times New Roman" w:cs="Times New Roman"/>
          <w:sz w:val="24"/>
          <w:szCs w:val="24"/>
          <w:lang w:val="en-GB"/>
        </w:rPr>
        <w:t>to</w:t>
      </w:r>
      <w:r w:rsidRPr="00614438">
        <w:rPr>
          <w:rFonts w:ascii="Times New Roman" w:hAnsi="Times New Roman" w:cs="Times New Roman"/>
          <w:sz w:val="24"/>
          <w:szCs w:val="24"/>
          <w:lang w:val="en-GB"/>
        </w:rPr>
        <w:t xml:space="preserve"> 9.3 Mtoe, compared to </w:t>
      </w:r>
      <w:r w:rsidR="00BF02DC">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2030 level, while a 10.2% fall (</w:t>
      </w:r>
      <w:r w:rsidR="00BF02DC">
        <w:rPr>
          <w:rFonts w:ascii="Times New Roman" w:hAnsi="Times New Roman" w:cs="Times New Roman"/>
          <w:sz w:val="24"/>
          <w:szCs w:val="24"/>
          <w:lang w:val="en-GB"/>
        </w:rPr>
        <w:t>to</w:t>
      </w:r>
      <w:r w:rsidRPr="00614438">
        <w:rPr>
          <w:rFonts w:ascii="Times New Roman" w:hAnsi="Times New Roman" w:cs="Times New Roman"/>
          <w:sz w:val="24"/>
          <w:szCs w:val="24"/>
          <w:lang w:val="en-GB"/>
        </w:rPr>
        <w:t xml:space="preserve"> 5.8 Mtoe) in scenario S and a 19.1% decline (</w:t>
      </w:r>
      <w:r w:rsidR="00BF02DC">
        <w:rPr>
          <w:rFonts w:ascii="Times New Roman" w:hAnsi="Times New Roman" w:cs="Times New Roman"/>
          <w:sz w:val="24"/>
          <w:szCs w:val="24"/>
          <w:lang w:val="en-GB"/>
        </w:rPr>
        <w:t>to</w:t>
      </w:r>
      <w:r w:rsidRPr="00614438">
        <w:rPr>
          <w:rFonts w:ascii="Times New Roman" w:hAnsi="Times New Roman" w:cs="Times New Roman"/>
          <w:sz w:val="24"/>
          <w:szCs w:val="24"/>
          <w:lang w:val="en-GB"/>
        </w:rPr>
        <w:t xml:space="preserve"> 3.7 Mtoe) in scenario S-N are anticipated.</w:t>
      </w:r>
    </w:p>
    <w:p w14:paraId="7BB10762" w14:textId="77777777" w:rsidR="00614438" w:rsidRPr="00614438" w:rsidRDefault="00614438" w:rsidP="00614438">
      <w:pPr>
        <w:jc w:val="both"/>
        <w:rPr>
          <w:rFonts w:ascii="Times New Roman" w:hAnsi="Times New Roman" w:cs="Times New Roman"/>
          <w:sz w:val="24"/>
          <w:szCs w:val="24"/>
        </w:rPr>
      </w:pPr>
      <w:bookmarkStart w:id="453" w:name="_Ref153527978"/>
      <w:bookmarkStart w:id="454" w:name="_Toc154575311"/>
      <w:bookmarkStart w:id="455" w:name="_Hlk148953328"/>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38</w:t>
      </w:r>
      <w:r w:rsidR="00C83251" w:rsidRPr="00614438">
        <w:rPr>
          <w:rFonts w:ascii="Times New Roman" w:hAnsi="Times New Roman" w:cs="Times New Roman"/>
          <w:sz w:val="24"/>
          <w:szCs w:val="24"/>
        </w:rPr>
        <w:fldChar w:fldCharType="end"/>
      </w:r>
      <w:bookmarkEnd w:id="453"/>
      <w:r w:rsidRPr="00614438">
        <w:rPr>
          <w:rFonts w:ascii="Times New Roman" w:hAnsi="Times New Roman" w:cs="Times New Roman"/>
          <w:sz w:val="24"/>
          <w:szCs w:val="24"/>
        </w:rPr>
        <w:t>: Imports, exports and net imports</w:t>
      </w:r>
      <w:bookmarkEnd w:id="454"/>
    </w:p>
    <w:bookmarkEnd w:id="455"/>
    <w:p w14:paraId="51752B85" w14:textId="77D065A6"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725824" behindDoc="0" locked="0" layoutInCell="1" allowOverlap="1" wp14:anchorId="0836C0C7" wp14:editId="3BD1B9C4">
                <wp:simplePos x="0" y="0"/>
                <wp:positionH relativeFrom="margin">
                  <wp:posOffset>55245</wp:posOffset>
                </wp:positionH>
                <wp:positionV relativeFrom="paragraph">
                  <wp:posOffset>262890</wp:posOffset>
                </wp:positionV>
                <wp:extent cx="3613785" cy="2677160"/>
                <wp:effectExtent l="0" t="0" r="0" b="0"/>
                <wp:wrapNone/>
                <wp:docPr id="46702121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3785" cy="267716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A6E169C" id="Text Box 9" o:spid="_x0000_s1026" type="#_x0000_t202" style="position:absolute;margin-left:4.35pt;margin-top:20.7pt;width:284.55pt;height:210.8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" fillcolor="#a6a6a6" stroked="f">
                <v:fill opacity="32896f"/>
                <w10:wrap anchorx="margin"/>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378E4B2A" wp14:editId="68E65EED">
            <wp:extent cx="6120130" cy="2895600"/>
            <wp:effectExtent l="0" t="0" r="0" b="0"/>
            <wp:docPr id="1608821133"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7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120130" cy="2895600"/>
                    </a:xfrm>
                    <a:prstGeom prst="rect">
                      <a:avLst/>
                    </a:prstGeom>
                    <a:noFill/>
                    <a:ln>
                      <a:noFill/>
                    </a:ln>
                  </pic:spPr>
                </pic:pic>
              </a:graphicData>
            </a:graphic>
          </wp:inline>
        </w:drawing>
      </w:r>
    </w:p>
    <w:p w14:paraId="17135CF8" w14:textId="2B0BC6F7" w:rsidR="00614438" w:rsidRDefault="00614438" w:rsidP="00BF02DC">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In </w:t>
      </w:r>
      <w:r w:rsidR="00BF02DC">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WEM scenario, total transformation input in electricity sector reaches 7.9 Mtoe in 2030, decreasing by 0.9% at 7.8 Mtoe in 2050. It should be noted that this refers only to conventional and bioenergy fuel inputs to the electricity plants, while wind, solar and hydro plants are not included, as they do not have any fuel input. By 2050, total transformation input in electricity sector decreases substantially in scenarios S and S-N by 77.5% and 86.7% respectively, reaching 1.1 Mtoe and 670 ktoe accordingly. </w:t>
      </w:r>
      <w:r w:rsidR="00BF02DC" w:rsidRPr="00BF02DC">
        <w:rPr>
          <w:rFonts w:ascii="Times New Roman" w:hAnsi="Times New Roman" w:cs="Times New Roman"/>
          <w:sz w:val="24"/>
          <w:szCs w:val="24"/>
          <w:lang w:val="en-GB"/>
        </w:rPr>
        <w:t xml:space="preserve">Producers for whom the main activity </w:t>
      </w:r>
      <w:r w:rsidR="00BF02DC">
        <w:rPr>
          <w:rFonts w:ascii="Times New Roman" w:hAnsi="Times New Roman" w:cs="Times New Roman"/>
          <w:sz w:val="24"/>
          <w:szCs w:val="24"/>
          <w:lang w:val="en-GB"/>
        </w:rPr>
        <w:t xml:space="preserve">is </w:t>
      </w:r>
      <w:r w:rsidRPr="00614438">
        <w:rPr>
          <w:rFonts w:ascii="Times New Roman" w:hAnsi="Times New Roman" w:cs="Times New Roman"/>
          <w:sz w:val="24"/>
          <w:szCs w:val="24"/>
          <w:lang w:val="en-GB"/>
        </w:rPr>
        <w:t xml:space="preserve">conventional thermal power stations contribute the majority of the transformation input in electricity sector </w:t>
      </w:r>
      <w:r w:rsidR="00BF02DC">
        <w:rPr>
          <w:rFonts w:ascii="Times New Roman" w:hAnsi="Times New Roman" w:cs="Times New Roman"/>
          <w:sz w:val="24"/>
          <w:szCs w:val="24"/>
          <w:lang w:val="en-GB"/>
        </w:rPr>
        <w:t>during</w:t>
      </w:r>
      <w:r w:rsidRPr="00614438">
        <w:rPr>
          <w:rFonts w:ascii="Times New Roman" w:hAnsi="Times New Roman" w:cs="Times New Roman"/>
          <w:sz w:val="24"/>
          <w:szCs w:val="24"/>
          <w:lang w:val="en-GB"/>
        </w:rPr>
        <w:t xml:space="preserve"> the projection period.</w:t>
      </w:r>
    </w:p>
    <w:p w14:paraId="2B4983DA" w14:textId="0E6B0554" w:rsidR="00BF02DC" w:rsidRPr="00614438" w:rsidRDefault="00BF02DC" w:rsidP="00BF02DC">
      <w:pPr>
        <w:ind w:firstLine="720"/>
        <w:jc w:val="both"/>
        <w:rPr>
          <w:rFonts w:ascii="Times New Roman" w:hAnsi="Times New Roman" w:cs="Times New Roman"/>
          <w:sz w:val="24"/>
          <w:szCs w:val="24"/>
          <w:lang w:val="en-GB"/>
        </w:rPr>
      </w:pPr>
      <w:bookmarkStart w:id="456" w:name="_Ref153528041"/>
      <w:bookmarkStart w:id="457" w:name="_Toc154575312"/>
      <w:r w:rsidRPr="00614438">
        <w:rPr>
          <w:rFonts w:ascii="Times New Roman" w:hAnsi="Times New Roman" w:cs="Times New Roman"/>
          <w:sz w:val="24"/>
          <w:szCs w:val="24"/>
          <w:lang w:val="en-GB"/>
        </w:rPr>
        <w:t xml:space="preserve">Similarly, total transformation output in </w:t>
      </w:r>
      <w:r>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electricity sector in </w:t>
      </w:r>
      <w:r>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 xml:space="preserve">WEM scenario reaches 2.8 Mtoe in 2030, </w:t>
      </w:r>
      <w:r>
        <w:rPr>
          <w:rFonts w:ascii="Times New Roman" w:hAnsi="Times New Roman" w:cs="Times New Roman"/>
          <w:sz w:val="24"/>
          <w:szCs w:val="24"/>
          <w:lang w:val="en-GB"/>
        </w:rPr>
        <w:t xml:space="preserve">which is an </w:t>
      </w:r>
      <w:r w:rsidRPr="00614438">
        <w:rPr>
          <w:rFonts w:ascii="Times New Roman" w:hAnsi="Times New Roman" w:cs="Times New Roman"/>
          <w:sz w:val="24"/>
          <w:szCs w:val="24"/>
          <w:lang w:val="en-GB"/>
        </w:rPr>
        <w:t>increas</w:t>
      </w:r>
      <w:r>
        <w:rPr>
          <w:rFonts w:ascii="Times New Roman" w:hAnsi="Times New Roman" w:cs="Times New Roman"/>
          <w:sz w:val="24"/>
          <w:szCs w:val="24"/>
          <w:lang w:val="en-GB"/>
        </w:rPr>
        <w:t>e of</w:t>
      </w:r>
      <w:r w:rsidRPr="00614438">
        <w:rPr>
          <w:rFonts w:ascii="Times New Roman" w:hAnsi="Times New Roman" w:cs="Times New Roman"/>
          <w:sz w:val="24"/>
          <w:szCs w:val="24"/>
          <w:lang w:val="en-GB"/>
        </w:rPr>
        <w:t xml:space="preserve"> 3% t</w:t>
      </w:r>
      <w:r>
        <w:rPr>
          <w:rFonts w:ascii="Times New Roman" w:hAnsi="Times New Roman" w:cs="Times New Roman"/>
          <w:sz w:val="24"/>
          <w:szCs w:val="24"/>
          <w:lang w:val="en-GB"/>
        </w:rPr>
        <w:t>o</w:t>
      </w:r>
      <w:r w:rsidRPr="00614438">
        <w:rPr>
          <w:rFonts w:ascii="Times New Roman" w:hAnsi="Times New Roman" w:cs="Times New Roman"/>
          <w:sz w:val="24"/>
          <w:szCs w:val="24"/>
          <w:lang w:val="en-GB"/>
        </w:rPr>
        <w:t xml:space="preserve"> 2.9 Mtoe in 2050 (</w:t>
      </w:r>
      <w:r>
        <w:fldChar w:fldCharType="begin"/>
      </w:r>
      <w:r>
        <w:instrText xml:space="preserve"> REF _Ref153528165 \h  \* MERGEFORMAT </w:instrText>
      </w:r>
      <w:r>
        <w:fldChar w:fldCharType="separate"/>
      </w:r>
      <w:r w:rsidRPr="00614438">
        <w:rPr>
          <w:rFonts w:ascii="Times New Roman" w:hAnsi="Times New Roman" w:cs="Times New Roman"/>
          <w:sz w:val="24"/>
          <w:szCs w:val="24"/>
          <w:lang w:val="en-GB"/>
        </w:rPr>
        <w:t>Figure 5.40</w:t>
      </w:r>
      <w:r>
        <w:fldChar w:fldCharType="end"/>
      </w:r>
      <w:r w:rsidRPr="00614438">
        <w:rPr>
          <w:rFonts w:ascii="Times New Roman" w:hAnsi="Times New Roman" w:cs="Times New Roman"/>
          <w:sz w:val="24"/>
          <w:szCs w:val="24"/>
          <w:lang w:val="en-GB"/>
        </w:rPr>
        <w:t xml:space="preserve">). By 2050, total transformation output in electricity sector decreases substantially in scenarios S and S-N by 71.7% and 84.6% respectively, reaching 551 ktoe and 300 ktoe accordingly. </w:t>
      </w:r>
      <w:r w:rsidRPr="00BF02DC">
        <w:rPr>
          <w:rFonts w:ascii="Times New Roman" w:hAnsi="Times New Roman" w:cs="Times New Roman"/>
          <w:sz w:val="24"/>
          <w:szCs w:val="24"/>
          <w:lang w:val="en-GB"/>
        </w:rPr>
        <w:t xml:space="preserve">Producers for whom the main activity </w:t>
      </w:r>
      <w:r>
        <w:rPr>
          <w:rFonts w:ascii="Times New Roman" w:hAnsi="Times New Roman" w:cs="Times New Roman"/>
          <w:sz w:val="24"/>
          <w:szCs w:val="24"/>
          <w:lang w:val="en-GB"/>
        </w:rPr>
        <w:t xml:space="preserve">is </w:t>
      </w:r>
      <w:r w:rsidRPr="00614438">
        <w:rPr>
          <w:rFonts w:ascii="Times New Roman" w:hAnsi="Times New Roman" w:cs="Times New Roman"/>
          <w:sz w:val="24"/>
          <w:szCs w:val="24"/>
          <w:lang w:val="en-GB"/>
        </w:rPr>
        <w:t xml:space="preserve">conventional thermal power stations contribute the majority of the transformation input in electricity sector </w:t>
      </w:r>
      <w:r>
        <w:rPr>
          <w:rFonts w:ascii="Times New Roman" w:hAnsi="Times New Roman" w:cs="Times New Roman"/>
          <w:sz w:val="24"/>
          <w:szCs w:val="24"/>
          <w:lang w:val="en-GB"/>
        </w:rPr>
        <w:t>during</w:t>
      </w:r>
      <w:r w:rsidRPr="00614438">
        <w:rPr>
          <w:rFonts w:ascii="Times New Roman" w:hAnsi="Times New Roman" w:cs="Times New Roman"/>
          <w:sz w:val="24"/>
          <w:szCs w:val="24"/>
          <w:lang w:val="en-GB"/>
        </w:rPr>
        <w:t xml:space="preserve"> the projection period. It should be noted that this refers only to conventional and bioenergy fired plants outputs and does not include the output of wind, solar and hydro plants.</w:t>
      </w:r>
    </w:p>
    <w:p w14:paraId="5CE24CCA" w14:textId="77777777" w:rsidR="00614438" w:rsidRPr="00614438" w:rsidRDefault="00614438" w:rsidP="00614438">
      <w:pPr>
        <w:jc w:val="both"/>
        <w:rPr>
          <w:rFonts w:ascii="Times New Roman" w:hAnsi="Times New Roman" w:cs="Times New Roman"/>
          <w:sz w:val="24"/>
          <w:szCs w:val="24"/>
        </w:rPr>
      </w:pPr>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39</w:t>
      </w:r>
      <w:r w:rsidR="00C83251" w:rsidRPr="00614438">
        <w:rPr>
          <w:rFonts w:ascii="Times New Roman" w:hAnsi="Times New Roman" w:cs="Times New Roman"/>
          <w:sz w:val="24"/>
          <w:szCs w:val="24"/>
        </w:rPr>
        <w:fldChar w:fldCharType="end"/>
      </w:r>
      <w:bookmarkEnd w:id="456"/>
      <w:r w:rsidRPr="00614438">
        <w:rPr>
          <w:rFonts w:ascii="Times New Roman" w:hAnsi="Times New Roman" w:cs="Times New Roman"/>
          <w:sz w:val="24"/>
          <w:szCs w:val="24"/>
        </w:rPr>
        <w:t>: Transformation input in electricity sector</w:t>
      </w:r>
      <w:bookmarkEnd w:id="457"/>
    </w:p>
    <w:p w14:paraId="70A8D226" w14:textId="483956AC"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726848" behindDoc="0" locked="0" layoutInCell="1" allowOverlap="1" wp14:anchorId="68D48DAD" wp14:editId="385FA492">
                <wp:simplePos x="0" y="0"/>
                <wp:positionH relativeFrom="margin">
                  <wp:posOffset>443230</wp:posOffset>
                </wp:positionH>
                <wp:positionV relativeFrom="paragraph">
                  <wp:posOffset>236220</wp:posOffset>
                </wp:positionV>
                <wp:extent cx="3350260" cy="2691765"/>
                <wp:effectExtent l="0" t="0" r="0" b="0"/>
                <wp:wrapNone/>
                <wp:docPr id="172113055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0260" cy="2691765"/>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A70A426" id="Text Box 7" o:spid="_x0000_s1026" type="#_x0000_t202" style="position:absolute;margin-left:34.9pt;margin-top:18.6pt;width:263.8pt;height:211.9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" fillcolor="#a6a6a6" stroked="f">
                <v:fill opacity="32896f"/>
                <w10:wrap anchorx="margin"/>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3D4C0F0C" wp14:editId="29EA1A19">
            <wp:extent cx="6057900" cy="3609975"/>
            <wp:effectExtent l="0" t="0" r="0" b="9525"/>
            <wp:docPr id="671436372"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7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057900" cy="3609975"/>
                    </a:xfrm>
                    <a:prstGeom prst="rect">
                      <a:avLst/>
                    </a:prstGeom>
                    <a:noFill/>
                    <a:ln>
                      <a:noFill/>
                    </a:ln>
                  </pic:spPr>
                </pic:pic>
              </a:graphicData>
            </a:graphic>
          </wp:inline>
        </w:drawing>
      </w:r>
    </w:p>
    <w:p w14:paraId="42720525" w14:textId="2939EF79" w:rsidR="00BF02DC" w:rsidRPr="00614438" w:rsidRDefault="00BF02DC" w:rsidP="00BF02DC">
      <w:pPr>
        <w:ind w:firstLine="720"/>
        <w:jc w:val="both"/>
        <w:rPr>
          <w:rFonts w:ascii="Times New Roman" w:hAnsi="Times New Roman" w:cs="Times New Roman"/>
          <w:sz w:val="24"/>
          <w:szCs w:val="24"/>
          <w:lang w:val="en-GB"/>
        </w:rPr>
      </w:pPr>
      <w:bookmarkStart w:id="458" w:name="_Ref153528165"/>
      <w:bookmarkStart w:id="459" w:name="_Toc154575313"/>
      <w:r w:rsidRPr="00614438">
        <w:rPr>
          <w:rFonts w:ascii="Times New Roman" w:hAnsi="Times New Roman" w:cs="Times New Roman"/>
          <w:sz w:val="24"/>
          <w:szCs w:val="24"/>
          <w:lang w:val="en-GB"/>
        </w:rPr>
        <w:t>In scenarios S and S-N, total electricity network losses as a percentage of total electricity generation reach about 14% in 2030, while decreasing by 2050 t</w:t>
      </w:r>
      <w:r>
        <w:rPr>
          <w:rFonts w:ascii="Times New Roman" w:hAnsi="Times New Roman" w:cs="Times New Roman"/>
          <w:sz w:val="24"/>
          <w:szCs w:val="24"/>
          <w:lang w:val="en-GB"/>
        </w:rPr>
        <w:t>o</w:t>
      </w:r>
      <w:r w:rsidRPr="00614438">
        <w:rPr>
          <w:rFonts w:ascii="Times New Roman" w:hAnsi="Times New Roman" w:cs="Times New Roman"/>
          <w:sz w:val="24"/>
          <w:szCs w:val="24"/>
          <w:lang w:val="en-GB"/>
        </w:rPr>
        <w:t xml:space="preserve"> about 10% (</w:t>
      </w:r>
      <w:r>
        <w:fldChar w:fldCharType="begin"/>
      </w:r>
      <w:r>
        <w:instrText xml:space="preserve"> REF _Ref153528263 \h  \* MERGEFORMAT </w:instrText>
      </w:r>
      <w:r>
        <w:fldChar w:fldCharType="separate"/>
      </w:r>
      <w:r w:rsidRPr="00614438">
        <w:rPr>
          <w:rFonts w:ascii="Times New Roman" w:hAnsi="Times New Roman" w:cs="Times New Roman"/>
          <w:sz w:val="24"/>
          <w:szCs w:val="24"/>
          <w:lang w:val="en-GB"/>
        </w:rPr>
        <w:t>Figure 5.41</w:t>
      </w:r>
      <w:r>
        <w:fldChar w:fldCharType="end"/>
      </w:r>
      <w:r w:rsidRPr="00614438">
        <w:rPr>
          <w:rFonts w:ascii="Times New Roman" w:hAnsi="Times New Roman" w:cs="Times New Roman"/>
          <w:sz w:val="24"/>
          <w:szCs w:val="24"/>
          <w:lang w:val="en-GB"/>
        </w:rPr>
        <w:t xml:space="preserve">). In </w:t>
      </w:r>
      <w:r>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WEM scenario, total electricity network losses remain stable at 12% in 2030, 2035 and 2040 and at 11% in 2045 and 2050. Distribution network losses contribute the majority of the total electricity network losses throughout the projection period.</w:t>
      </w:r>
    </w:p>
    <w:p w14:paraId="793A342B" w14:textId="61338524" w:rsidR="00614438" w:rsidRPr="00614438" w:rsidRDefault="00614438" w:rsidP="00614438">
      <w:pPr>
        <w:jc w:val="both"/>
        <w:rPr>
          <w:rFonts w:ascii="Times New Roman" w:hAnsi="Times New Roman" w:cs="Times New Roman"/>
          <w:sz w:val="24"/>
          <w:szCs w:val="24"/>
        </w:rPr>
      </w:pPr>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40</w:t>
      </w:r>
      <w:r w:rsidR="00C83251" w:rsidRPr="00614438">
        <w:rPr>
          <w:rFonts w:ascii="Times New Roman" w:hAnsi="Times New Roman" w:cs="Times New Roman"/>
          <w:sz w:val="24"/>
          <w:szCs w:val="24"/>
        </w:rPr>
        <w:fldChar w:fldCharType="end"/>
      </w:r>
      <w:bookmarkEnd w:id="458"/>
      <w:r w:rsidRPr="00614438">
        <w:rPr>
          <w:rFonts w:ascii="Times New Roman" w:hAnsi="Times New Roman" w:cs="Times New Roman"/>
          <w:sz w:val="24"/>
          <w:szCs w:val="24"/>
        </w:rPr>
        <w:t xml:space="preserve">: Transformation output in </w:t>
      </w:r>
      <w:r w:rsidR="00BF02DC">
        <w:rPr>
          <w:rFonts w:ascii="Times New Roman" w:hAnsi="Times New Roman" w:cs="Times New Roman"/>
          <w:sz w:val="24"/>
          <w:szCs w:val="24"/>
        </w:rPr>
        <w:t xml:space="preserve">the </w:t>
      </w:r>
      <w:r w:rsidRPr="00614438">
        <w:rPr>
          <w:rFonts w:ascii="Times New Roman" w:hAnsi="Times New Roman" w:cs="Times New Roman"/>
          <w:sz w:val="24"/>
          <w:szCs w:val="24"/>
        </w:rPr>
        <w:t>electricity sector</w:t>
      </w:r>
      <w:bookmarkEnd w:id="459"/>
    </w:p>
    <w:p w14:paraId="48F049C2" w14:textId="0E065E04"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727872" behindDoc="0" locked="0" layoutInCell="1" allowOverlap="1" wp14:anchorId="14F809A6" wp14:editId="7ED6B5B8">
                <wp:simplePos x="0" y="0"/>
                <wp:positionH relativeFrom="margin">
                  <wp:posOffset>1018540</wp:posOffset>
                </wp:positionH>
                <wp:positionV relativeFrom="paragraph">
                  <wp:posOffset>159385</wp:posOffset>
                </wp:positionV>
                <wp:extent cx="2591435" cy="2719070"/>
                <wp:effectExtent l="0" t="0" r="0" b="0"/>
                <wp:wrapNone/>
                <wp:docPr id="129177528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1435" cy="271907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70FEF45" id="Text Box 5" o:spid="_x0000_s1026" type="#_x0000_t202" style="position:absolute;margin-left:80.2pt;margin-top:12.55pt;width:204.05pt;height:214.1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" fillcolor="#a6a6a6" stroked="f">
                <v:fill opacity="32896f"/>
                <w10:wrap anchorx="margin"/>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0A96F39C" wp14:editId="5C0C5407">
            <wp:extent cx="4638675" cy="3057525"/>
            <wp:effectExtent l="0" t="0" r="9525" b="9525"/>
            <wp:docPr id="1009933386"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638675" cy="3057525"/>
                    </a:xfrm>
                    <a:prstGeom prst="rect">
                      <a:avLst/>
                    </a:prstGeom>
                    <a:noFill/>
                    <a:ln>
                      <a:noFill/>
                    </a:ln>
                  </pic:spPr>
                </pic:pic>
              </a:graphicData>
            </a:graphic>
          </wp:inline>
        </w:drawing>
      </w:r>
    </w:p>
    <w:p w14:paraId="570EDDE3" w14:textId="77777777" w:rsidR="00614438" w:rsidRPr="00614438" w:rsidRDefault="00614438" w:rsidP="00614438">
      <w:pPr>
        <w:jc w:val="both"/>
        <w:rPr>
          <w:rFonts w:ascii="Times New Roman" w:hAnsi="Times New Roman" w:cs="Times New Roman"/>
          <w:sz w:val="24"/>
          <w:szCs w:val="24"/>
        </w:rPr>
      </w:pPr>
      <w:bookmarkStart w:id="460" w:name="_Ref153528263"/>
      <w:bookmarkStart w:id="461" w:name="_Toc154575314"/>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41</w:t>
      </w:r>
      <w:r w:rsidR="00C83251" w:rsidRPr="00614438">
        <w:rPr>
          <w:rFonts w:ascii="Times New Roman" w:hAnsi="Times New Roman" w:cs="Times New Roman"/>
          <w:sz w:val="24"/>
          <w:szCs w:val="24"/>
        </w:rPr>
        <w:fldChar w:fldCharType="end"/>
      </w:r>
      <w:bookmarkEnd w:id="460"/>
      <w:r w:rsidRPr="00614438">
        <w:rPr>
          <w:rFonts w:ascii="Times New Roman" w:hAnsi="Times New Roman" w:cs="Times New Roman"/>
          <w:sz w:val="24"/>
          <w:szCs w:val="24"/>
        </w:rPr>
        <w:t>: Total electricity network losses</w:t>
      </w:r>
      <w:bookmarkEnd w:id="461"/>
    </w:p>
    <w:p w14:paraId="706323DB" w14:textId="5C41AD93"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mc:AlternateContent>
          <mc:Choice Requires="wps">
            <w:drawing>
              <wp:anchor distT="0" distB="0" distL="114300" distR="114300" simplePos="0" relativeHeight="251728896" behindDoc="0" locked="0" layoutInCell="1" allowOverlap="1" wp14:anchorId="60007EC3" wp14:editId="0CF2DE2A">
                <wp:simplePos x="0" y="0"/>
                <wp:positionH relativeFrom="margin">
                  <wp:posOffset>354965</wp:posOffset>
                </wp:positionH>
                <wp:positionV relativeFrom="paragraph">
                  <wp:posOffset>231140</wp:posOffset>
                </wp:positionV>
                <wp:extent cx="3343275" cy="2138045"/>
                <wp:effectExtent l="0" t="0" r="0" b="0"/>
                <wp:wrapNone/>
                <wp:docPr id="32590548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3275" cy="2138045"/>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5E1271A" id="Text Box 3" o:spid="_x0000_s1026" type="#_x0000_t202" style="position:absolute;margin-left:27.95pt;margin-top:18.2pt;width:263.25pt;height:168.3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" fillcolor="#a6a6a6" stroked="f">
                <v:fill opacity="32896f"/>
                <w10:wrap anchorx="margin"/>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0E0BE01A" wp14:editId="78A0F014">
            <wp:extent cx="5876925" cy="2895600"/>
            <wp:effectExtent l="0" t="0" r="9525" b="0"/>
            <wp:docPr id="1264681854"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86880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876925" cy="2895600"/>
                    </a:xfrm>
                    <a:prstGeom prst="rect">
                      <a:avLst/>
                    </a:prstGeom>
                    <a:noFill/>
                    <a:ln>
                      <a:noFill/>
                    </a:ln>
                  </pic:spPr>
                </pic:pic>
              </a:graphicData>
            </a:graphic>
          </wp:inline>
        </w:drawing>
      </w:r>
    </w:p>
    <w:p w14:paraId="266372F5" w14:textId="6D035748" w:rsidR="00614438" w:rsidRPr="00614438" w:rsidRDefault="00614438" w:rsidP="00EB3EA9">
      <w:pPr>
        <w:ind w:firstLine="720"/>
        <w:jc w:val="both"/>
        <w:rPr>
          <w:rFonts w:ascii="Times New Roman" w:hAnsi="Times New Roman" w:cs="Times New Roman"/>
          <w:sz w:val="24"/>
          <w:szCs w:val="24"/>
          <w:lang w:val="en-GB"/>
        </w:rPr>
      </w:pPr>
      <w:r w:rsidRPr="00191CCB">
        <w:rPr>
          <w:rFonts w:ascii="Times New Roman" w:hAnsi="Times New Roman" w:cs="Times New Roman"/>
          <w:sz w:val="24"/>
          <w:szCs w:val="24"/>
          <w:lang w:val="en-GB"/>
        </w:rPr>
        <w:t xml:space="preserve">In all </w:t>
      </w:r>
      <w:r w:rsidR="00BF02DC" w:rsidRPr="00191CCB">
        <w:rPr>
          <w:rFonts w:ascii="Times New Roman" w:hAnsi="Times New Roman" w:cs="Times New Roman"/>
          <w:sz w:val="24"/>
          <w:szCs w:val="24"/>
          <w:lang w:val="en-GB"/>
        </w:rPr>
        <w:t xml:space="preserve">the </w:t>
      </w:r>
      <w:r w:rsidRPr="00191CCB">
        <w:rPr>
          <w:rFonts w:ascii="Times New Roman" w:hAnsi="Times New Roman" w:cs="Times New Roman"/>
          <w:sz w:val="24"/>
          <w:szCs w:val="24"/>
          <w:lang w:val="en-GB"/>
        </w:rPr>
        <w:t>scenarios, total gas network losses as a percentage of total gas transferred reach 1% in 2030, remaining stable by 2050 (</w:t>
      </w:r>
      <w:r w:rsidR="00FA29EF" w:rsidRPr="00191CCB">
        <w:fldChar w:fldCharType="begin"/>
      </w:r>
      <w:r w:rsidR="00FA29EF" w:rsidRPr="00191CCB">
        <w:instrText xml:space="preserve"> REF _Ref153528349 \h  \* MERGEFORMAT </w:instrText>
      </w:r>
      <w:r w:rsidR="00FA29EF" w:rsidRPr="00191CCB">
        <w:fldChar w:fldCharType="separate"/>
      </w:r>
      <w:r w:rsidRPr="00191CCB">
        <w:rPr>
          <w:rFonts w:ascii="Times New Roman" w:hAnsi="Times New Roman" w:cs="Times New Roman"/>
          <w:sz w:val="24"/>
          <w:szCs w:val="24"/>
          <w:lang w:val="en-GB"/>
        </w:rPr>
        <w:t>Figure 5.42</w:t>
      </w:r>
      <w:r w:rsidR="00FA29EF" w:rsidRPr="00191CCB">
        <w:fldChar w:fldCharType="end"/>
      </w:r>
      <w:r w:rsidRPr="00191CCB">
        <w:rPr>
          <w:rFonts w:ascii="Times New Roman" w:hAnsi="Times New Roman" w:cs="Times New Roman"/>
          <w:sz w:val="24"/>
          <w:szCs w:val="24"/>
          <w:lang w:val="en-GB"/>
        </w:rPr>
        <w:t xml:space="preserve">). </w:t>
      </w:r>
      <w:r w:rsidR="00EB3EA9" w:rsidRPr="00EB3EA9">
        <w:rPr>
          <w:rFonts w:ascii="Times New Roman" w:hAnsi="Times New Roman" w:cs="Times New Roman"/>
          <w:sz w:val="24"/>
          <w:szCs w:val="24"/>
          <w:lang w:val="en-GB"/>
        </w:rPr>
        <w:t>In the projected period, losses in the low-pressure gas system contribute to the greatest extent to the total loss in the gas system.</w:t>
      </w:r>
    </w:p>
    <w:p w14:paraId="503DF825" w14:textId="77777777" w:rsidR="00614438" w:rsidRPr="00614438" w:rsidRDefault="00614438" w:rsidP="00614438">
      <w:pPr>
        <w:jc w:val="both"/>
        <w:rPr>
          <w:rFonts w:ascii="Times New Roman" w:hAnsi="Times New Roman" w:cs="Times New Roman"/>
          <w:sz w:val="24"/>
          <w:szCs w:val="24"/>
        </w:rPr>
      </w:pPr>
      <w:bookmarkStart w:id="462" w:name="_Ref153528349"/>
      <w:bookmarkStart w:id="463" w:name="_Toc154575315"/>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42</w:t>
      </w:r>
      <w:r w:rsidR="00C83251" w:rsidRPr="00614438">
        <w:rPr>
          <w:rFonts w:ascii="Times New Roman" w:hAnsi="Times New Roman" w:cs="Times New Roman"/>
          <w:sz w:val="24"/>
          <w:szCs w:val="24"/>
        </w:rPr>
        <w:fldChar w:fldCharType="end"/>
      </w:r>
      <w:bookmarkEnd w:id="462"/>
      <w:r w:rsidRPr="00614438">
        <w:rPr>
          <w:rFonts w:ascii="Times New Roman" w:hAnsi="Times New Roman" w:cs="Times New Roman"/>
          <w:sz w:val="24"/>
          <w:szCs w:val="24"/>
        </w:rPr>
        <w:t>: Total gas network losses</w:t>
      </w:r>
      <w:bookmarkEnd w:id="463"/>
    </w:p>
    <w:p w14:paraId="746586CB" w14:textId="612FC7E4" w:rsidR="00614438" w:rsidRPr="00614438" w:rsidRDefault="00395FC1" w:rsidP="00614438">
      <w:pPr>
        <w:jc w:val="both"/>
        <w:rPr>
          <w:rFonts w:ascii="Times New Roman" w:hAnsi="Times New Roman" w:cs="Times New Roman"/>
          <w:sz w:val="24"/>
          <w:szCs w:val="24"/>
          <w:lang w:val="en-GB"/>
        </w:rPr>
      </w:pPr>
      <w:r>
        <w:rPr>
          <w:rFonts w:ascii="Times New Roman" w:hAnsi="Times New Roman" w:cs="Times New Roman"/>
          <w:noProof/>
          <w:sz w:val="24"/>
          <w:szCs w:val="24"/>
          <w:lang w:val="en-GB"/>
        </w:rPr>
        <mc:AlternateContent>
          <mc:Choice Requires="wps">
            <w:drawing>
              <wp:anchor distT="0" distB="0" distL="114300" distR="114300" simplePos="0" relativeHeight="251729920" behindDoc="0" locked="0" layoutInCell="1" allowOverlap="1" wp14:anchorId="512716AA" wp14:editId="355D8E7B">
                <wp:simplePos x="0" y="0"/>
                <wp:positionH relativeFrom="margin">
                  <wp:posOffset>386715</wp:posOffset>
                </wp:positionH>
                <wp:positionV relativeFrom="paragraph">
                  <wp:posOffset>240665</wp:posOffset>
                </wp:positionV>
                <wp:extent cx="3336925" cy="2331720"/>
                <wp:effectExtent l="0" t="0" r="0" b="0"/>
                <wp:wrapNone/>
                <wp:docPr id="192982118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6925" cy="2331720"/>
                        </a:xfrm>
                        <a:prstGeom prst="rect">
                          <a:avLst/>
                        </a:prstGeom>
                        <a:solidFill>
                          <a:sysClr val="window" lastClr="FFFFFF">
                            <a:lumMod val="65000"/>
                            <a:alpha val="50000"/>
                          </a:sysClr>
                        </a:solidFill>
                        <a:ln>
                          <a:noFill/>
                        </a:ln>
                        <a:effectLst/>
                      </wps:spPr>
                      <wps:bodyPr vertOverflow="clip" horzOverflow="clip" wrap="square" rtlCol="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A8E9D3E" id="Text Box 1" o:spid="_x0000_s1026" type="#_x0000_t202" style="position:absolute;margin-left:30.45pt;margin-top:18.95pt;width:262.75pt;height:183.6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" fillcolor="#a6a6a6" stroked="f">
                <v:fill opacity="32896f"/>
                <w10:wrap anchorx="margin"/>
              </v:shape>
            </w:pict>
          </mc:Fallback>
        </mc:AlternateContent>
      </w:r>
      <w:r w:rsidR="00614438" w:rsidRPr="00013008">
        <w:rPr>
          <w:rFonts w:ascii="Times New Roman" w:hAnsi="Times New Roman" w:cs="Times New Roman"/>
          <w:noProof/>
          <w:sz w:val="24"/>
          <w:szCs w:val="24"/>
          <w:lang w:val="en-GB" w:eastAsia="en-GB"/>
        </w:rPr>
        <w:drawing>
          <wp:inline distT="0" distB="0" distL="0" distR="0" wp14:anchorId="639D6B12" wp14:editId="29218049">
            <wp:extent cx="5943600" cy="2971800"/>
            <wp:effectExtent l="0" t="0" r="0" b="0"/>
            <wp:docPr id="1893227406"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0948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75F11467" w14:textId="5E0ED190" w:rsidR="00614438" w:rsidRDefault="00EB3EA9" w:rsidP="00EB3EA9">
      <w:pPr>
        <w:ind w:left="2160" w:firstLine="720"/>
        <w:jc w:val="center"/>
        <w:rPr>
          <w:rFonts w:ascii="Times New Roman" w:hAnsi="Times New Roman" w:cs="Times New Roman"/>
          <w:sz w:val="24"/>
          <w:szCs w:val="24"/>
        </w:rPr>
      </w:pPr>
      <w:bookmarkStart w:id="464" w:name="_Toc136173042"/>
      <w:bookmarkStart w:id="465" w:name="_Toc136173043"/>
      <w:bookmarkStart w:id="466" w:name="_Toc136173044"/>
      <w:bookmarkStart w:id="467" w:name="_Toc136173045"/>
      <w:bookmarkStart w:id="468" w:name="_Toc136173058"/>
      <w:bookmarkStart w:id="469" w:name="_Toc136173061"/>
      <w:bookmarkStart w:id="470" w:name="_Toc136173062"/>
      <w:bookmarkStart w:id="471" w:name="_Toc136173063"/>
      <w:bookmarkStart w:id="472" w:name="_Toc136173064"/>
      <w:bookmarkStart w:id="473" w:name="_Toc136173066"/>
      <w:bookmarkStart w:id="474" w:name="_Toc136173067"/>
      <w:bookmarkStart w:id="475" w:name="_Toc136173068"/>
      <w:bookmarkStart w:id="476" w:name="_Toc136173070"/>
      <w:bookmarkStart w:id="477" w:name="_Toc136173073"/>
      <w:bookmarkStart w:id="478" w:name="_Toc136173076"/>
      <w:bookmarkStart w:id="479" w:name="_Toc136173078"/>
      <w:bookmarkStart w:id="480" w:name="_Toc136173079"/>
      <w:bookmarkStart w:id="481" w:name="_Toc136173080"/>
      <w:bookmarkStart w:id="482" w:name="_Toc136173081"/>
      <w:bookmarkStart w:id="483" w:name="_Toc136173082"/>
      <w:bookmarkStart w:id="484" w:name="_Toc136173083"/>
      <w:bookmarkStart w:id="485" w:name="_Toc136173084"/>
      <w:bookmarkStart w:id="486" w:name="_Toc136173085"/>
      <w:bookmarkStart w:id="487" w:name="_Toc136173086"/>
      <w:bookmarkStart w:id="488" w:name="_Toc136173087"/>
      <w:bookmarkStart w:id="489" w:name="_Toc136173088"/>
      <w:bookmarkStart w:id="490" w:name="_Toc136173089"/>
      <w:bookmarkStart w:id="491" w:name="_Toc136173090"/>
      <w:bookmarkStart w:id="492" w:name="_Toc136173091"/>
      <w:bookmarkStart w:id="493" w:name="_Toc136173093"/>
      <w:bookmarkStart w:id="494" w:name="_Toc136173097"/>
      <w:bookmarkStart w:id="495" w:name="_Toc136173098"/>
      <w:bookmarkStart w:id="496" w:name="_Toc136173102"/>
      <w:bookmarkStart w:id="497" w:name="_Toc136173103"/>
      <w:bookmarkStart w:id="498" w:name="_Toc136173109"/>
      <w:bookmarkStart w:id="499" w:name="_Toc136173110"/>
      <w:bookmarkStart w:id="500" w:name="_Toc136173111"/>
      <w:bookmarkStart w:id="501" w:name="_Toc136173113"/>
      <w:bookmarkStart w:id="502" w:name="_Toc136173114"/>
      <w:bookmarkStart w:id="503" w:name="_Toc136173115"/>
      <w:bookmarkStart w:id="504" w:name="_Toc136173118"/>
      <w:bookmarkStart w:id="505" w:name="_Toc136173119"/>
      <w:bookmarkStart w:id="506" w:name="_Toc136173121"/>
      <w:bookmarkStart w:id="507" w:name="_Toc136173123"/>
      <w:bookmarkStart w:id="508" w:name="_Toc136173124"/>
      <w:bookmarkStart w:id="509" w:name="_Toc136173149"/>
      <w:bookmarkStart w:id="510" w:name="_Toc136173161"/>
      <w:bookmarkStart w:id="511" w:name="_Toc136173185"/>
      <w:bookmarkStart w:id="512" w:name="_Toc136173197"/>
      <w:bookmarkStart w:id="513" w:name="_Toc136173221"/>
      <w:bookmarkStart w:id="514" w:name="_Toc136173233"/>
      <w:bookmarkStart w:id="515" w:name="_Toc136173257"/>
      <w:bookmarkStart w:id="516" w:name="_Toc136173269"/>
      <w:bookmarkStart w:id="517" w:name="_Toc136173293"/>
      <w:bookmarkStart w:id="518" w:name="_Toc136173305"/>
      <w:bookmarkStart w:id="519" w:name="_Toc136173329"/>
      <w:bookmarkStart w:id="520" w:name="_Toc136173341"/>
      <w:bookmarkStart w:id="521" w:name="_Toc136173365"/>
      <w:bookmarkStart w:id="522" w:name="_Toc136173377"/>
      <w:bookmarkStart w:id="523" w:name="_Toc136173401"/>
      <w:bookmarkStart w:id="524" w:name="_Toc136173413"/>
      <w:bookmarkStart w:id="525" w:name="_Toc136173437"/>
      <w:bookmarkStart w:id="526" w:name="_Toc136173449"/>
      <w:bookmarkStart w:id="527" w:name="_Toc136173473"/>
      <w:bookmarkStart w:id="528" w:name="_Toc136173485"/>
      <w:bookmarkStart w:id="529" w:name="_Toc136173497"/>
      <w:bookmarkStart w:id="530" w:name="_Toc136173500"/>
      <w:bookmarkStart w:id="531" w:name="_Toc136173501"/>
      <w:bookmarkStart w:id="532" w:name="_Toc136173502"/>
      <w:bookmarkStart w:id="533" w:name="_Toc136173503"/>
      <w:bookmarkStart w:id="534" w:name="_Toc136173518"/>
      <w:bookmarkStart w:id="535" w:name="_Toc136173525"/>
      <w:bookmarkStart w:id="536" w:name="_Toc136173539"/>
      <w:bookmarkStart w:id="537" w:name="_Toc136173546"/>
      <w:bookmarkStart w:id="538" w:name="_Toc136173560"/>
      <w:bookmarkStart w:id="539" w:name="_Toc136173567"/>
      <w:bookmarkStart w:id="540" w:name="_Toc136173581"/>
      <w:bookmarkStart w:id="541" w:name="_Toc136173588"/>
      <w:bookmarkStart w:id="542" w:name="_Toc136173602"/>
      <w:bookmarkStart w:id="543" w:name="_Toc136173609"/>
      <w:bookmarkStart w:id="544" w:name="_Toc136173623"/>
      <w:bookmarkStart w:id="545" w:name="_Toc136173630"/>
      <w:bookmarkStart w:id="546" w:name="_Toc136173644"/>
      <w:bookmarkStart w:id="547" w:name="_Toc136173651"/>
      <w:bookmarkStart w:id="548" w:name="_Toc136173665"/>
      <w:bookmarkStart w:id="549" w:name="_Toc136173672"/>
      <w:bookmarkStart w:id="550" w:name="_Toc136173686"/>
      <w:bookmarkStart w:id="551" w:name="_Toc136173693"/>
      <w:bookmarkStart w:id="552" w:name="_Toc136173707"/>
      <w:bookmarkStart w:id="553" w:name="_Toc136173714"/>
      <w:bookmarkStart w:id="554" w:name="_Toc136173721"/>
      <w:bookmarkStart w:id="555" w:name="_Toc136173722"/>
      <w:bookmarkStart w:id="556" w:name="_Toc136173724"/>
      <w:bookmarkStart w:id="557" w:name="_Toc136173730"/>
      <w:bookmarkStart w:id="558" w:name="_Toc136173731"/>
      <w:bookmarkStart w:id="559" w:name="_Toc136173732"/>
      <w:bookmarkStart w:id="560" w:name="_Toc136173733"/>
      <w:bookmarkStart w:id="561" w:name="_Toc136173735"/>
      <w:bookmarkStart w:id="562" w:name="_Toc136173736"/>
      <w:bookmarkStart w:id="563" w:name="_Toc136173743"/>
      <w:bookmarkStart w:id="564" w:name="_Toc136173744"/>
      <w:bookmarkStart w:id="565" w:name="_Toc136173746"/>
      <w:bookmarkStart w:id="566" w:name="_Toc136173747"/>
      <w:bookmarkStart w:id="567" w:name="_Toc136173749"/>
      <w:bookmarkStart w:id="568" w:name="_Toc136173750"/>
      <w:bookmarkStart w:id="569" w:name="_Toc136173752"/>
      <w:bookmarkStart w:id="570" w:name="_Toc136173754"/>
      <w:bookmarkStart w:id="571" w:name="_Toc136173755"/>
      <w:bookmarkStart w:id="572" w:name="_Toc136173756"/>
      <w:bookmarkStart w:id="573" w:name="_Toc136173757"/>
      <w:bookmarkStart w:id="574" w:name="_Toc136173759"/>
      <w:bookmarkStart w:id="575" w:name="_Toc136173760"/>
      <w:bookmarkStart w:id="576" w:name="_Toc136173763"/>
      <w:bookmarkStart w:id="577" w:name="_Toc136173764"/>
      <w:bookmarkStart w:id="578" w:name="_Toc136173766"/>
      <w:bookmarkStart w:id="579" w:name="_Toc136173769"/>
      <w:bookmarkStart w:id="580" w:name="_Toc136173770"/>
      <w:bookmarkStart w:id="581" w:name="_Toc136173771"/>
      <w:bookmarkStart w:id="582" w:name="_Toc136173772"/>
      <w:bookmarkStart w:id="583" w:name="_Toc136173775"/>
      <w:bookmarkStart w:id="584" w:name="_Toc136173776"/>
      <w:bookmarkStart w:id="585" w:name="_Toc136173778"/>
      <w:bookmarkStart w:id="586" w:name="_Toc136173779"/>
      <w:bookmarkStart w:id="587" w:name="_Toc136173782"/>
      <w:bookmarkStart w:id="588" w:name="_Toc136173785"/>
      <w:bookmarkStart w:id="589" w:name="_Toc136173786"/>
      <w:bookmarkStart w:id="590" w:name="_Toc136173787"/>
      <w:bookmarkStart w:id="591" w:name="_Toc136173788"/>
      <w:bookmarkStart w:id="592" w:name="_Toc136173791"/>
      <w:bookmarkStart w:id="593" w:name="_Toc136173794"/>
      <w:bookmarkStart w:id="594" w:name="_Toc136173797"/>
      <w:bookmarkStart w:id="595" w:name="_Toc136173798"/>
      <w:bookmarkStart w:id="596" w:name="_Toc136173800"/>
      <w:bookmarkStart w:id="597" w:name="_Toc136173802"/>
      <w:bookmarkStart w:id="598" w:name="_Toc136173803"/>
      <w:bookmarkStart w:id="599" w:name="_Toc136173804"/>
      <w:bookmarkStart w:id="600" w:name="_Toc136173805"/>
      <w:bookmarkStart w:id="601" w:name="_Toc136173806"/>
      <w:bookmarkStart w:id="602" w:name="_Toc136173807"/>
      <w:bookmarkStart w:id="603" w:name="_Toc136173808"/>
      <w:bookmarkStart w:id="604" w:name="_Toc136173809"/>
      <w:bookmarkStart w:id="605" w:name="_Toc136173810"/>
      <w:bookmarkStart w:id="606" w:name="_Toc136173812"/>
      <w:bookmarkStart w:id="607" w:name="_Toc136173815"/>
      <w:bookmarkStart w:id="608" w:name="_Toc136173818"/>
      <w:bookmarkStart w:id="609" w:name="_Toc136173821"/>
      <w:bookmarkStart w:id="610" w:name="_Toc136173822"/>
      <w:bookmarkStart w:id="611" w:name="_Toc136173823"/>
      <w:bookmarkStart w:id="612" w:name="_Toc153545059"/>
      <w:bookmarkStart w:id="613" w:name="_Toc118991787"/>
      <w:bookmarkStart w:id="614" w:name="_Toc79772567"/>
      <w:bookmarkEnd w:id="389"/>
      <w:bookmarkEnd w:id="392"/>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r w:rsidRPr="003A4A1D">
        <w:rPr>
          <w:rFonts w:ascii="Times New Roman" w:hAnsi="Times New Roman" w:cs="Times New Roman"/>
          <w:sz w:val="24"/>
          <w:szCs w:val="24"/>
          <w:lang w:val="en-GB"/>
        </w:rPr>
        <w:t xml:space="preserve">5.2 </w:t>
      </w:r>
      <w:r w:rsidR="00614438" w:rsidRPr="003A4A1D">
        <w:rPr>
          <w:rFonts w:ascii="Times New Roman" w:hAnsi="Times New Roman" w:cs="Times New Roman"/>
          <w:sz w:val="24"/>
          <w:szCs w:val="24"/>
          <w:lang w:val="en-GB"/>
        </w:rPr>
        <w:t xml:space="preserve">Macroeconomic </w:t>
      </w:r>
      <w:r w:rsidR="003A4A1D">
        <w:rPr>
          <w:rFonts w:ascii="Times New Roman" w:hAnsi="Times New Roman" w:cs="Times New Roman"/>
          <w:sz w:val="24"/>
          <w:szCs w:val="24"/>
          <w:lang w:val="en-GB"/>
        </w:rPr>
        <w:t xml:space="preserve">impact </w:t>
      </w:r>
      <w:r w:rsidR="00614438" w:rsidRPr="003A4A1D">
        <w:rPr>
          <w:rFonts w:ascii="Times New Roman" w:hAnsi="Times New Roman" w:cs="Times New Roman"/>
          <w:sz w:val="24"/>
          <w:szCs w:val="24"/>
          <w:lang w:val="en-GB"/>
        </w:rPr>
        <w:t>and, to the extent</w:t>
      </w:r>
      <w:r w:rsidR="003A4A1D" w:rsidRPr="003A4A1D">
        <w:rPr>
          <w:rFonts w:ascii="Times New Roman" w:hAnsi="Times New Roman" w:cs="Times New Roman"/>
          <w:sz w:val="24"/>
          <w:szCs w:val="24"/>
          <w:lang w:val="en-GB"/>
        </w:rPr>
        <w:t xml:space="preserve"> feasible</w:t>
      </w:r>
      <w:r w:rsidR="00614438" w:rsidRPr="003A4A1D">
        <w:rPr>
          <w:rFonts w:ascii="Times New Roman" w:hAnsi="Times New Roman" w:cs="Times New Roman"/>
          <w:sz w:val="24"/>
          <w:szCs w:val="24"/>
          <w:lang w:val="en-GB"/>
        </w:rPr>
        <w:t xml:space="preserve">, </w:t>
      </w:r>
      <w:r w:rsidR="003A4A1D">
        <w:rPr>
          <w:rFonts w:ascii="Times New Roman" w:hAnsi="Times New Roman" w:cs="Times New Roman"/>
          <w:sz w:val="24"/>
          <w:szCs w:val="24"/>
          <w:lang w:val="en-GB"/>
        </w:rPr>
        <w:t>impact on</w:t>
      </w:r>
      <w:r w:rsidR="00614438" w:rsidRPr="003A4A1D">
        <w:rPr>
          <w:rFonts w:ascii="Times New Roman" w:hAnsi="Times New Roman" w:cs="Times New Roman"/>
          <w:sz w:val="24"/>
          <w:szCs w:val="24"/>
          <w:lang w:val="en-GB"/>
        </w:rPr>
        <w:t xml:space="preserve"> health, environment, employment and education, skills and soci</w:t>
      </w:r>
      <w:r w:rsidR="003A4A1D">
        <w:rPr>
          <w:rFonts w:ascii="Times New Roman" w:hAnsi="Times New Roman" w:cs="Times New Roman"/>
          <w:sz w:val="24"/>
          <w:szCs w:val="24"/>
          <w:lang w:val="en-GB"/>
        </w:rPr>
        <w:t>ety</w:t>
      </w:r>
      <w:r w:rsidR="00614438" w:rsidRPr="003A4A1D">
        <w:rPr>
          <w:rFonts w:ascii="Times New Roman" w:hAnsi="Times New Roman" w:cs="Times New Roman"/>
          <w:sz w:val="24"/>
          <w:szCs w:val="24"/>
          <w:lang w:val="en-GB"/>
        </w:rPr>
        <w:t>, of the planned policies and measures</w:t>
      </w:r>
      <w:bookmarkEnd w:id="612"/>
      <w:bookmarkEnd w:id="613"/>
      <w:bookmarkEnd w:id="614"/>
      <w:r w:rsidR="003A4A1D">
        <w:rPr>
          <w:rFonts w:ascii="Times New Roman" w:hAnsi="Times New Roman" w:cs="Times New Roman"/>
          <w:sz w:val="24"/>
          <w:szCs w:val="24"/>
          <w:lang w:val="en-GB"/>
        </w:rPr>
        <w:t>,</w:t>
      </w:r>
      <w:r w:rsidR="003A4A1D" w:rsidRPr="003A4A1D">
        <w:rPr>
          <w:rFonts w:ascii="Times New Roman" w:hAnsi="Times New Roman" w:cs="Times New Roman"/>
          <w:sz w:val="24"/>
          <w:szCs w:val="24"/>
        </w:rPr>
        <w:t xml:space="preserve"> with comparisons of projections with existing policies and measures</w:t>
      </w:r>
    </w:p>
    <w:p w14:paraId="798A66E9" w14:textId="77777777" w:rsidR="003A4A1D" w:rsidRPr="00614438" w:rsidRDefault="003A4A1D" w:rsidP="00EB3EA9">
      <w:pPr>
        <w:ind w:left="2160" w:firstLine="720"/>
        <w:jc w:val="center"/>
        <w:rPr>
          <w:rFonts w:ascii="Times New Roman" w:hAnsi="Times New Roman" w:cs="Times New Roman"/>
          <w:sz w:val="24"/>
          <w:szCs w:val="24"/>
          <w:lang w:val="en-GB"/>
        </w:rPr>
      </w:pPr>
    </w:p>
    <w:p w14:paraId="3CA89A98" w14:textId="5B71135A" w:rsidR="00614438" w:rsidRDefault="003A4A1D" w:rsidP="003A4A1D">
      <w:pPr>
        <w:ind w:firstLine="720"/>
        <w:jc w:val="both"/>
        <w:rPr>
          <w:rFonts w:ascii="Times New Roman" w:hAnsi="Times New Roman" w:cs="Times New Roman"/>
          <w:sz w:val="24"/>
          <w:szCs w:val="24"/>
        </w:rPr>
      </w:pPr>
      <w:bookmarkStart w:id="615" w:name="_Ref113460841"/>
      <w:r>
        <w:rPr>
          <w:rFonts w:ascii="Times New Roman" w:hAnsi="Times New Roman" w:cs="Times New Roman"/>
          <w:sz w:val="24"/>
          <w:szCs w:val="24"/>
        </w:rPr>
        <w:t>U</w:t>
      </w:r>
      <w:r w:rsidR="00614438" w:rsidRPr="00614438">
        <w:rPr>
          <w:rFonts w:ascii="Times New Roman" w:hAnsi="Times New Roman" w:cs="Times New Roman"/>
          <w:sz w:val="24"/>
          <w:szCs w:val="24"/>
        </w:rPr>
        <w:t xml:space="preserve">ntil 2030, Scenario S (WAM) leads to a continuous increase of the GDP with respect to </w:t>
      </w:r>
      <w:r w:rsidR="003F42E7">
        <w:rPr>
          <w:rFonts w:ascii="Times New Roman" w:hAnsi="Times New Roman" w:cs="Times New Roman"/>
          <w:sz w:val="24"/>
          <w:szCs w:val="24"/>
        </w:rPr>
        <w:t xml:space="preserve">the </w:t>
      </w:r>
      <w:r w:rsidR="00614438" w:rsidRPr="00614438">
        <w:rPr>
          <w:rFonts w:ascii="Times New Roman" w:hAnsi="Times New Roman" w:cs="Times New Roman"/>
          <w:sz w:val="24"/>
          <w:szCs w:val="24"/>
        </w:rPr>
        <w:t>WEM</w:t>
      </w:r>
      <w:r w:rsidR="003F42E7">
        <w:rPr>
          <w:rFonts w:ascii="Times New Roman" w:hAnsi="Times New Roman" w:cs="Times New Roman"/>
          <w:sz w:val="24"/>
          <w:szCs w:val="24"/>
        </w:rPr>
        <w:t xml:space="preserve"> Scenario</w:t>
      </w:r>
      <w:r w:rsidR="00614438" w:rsidRPr="00614438">
        <w:rPr>
          <w:rFonts w:ascii="Times New Roman" w:hAnsi="Times New Roman" w:cs="Times New Roman"/>
          <w:sz w:val="24"/>
          <w:szCs w:val="24"/>
        </w:rPr>
        <w:t>. Then, the positive change becomes more aggressive by 2045 (slightly oscillating between +1.7% and +2.2%) and presents a negligible descent between 2045 and 2050. However, the change is always greater than +1.2%, with respect to the WEM scenario, through</w:t>
      </w:r>
      <w:r w:rsidR="009E1F0F">
        <w:rPr>
          <w:rFonts w:ascii="Times New Roman" w:hAnsi="Times New Roman" w:cs="Times New Roman"/>
          <w:sz w:val="24"/>
          <w:szCs w:val="24"/>
          <w:lang w:val="en-GB"/>
        </w:rPr>
        <w:t>out</w:t>
      </w:r>
      <w:r w:rsidR="00614438" w:rsidRPr="00614438">
        <w:rPr>
          <w:rFonts w:ascii="Times New Roman" w:hAnsi="Times New Roman" w:cs="Times New Roman"/>
          <w:sz w:val="24"/>
          <w:szCs w:val="24"/>
        </w:rPr>
        <w:t xml:space="preserve"> the whole</w:t>
      </w:r>
      <w:r w:rsidR="009E1F0F">
        <w:rPr>
          <w:rFonts w:ascii="Times New Roman" w:hAnsi="Times New Roman" w:cs="Times New Roman"/>
          <w:sz w:val="24"/>
          <w:szCs w:val="24"/>
        </w:rPr>
        <w:t xml:space="preserve"> </w:t>
      </w:r>
      <w:r w:rsidR="00614438" w:rsidRPr="00614438">
        <w:rPr>
          <w:rFonts w:ascii="Times New Roman" w:hAnsi="Times New Roman" w:cs="Times New Roman"/>
          <w:sz w:val="24"/>
          <w:szCs w:val="24"/>
        </w:rPr>
        <w:t xml:space="preserve">time horizon. This means that the policy and technology options included in the WAM scenario have a </w:t>
      </w:r>
      <w:r w:rsidR="00614438" w:rsidRPr="00614438">
        <w:rPr>
          <w:rFonts w:ascii="Times New Roman" w:hAnsi="Times New Roman" w:cs="Times New Roman"/>
          <w:sz w:val="24"/>
          <w:szCs w:val="24"/>
        </w:rPr>
        <w:lastRenderedPageBreak/>
        <w:t>positive impact on the economy leading to higher GDP growth rates compared to the WEM scenario. In the post 2040 period, Scenario S-N (the nuclear option of Scenario S) leads to an almost constant moderate slow-down, due to the emerged costs of relying on the nuclear power technology in conjunction with the posed high mitigation targets.</w:t>
      </w:r>
    </w:p>
    <w:p w14:paraId="2B3F97B4" w14:textId="32CA147F" w:rsidR="00614438" w:rsidRPr="00A77044" w:rsidRDefault="00614438" w:rsidP="009E1F0F">
      <w:pPr>
        <w:ind w:firstLine="720"/>
        <w:jc w:val="both"/>
        <w:rPr>
          <w:rFonts w:ascii="Times New Roman" w:hAnsi="Times New Roman" w:cs="Times New Roman"/>
          <w:sz w:val="24"/>
          <w:szCs w:val="24"/>
        </w:rPr>
      </w:pPr>
      <w:r w:rsidRPr="00A77044">
        <w:rPr>
          <w:rFonts w:ascii="Times New Roman" w:hAnsi="Times New Roman" w:cs="Times New Roman"/>
          <w:sz w:val="24"/>
          <w:szCs w:val="24"/>
        </w:rPr>
        <w:t xml:space="preserve">The implementation of scenario S tends to increase GDP, with respect to the WEM scenario. On the other hand, the introduction of nuclear power generation leads to a moderate reduction in GDP, with respect to the WEM scenario, which follows a constant downward trajectory after 2040. In general, it is costlier to rely on nuclear power (including higher operational and construction costs) therefore, forcing to rely also on this more expensive technology, in conjunction with ambitious mitigation targets, restrains GDP growth </w:t>
      </w:r>
      <w:r w:rsidR="00A77044" w:rsidRPr="00A77044">
        <w:rPr>
          <w:rFonts w:ascii="Times New Roman" w:hAnsi="Times New Roman" w:cs="Times New Roman"/>
          <w:sz w:val="24"/>
          <w:szCs w:val="24"/>
        </w:rPr>
        <w:t>to</w:t>
      </w:r>
      <w:r w:rsidRPr="00A77044">
        <w:rPr>
          <w:rFonts w:ascii="Times New Roman" w:hAnsi="Times New Roman" w:cs="Times New Roman"/>
          <w:sz w:val="24"/>
          <w:szCs w:val="24"/>
        </w:rPr>
        <w:t xml:space="preserve"> some extent.</w:t>
      </w:r>
    </w:p>
    <w:p w14:paraId="0B0F882A" w14:textId="77777777" w:rsidR="009E1F0F" w:rsidRPr="009E1F0F" w:rsidRDefault="009E1F0F" w:rsidP="009E1F0F">
      <w:pPr>
        <w:ind w:firstLine="720"/>
        <w:jc w:val="both"/>
        <w:rPr>
          <w:rFonts w:ascii="Times New Roman" w:hAnsi="Times New Roman" w:cs="Times New Roman"/>
          <w:sz w:val="24"/>
          <w:szCs w:val="24"/>
          <w:highlight w:val="yellow"/>
        </w:rPr>
      </w:pPr>
    </w:p>
    <w:p w14:paraId="4F69F99B" w14:textId="77777777" w:rsidR="009E1F0F" w:rsidRPr="00614438" w:rsidRDefault="009E1F0F" w:rsidP="009E1F0F">
      <w:pPr>
        <w:ind w:firstLine="720"/>
        <w:jc w:val="both"/>
        <w:rPr>
          <w:rFonts w:ascii="Times New Roman" w:hAnsi="Times New Roman" w:cs="Times New Roman"/>
          <w:sz w:val="24"/>
          <w:szCs w:val="24"/>
        </w:rPr>
      </w:pPr>
    </w:p>
    <w:p w14:paraId="41ABB01A" w14:textId="1C146F68" w:rsidR="00614438" w:rsidRPr="00614438" w:rsidRDefault="00614438" w:rsidP="00614438">
      <w:pPr>
        <w:jc w:val="both"/>
        <w:rPr>
          <w:rFonts w:ascii="Times New Roman" w:hAnsi="Times New Roman" w:cs="Times New Roman"/>
          <w:sz w:val="24"/>
          <w:szCs w:val="24"/>
        </w:rPr>
      </w:pPr>
      <w:bookmarkStart w:id="616" w:name="_Ref153528522"/>
      <w:bookmarkStart w:id="617" w:name="_Toc154575316"/>
      <w:bookmarkEnd w:id="615"/>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43</w:t>
      </w:r>
      <w:r w:rsidR="00C83251" w:rsidRPr="00614438">
        <w:rPr>
          <w:rFonts w:ascii="Times New Roman" w:hAnsi="Times New Roman" w:cs="Times New Roman"/>
          <w:sz w:val="24"/>
          <w:szCs w:val="24"/>
        </w:rPr>
        <w:fldChar w:fldCharType="end"/>
      </w:r>
      <w:bookmarkEnd w:id="616"/>
      <w:r w:rsidRPr="00614438">
        <w:rPr>
          <w:rFonts w:ascii="Times New Roman" w:hAnsi="Times New Roman" w:cs="Times New Roman"/>
          <w:sz w:val="24"/>
          <w:szCs w:val="24"/>
        </w:rPr>
        <w:t xml:space="preserve">: Impact of scenario S and S-N implementation on the GDP of </w:t>
      </w:r>
      <w:r w:rsidR="00A77044">
        <w:rPr>
          <w:rFonts w:ascii="Times New Roman" w:hAnsi="Times New Roman" w:cs="Times New Roman"/>
          <w:sz w:val="24"/>
          <w:szCs w:val="24"/>
        </w:rPr>
        <w:t xml:space="preserve">the </w:t>
      </w:r>
      <w:r w:rsidRPr="00614438">
        <w:rPr>
          <w:rFonts w:ascii="Times New Roman" w:hAnsi="Times New Roman" w:cs="Times New Roman"/>
          <w:sz w:val="24"/>
          <w:szCs w:val="24"/>
        </w:rPr>
        <w:t>Serbian economy over the 2025-2050 period</w:t>
      </w:r>
      <w:bookmarkEnd w:id="617"/>
    </w:p>
    <w:p w14:paraId="728FBBDF"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054335D5" wp14:editId="7E74E087">
            <wp:extent cx="6134100" cy="3952875"/>
            <wp:effectExtent l="0" t="0" r="0" b="9525"/>
            <wp:docPr id="2071317314" name="Chart 230">
              <a:extLst xmlns:a="http://schemas.openxmlformats.org/drawingml/2006/main">
                <a:ext uri="{FF2B5EF4-FFF2-40B4-BE49-F238E27FC236}">
                  <a16:creationId xmlns:a16="http://schemas.microsoft.com/office/drawing/2014/main" id="{95545911-C799-C0FE-AB8A-722D09C2D4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0F273F78" w14:textId="77777777" w:rsidR="00614438" w:rsidRPr="00614438" w:rsidRDefault="00614438" w:rsidP="00614438">
      <w:pPr>
        <w:jc w:val="both"/>
        <w:rPr>
          <w:rFonts w:ascii="Times New Roman" w:hAnsi="Times New Roman" w:cs="Times New Roman"/>
          <w:sz w:val="24"/>
          <w:szCs w:val="24"/>
          <w:lang w:val="en-GB"/>
        </w:rPr>
      </w:pPr>
    </w:p>
    <w:p w14:paraId="6FBA8FF8" w14:textId="570298BC" w:rsidR="00614438" w:rsidRPr="00614438" w:rsidRDefault="00FA29EF" w:rsidP="00614438">
      <w:pPr>
        <w:jc w:val="both"/>
        <w:rPr>
          <w:rFonts w:ascii="Times New Roman" w:hAnsi="Times New Roman" w:cs="Times New Roman"/>
          <w:sz w:val="24"/>
          <w:szCs w:val="24"/>
          <w:lang w:val="en-GB"/>
        </w:rPr>
      </w:pPr>
      <w:r>
        <w:fldChar w:fldCharType="begin"/>
      </w:r>
      <w:r>
        <w:instrText xml:space="preserve"> REF _Ref153528626 \h  \* MERGEFORMAT </w:instrText>
      </w:r>
      <w:r>
        <w:fldChar w:fldCharType="separate"/>
      </w:r>
      <w:r w:rsidR="00614438" w:rsidRPr="00614438">
        <w:rPr>
          <w:rFonts w:ascii="Times New Roman" w:hAnsi="Times New Roman" w:cs="Times New Roman"/>
          <w:sz w:val="24"/>
          <w:szCs w:val="24"/>
        </w:rPr>
        <w:t>Figure 5.44</w:t>
      </w:r>
      <w:r>
        <w:fldChar w:fldCharType="end"/>
      </w:r>
      <w:r w:rsidR="00614438" w:rsidRPr="00614438">
        <w:rPr>
          <w:rFonts w:ascii="Times New Roman" w:hAnsi="Times New Roman" w:cs="Times New Roman"/>
          <w:sz w:val="24"/>
          <w:szCs w:val="24"/>
        </w:rPr>
        <w:t xml:space="preserve"> shows how the scenarios under consideration are projected to impact the unemployment levels of </w:t>
      </w:r>
      <w:r w:rsidR="00A77044">
        <w:rPr>
          <w:rFonts w:ascii="Times New Roman" w:hAnsi="Times New Roman" w:cs="Times New Roman"/>
          <w:sz w:val="24"/>
          <w:szCs w:val="24"/>
        </w:rPr>
        <w:t xml:space="preserve">the </w:t>
      </w:r>
      <w:r w:rsidR="00614438" w:rsidRPr="00614438">
        <w:rPr>
          <w:rFonts w:ascii="Times New Roman" w:hAnsi="Times New Roman" w:cs="Times New Roman"/>
          <w:sz w:val="24"/>
          <w:szCs w:val="24"/>
        </w:rPr>
        <w:t>Serbian economy. In general, the impact on the aggregated unemployment is limited.</w:t>
      </w:r>
    </w:p>
    <w:p w14:paraId="633211D5" w14:textId="3064D333" w:rsidR="00614438" w:rsidRPr="00614438" w:rsidRDefault="00614438" w:rsidP="00A77044">
      <w:pPr>
        <w:ind w:firstLine="720"/>
        <w:jc w:val="both"/>
        <w:rPr>
          <w:rFonts w:ascii="Times New Roman" w:hAnsi="Times New Roman" w:cs="Times New Roman"/>
          <w:sz w:val="24"/>
          <w:szCs w:val="24"/>
        </w:rPr>
      </w:pPr>
      <w:r w:rsidRPr="00A77044">
        <w:rPr>
          <w:rFonts w:ascii="Times New Roman" w:hAnsi="Times New Roman" w:cs="Times New Roman"/>
          <w:sz w:val="24"/>
          <w:szCs w:val="24"/>
        </w:rPr>
        <w:t>Regarding scenario S, the impacts are observed prior to 2030 (where a Just Transition Plan is expected to minimise the consequences of such impact). Regarding scenario S-N, we observe a slight increase in the unemployment in the medium to long</w:t>
      </w:r>
      <w:r w:rsidR="00A77044" w:rsidRPr="00A77044">
        <w:rPr>
          <w:rFonts w:ascii="Times New Roman" w:hAnsi="Times New Roman" w:cs="Times New Roman"/>
          <w:sz w:val="24"/>
          <w:szCs w:val="24"/>
        </w:rPr>
        <w:t>-</w:t>
      </w:r>
      <w:r w:rsidRPr="00A77044">
        <w:rPr>
          <w:rFonts w:ascii="Times New Roman" w:hAnsi="Times New Roman" w:cs="Times New Roman"/>
          <w:sz w:val="24"/>
          <w:szCs w:val="24"/>
        </w:rPr>
        <w:t xml:space="preserve">term </w:t>
      </w:r>
      <w:r w:rsidR="00A77044" w:rsidRPr="00A77044">
        <w:rPr>
          <w:rFonts w:ascii="Times New Roman" w:hAnsi="Times New Roman" w:cs="Times New Roman"/>
          <w:sz w:val="24"/>
          <w:szCs w:val="24"/>
        </w:rPr>
        <w:t xml:space="preserve">as we approach </w:t>
      </w:r>
      <w:r w:rsidRPr="00A77044">
        <w:rPr>
          <w:rFonts w:ascii="Times New Roman" w:hAnsi="Times New Roman" w:cs="Times New Roman"/>
          <w:sz w:val="24"/>
          <w:szCs w:val="24"/>
        </w:rPr>
        <w:t xml:space="preserve">2045 (less than 0.4% compared to WEM levels). This fact is somehow expected, since the present study relies on a computable general equilibrium </w:t>
      </w:r>
      <w:r w:rsidR="00A77044" w:rsidRPr="00A77044">
        <w:rPr>
          <w:rFonts w:ascii="Times New Roman" w:hAnsi="Times New Roman" w:cs="Times New Roman"/>
          <w:sz w:val="24"/>
          <w:szCs w:val="24"/>
        </w:rPr>
        <w:t xml:space="preserve">(CGE) </w:t>
      </w:r>
      <w:r w:rsidRPr="00A77044">
        <w:rPr>
          <w:rFonts w:ascii="Times New Roman" w:hAnsi="Times New Roman" w:cs="Times New Roman"/>
          <w:sz w:val="24"/>
          <w:szCs w:val="24"/>
        </w:rPr>
        <w:t>framework, which is actually a demand-driven approach. Nuclear option constitutes an expensive alternative</w:t>
      </w:r>
      <w:r w:rsidR="00A77044" w:rsidRPr="00A77044">
        <w:rPr>
          <w:rFonts w:ascii="Times New Roman" w:hAnsi="Times New Roman" w:cs="Times New Roman"/>
          <w:sz w:val="24"/>
          <w:szCs w:val="24"/>
        </w:rPr>
        <w:t>,</w:t>
      </w:r>
      <w:r w:rsidRPr="00A77044">
        <w:rPr>
          <w:rFonts w:ascii="Times New Roman" w:hAnsi="Times New Roman" w:cs="Times New Roman"/>
          <w:sz w:val="24"/>
          <w:szCs w:val="24"/>
        </w:rPr>
        <w:t xml:space="preserve"> mainly due to the construction, operational, and </w:t>
      </w:r>
      <w:r w:rsidRPr="00A77044">
        <w:rPr>
          <w:rFonts w:ascii="Times New Roman" w:hAnsi="Times New Roman" w:cs="Times New Roman"/>
          <w:sz w:val="24"/>
          <w:szCs w:val="24"/>
        </w:rPr>
        <w:lastRenderedPageBreak/>
        <w:t xml:space="preserve">maintenance costs. </w:t>
      </w:r>
      <w:r w:rsidR="00A77044" w:rsidRPr="00A77044">
        <w:rPr>
          <w:rFonts w:ascii="Times New Roman" w:hAnsi="Times New Roman" w:cs="Times New Roman"/>
          <w:sz w:val="24"/>
          <w:szCs w:val="24"/>
        </w:rPr>
        <w:t>In this situation, the model's market equilibrium constraints drive demand to slow until an adjustment occurs. Falling demand coupled with high mitigation targets – leading to stagnation in high-carbon industries – and the fact that alternative options such as solar and wind technologies require less labo</w:t>
      </w:r>
      <w:r w:rsidR="00A77044">
        <w:rPr>
          <w:rFonts w:ascii="Times New Roman" w:hAnsi="Times New Roman" w:cs="Times New Roman"/>
          <w:sz w:val="24"/>
          <w:szCs w:val="24"/>
        </w:rPr>
        <w:t>u</w:t>
      </w:r>
      <w:r w:rsidR="00A77044" w:rsidRPr="00A77044">
        <w:rPr>
          <w:rFonts w:ascii="Times New Roman" w:hAnsi="Times New Roman" w:cs="Times New Roman"/>
          <w:sz w:val="24"/>
          <w:szCs w:val="24"/>
        </w:rPr>
        <w:t>r, lead to a slight reduction in employment. However, the overall impact is extremely small (less than 0.4%).</w:t>
      </w:r>
    </w:p>
    <w:bookmarkStart w:id="618" w:name="_Ref153528626"/>
    <w:bookmarkStart w:id="619" w:name="_Toc154575317"/>
    <w:p w14:paraId="39993024" w14:textId="28D6AF61" w:rsidR="00A77044" w:rsidRDefault="00A77044" w:rsidP="00A77044">
      <w:pPr>
        <w:jc w:val="both"/>
        <w:rPr>
          <w:rFonts w:ascii="Times New Roman" w:hAnsi="Times New Roman" w:cs="Times New Roman"/>
          <w:sz w:val="24"/>
          <w:szCs w:val="24"/>
        </w:rPr>
      </w:pPr>
      <w:r>
        <w:fldChar w:fldCharType="begin"/>
      </w:r>
      <w:r>
        <w:instrText xml:space="preserve"> REF _Ref153528807 \h  \* MERGEFORMAT </w:instrText>
      </w:r>
      <w:r>
        <w:fldChar w:fldCharType="separate"/>
      </w:r>
      <w:r w:rsidRPr="00614438">
        <w:rPr>
          <w:rFonts w:ascii="Times New Roman" w:hAnsi="Times New Roman" w:cs="Times New Roman"/>
          <w:sz w:val="24"/>
          <w:szCs w:val="24"/>
        </w:rPr>
        <w:t>Figure 5.45</w:t>
      </w:r>
      <w:r>
        <w:fldChar w:fldCharType="end"/>
      </w:r>
      <w:r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REF _Ref113462180 \h  \* MERGEFORMAT </w:instrText>
      </w:r>
      <w:r w:rsidRPr="00614438">
        <w:rPr>
          <w:rFonts w:ascii="Times New Roman" w:hAnsi="Times New Roman" w:cs="Times New Roman"/>
          <w:sz w:val="24"/>
          <w:szCs w:val="24"/>
        </w:rPr>
      </w:r>
      <w:r w:rsidRPr="00614438">
        <w:rPr>
          <w:rFonts w:ascii="Times New Roman" w:hAnsi="Times New Roman" w:cs="Times New Roman"/>
          <w:sz w:val="24"/>
          <w:szCs w:val="24"/>
        </w:rPr>
        <w:fldChar w:fldCharType="end"/>
      </w:r>
      <w:r w:rsidRPr="00614438">
        <w:rPr>
          <w:rFonts w:ascii="Times New Roman" w:hAnsi="Times New Roman" w:cs="Times New Roman"/>
          <w:sz w:val="24"/>
          <w:szCs w:val="24"/>
        </w:rPr>
        <w:t xml:space="preserve"> illustrates the estimated impact under scenario S on the employment of key sectors of the Serbian economy </w:t>
      </w:r>
      <w:r>
        <w:rPr>
          <w:rFonts w:ascii="Times New Roman" w:hAnsi="Times New Roman" w:cs="Times New Roman"/>
          <w:sz w:val="24"/>
          <w:szCs w:val="24"/>
        </w:rPr>
        <w:t xml:space="preserve">per a </w:t>
      </w:r>
      <w:r w:rsidRPr="00614438">
        <w:rPr>
          <w:rFonts w:ascii="Times New Roman" w:hAnsi="Times New Roman" w:cs="Times New Roman"/>
          <w:sz w:val="24"/>
          <w:szCs w:val="24"/>
        </w:rPr>
        <w:t xml:space="preserve">thousand employees. We observe that coal mining sector constantly </w:t>
      </w:r>
      <w:r w:rsidR="006E30DB">
        <w:rPr>
          <w:rFonts w:ascii="Times New Roman" w:hAnsi="Times New Roman" w:cs="Times New Roman"/>
          <w:sz w:val="24"/>
          <w:szCs w:val="24"/>
        </w:rPr>
        <w:t xml:space="preserve">shows </w:t>
      </w:r>
      <w:r w:rsidR="006E30DB" w:rsidRPr="006E30DB">
        <w:rPr>
          <w:rFonts w:ascii="Times New Roman" w:hAnsi="Times New Roman" w:cs="Times New Roman"/>
          <w:sz w:val="24"/>
          <w:szCs w:val="24"/>
        </w:rPr>
        <w:t>a decrease in the labo</w:t>
      </w:r>
      <w:r w:rsidR="006E30DB">
        <w:rPr>
          <w:rFonts w:ascii="Times New Roman" w:hAnsi="Times New Roman" w:cs="Times New Roman"/>
          <w:sz w:val="24"/>
          <w:szCs w:val="24"/>
        </w:rPr>
        <w:t>u</w:t>
      </w:r>
      <w:r w:rsidR="006E30DB" w:rsidRPr="006E30DB">
        <w:rPr>
          <w:rFonts w:ascii="Times New Roman" w:hAnsi="Times New Roman" w:cs="Times New Roman"/>
          <w:sz w:val="24"/>
          <w:szCs w:val="24"/>
        </w:rPr>
        <w:t xml:space="preserve">r force </w:t>
      </w:r>
      <w:r w:rsidRPr="00614438">
        <w:rPr>
          <w:rFonts w:ascii="Times New Roman" w:hAnsi="Times New Roman" w:cs="Times New Roman"/>
          <w:sz w:val="24"/>
          <w:szCs w:val="24"/>
        </w:rPr>
        <w:t>in the labo</w:t>
      </w:r>
      <w:r>
        <w:rPr>
          <w:rFonts w:ascii="Times New Roman" w:hAnsi="Times New Roman" w:cs="Times New Roman"/>
          <w:sz w:val="24"/>
          <w:szCs w:val="24"/>
        </w:rPr>
        <w:t>u</w:t>
      </w:r>
      <w:r w:rsidRPr="00614438">
        <w:rPr>
          <w:rFonts w:ascii="Times New Roman" w:hAnsi="Times New Roman" w:cs="Times New Roman"/>
          <w:sz w:val="24"/>
          <w:szCs w:val="24"/>
        </w:rPr>
        <w:t xml:space="preserve">r market, which is an expected result of the process of decarbonization. </w:t>
      </w:r>
      <w:r w:rsidR="006E30DB" w:rsidRPr="006E30DB">
        <w:rPr>
          <w:rFonts w:ascii="Times New Roman" w:hAnsi="Times New Roman" w:cs="Times New Roman"/>
          <w:sz w:val="24"/>
          <w:szCs w:val="24"/>
        </w:rPr>
        <w:t xml:space="preserve">The </w:t>
      </w:r>
      <w:r w:rsidR="006E30DB">
        <w:rPr>
          <w:rFonts w:ascii="Times New Roman" w:hAnsi="Times New Roman" w:cs="Times New Roman"/>
          <w:sz w:val="24"/>
          <w:szCs w:val="24"/>
        </w:rPr>
        <w:t>petroleum</w:t>
      </w:r>
      <w:r w:rsidR="006E30DB" w:rsidRPr="006E30DB">
        <w:rPr>
          <w:rFonts w:ascii="Times New Roman" w:hAnsi="Times New Roman" w:cs="Times New Roman"/>
          <w:sz w:val="24"/>
          <w:szCs w:val="24"/>
        </w:rPr>
        <w:t xml:space="preserve"> derivatives sector shows </w:t>
      </w:r>
      <w:r w:rsidRPr="00614438">
        <w:rPr>
          <w:rFonts w:ascii="Times New Roman" w:hAnsi="Times New Roman" w:cs="Times New Roman"/>
          <w:sz w:val="24"/>
          <w:szCs w:val="24"/>
        </w:rPr>
        <w:t xml:space="preserve">the </w:t>
      </w:r>
      <w:r w:rsidR="006E30DB">
        <w:rPr>
          <w:rFonts w:ascii="Times New Roman" w:hAnsi="Times New Roman" w:cs="Times New Roman"/>
          <w:sz w:val="24"/>
          <w:szCs w:val="24"/>
        </w:rPr>
        <w:t xml:space="preserve">same </w:t>
      </w:r>
      <w:r w:rsidRPr="00614438">
        <w:rPr>
          <w:rFonts w:ascii="Times New Roman" w:hAnsi="Times New Roman" w:cs="Times New Roman"/>
          <w:sz w:val="24"/>
          <w:szCs w:val="24"/>
        </w:rPr>
        <w:t>pa</w:t>
      </w:r>
      <w:r w:rsidR="006E30DB">
        <w:rPr>
          <w:rFonts w:ascii="Times New Roman" w:hAnsi="Times New Roman" w:cs="Times New Roman"/>
          <w:sz w:val="24"/>
          <w:szCs w:val="24"/>
        </w:rPr>
        <w:t>ttern of coal mining, however, o</w:t>
      </w:r>
      <w:r w:rsidRPr="00614438">
        <w:rPr>
          <w:rFonts w:ascii="Times New Roman" w:hAnsi="Times New Roman" w:cs="Times New Roman"/>
          <w:sz w:val="24"/>
          <w:szCs w:val="24"/>
        </w:rPr>
        <w:t xml:space="preserve">n a quite lower scale. </w:t>
      </w:r>
      <w:r w:rsidR="006E30DB" w:rsidRPr="006E30DB">
        <w:rPr>
          <w:rFonts w:ascii="Times New Roman" w:hAnsi="Times New Roman" w:cs="Times New Roman"/>
          <w:sz w:val="24"/>
          <w:szCs w:val="24"/>
        </w:rPr>
        <w:t>The labo</w:t>
      </w:r>
      <w:r w:rsidR="006E30DB">
        <w:rPr>
          <w:rFonts w:ascii="Times New Roman" w:hAnsi="Times New Roman" w:cs="Times New Roman"/>
          <w:sz w:val="24"/>
          <w:szCs w:val="24"/>
        </w:rPr>
        <w:t>u</w:t>
      </w:r>
      <w:r w:rsidR="006E30DB" w:rsidRPr="006E30DB">
        <w:rPr>
          <w:rFonts w:ascii="Times New Roman" w:hAnsi="Times New Roman" w:cs="Times New Roman"/>
          <w:sz w:val="24"/>
          <w:szCs w:val="24"/>
        </w:rPr>
        <w:t xml:space="preserve">r force is also decreasing in the </w:t>
      </w:r>
      <w:r w:rsidR="006E30DB">
        <w:rPr>
          <w:rFonts w:ascii="Times New Roman" w:hAnsi="Times New Roman" w:cs="Times New Roman"/>
          <w:sz w:val="24"/>
          <w:szCs w:val="24"/>
        </w:rPr>
        <w:t>electricity sector</w:t>
      </w:r>
      <w:r w:rsidRPr="00614438">
        <w:rPr>
          <w:rFonts w:ascii="Times New Roman" w:hAnsi="Times New Roman" w:cs="Times New Roman"/>
          <w:sz w:val="24"/>
          <w:szCs w:val="24"/>
        </w:rPr>
        <w:t xml:space="preserve">, which is </w:t>
      </w:r>
      <w:r w:rsidR="006E30DB">
        <w:rPr>
          <w:rFonts w:ascii="Times New Roman" w:hAnsi="Times New Roman" w:cs="Times New Roman"/>
          <w:sz w:val="24"/>
          <w:szCs w:val="24"/>
        </w:rPr>
        <w:t>the result</w:t>
      </w:r>
      <w:r w:rsidRPr="00614438">
        <w:rPr>
          <w:rFonts w:ascii="Times New Roman" w:hAnsi="Times New Roman" w:cs="Times New Roman"/>
          <w:sz w:val="24"/>
          <w:szCs w:val="24"/>
        </w:rPr>
        <w:t xml:space="preserve"> of </w:t>
      </w:r>
      <w:r w:rsidR="006E30DB">
        <w:rPr>
          <w:rFonts w:ascii="Times New Roman" w:hAnsi="Times New Roman" w:cs="Times New Roman"/>
          <w:sz w:val="24"/>
          <w:szCs w:val="24"/>
        </w:rPr>
        <w:t>a</w:t>
      </w:r>
      <w:r w:rsidRPr="00614438">
        <w:rPr>
          <w:rFonts w:ascii="Times New Roman" w:hAnsi="Times New Roman" w:cs="Times New Roman"/>
          <w:sz w:val="24"/>
          <w:szCs w:val="24"/>
        </w:rPr>
        <w:t xml:space="preserve"> change </w:t>
      </w:r>
      <w:r w:rsidR="006E30DB">
        <w:rPr>
          <w:rFonts w:ascii="Times New Roman" w:hAnsi="Times New Roman" w:cs="Times New Roman"/>
          <w:sz w:val="24"/>
          <w:szCs w:val="24"/>
        </w:rPr>
        <w:t>in</w:t>
      </w:r>
      <w:r w:rsidRPr="00614438">
        <w:rPr>
          <w:rFonts w:ascii="Times New Roman" w:hAnsi="Times New Roman" w:cs="Times New Roman"/>
          <w:sz w:val="24"/>
          <w:szCs w:val="24"/>
        </w:rPr>
        <w:t xml:space="preserve"> the generation mix of electricity demand towards 2050, from labo</w:t>
      </w:r>
      <w:r w:rsidR="006E30DB">
        <w:rPr>
          <w:rFonts w:ascii="Times New Roman" w:hAnsi="Times New Roman" w:cs="Times New Roman"/>
          <w:sz w:val="24"/>
          <w:szCs w:val="24"/>
        </w:rPr>
        <w:t>ur-</w:t>
      </w:r>
      <w:r w:rsidRPr="00614438">
        <w:rPr>
          <w:rFonts w:ascii="Times New Roman" w:hAnsi="Times New Roman" w:cs="Times New Roman"/>
          <w:sz w:val="24"/>
          <w:szCs w:val="24"/>
        </w:rPr>
        <w:t>intensi</w:t>
      </w:r>
      <w:r w:rsidR="006E30DB">
        <w:rPr>
          <w:rFonts w:ascii="Times New Roman" w:hAnsi="Times New Roman" w:cs="Times New Roman"/>
          <w:sz w:val="24"/>
          <w:szCs w:val="24"/>
        </w:rPr>
        <w:t>v</w:t>
      </w:r>
      <w:r w:rsidRPr="00614438">
        <w:rPr>
          <w:rFonts w:ascii="Times New Roman" w:hAnsi="Times New Roman" w:cs="Times New Roman"/>
          <w:sz w:val="24"/>
          <w:szCs w:val="24"/>
        </w:rPr>
        <w:t>e lignite fired power plants to less labo</w:t>
      </w:r>
      <w:r w:rsidR="006E30DB">
        <w:rPr>
          <w:rFonts w:ascii="Times New Roman" w:hAnsi="Times New Roman" w:cs="Times New Roman"/>
          <w:sz w:val="24"/>
          <w:szCs w:val="24"/>
        </w:rPr>
        <w:t>u</w:t>
      </w:r>
      <w:r w:rsidRPr="00614438">
        <w:rPr>
          <w:rFonts w:ascii="Times New Roman" w:hAnsi="Times New Roman" w:cs="Times New Roman"/>
          <w:sz w:val="24"/>
          <w:szCs w:val="24"/>
        </w:rPr>
        <w:t>r</w:t>
      </w:r>
      <w:r w:rsidR="006E30DB">
        <w:rPr>
          <w:rFonts w:ascii="Times New Roman" w:hAnsi="Times New Roman" w:cs="Times New Roman"/>
          <w:sz w:val="24"/>
          <w:szCs w:val="24"/>
        </w:rPr>
        <w:t>-</w:t>
      </w:r>
      <w:r w:rsidRPr="00614438">
        <w:rPr>
          <w:rFonts w:ascii="Times New Roman" w:hAnsi="Times New Roman" w:cs="Times New Roman"/>
          <w:sz w:val="24"/>
          <w:szCs w:val="24"/>
        </w:rPr>
        <w:t xml:space="preserve">intensive renewable energy technologies. Heavy manufacturing is affected negatively only in the long term (2050). Based on the outcomes of the macroeconomic analysis tool, </w:t>
      </w:r>
      <w:r w:rsidR="006E30DB" w:rsidRPr="006E30DB">
        <w:rPr>
          <w:rFonts w:ascii="Times New Roman" w:hAnsi="Times New Roman" w:cs="Times New Roman"/>
          <w:sz w:val="24"/>
          <w:szCs w:val="24"/>
        </w:rPr>
        <w:t>most of the lost jobs in the sectors with reduced employment</w:t>
      </w:r>
      <w:r w:rsidR="006E30DB" w:rsidRPr="00614438">
        <w:rPr>
          <w:rFonts w:ascii="Times New Roman" w:hAnsi="Times New Roman" w:cs="Times New Roman"/>
          <w:sz w:val="24"/>
          <w:szCs w:val="24"/>
        </w:rPr>
        <w:t xml:space="preserve"> </w:t>
      </w:r>
      <w:r w:rsidRPr="00614438">
        <w:rPr>
          <w:rFonts w:ascii="Times New Roman" w:hAnsi="Times New Roman" w:cs="Times New Roman"/>
          <w:sz w:val="24"/>
          <w:szCs w:val="24"/>
        </w:rPr>
        <w:t xml:space="preserve">moves towards the services sector. A more detailed analysis on the employment </w:t>
      </w:r>
      <w:r w:rsidR="006E30DB">
        <w:rPr>
          <w:rFonts w:ascii="Times New Roman" w:hAnsi="Times New Roman" w:cs="Times New Roman"/>
          <w:sz w:val="24"/>
          <w:szCs w:val="24"/>
        </w:rPr>
        <w:t>impact</w:t>
      </w:r>
      <w:r w:rsidRPr="00614438">
        <w:rPr>
          <w:rFonts w:ascii="Times New Roman" w:hAnsi="Times New Roman" w:cs="Times New Roman"/>
          <w:sz w:val="24"/>
          <w:szCs w:val="24"/>
        </w:rPr>
        <w:t xml:space="preserve"> in the specific regions will be considered in the Just Transition Diagnostics Study.</w:t>
      </w:r>
      <w:bookmarkStart w:id="620" w:name="_Ref113462180"/>
      <w:bookmarkStart w:id="621" w:name="_Toc118992356"/>
    </w:p>
    <w:bookmarkEnd w:id="620"/>
    <w:bookmarkEnd w:id="621"/>
    <w:p w14:paraId="12E2F239" w14:textId="42436BF4" w:rsidR="00614438" w:rsidRPr="00614438" w:rsidRDefault="00614438" w:rsidP="00614438">
      <w:pPr>
        <w:jc w:val="both"/>
        <w:rPr>
          <w:rFonts w:ascii="Times New Roman" w:hAnsi="Times New Roman" w:cs="Times New Roman"/>
          <w:sz w:val="24"/>
          <w:szCs w:val="24"/>
        </w:rPr>
      </w:pPr>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44</w:t>
      </w:r>
      <w:r w:rsidR="00C83251" w:rsidRPr="00614438">
        <w:rPr>
          <w:rFonts w:ascii="Times New Roman" w:hAnsi="Times New Roman" w:cs="Times New Roman"/>
          <w:sz w:val="24"/>
          <w:szCs w:val="24"/>
        </w:rPr>
        <w:fldChar w:fldCharType="end"/>
      </w:r>
      <w:bookmarkEnd w:id="618"/>
      <w:r w:rsidR="006E30DB">
        <w:rPr>
          <w:rFonts w:ascii="Times New Roman" w:hAnsi="Times New Roman" w:cs="Times New Roman"/>
          <w:sz w:val="24"/>
          <w:szCs w:val="24"/>
        </w:rPr>
        <w:t>: The impact of Scenario</w:t>
      </w:r>
      <w:r w:rsidRPr="00614438">
        <w:rPr>
          <w:rFonts w:ascii="Times New Roman" w:hAnsi="Times New Roman" w:cs="Times New Roman"/>
          <w:sz w:val="24"/>
          <w:szCs w:val="24"/>
        </w:rPr>
        <w:t xml:space="preserve"> S and S-N implementation on the unemployment rate of </w:t>
      </w:r>
      <w:r w:rsidR="006E30DB">
        <w:rPr>
          <w:rFonts w:ascii="Times New Roman" w:hAnsi="Times New Roman" w:cs="Times New Roman"/>
          <w:sz w:val="24"/>
          <w:szCs w:val="24"/>
        </w:rPr>
        <w:t xml:space="preserve">the </w:t>
      </w:r>
      <w:r w:rsidRPr="00614438">
        <w:rPr>
          <w:rFonts w:ascii="Times New Roman" w:hAnsi="Times New Roman" w:cs="Times New Roman"/>
          <w:sz w:val="24"/>
          <w:szCs w:val="24"/>
        </w:rPr>
        <w:t>Serbian economy over the 2025-2050 period</w:t>
      </w:r>
      <w:bookmarkEnd w:id="619"/>
      <w:r w:rsidR="006E30DB">
        <w:rPr>
          <w:rFonts w:ascii="Times New Roman" w:hAnsi="Times New Roman" w:cs="Times New Roman"/>
          <w:sz w:val="24"/>
          <w:szCs w:val="24"/>
        </w:rPr>
        <w:t xml:space="preserve"> </w:t>
      </w:r>
    </w:p>
    <w:p w14:paraId="27732004"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64D68511" wp14:editId="14BBB7EB">
            <wp:extent cx="6134100" cy="3619500"/>
            <wp:effectExtent l="0" t="0" r="0" b="0"/>
            <wp:docPr id="756652965" name="Chart 229">
              <a:extLst xmlns:a="http://schemas.openxmlformats.org/drawingml/2006/main">
                <a:ext uri="{FF2B5EF4-FFF2-40B4-BE49-F238E27FC236}">
                  <a16:creationId xmlns:a16="http://schemas.microsoft.com/office/drawing/2014/main" id="{18C8CD8F-5EF4-52F0-2692-3636EC8742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45FFB6B2" w14:textId="468D7D70" w:rsidR="00614438" w:rsidRPr="00614438" w:rsidRDefault="00614438" w:rsidP="00614438">
      <w:pPr>
        <w:jc w:val="both"/>
        <w:rPr>
          <w:rFonts w:ascii="Times New Roman" w:hAnsi="Times New Roman" w:cs="Times New Roman"/>
          <w:sz w:val="24"/>
          <w:szCs w:val="24"/>
        </w:rPr>
      </w:pPr>
      <w:bookmarkStart w:id="622" w:name="_Ref153528807"/>
      <w:bookmarkStart w:id="623" w:name="_Toc154575318"/>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45</w:t>
      </w:r>
      <w:r w:rsidR="00C83251" w:rsidRPr="00614438">
        <w:rPr>
          <w:rFonts w:ascii="Times New Roman" w:hAnsi="Times New Roman" w:cs="Times New Roman"/>
          <w:sz w:val="24"/>
          <w:szCs w:val="24"/>
        </w:rPr>
        <w:fldChar w:fldCharType="end"/>
      </w:r>
      <w:bookmarkEnd w:id="622"/>
      <w:r w:rsidR="006E30DB">
        <w:rPr>
          <w:rFonts w:ascii="Times New Roman" w:hAnsi="Times New Roman" w:cs="Times New Roman"/>
          <w:sz w:val="24"/>
          <w:szCs w:val="24"/>
        </w:rPr>
        <w:t>: The i</w:t>
      </w:r>
      <w:r w:rsidRPr="00614438">
        <w:rPr>
          <w:rFonts w:ascii="Times New Roman" w:hAnsi="Times New Roman" w:cs="Times New Roman"/>
          <w:sz w:val="24"/>
          <w:szCs w:val="24"/>
        </w:rPr>
        <w:t>mpact on employment by sector under the implementation of Scenario S</w:t>
      </w:r>
      <w:bookmarkEnd w:id="623"/>
    </w:p>
    <w:p w14:paraId="7E10966A"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lastRenderedPageBreak/>
        <w:drawing>
          <wp:inline distT="0" distB="0" distL="0" distR="0" wp14:anchorId="008B6494" wp14:editId="7E9E29B3">
            <wp:extent cx="6134100" cy="3524250"/>
            <wp:effectExtent l="0" t="0" r="0" b="0"/>
            <wp:docPr id="2003159961" name="Chart 228">
              <a:extLst xmlns:a="http://schemas.openxmlformats.org/drawingml/2006/main">
                <a:ext uri="{FF2B5EF4-FFF2-40B4-BE49-F238E27FC236}">
                  <a16:creationId xmlns:a16="http://schemas.microsoft.com/office/drawing/2014/main" id="{85897B2D-3DD9-545E-B026-A67ACC6BC2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5D6752D9" w14:textId="356EC0E6" w:rsidR="00614438" w:rsidRDefault="00614438" w:rsidP="006E30DB">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It is also interesting to investigate the job creation</w:t>
      </w:r>
      <w:r w:rsidR="001930CB">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w:t>
      </w:r>
      <w:r w:rsidR="001930CB">
        <w:rPr>
          <w:rFonts w:ascii="Times New Roman" w:hAnsi="Times New Roman" w:cs="Times New Roman"/>
          <w:sz w:val="24"/>
          <w:szCs w:val="24"/>
          <w:lang w:val="en-GB"/>
        </w:rPr>
        <w:t>e</w:t>
      </w:r>
      <w:r w:rsidRPr="00614438">
        <w:rPr>
          <w:rFonts w:ascii="Times New Roman" w:hAnsi="Times New Roman" w:cs="Times New Roman"/>
          <w:sz w:val="24"/>
          <w:szCs w:val="24"/>
          <w:lang w:val="en-GB"/>
        </w:rPr>
        <w:t xml:space="preserve">specially from </w:t>
      </w:r>
      <w:r w:rsidR="001930CB" w:rsidRPr="001930CB">
        <w:rPr>
          <w:rFonts w:ascii="Times New Roman" w:hAnsi="Times New Roman" w:cs="Times New Roman"/>
          <w:sz w:val="24"/>
          <w:szCs w:val="24"/>
          <w:lang w:val="en-GB"/>
        </w:rPr>
        <w:t xml:space="preserve">the field of </w:t>
      </w:r>
      <w:r w:rsidRPr="00614438">
        <w:rPr>
          <w:rFonts w:ascii="Times New Roman" w:hAnsi="Times New Roman" w:cs="Times New Roman"/>
          <w:sz w:val="24"/>
          <w:szCs w:val="24"/>
          <w:lang w:val="en-GB"/>
        </w:rPr>
        <w:t xml:space="preserve">power generation technologies. Those jobs are linked either to the </w:t>
      </w:r>
      <w:r w:rsidR="001930CB">
        <w:rPr>
          <w:rFonts w:ascii="Times New Roman" w:hAnsi="Times New Roman" w:cs="Times New Roman"/>
          <w:sz w:val="24"/>
          <w:szCs w:val="24"/>
          <w:lang w:val="en-GB"/>
        </w:rPr>
        <w:t>production</w:t>
      </w:r>
      <w:r w:rsidRPr="00614438">
        <w:rPr>
          <w:rFonts w:ascii="Times New Roman" w:hAnsi="Times New Roman" w:cs="Times New Roman"/>
          <w:sz w:val="24"/>
          <w:szCs w:val="24"/>
          <w:lang w:val="en-GB"/>
        </w:rPr>
        <w:t xml:space="preserve"> and installation of power generation technologies or to the O&amp;M of the power plants. </w:t>
      </w:r>
      <w:r w:rsidR="001930CB" w:rsidRPr="001930CB">
        <w:rPr>
          <w:rFonts w:ascii="Times New Roman" w:hAnsi="Times New Roman" w:cs="Times New Roman"/>
          <w:sz w:val="24"/>
          <w:szCs w:val="24"/>
          <w:lang w:val="en-GB"/>
        </w:rPr>
        <w:t xml:space="preserve">The number of new jobs </w:t>
      </w:r>
      <w:r w:rsidRPr="00614438">
        <w:rPr>
          <w:rFonts w:ascii="Times New Roman" w:hAnsi="Times New Roman" w:cs="Times New Roman"/>
          <w:sz w:val="24"/>
          <w:szCs w:val="24"/>
          <w:lang w:val="en-GB"/>
        </w:rPr>
        <w:t xml:space="preserve">estimated to be created in scenario S due to the deployment of new RES capacity for solar PV, wind and biomass </w:t>
      </w:r>
      <w:r w:rsidR="001930CB">
        <w:rPr>
          <w:rFonts w:ascii="Times New Roman" w:hAnsi="Times New Roman" w:cs="Times New Roman"/>
          <w:sz w:val="24"/>
          <w:szCs w:val="24"/>
          <w:lang w:val="en-GB"/>
        </w:rPr>
        <w:t>was estimated</w:t>
      </w:r>
      <w:r w:rsidR="001930CB" w:rsidRPr="00614438">
        <w:rPr>
          <w:rFonts w:ascii="Times New Roman" w:hAnsi="Times New Roman" w:cs="Times New Roman"/>
          <w:sz w:val="24"/>
          <w:szCs w:val="24"/>
          <w:lang w:val="en-GB"/>
        </w:rPr>
        <w:t xml:space="preserve"> </w:t>
      </w:r>
      <w:r w:rsidRPr="00614438">
        <w:rPr>
          <w:rFonts w:ascii="Times New Roman" w:hAnsi="Times New Roman" w:cs="Times New Roman"/>
          <w:sz w:val="24"/>
          <w:szCs w:val="24"/>
          <w:lang w:val="en-GB"/>
        </w:rPr>
        <w:t xml:space="preserve">(It is assumed that the installation of a large-scale PV plant on average is 1 year, wind plant 2 years and biomass plant 2 years). The results are illustrated in </w:t>
      </w:r>
      <w:r w:rsidR="00FA29EF">
        <w:fldChar w:fldCharType="begin"/>
      </w:r>
      <w:r w:rsidR="00FA29EF">
        <w:instrText xml:space="preserve"> REF _Ref113465034 \h  \* MERGEFORMAT </w:instrText>
      </w:r>
      <w:r w:rsidR="00FA29EF">
        <w:fldChar w:fldCharType="separate"/>
      </w:r>
      <w:r w:rsidRPr="00614438">
        <w:rPr>
          <w:rFonts w:ascii="Times New Roman" w:hAnsi="Times New Roman" w:cs="Times New Roman"/>
          <w:sz w:val="24"/>
          <w:szCs w:val="24"/>
          <w:lang w:val="en-GB"/>
        </w:rPr>
        <w:t>Figure 5.46</w:t>
      </w:r>
      <w:r w:rsidR="00FA29EF">
        <w:fldChar w:fldCharType="end"/>
      </w:r>
      <w:r w:rsidRPr="00614438">
        <w:rPr>
          <w:rFonts w:ascii="Times New Roman" w:hAnsi="Times New Roman" w:cs="Times New Roman"/>
          <w:sz w:val="24"/>
          <w:szCs w:val="24"/>
          <w:lang w:val="en-GB"/>
        </w:rPr>
        <w:t>.</w:t>
      </w:r>
      <w:bookmarkStart w:id="624" w:name="_heading=h.4bewzdj"/>
      <w:bookmarkStart w:id="625" w:name="_Ref113465034"/>
      <w:bookmarkStart w:id="626" w:name="_Toc118992357"/>
      <w:bookmarkEnd w:id="624"/>
    </w:p>
    <w:p w14:paraId="5FE22FDD" w14:textId="77777777" w:rsidR="00614438" w:rsidRPr="00614438" w:rsidRDefault="00614438" w:rsidP="00614438">
      <w:pPr>
        <w:jc w:val="both"/>
        <w:rPr>
          <w:rFonts w:ascii="Times New Roman" w:hAnsi="Times New Roman" w:cs="Times New Roman"/>
          <w:sz w:val="24"/>
          <w:szCs w:val="24"/>
        </w:rPr>
      </w:pPr>
      <w:bookmarkStart w:id="627" w:name="_Ref153528887"/>
      <w:bookmarkStart w:id="628" w:name="_Toc154575319"/>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46</w:t>
      </w:r>
      <w:r w:rsidR="00C83251" w:rsidRPr="00614438">
        <w:rPr>
          <w:rFonts w:ascii="Times New Roman" w:hAnsi="Times New Roman" w:cs="Times New Roman"/>
          <w:sz w:val="24"/>
          <w:szCs w:val="24"/>
        </w:rPr>
        <w:fldChar w:fldCharType="end"/>
      </w:r>
      <w:bookmarkEnd w:id="625"/>
      <w:bookmarkEnd w:id="627"/>
      <w:r w:rsidRPr="00614438">
        <w:rPr>
          <w:rFonts w:ascii="Times New Roman" w:hAnsi="Times New Roman" w:cs="Times New Roman"/>
          <w:sz w:val="24"/>
          <w:szCs w:val="24"/>
        </w:rPr>
        <w:t>: Estimation of the number of jobs created in scenario S due to the deployment of new RES capacity for solar PV, wind and biomass</w:t>
      </w:r>
      <w:bookmarkEnd w:id="626"/>
      <w:bookmarkEnd w:id="62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2"/>
        <w:gridCol w:w="4553"/>
      </w:tblGrid>
      <w:tr w:rsidR="00614438" w:rsidRPr="00614438" w14:paraId="37C07A6E" w14:textId="77777777" w:rsidTr="00614438">
        <w:tc>
          <w:tcPr>
            <w:tcW w:w="4552" w:type="dxa"/>
            <w:hideMark/>
          </w:tcPr>
          <w:p w14:paraId="035313BF"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14B2B11E" wp14:editId="264178EF">
                  <wp:extent cx="2743200" cy="1647825"/>
                  <wp:effectExtent l="0" t="0" r="0" b="9525"/>
                  <wp:docPr id="441477944" name="Chart 227">
                    <a:extLst xmlns:a="http://schemas.openxmlformats.org/drawingml/2006/main">
                      <a:ext uri="{FF2B5EF4-FFF2-40B4-BE49-F238E27FC236}">
                        <a16:creationId xmlns:a16="http://schemas.microsoft.com/office/drawing/2014/main" id="{3F399170-24EE-4784-A835-EE657803F85E}"/>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tc>
        <w:tc>
          <w:tcPr>
            <w:tcW w:w="4553" w:type="dxa"/>
            <w:hideMark/>
          </w:tcPr>
          <w:p w14:paraId="25292D6D"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38C922AB" wp14:editId="1743DCA8">
                  <wp:extent cx="2743200" cy="1647825"/>
                  <wp:effectExtent l="0" t="0" r="0" b="9525"/>
                  <wp:docPr id="72033606" name="Chart 226">
                    <a:extLst xmlns:a="http://schemas.openxmlformats.org/drawingml/2006/main">
                      <a:ext uri="{FF2B5EF4-FFF2-40B4-BE49-F238E27FC236}">
                        <a16:creationId xmlns:a16="http://schemas.microsoft.com/office/drawing/2014/main" id="{35438632-27C6-471E-9AE1-6B117B4EAC0E}"/>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tc>
      </w:tr>
      <w:tr w:rsidR="00614438" w:rsidRPr="00614438" w14:paraId="6189CC61" w14:textId="77777777" w:rsidTr="00614438">
        <w:tc>
          <w:tcPr>
            <w:tcW w:w="4552" w:type="dxa"/>
          </w:tcPr>
          <w:p w14:paraId="6E25918B" w14:textId="77777777" w:rsidR="00614438" w:rsidRPr="00614438" w:rsidRDefault="00614438" w:rsidP="00614438">
            <w:pPr>
              <w:spacing w:after="160" w:line="259" w:lineRule="auto"/>
              <w:jc w:val="both"/>
              <w:rPr>
                <w:rFonts w:ascii="Times New Roman" w:hAnsi="Times New Roman" w:cs="Times New Roman"/>
                <w:sz w:val="24"/>
                <w:szCs w:val="24"/>
                <w:lang w:val="en-GB"/>
              </w:rPr>
            </w:pPr>
          </w:p>
        </w:tc>
        <w:tc>
          <w:tcPr>
            <w:tcW w:w="4553" w:type="dxa"/>
          </w:tcPr>
          <w:p w14:paraId="324D7B8E" w14:textId="77777777" w:rsidR="00614438" w:rsidRPr="00614438" w:rsidRDefault="00614438" w:rsidP="00614438">
            <w:pPr>
              <w:spacing w:after="160" w:line="259" w:lineRule="auto"/>
              <w:jc w:val="both"/>
              <w:rPr>
                <w:rFonts w:ascii="Times New Roman" w:hAnsi="Times New Roman" w:cs="Times New Roman"/>
                <w:sz w:val="24"/>
                <w:szCs w:val="24"/>
                <w:lang w:val="en-GB"/>
              </w:rPr>
            </w:pPr>
          </w:p>
        </w:tc>
      </w:tr>
      <w:tr w:rsidR="00614438" w:rsidRPr="00614438" w14:paraId="1C718ADB" w14:textId="77777777" w:rsidTr="00614438">
        <w:tc>
          <w:tcPr>
            <w:tcW w:w="4552" w:type="dxa"/>
            <w:hideMark/>
          </w:tcPr>
          <w:p w14:paraId="7E727E40" w14:textId="77777777" w:rsidR="00614438" w:rsidRPr="00614438" w:rsidRDefault="00614438" w:rsidP="00614438">
            <w:pPr>
              <w:spacing w:after="160" w:line="259" w:lineRule="auto"/>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lastRenderedPageBreak/>
              <w:drawing>
                <wp:inline distT="0" distB="0" distL="0" distR="0" wp14:anchorId="2174C70A" wp14:editId="18049258">
                  <wp:extent cx="2743200" cy="1647825"/>
                  <wp:effectExtent l="0" t="0" r="0" b="9525"/>
                  <wp:docPr id="1609966869" name="Chart 225">
                    <a:extLst xmlns:a="http://schemas.openxmlformats.org/drawingml/2006/main">
                      <a:ext uri="{FF2B5EF4-FFF2-40B4-BE49-F238E27FC236}">
                        <a16:creationId xmlns:a16="http://schemas.microsoft.com/office/drawing/2014/main" id="{DBF2A01A-A882-4DBB-8CF9-96ACE86CF47B}"/>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tc>
        <w:tc>
          <w:tcPr>
            <w:tcW w:w="4553" w:type="dxa"/>
          </w:tcPr>
          <w:p w14:paraId="0962555D" w14:textId="77777777" w:rsidR="00614438" w:rsidRPr="00614438" w:rsidRDefault="00614438" w:rsidP="00614438">
            <w:pPr>
              <w:spacing w:after="160" w:line="259" w:lineRule="auto"/>
              <w:jc w:val="both"/>
              <w:rPr>
                <w:rFonts w:ascii="Times New Roman" w:hAnsi="Times New Roman" w:cs="Times New Roman"/>
                <w:sz w:val="24"/>
                <w:szCs w:val="24"/>
                <w:lang w:val="en-GB"/>
              </w:rPr>
            </w:pPr>
          </w:p>
        </w:tc>
      </w:tr>
    </w:tbl>
    <w:p w14:paraId="4AE8C4A1" w14:textId="0D9625B8" w:rsidR="00614438" w:rsidRPr="00614438" w:rsidRDefault="00614438" w:rsidP="001930CB">
      <w:pPr>
        <w:ind w:firstLine="720"/>
        <w:jc w:val="both"/>
        <w:rPr>
          <w:rFonts w:ascii="Times New Roman" w:hAnsi="Times New Roman" w:cs="Times New Roman"/>
          <w:sz w:val="24"/>
          <w:szCs w:val="24"/>
          <w:lang w:val="en-GB"/>
        </w:rPr>
      </w:pPr>
      <w:r w:rsidRPr="00C83F09">
        <w:rPr>
          <w:rFonts w:ascii="Times New Roman" w:hAnsi="Times New Roman" w:cs="Times New Roman"/>
          <w:sz w:val="24"/>
          <w:szCs w:val="24"/>
          <w:lang w:val="en-GB"/>
        </w:rPr>
        <w:t xml:space="preserve">It </w:t>
      </w:r>
      <w:r w:rsidR="001930CB" w:rsidRPr="00C83F09">
        <w:rPr>
          <w:rFonts w:ascii="Times New Roman" w:hAnsi="Times New Roman" w:cs="Times New Roman"/>
          <w:sz w:val="24"/>
          <w:szCs w:val="24"/>
          <w:lang w:val="en-GB"/>
        </w:rPr>
        <w:t>should</w:t>
      </w:r>
      <w:r w:rsidRPr="00C83F09">
        <w:rPr>
          <w:rFonts w:ascii="Times New Roman" w:hAnsi="Times New Roman" w:cs="Times New Roman"/>
          <w:sz w:val="24"/>
          <w:szCs w:val="24"/>
          <w:lang w:val="en-GB"/>
        </w:rPr>
        <w:t xml:space="preserve"> be noted that the values presented in </w:t>
      </w:r>
      <w:r w:rsidR="00FA29EF" w:rsidRPr="00C83F09">
        <w:fldChar w:fldCharType="begin"/>
      </w:r>
      <w:r w:rsidR="00FA29EF" w:rsidRPr="00C83F09">
        <w:instrText xml:space="preserve"> REF _Ref153528887 \h  \* MERGEFORMAT </w:instrText>
      </w:r>
      <w:r w:rsidR="00FA29EF" w:rsidRPr="00C83F09">
        <w:fldChar w:fldCharType="separate"/>
      </w:r>
      <w:r w:rsidRPr="00C83F09">
        <w:rPr>
          <w:rFonts w:ascii="Times New Roman" w:hAnsi="Times New Roman" w:cs="Times New Roman"/>
          <w:sz w:val="24"/>
          <w:szCs w:val="24"/>
          <w:lang w:val="en-GB"/>
        </w:rPr>
        <w:t>Figure 5.46</w:t>
      </w:r>
      <w:r w:rsidR="00FA29EF" w:rsidRPr="00C83F09">
        <w:fldChar w:fldCharType="end"/>
      </w:r>
      <w:r w:rsidRPr="00C83F09">
        <w:rPr>
          <w:rFonts w:ascii="Times New Roman" w:hAnsi="Times New Roman" w:cs="Times New Roman"/>
          <w:sz w:val="24"/>
          <w:szCs w:val="24"/>
          <w:lang w:val="en-GB"/>
        </w:rPr>
        <w:t xml:space="preserve"> refer to the upper and lower limit of full-time jobs created in the entire country </w:t>
      </w:r>
      <w:r w:rsidR="00C83F09" w:rsidRPr="00C83F09">
        <w:rPr>
          <w:rFonts w:ascii="Times New Roman" w:hAnsi="Times New Roman" w:cs="Times New Roman"/>
          <w:sz w:val="24"/>
          <w:szCs w:val="24"/>
          <w:lang w:val="en-GB"/>
        </w:rPr>
        <w:t xml:space="preserve">necessary </w:t>
      </w:r>
      <w:r w:rsidRPr="00C83F09">
        <w:rPr>
          <w:rFonts w:ascii="Times New Roman" w:hAnsi="Times New Roman" w:cs="Times New Roman"/>
          <w:sz w:val="24"/>
          <w:szCs w:val="24"/>
          <w:lang w:val="en-GB"/>
        </w:rPr>
        <w:t>to install, operate and maintain new RES capacity until 2030 (from the beginning of 2023 until end of 2030). Out of these jobs, it is anticipated that a large number if not all of them</w:t>
      </w:r>
      <w:r w:rsidR="00C83F09">
        <w:rPr>
          <w:rFonts w:ascii="Times New Roman" w:hAnsi="Times New Roman" w:cs="Times New Roman"/>
          <w:sz w:val="24"/>
          <w:szCs w:val="24"/>
          <w:lang w:val="en-GB"/>
        </w:rPr>
        <w:t xml:space="preserve"> that relate to</w:t>
      </w:r>
      <w:r w:rsidRPr="00C83F09">
        <w:rPr>
          <w:rFonts w:ascii="Times New Roman" w:hAnsi="Times New Roman" w:cs="Times New Roman"/>
          <w:sz w:val="24"/>
          <w:szCs w:val="24"/>
          <w:lang w:val="en-GB"/>
        </w:rPr>
        <w:t xml:space="preserve"> solar and biomass plants can be created in the impacted lignite territories, while jobs related to wind farms which will be deployed in areas with high wind potential. It is also anticipated that the jobs to be created in general and in the lignite regions specifically will be retained due to the constantly expanding </w:t>
      </w:r>
      <w:r w:rsidR="00BC5FCA">
        <w:rPr>
          <w:rFonts w:ascii="Times New Roman" w:hAnsi="Times New Roman" w:cs="Times New Roman"/>
          <w:sz w:val="24"/>
          <w:szCs w:val="24"/>
          <w:lang w:val="en-GB"/>
        </w:rPr>
        <w:t xml:space="preserve">of the </w:t>
      </w:r>
      <w:r w:rsidRPr="00C83F09">
        <w:rPr>
          <w:rFonts w:ascii="Times New Roman" w:hAnsi="Times New Roman" w:cs="Times New Roman"/>
          <w:sz w:val="24"/>
          <w:szCs w:val="24"/>
          <w:lang w:val="en-GB"/>
        </w:rPr>
        <w:t>RES sector. From the analysis it is derived that up to 3300 and 4900 jobs can be created in the region due to the deployment of new solar and biomass plants.</w:t>
      </w:r>
    </w:p>
    <w:p w14:paraId="5ECC42DB" w14:textId="28E361D3" w:rsidR="00614438" w:rsidRPr="00614438" w:rsidRDefault="00614438" w:rsidP="00C83F09">
      <w:pPr>
        <w:ind w:firstLine="720"/>
        <w:jc w:val="both"/>
        <w:rPr>
          <w:rFonts w:ascii="Times New Roman" w:hAnsi="Times New Roman" w:cs="Times New Roman"/>
          <w:sz w:val="24"/>
          <w:szCs w:val="24"/>
        </w:rPr>
      </w:pPr>
      <w:r w:rsidRPr="00614438">
        <w:rPr>
          <w:rFonts w:ascii="Times New Roman" w:hAnsi="Times New Roman" w:cs="Times New Roman"/>
          <w:sz w:val="24"/>
          <w:szCs w:val="24"/>
        </w:rPr>
        <w:t xml:space="preserve">Scenario S will also impact the average generation (electricity supply) cost that includes the fuel, variable and fixed operating costs plus the annualised investment costs of new investments (after 2016) only. This influence is presented in </w:t>
      </w:r>
      <w:r w:rsidR="00FA29EF">
        <w:fldChar w:fldCharType="begin"/>
      </w:r>
      <w:r w:rsidR="00FA29EF">
        <w:instrText xml:space="preserve"> REF _Ref153528925 \h  \* MERGEFORMAT </w:instrText>
      </w:r>
      <w:r w:rsidR="00FA29EF">
        <w:fldChar w:fldCharType="separate"/>
      </w:r>
      <w:r w:rsidRPr="00614438">
        <w:rPr>
          <w:rFonts w:ascii="Times New Roman" w:hAnsi="Times New Roman" w:cs="Times New Roman"/>
          <w:sz w:val="24"/>
          <w:szCs w:val="24"/>
        </w:rPr>
        <w:t>Figure 5.47</w:t>
      </w:r>
      <w:r w:rsidR="00FA29EF">
        <w:fldChar w:fldCharType="end"/>
      </w:r>
      <w:r w:rsidRPr="00614438">
        <w:rPr>
          <w:rFonts w:ascii="Times New Roman" w:hAnsi="Times New Roman" w:cs="Times New Roman"/>
          <w:sz w:val="24"/>
          <w:szCs w:val="24"/>
        </w:rPr>
        <w:t xml:space="preserve"> and it can be shown that scenario S will specifically lead to an overall increase in the costs towards 2050. </w:t>
      </w:r>
      <w:r w:rsidR="00BC5FCA">
        <w:rPr>
          <w:rFonts w:ascii="Times New Roman" w:hAnsi="Times New Roman" w:cs="Times New Roman"/>
          <w:sz w:val="24"/>
          <w:szCs w:val="24"/>
        </w:rPr>
        <w:t>The</w:t>
      </w:r>
      <w:r w:rsidRPr="00614438">
        <w:rPr>
          <w:rFonts w:ascii="Times New Roman" w:hAnsi="Times New Roman" w:cs="Times New Roman"/>
          <w:sz w:val="24"/>
          <w:szCs w:val="24"/>
        </w:rPr>
        <w:t xml:space="preserve"> average electricity supply cost is not equivalent to the wholesale electricity prices.</w:t>
      </w:r>
      <w:bookmarkStart w:id="629" w:name="_Ref113465623"/>
      <w:bookmarkStart w:id="630" w:name="_Toc118992358"/>
    </w:p>
    <w:p w14:paraId="5D2DBAC0" w14:textId="77777777" w:rsidR="00614438" w:rsidRPr="00614438" w:rsidRDefault="00614438" w:rsidP="00614438">
      <w:pPr>
        <w:jc w:val="both"/>
        <w:rPr>
          <w:rFonts w:ascii="Times New Roman" w:hAnsi="Times New Roman" w:cs="Times New Roman"/>
          <w:sz w:val="24"/>
          <w:szCs w:val="24"/>
        </w:rPr>
      </w:pPr>
      <w:bookmarkStart w:id="631" w:name="_heading=h.2qk79lc"/>
      <w:bookmarkStart w:id="632" w:name="_Ref153528925"/>
      <w:bookmarkStart w:id="633" w:name="_Toc154575320"/>
      <w:bookmarkEnd w:id="631"/>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47</w:t>
      </w:r>
      <w:r w:rsidR="00C83251" w:rsidRPr="00614438">
        <w:rPr>
          <w:rFonts w:ascii="Times New Roman" w:hAnsi="Times New Roman" w:cs="Times New Roman"/>
          <w:sz w:val="24"/>
          <w:szCs w:val="24"/>
        </w:rPr>
        <w:fldChar w:fldCharType="end"/>
      </w:r>
      <w:bookmarkEnd w:id="629"/>
      <w:bookmarkEnd w:id="632"/>
      <w:r w:rsidRPr="00614438">
        <w:rPr>
          <w:rFonts w:ascii="Times New Roman" w:hAnsi="Times New Roman" w:cs="Times New Roman"/>
          <w:sz w:val="24"/>
          <w:szCs w:val="24"/>
        </w:rPr>
        <w:t>: Evolution of the average electricity supply cost in scenario S</w:t>
      </w:r>
      <w:bookmarkEnd w:id="630"/>
      <w:bookmarkEnd w:id="633"/>
    </w:p>
    <w:p w14:paraId="3E6246DE" w14:textId="77777777" w:rsidR="00614438" w:rsidRPr="00614438" w:rsidRDefault="00614438" w:rsidP="00614438">
      <w:pPr>
        <w:jc w:val="both"/>
        <w:rPr>
          <w:rFonts w:ascii="Times New Roman" w:hAnsi="Times New Roman" w:cs="Times New Roman"/>
          <w:sz w:val="24"/>
          <w:szCs w:val="24"/>
        </w:rPr>
      </w:pPr>
      <w:r w:rsidRPr="00013008">
        <w:rPr>
          <w:rFonts w:ascii="Times New Roman" w:hAnsi="Times New Roman" w:cs="Times New Roman"/>
          <w:noProof/>
          <w:sz w:val="24"/>
          <w:szCs w:val="24"/>
          <w:lang w:val="en-GB" w:eastAsia="en-GB"/>
        </w:rPr>
        <w:drawing>
          <wp:inline distT="0" distB="0" distL="0" distR="0" wp14:anchorId="026EE6EE" wp14:editId="739DEB56">
            <wp:extent cx="3429000" cy="2000250"/>
            <wp:effectExtent l="0" t="0" r="0" b="0"/>
            <wp:docPr id="1008095437" name="Chart 224">
              <a:extLst xmlns:a="http://schemas.openxmlformats.org/drawingml/2006/main">
                <a:ext uri="{FF2B5EF4-FFF2-40B4-BE49-F238E27FC236}">
                  <a16:creationId xmlns:a16="http://schemas.microsoft.com/office/drawing/2014/main" id="{2C2B34E5-E482-4B62-AAC2-762423B799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5B459ACC" w14:textId="362CB57E" w:rsidR="00614438" w:rsidRPr="00614438" w:rsidRDefault="00BC5FCA" w:rsidP="00BC5FCA">
      <w:pPr>
        <w:jc w:val="center"/>
        <w:rPr>
          <w:rFonts w:ascii="Times New Roman" w:hAnsi="Times New Roman" w:cs="Times New Roman"/>
          <w:sz w:val="24"/>
          <w:szCs w:val="24"/>
          <w:lang w:val="en-GB"/>
        </w:rPr>
      </w:pPr>
      <w:bookmarkStart w:id="634" w:name="_Toc136173825"/>
      <w:bookmarkStart w:id="635" w:name="_Toc136173826"/>
      <w:bookmarkStart w:id="636" w:name="_Toc153545060"/>
      <w:bookmarkStart w:id="637" w:name="_Toc118991788"/>
      <w:bookmarkStart w:id="638" w:name="_Toc79772568"/>
      <w:bookmarkEnd w:id="634"/>
      <w:bookmarkEnd w:id="635"/>
      <w:r>
        <w:rPr>
          <w:rFonts w:ascii="Times New Roman" w:hAnsi="Times New Roman" w:cs="Times New Roman"/>
          <w:sz w:val="24"/>
          <w:szCs w:val="24"/>
          <w:lang w:val="en-GB"/>
        </w:rPr>
        <w:t xml:space="preserve">5.3. </w:t>
      </w:r>
      <w:r w:rsidR="00614438" w:rsidRPr="00614438">
        <w:rPr>
          <w:rFonts w:ascii="Times New Roman" w:hAnsi="Times New Roman" w:cs="Times New Roman"/>
          <w:sz w:val="24"/>
          <w:szCs w:val="24"/>
          <w:lang w:val="en-GB"/>
        </w:rPr>
        <w:t>Overview of investment needs</w:t>
      </w:r>
      <w:bookmarkEnd w:id="636"/>
      <w:bookmarkEnd w:id="637"/>
      <w:bookmarkEnd w:id="638"/>
    </w:p>
    <w:p w14:paraId="18507062" w14:textId="0F5DC66C" w:rsidR="00614438" w:rsidRPr="00614438" w:rsidRDefault="00614438" w:rsidP="009A1548">
      <w:pPr>
        <w:ind w:firstLine="720"/>
        <w:jc w:val="both"/>
        <w:rPr>
          <w:rFonts w:ascii="Times New Roman" w:hAnsi="Times New Roman" w:cs="Times New Roman"/>
          <w:sz w:val="24"/>
          <w:szCs w:val="24"/>
          <w:lang w:val="en-GB"/>
        </w:rPr>
      </w:pPr>
      <w:bookmarkStart w:id="639" w:name="_Toc113919403"/>
      <w:bookmarkStart w:id="640" w:name="_Ref113535317"/>
      <w:r w:rsidRPr="00614438">
        <w:rPr>
          <w:rFonts w:ascii="Times New Roman" w:hAnsi="Times New Roman" w:cs="Times New Roman"/>
          <w:sz w:val="24"/>
          <w:szCs w:val="24"/>
          <w:lang w:val="en-GB"/>
        </w:rPr>
        <w:t xml:space="preserve">The Serbian INECP includes bold efforts towards the decarbonization of the energy sector, </w:t>
      </w:r>
      <w:r w:rsidR="009A1548">
        <w:rPr>
          <w:rFonts w:ascii="Times New Roman" w:hAnsi="Times New Roman" w:cs="Times New Roman"/>
          <w:sz w:val="24"/>
          <w:szCs w:val="24"/>
          <w:lang w:val="en-GB"/>
        </w:rPr>
        <w:t xml:space="preserve">which is </w:t>
      </w:r>
      <w:r w:rsidRPr="00614438">
        <w:rPr>
          <w:rFonts w:ascii="Times New Roman" w:hAnsi="Times New Roman" w:cs="Times New Roman"/>
          <w:sz w:val="24"/>
          <w:szCs w:val="24"/>
          <w:lang w:val="en-GB"/>
        </w:rPr>
        <w:t>associated</w:t>
      </w:r>
      <w:r w:rsidR="009A1548">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as expected</w:t>
      </w:r>
      <w:r w:rsidR="009A1548">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with high costs. The overall investment needs (referring both to public and own fund CAPEX needs) included under the additional cost of the WAM scenario amount to approximately </w:t>
      </w:r>
      <w:r w:rsidRPr="00614438">
        <w:rPr>
          <w:rFonts w:ascii="Times New Roman" w:hAnsi="Times New Roman" w:cs="Times New Roman"/>
          <w:sz w:val="24"/>
          <w:szCs w:val="24"/>
          <w:lang w:val="sr-Cyrl-CS"/>
        </w:rPr>
        <w:t>13,065</w:t>
      </w:r>
      <w:r w:rsidRPr="00614438">
        <w:rPr>
          <w:rFonts w:ascii="Times New Roman" w:hAnsi="Times New Roman" w:cs="Times New Roman"/>
          <w:sz w:val="24"/>
          <w:szCs w:val="24"/>
          <w:lang w:val="en-GB"/>
        </w:rPr>
        <w:t xml:space="preserve"> billion EUR until 2030, while overall investments needs under WEM scenario are 16.</w:t>
      </w:r>
      <w:r w:rsidRPr="00614438">
        <w:rPr>
          <w:rFonts w:ascii="Times New Roman" w:hAnsi="Times New Roman" w:cs="Times New Roman"/>
          <w:sz w:val="24"/>
          <w:szCs w:val="24"/>
        </w:rPr>
        <w:t>83</w:t>
      </w:r>
      <w:r w:rsidRPr="00614438">
        <w:rPr>
          <w:rFonts w:ascii="Times New Roman" w:hAnsi="Times New Roman" w:cs="Times New Roman"/>
          <w:sz w:val="24"/>
          <w:szCs w:val="24"/>
          <w:lang w:val="en-GB"/>
        </w:rPr>
        <w:t xml:space="preserve"> billion EUR until 2030. It should be highlighted that the implementation of INECP can be achieved with the deployment of additional measures as foreseen in the WAM scenario, which complement the measures foreseen in the WEM scenario.</w:t>
      </w:r>
    </w:p>
    <w:p w14:paraId="60F42522" w14:textId="77777777" w:rsidR="00614438" w:rsidRPr="00614438" w:rsidRDefault="00614438" w:rsidP="009A1548">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The Total overall investment needs for implementation of INECP are estimated of approx. 29.</w:t>
      </w:r>
      <w:r w:rsidRPr="00614438">
        <w:rPr>
          <w:rFonts w:ascii="Times New Roman" w:hAnsi="Times New Roman" w:cs="Times New Roman"/>
          <w:sz w:val="24"/>
          <w:szCs w:val="24"/>
          <w:lang w:val="sr-Cyrl-CS"/>
        </w:rPr>
        <w:t>889</w:t>
      </w:r>
      <w:r w:rsidRPr="00614438">
        <w:rPr>
          <w:rFonts w:ascii="Times New Roman" w:hAnsi="Times New Roman" w:cs="Times New Roman"/>
          <w:sz w:val="24"/>
          <w:szCs w:val="24"/>
          <w:lang w:val="en-GB"/>
        </w:rPr>
        <w:t xml:space="preserve"> billion EUR, taking into consideration that some key measures that need further studies are still under budget examination.</w:t>
      </w:r>
    </w:p>
    <w:p w14:paraId="114178C6" w14:textId="44E4B278" w:rsidR="00614438" w:rsidRPr="00614438" w:rsidRDefault="009A1548" w:rsidP="009A1548">
      <w:pPr>
        <w:ind w:firstLine="720"/>
        <w:jc w:val="both"/>
        <w:rPr>
          <w:rFonts w:ascii="Times New Roman" w:hAnsi="Times New Roman" w:cs="Times New Roman"/>
          <w:sz w:val="24"/>
          <w:szCs w:val="24"/>
          <w:lang w:val="en-GB"/>
        </w:rPr>
      </w:pPr>
      <w:r w:rsidRPr="009A1548">
        <w:rPr>
          <w:rFonts w:ascii="Times New Roman" w:hAnsi="Times New Roman" w:cs="Times New Roman"/>
          <w:sz w:val="24"/>
          <w:szCs w:val="24"/>
          <w:lang w:val="en-GB"/>
        </w:rPr>
        <w:t>INE</w:t>
      </w:r>
      <w:r>
        <w:rPr>
          <w:rFonts w:ascii="Times New Roman" w:hAnsi="Times New Roman" w:cs="Times New Roman"/>
          <w:sz w:val="24"/>
          <w:szCs w:val="24"/>
          <w:lang w:val="en-GB"/>
        </w:rPr>
        <w:t>CP is aligned with the document “</w:t>
      </w:r>
      <w:r w:rsidRPr="00614438">
        <w:rPr>
          <w:rFonts w:ascii="Times New Roman" w:hAnsi="Times New Roman" w:cs="Times New Roman"/>
          <w:sz w:val="24"/>
          <w:szCs w:val="24"/>
          <w:lang w:val="en-GB"/>
        </w:rPr>
        <w:t>Basic Principles of Energy Infrastructure Development Plan and Energy Efficiency Measures for the period until 2028 with projections until 2030</w:t>
      </w:r>
      <w:r>
        <w:rPr>
          <w:rFonts w:ascii="Times New Roman" w:hAnsi="Times New Roman" w:cs="Times New Roman"/>
          <w:sz w:val="24"/>
          <w:szCs w:val="24"/>
          <w:lang w:val="en-GB"/>
        </w:rPr>
        <w:t xml:space="preserve">” </w:t>
      </w:r>
      <w:r w:rsidRPr="009A1548">
        <w:rPr>
          <w:rFonts w:ascii="Times New Roman" w:hAnsi="Times New Roman" w:cs="Times New Roman"/>
          <w:sz w:val="24"/>
          <w:szCs w:val="24"/>
          <w:lang w:val="en-GB"/>
        </w:rPr>
        <w:t xml:space="preserve">(Government Decision on Adoption 05 No. 312-5262/2023-1 dated </w:t>
      </w:r>
      <w:r>
        <w:rPr>
          <w:rFonts w:ascii="Times New Roman" w:hAnsi="Times New Roman" w:cs="Times New Roman"/>
          <w:sz w:val="24"/>
          <w:szCs w:val="24"/>
          <w:lang w:val="en-GB"/>
        </w:rPr>
        <w:t>June 15, 2023) hereinafter:</w:t>
      </w:r>
      <w:r w:rsidR="00614438" w:rsidRPr="00614438">
        <w:rPr>
          <w:rFonts w:ascii="Times New Roman" w:hAnsi="Times New Roman" w:cs="Times New Roman"/>
          <w:sz w:val="24"/>
          <w:szCs w:val="24"/>
          <w:lang w:val="en-GB"/>
        </w:rPr>
        <w:t xml:space="preserve"> “EIDP&amp;EEM”.</w:t>
      </w:r>
    </w:p>
    <w:p w14:paraId="17C2FB3B" w14:textId="3436E9E0" w:rsidR="00614438" w:rsidRPr="00614438" w:rsidRDefault="00614438" w:rsidP="009A1548">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aforementioned “EIDP&amp;EEM” includes the basic directions of strategic development until 2030 and 2050. The “EIDP&amp;EEM” </w:t>
      </w:r>
      <w:r w:rsidR="009A1548">
        <w:rPr>
          <w:rFonts w:ascii="Times New Roman" w:hAnsi="Times New Roman" w:cs="Times New Roman"/>
          <w:sz w:val="24"/>
          <w:szCs w:val="24"/>
          <w:lang w:val="en-GB"/>
        </w:rPr>
        <w:t>contains</w:t>
      </w:r>
      <w:r w:rsidRPr="00614438">
        <w:rPr>
          <w:rFonts w:ascii="Times New Roman" w:hAnsi="Times New Roman" w:cs="Times New Roman"/>
          <w:sz w:val="24"/>
          <w:szCs w:val="24"/>
          <w:lang w:val="en-GB"/>
        </w:rPr>
        <w:t xml:space="preserve"> various projects at different stages of development and maturity. Due to volatile circumstances in the energy sector worldwide, a lot of these projects could potentially progress to implementation</w:t>
      </w:r>
      <w:r w:rsidR="009A1548">
        <w:rPr>
          <w:rFonts w:ascii="Times New Roman" w:hAnsi="Times New Roman" w:cs="Times New Roman"/>
          <w:sz w:val="24"/>
          <w:szCs w:val="24"/>
          <w:lang w:val="en-GB"/>
        </w:rPr>
        <w:t xml:space="preserve"> stage</w:t>
      </w:r>
      <w:r w:rsidRPr="00614438">
        <w:rPr>
          <w:rFonts w:ascii="Times New Roman" w:hAnsi="Times New Roman" w:cs="Times New Roman"/>
          <w:sz w:val="24"/>
          <w:szCs w:val="24"/>
          <w:lang w:val="en-GB"/>
        </w:rPr>
        <w:t>, while other projects are still at the initial stages of development and some even at the very early conceptual stage.</w:t>
      </w:r>
    </w:p>
    <w:p w14:paraId="2E2CBBDC" w14:textId="77777777" w:rsidR="00614438" w:rsidRPr="00614438" w:rsidRDefault="00614438" w:rsidP="009A1548">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However, this only reinforces the commitment of the Government of the Republic Serbia to go above and beyond regarding the safe and reliable supply of energy (including its quality).</w:t>
      </w:r>
    </w:p>
    <w:p w14:paraId="052FADF5" w14:textId="77777777" w:rsidR="00614438" w:rsidRPr="00614438" w:rsidRDefault="00614438" w:rsidP="009A1548">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 order to highlight the strategic direction that the Government of the Republic of Serbia needs to take to fulfil its energy transition ambitions, an indicative estimate of the additional investment costs from the Infrastructure Development Plan compared to INECP is presented in Annex IV.</w:t>
      </w:r>
    </w:p>
    <w:p w14:paraId="11314AFA" w14:textId="08BB4E63" w:rsidR="00614438" w:rsidRPr="00614438" w:rsidRDefault="009A1548" w:rsidP="009A1548">
      <w:pPr>
        <w:ind w:firstLine="720"/>
        <w:jc w:val="both"/>
        <w:rPr>
          <w:rFonts w:ascii="Times New Roman" w:hAnsi="Times New Roman" w:cs="Times New Roman"/>
          <w:sz w:val="24"/>
          <w:szCs w:val="24"/>
          <w:lang w:val="en-GB"/>
        </w:rPr>
      </w:pPr>
      <w:r>
        <w:rPr>
          <w:rFonts w:ascii="Times New Roman" w:hAnsi="Times New Roman" w:cs="Times New Roman"/>
          <w:sz w:val="24"/>
          <w:szCs w:val="24"/>
          <w:lang w:val="en-GB"/>
        </w:rPr>
        <w:t>In accordance with</w:t>
      </w:r>
      <w:r w:rsidR="00614438" w:rsidRPr="00614438">
        <w:rPr>
          <w:rFonts w:ascii="Times New Roman" w:hAnsi="Times New Roman" w:cs="Times New Roman"/>
          <w:sz w:val="24"/>
          <w:szCs w:val="24"/>
          <w:lang w:val="en-GB"/>
        </w:rPr>
        <w:t xml:space="preserve"> Annex IV, the investment costs for the period up to 2030 are in the range of 4.71 billion EUR, while the investment costs for the period after 2030 and up to 2050 are in the range 3.14 billion EUR.</w:t>
      </w:r>
    </w:p>
    <w:p w14:paraId="2B160A6D" w14:textId="14BAD315" w:rsidR="00614438" w:rsidRPr="00614438" w:rsidRDefault="00614438" w:rsidP="009A1548">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deployment of new large-scale projects shall also create the respective OPEX needs</w:t>
      </w:r>
      <w:r w:rsidR="009A1548">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which are however not included in the present analysis. </w:t>
      </w:r>
      <w:r w:rsidR="00FA29EF">
        <w:fldChar w:fldCharType="begin"/>
      </w:r>
      <w:r w:rsidR="00FA29EF">
        <w:instrText xml:space="preserve"> REF _Ref118992030 \h  \* MERGEFORMAT </w:instrText>
      </w:r>
      <w:r w:rsidR="00FA29EF">
        <w:fldChar w:fldCharType="separate"/>
      </w:r>
      <w:r w:rsidRPr="00614438">
        <w:rPr>
          <w:rFonts w:ascii="Times New Roman" w:hAnsi="Times New Roman" w:cs="Times New Roman"/>
          <w:sz w:val="24"/>
          <w:szCs w:val="24"/>
          <w:lang w:val="en-GB"/>
        </w:rPr>
        <w:t>Figure 5.48</w:t>
      </w:r>
      <w:r w:rsidR="00FA29EF">
        <w:fldChar w:fldCharType="end"/>
      </w:r>
      <w:r w:rsidRPr="00614438">
        <w:rPr>
          <w:rFonts w:ascii="Times New Roman" w:hAnsi="Times New Roman" w:cs="Times New Roman"/>
          <w:sz w:val="24"/>
          <w:szCs w:val="24"/>
          <w:lang w:val="en-GB"/>
        </w:rPr>
        <w:t xml:space="preserve"> illustrates the distribution of implementation costs per dimension.</w:t>
      </w:r>
      <w:bookmarkEnd w:id="639"/>
    </w:p>
    <w:p w14:paraId="12572F5B" w14:textId="461EDCA6" w:rsidR="009A1548" w:rsidRPr="00614438" w:rsidRDefault="009A1548" w:rsidP="009A1548">
      <w:pPr>
        <w:ind w:firstLine="720"/>
        <w:jc w:val="both"/>
        <w:rPr>
          <w:rFonts w:ascii="Times New Roman" w:hAnsi="Times New Roman" w:cs="Times New Roman"/>
          <w:sz w:val="24"/>
          <w:szCs w:val="24"/>
          <w:lang w:val="en-GB"/>
        </w:rPr>
      </w:pPr>
      <w:r w:rsidRPr="009A1548">
        <w:rPr>
          <w:rFonts w:ascii="Times New Roman" w:hAnsi="Times New Roman" w:cs="Times New Roman"/>
          <w:sz w:val="24"/>
          <w:szCs w:val="24"/>
          <w:lang w:val="en-GB"/>
        </w:rPr>
        <w:t>It can be seen that the correspo</w:t>
      </w:r>
      <w:r>
        <w:rPr>
          <w:rFonts w:ascii="Times New Roman" w:hAnsi="Times New Roman" w:cs="Times New Roman"/>
          <w:sz w:val="24"/>
          <w:szCs w:val="24"/>
          <w:lang w:val="en-GB"/>
        </w:rPr>
        <w:t>nding measures included in the Energy E</w:t>
      </w:r>
      <w:r w:rsidRPr="009A1548">
        <w:rPr>
          <w:rFonts w:ascii="Times New Roman" w:hAnsi="Times New Roman" w:cs="Times New Roman"/>
          <w:sz w:val="24"/>
          <w:szCs w:val="24"/>
          <w:lang w:val="en-GB"/>
        </w:rPr>
        <w:t>fficiency dimension generate the vast majority of implementation costs, i.e. around 66.95%. This is understandable</w:t>
      </w:r>
      <w:r>
        <w:rPr>
          <w:rFonts w:ascii="Times New Roman" w:hAnsi="Times New Roman" w:cs="Times New Roman"/>
          <w:sz w:val="24"/>
          <w:szCs w:val="24"/>
          <w:lang w:val="en-GB"/>
        </w:rPr>
        <w:t>,</w:t>
      </w:r>
      <w:r w:rsidRPr="009A1548">
        <w:rPr>
          <w:rFonts w:ascii="Times New Roman" w:hAnsi="Times New Roman" w:cs="Times New Roman"/>
          <w:sz w:val="24"/>
          <w:szCs w:val="24"/>
          <w:lang w:val="en-GB"/>
        </w:rPr>
        <w:t xml:space="preserve"> given that the projects categorized under this dimension refer to the huge investments required to promote energy efficiency in the industrial, transport and construction sectors. In these sectors, intensive investments are needed in the form of support schemes through subsidies for the energy rehabilitation of existing commercial, public and residential buildings, as well as the construction of new buildings, subsidies and tax incentives for the purchase of energy-efficient commercial vehicles and financial/fiscal measures for the replace</w:t>
      </w:r>
      <w:r>
        <w:rPr>
          <w:rFonts w:ascii="Times New Roman" w:hAnsi="Times New Roman" w:cs="Times New Roman"/>
          <w:sz w:val="24"/>
          <w:szCs w:val="24"/>
          <w:lang w:val="en-GB"/>
        </w:rPr>
        <w:t xml:space="preserve">ment of conventional light and </w:t>
      </w:r>
      <w:r w:rsidRPr="009A1548">
        <w:rPr>
          <w:rFonts w:ascii="Times New Roman" w:hAnsi="Times New Roman" w:cs="Times New Roman"/>
          <w:sz w:val="24"/>
          <w:szCs w:val="24"/>
          <w:lang w:val="en-GB"/>
        </w:rPr>
        <w:t>heavy vehicles for freight traffic, as well as for the modernization of the existing railway infrastructure in the country.</w:t>
      </w:r>
    </w:p>
    <w:p w14:paraId="550BF947" w14:textId="2F2D1656" w:rsidR="00614438" w:rsidRPr="00614438" w:rsidRDefault="00614438" w:rsidP="009A1548">
      <w:pPr>
        <w:ind w:firstLine="720"/>
        <w:jc w:val="both"/>
        <w:rPr>
          <w:rFonts w:ascii="Times New Roman" w:hAnsi="Times New Roman" w:cs="Times New Roman"/>
          <w:sz w:val="24"/>
          <w:szCs w:val="24"/>
        </w:rPr>
      </w:pPr>
      <w:r w:rsidRPr="00614438">
        <w:rPr>
          <w:rFonts w:ascii="Times New Roman" w:hAnsi="Times New Roman" w:cs="Times New Roman"/>
          <w:sz w:val="24"/>
          <w:szCs w:val="24"/>
          <w:lang w:val="en-GB"/>
        </w:rPr>
        <w:t xml:space="preserve">It is important to mention that out of the total cost of 20.01 billion EUR, the 19.67% (5.83 billion) refers to measures that affect also the Decarbonization dimension, but the implementation cost has not been double counted. More specifically, it affects measures PM_D29, PM_D30, PM_D35 and PM_D43. </w:t>
      </w:r>
      <w:r w:rsidR="009A1548">
        <w:rPr>
          <w:rFonts w:ascii="Times New Roman" w:hAnsi="Times New Roman" w:cs="Times New Roman"/>
          <w:sz w:val="24"/>
          <w:szCs w:val="24"/>
          <w:lang w:val="en-GB"/>
        </w:rPr>
        <w:t xml:space="preserve">Alongside these </w:t>
      </w:r>
      <w:r w:rsidRPr="00614438">
        <w:rPr>
          <w:rFonts w:ascii="Times New Roman" w:hAnsi="Times New Roman" w:cs="Times New Roman"/>
          <w:sz w:val="24"/>
          <w:szCs w:val="24"/>
          <w:lang w:val="en-GB"/>
        </w:rPr>
        <w:t>cost</w:t>
      </w:r>
      <w:r w:rsidR="009A1548">
        <w:rPr>
          <w:rFonts w:ascii="Times New Roman" w:hAnsi="Times New Roman" w:cs="Times New Roman"/>
          <w:sz w:val="24"/>
          <w:szCs w:val="24"/>
          <w:lang w:val="en-GB"/>
        </w:rPr>
        <w:t>s</w:t>
      </w:r>
      <w:r w:rsidRPr="00614438">
        <w:rPr>
          <w:rFonts w:ascii="Times New Roman" w:hAnsi="Times New Roman" w:cs="Times New Roman"/>
          <w:sz w:val="24"/>
          <w:szCs w:val="24"/>
          <w:lang w:val="en-GB"/>
        </w:rPr>
        <w:t>, investment needs related to Decarbonization, more specifically to GHG emissions and renewable energy amount to approximately 5.</w:t>
      </w:r>
      <w:r w:rsidR="009A1548">
        <w:rPr>
          <w:rFonts w:ascii="Times New Roman" w:hAnsi="Times New Roman" w:cs="Times New Roman"/>
          <w:sz w:val="24"/>
          <w:szCs w:val="24"/>
          <w:lang w:val="en-GB"/>
        </w:rPr>
        <w:t>2</w:t>
      </w:r>
      <w:r w:rsidRPr="00614438">
        <w:rPr>
          <w:rFonts w:ascii="Times New Roman" w:hAnsi="Times New Roman" w:cs="Times New Roman"/>
          <w:sz w:val="24"/>
          <w:szCs w:val="24"/>
          <w:lang w:val="en-GB"/>
        </w:rPr>
        <w:t xml:space="preserve"> billion EUR until 2030.</w:t>
      </w:r>
      <w:bookmarkStart w:id="641" w:name="_Ref118992030"/>
      <w:bookmarkStart w:id="642" w:name="_Toc118992359"/>
    </w:p>
    <w:p w14:paraId="47670404" w14:textId="77777777" w:rsidR="00614438" w:rsidRPr="00614438" w:rsidRDefault="00614438" w:rsidP="00614438">
      <w:pPr>
        <w:jc w:val="both"/>
        <w:rPr>
          <w:rFonts w:ascii="Times New Roman" w:hAnsi="Times New Roman" w:cs="Times New Roman"/>
          <w:sz w:val="24"/>
          <w:szCs w:val="24"/>
          <w:lang w:val="en-GB"/>
        </w:rPr>
      </w:pPr>
      <w:bookmarkStart w:id="643" w:name="_Toc154575321"/>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48</w:t>
      </w:r>
      <w:r w:rsidR="00C83251" w:rsidRPr="00614438">
        <w:rPr>
          <w:rFonts w:ascii="Times New Roman" w:hAnsi="Times New Roman" w:cs="Times New Roman"/>
          <w:sz w:val="24"/>
          <w:szCs w:val="24"/>
        </w:rPr>
        <w:fldChar w:fldCharType="end"/>
      </w:r>
      <w:bookmarkEnd w:id="640"/>
      <w:bookmarkEnd w:id="641"/>
      <w:r w:rsidRPr="00614438">
        <w:rPr>
          <w:rFonts w:ascii="Times New Roman" w:hAnsi="Times New Roman" w:cs="Times New Roman"/>
          <w:sz w:val="24"/>
          <w:szCs w:val="24"/>
        </w:rPr>
        <w:t>: Distribution of implementation costs per dimension</w:t>
      </w:r>
      <w:bookmarkEnd w:id="642"/>
      <w:bookmarkEnd w:id="643"/>
    </w:p>
    <w:p w14:paraId="5611E485"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lastRenderedPageBreak/>
        <w:drawing>
          <wp:inline distT="0" distB="0" distL="0" distR="0" wp14:anchorId="0C5A28E6" wp14:editId="79DFC443">
            <wp:extent cx="4581525" cy="2752725"/>
            <wp:effectExtent l="0" t="0" r="9525" b="9525"/>
            <wp:docPr id="505839752" name="Chart 223">
              <a:extLst xmlns:a="http://schemas.openxmlformats.org/drawingml/2006/main">
                <a:ext uri="{FF2B5EF4-FFF2-40B4-BE49-F238E27FC236}">
                  <a16:creationId xmlns:a16="http://schemas.microsoft.com/office/drawing/2014/main" id="{A56137D0-A0F0-76B2-B0BD-BFD549ECC5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07789EB5" w14:textId="77777777" w:rsidR="00614438" w:rsidRPr="00614438" w:rsidRDefault="00614438" w:rsidP="00614438">
      <w:pPr>
        <w:jc w:val="both"/>
        <w:rPr>
          <w:rFonts w:ascii="Times New Roman" w:hAnsi="Times New Roman" w:cs="Times New Roman"/>
          <w:sz w:val="24"/>
          <w:szCs w:val="24"/>
          <w:lang w:val="en-GB"/>
        </w:rPr>
      </w:pPr>
    </w:p>
    <w:p w14:paraId="396D37CF" w14:textId="77777777" w:rsidR="00614438" w:rsidRPr="00614438" w:rsidRDefault="00614438" w:rsidP="00614438">
      <w:pPr>
        <w:jc w:val="both"/>
        <w:rPr>
          <w:rFonts w:ascii="Times New Roman" w:hAnsi="Times New Roman" w:cs="Times New Roman"/>
          <w:sz w:val="24"/>
          <w:szCs w:val="24"/>
          <w:lang w:val="en-GB"/>
        </w:rPr>
      </w:pPr>
    </w:p>
    <w:p w14:paraId="2E02C090" w14:textId="77777777" w:rsidR="00614438" w:rsidRPr="00614438" w:rsidRDefault="00614438" w:rsidP="00614438">
      <w:pPr>
        <w:jc w:val="both"/>
        <w:rPr>
          <w:rFonts w:ascii="Times New Roman" w:hAnsi="Times New Roman" w:cs="Times New Roman"/>
          <w:sz w:val="24"/>
          <w:szCs w:val="24"/>
          <w:lang w:val="en-GB"/>
        </w:rPr>
      </w:pPr>
    </w:p>
    <w:p w14:paraId="3AA22F47" w14:textId="1B1E2CE6" w:rsidR="00614438" w:rsidRPr="00614438" w:rsidRDefault="00614438" w:rsidP="009A1548">
      <w:pPr>
        <w:ind w:firstLine="720"/>
        <w:jc w:val="both"/>
        <w:rPr>
          <w:rFonts w:ascii="Times New Roman" w:hAnsi="Times New Roman" w:cs="Times New Roman"/>
          <w:sz w:val="24"/>
          <w:szCs w:val="24"/>
          <w:lang w:val="en-GB"/>
        </w:rPr>
      </w:pPr>
      <w:bookmarkStart w:id="644" w:name="_Toc113919416"/>
      <w:r w:rsidRPr="00614438">
        <w:rPr>
          <w:rFonts w:ascii="Times New Roman" w:hAnsi="Times New Roman" w:cs="Times New Roman"/>
          <w:sz w:val="24"/>
          <w:szCs w:val="24"/>
          <w:lang w:val="en-GB"/>
        </w:rPr>
        <w:t xml:space="preserve">An overview of the individual measures listed under the 5 dimensions (i.e. Decarbonization, Energy Efficiency, Energy Security, Internal Energy Market, Research, Innovation and Competitiveness), alongside their implementation costs are summarized in </w:t>
      </w:r>
      <w:r w:rsidR="00FA29EF">
        <w:fldChar w:fldCharType="begin"/>
      </w:r>
      <w:r w:rsidR="00FA29EF">
        <w:instrText xml:space="preserve"> REF _Ref118992144 \h  \* MERGEFORMAT </w:instrText>
      </w:r>
      <w:r w:rsidR="00FA29EF">
        <w:fldChar w:fldCharType="separate"/>
      </w:r>
      <w:r w:rsidRPr="00614438">
        <w:rPr>
          <w:rFonts w:ascii="Times New Roman" w:hAnsi="Times New Roman" w:cs="Times New Roman"/>
          <w:sz w:val="24"/>
          <w:szCs w:val="24"/>
          <w:lang w:val="en-GB"/>
        </w:rPr>
        <w:t>Figure 5.49</w:t>
      </w:r>
      <w:r w:rsidR="00FA29EF">
        <w:fldChar w:fldCharType="end"/>
      </w:r>
      <w:r w:rsidRPr="00614438">
        <w:rPr>
          <w:rFonts w:ascii="Times New Roman" w:hAnsi="Times New Roman" w:cs="Times New Roman"/>
          <w:sz w:val="24"/>
          <w:szCs w:val="24"/>
          <w:lang w:val="en-GB"/>
        </w:rPr>
        <w:t>, while the detailed list of measures is included in Annex I. In the cases that the measure is implemented partially under WEM and WAM scenarios, it has been assumed that implementation costs are split between WEM and WAM, according to the specific measure provisions.</w:t>
      </w:r>
      <w:bookmarkEnd w:id="644"/>
      <w:r w:rsidR="00BD00CE">
        <w:rPr>
          <w:rFonts w:ascii="Times New Roman" w:hAnsi="Times New Roman" w:cs="Times New Roman"/>
          <w:sz w:val="24"/>
          <w:szCs w:val="24"/>
          <w:lang w:val="en-GB"/>
        </w:rPr>
        <w:t xml:space="preserve"> </w:t>
      </w:r>
      <w:r w:rsidR="00BD00CE" w:rsidRPr="00BD00CE">
        <w:rPr>
          <w:rFonts w:ascii="Times New Roman" w:hAnsi="Times New Roman" w:cs="Times New Roman"/>
          <w:sz w:val="24"/>
          <w:szCs w:val="24"/>
          <w:lang w:val="en-GB"/>
        </w:rPr>
        <w:t xml:space="preserve">It comes to the fact that the costs in the WEM scenario amount to </w:t>
      </w:r>
      <w:r w:rsidR="00BD00CE" w:rsidRPr="00614438">
        <w:rPr>
          <w:rFonts w:ascii="Times New Roman" w:hAnsi="Times New Roman" w:cs="Times New Roman"/>
          <w:sz w:val="24"/>
          <w:szCs w:val="24"/>
          <w:lang w:val="en-GB"/>
        </w:rPr>
        <w:t xml:space="preserve">approximately </w:t>
      </w:r>
      <w:r w:rsidR="00BD00CE" w:rsidRPr="00BD00CE">
        <w:rPr>
          <w:rFonts w:ascii="Times New Roman" w:hAnsi="Times New Roman" w:cs="Times New Roman"/>
          <w:sz w:val="24"/>
          <w:szCs w:val="24"/>
          <w:lang w:val="en-GB"/>
        </w:rPr>
        <w:t>16.83 billion euros for investments, and in the WAM scenario 13.065 billion euros.</w:t>
      </w:r>
    </w:p>
    <w:p w14:paraId="7AFC7DE6" w14:textId="7AE1E650" w:rsidR="00614438" w:rsidRPr="00614438" w:rsidRDefault="00614438" w:rsidP="00BD00CE">
      <w:pPr>
        <w:ind w:firstLine="720"/>
        <w:jc w:val="both"/>
        <w:rPr>
          <w:rFonts w:ascii="Times New Roman" w:hAnsi="Times New Roman" w:cs="Times New Roman"/>
          <w:sz w:val="24"/>
          <w:szCs w:val="24"/>
          <w:lang w:val="el-GR"/>
        </w:rPr>
      </w:pPr>
      <w:bookmarkStart w:id="645" w:name="_Toc113919405"/>
      <w:r w:rsidRPr="00614438">
        <w:rPr>
          <w:rFonts w:ascii="Times New Roman" w:hAnsi="Times New Roman" w:cs="Times New Roman"/>
          <w:sz w:val="24"/>
          <w:szCs w:val="24"/>
          <w:lang w:val="en-GB"/>
        </w:rPr>
        <w:t>This allocation essentially indicates that already under the WEM scenario considerable decarbonization efforts were included (</w:t>
      </w:r>
      <w:r w:rsidR="00FA29EF">
        <w:fldChar w:fldCharType="begin"/>
      </w:r>
      <w:r w:rsidR="00FA29EF">
        <w:instrText xml:space="preserve"> REF _Ref118992144 \h  \* MERGEFORMAT </w:instrText>
      </w:r>
      <w:r w:rsidR="00FA29EF">
        <w:fldChar w:fldCharType="separate"/>
      </w:r>
      <w:r w:rsidRPr="00614438">
        <w:rPr>
          <w:rFonts w:ascii="Times New Roman" w:hAnsi="Times New Roman" w:cs="Times New Roman"/>
          <w:sz w:val="24"/>
          <w:szCs w:val="24"/>
          <w:lang w:val="en-GB"/>
        </w:rPr>
        <w:t>Figure 5.49</w:t>
      </w:r>
      <w:r w:rsidR="00FA29EF">
        <w:fldChar w:fldCharType="end"/>
      </w:r>
      <w:r w:rsidRPr="00614438">
        <w:rPr>
          <w:rFonts w:ascii="Times New Roman" w:hAnsi="Times New Roman" w:cs="Times New Roman"/>
          <w:sz w:val="24"/>
          <w:szCs w:val="24"/>
          <w:lang w:val="en-GB"/>
        </w:rPr>
        <w:t xml:space="preserve">). It should </w:t>
      </w:r>
      <w:r w:rsidR="00BD00CE" w:rsidRPr="00614438">
        <w:rPr>
          <w:rFonts w:ascii="Times New Roman" w:hAnsi="Times New Roman" w:cs="Times New Roman"/>
          <w:sz w:val="24"/>
          <w:szCs w:val="24"/>
          <w:lang w:val="en-GB"/>
        </w:rPr>
        <w:t xml:space="preserve">also </w:t>
      </w:r>
      <w:r w:rsidRPr="00614438">
        <w:rPr>
          <w:rFonts w:ascii="Times New Roman" w:hAnsi="Times New Roman" w:cs="Times New Roman"/>
          <w:sz w:val="24"/>
          <w:szCs w:val="24"/>
          <w:lang w:val="en-GB"/>
        </w:rPr>
        <w:t xml:space="preserve">be </w:t>
      </w:r>
      <w:r w:rsidR="00BD00CE">
        <w:rPr>
          <w:rFonts w:ascii="Times New Roman" w:hAnsi="Times New Roman" w:cs="Times New Roman"/>
          <w:sz w:val="24"/>
          <w:szCs w:val="24"/>
          <w:lang w:val="en-GB"/>
        </w:rPr>
        <w:t>emphasised</w:t>
      </w:r>
      <w:r w:rsidRPr="00614438">
        <w:rPr>
          <w:rFonts w:ascii="Times New Roman" w:hAnsi="Times New Roman" w:cs="Times New Roman"/>
          <w:sz w:val="24"/>
          <w:szCs w:val="24"/>
          <w:lang w:val="en-GB"/>
        </w:rPr>
        <w:t xml:space="preserve"> that large part of the costs of the WAM scenario shall come from private sector investments, implying that the feasibility of the scenario is strongly related to affordability for consumers and the ability of the private sector to deliver projects.</w:t>
      </w:r>
      <w:bookmarkEnd w:id="645"/>
    </w:p>
    <w:p w14:paraId="4376C8DB" w14:textId="77777777" w:rsidR="00614438" w:rsidRPr="00614438" w:rsidRDefault="00614438" w:rsidP="00614438">
      <w:pPr>
        <w:jc w:val="both"/>
        <w:rPr>
          <w:rFonts w:ascii="Times New Roman" w:hAnsi="Times New Roman" w:cs="Times New Roman"/>
          <w:sz w:val="24"/>
          <w:szCs w:val="24"/>
        </w:rPr>
      </w:pPr>
      <w:bookmarkStart w:id="646" w:name="_Ref118992144"/>
      <w:bookmarkStart w:id="647" w:name="_Toc118992360"/>
      <w:bookmarkStart w:id="648" w:name="_Toc154575322"/>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49</w:t>
      </w:r>
      <w:r w:rsidR="00C83251" w:rsidRPr="00614438">
        <w:rPr>
          <w:rFonts w:ascii="Times New Roman" w:hAnsi="Times New Roman" w:cs="Times New Roman"/>
          <w:sz w:val="24"/>
          <w:szCs w:val="24"/>
        </w:rPr>
        <w:fldChar w:fldCharType="end"/>
      </w:r>
      <w:bookmarkEnd w:id="646"/>
      <w:r w:rsidRPr="00614438">
        <w:rPr>
          <w:rFonts w:ascii="Times New Roman" w:hAnsi="Times New Roman" w:cs="Times New Roman"/>
          <w:sz w:val="24"/>
          <w:szCs w:val="24"/>
        </w:rPr>
        <w:t>: Distribution of implementation costs per WEM /WAM</w:t>
      </w:r>
      <w:bookmarkEnd w:id="647"/>
      <w:bookmarkEnd w:id="648"/>
    </w:p>
    <w:p w14:paraId="3F044D67"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lastRenderedPageBreak/>
        <w:drawing>
          <wp:inline distT="0" distB="0" distL="0" distR="0" wp14:anchorId="18792DD6" wp14:editId="7BE02901">
            <wp:extent cx="5495925" cy="2533650"/>
            <wp:effectExtent l="0" t="0" r="9525" b="0"/>
            <wp:docPr id="1253793209" name="Chart 222">
              <a:extLst xmlns:a="http://schemas.openxmlformats.org/drawingml/2006/main">
                <a:ext uri="{FF2B5EF4-FFF2-40B4-BE49-F238E27FC236}">
                  <a16:creationId xmlns:a16="http://schemas.microsoft.com/office/drawing/2014/main" id="{980BB3C4-497C-4F08-BF54-E6A64ABFD806}"/>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253793209" name="Chart 222">
                      <a:extLst>
                        <a:ext uri="{FF2B5EF4-FFF2-40B4-BE49-F238E27FC236}">
                          <a16:creationId xmlns:a16="http://schemas.microsoft.com/office/drawing/2014/main" id="{980BB3C4-497C-4F08-BF54-E6A64ABFD806}"/>
                        </a:ext>
                      </a:extLst>
                    </pic:cNvPr>
                    <pic:cNvPicPr>
                      <a:picLocks noGrp="1" noRot="1" noChangeAspect="1" noMove="1" noResize="1" noEditPoints="1" noAdjustHandles="1" noChangeArrowheads="1" noChangeShapeType="1"/>
                    </pic:cNvPicPr>
                  </pic:nvPicPr>
                  <pic:blipFill>
                    <a:blip r:embed="rId145" cstate="print"/>
                    <a:stretch>
                      <a:fillRect/>
                    </a:stretch>
                  </pic:blipFill>
                  <pic:spPr>
                    <a:xfrm>
                      <a:off x="0" y="0"/>
                      <a:ext cx="5495925" cy="2533650"/>
                    </a:xfrm>
                    <a:prstGeom prst="rect">
                      <a:avLst/>
                    </a:prstGeom>
                  </pic:spPr>
                </pic:pic>
              </a:graphicData>
            </a:graphic>
          </wp:inline>
        </w:drawing>
      </w:r>
    </w:p>
    <w:p w14:paraId="231A4C13" w14:textId="77777777" w:rsidR="00614438" w:rsidRPr="00614438" w:rsidRDefault="00614438" w:rsidP="00614438">
      <w:pPr>
        <w:jc w:val="both"/>
        <w:rPr>
          <w:rFonts w:ascii="Times New Roman" w:hAnsi="Times New Roman" w:cs="Times New Roman"/>
          <w:sz w:val="24"/>
          <w:szCs w:val="24"/>
          <w:lang w:val="en-GB"/>
        </w:rPr>
      </w:pPr>
    </w:p>
    <w:p w14:paraId="42E53EB5" w14:textId="02B9BA7D" w:rsidR="00614438" w:rsidRPr="00614438" w:rsidRDefault="00614438" w:rsidP="00614438">
      <w:pPr>
        <w:jc w:val="both"/>
        <w:rPr>
          <w:rFonts w:ascii="Times New Roman" w:hAnsi="Times New Roman" w:cs="Times New Roman"/>
          <w:sz w:val="24"/>
          <w:szCs w:val="24"/>
        </w:rPr>
      </w:pPr>
      <w:bookmarkStart w:id="649" w:name="_Toc153545077"/>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Dimension of Measures and implementation costs</w:t>
      </w:r>
      <w:bookmarkEnd w:id="649"/>
    </w:p>
    <w:tbl>
      <w:tblPr>
        <w:tblW w:w="1008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1"/>
        <w:gridCol w:w="1527"/>
        <w:gridCol w:w="1546"/>
        <w:gridCol w:w="1278"/>
        <w:gridCol w:w="1498"/>
        <w:gridCol w:w="1330"/>
        <w:gridCol w:w="1330"/>
      </w:tblGrid>
      <w:tr w:rsidR="00614438" w:rsidRPr="004F5BC1" w14:paraId="0DD74D2E" w14:textId="77777777" w:rsidTr="00614438">
        <w:trPr>
          <w:trHeight w:val="589"/>
        </w:trPr>
        <w:tc>
          <w:tcPr>
            <w:tcW w:w="1571" w:type="dxa"/>
            <w:tcBorders>
              <w:top w:val="single" w:sz="4" w:space="0" w:color="auto"/>
              <w:left w:val="single" w:sz="4" w:space="0" w:color="auto"/>
              <w:bottom w:val="single" w:sz="4" w:space="0" w:color="auto"/>
              <w:right w:val="single" w:sz="4" w:space="0" w:color="auto"/>
            </w:tcBorders>
            <w:shd w:val="clear" w:color="auto" w:fill="244062"/>
            <w:hideMark/>
          </w:tcPr>
          <w:p w14:paraId="6FA37C5E"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Dimension of Measures</w:t>
            </w:r>
          </w:p>
        </w:tc>
        <w:tc>
          <w:tcPr>
            <w:tcW w:w="1527" w:type="dxa"/>
            <w:tcBorders>
              <w:top w:val="single" w:sz="4" w:space="0" w:color="auto"/>
              <w:left w:val="single" w:sz="4" w:space="0" w:color="auto"/>
              <w:bottom w:val="single" w:sz="4" w:space="0" w:color="auto"/>
              <w:right w:val="single" w:sz="4" w:space="0" w:color="auto"/>
            </w:tcBorders>
            <w:shd w:val="clear" w:color="auto" w:fill="244062"/>
            <w:hideMark/>
          </w:tcPr>
          <w:p w14:paraId="6DE72173"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Implementation Cost (billion €)</w:t>
            </w:r>
          </w:p>
        </w:tc>
        <w:tc>
          <w:tcPr>
            <w:tcW w:w="1545" w:type="dxa"/>
            <w:tcBorders>
              <w:top w:val="single" w:sz="4" w:space="0" w:color="auto"/>
              <w:left w:val="single" w:sz="4" w:space="0" w:color="auto"/>
              <w:bottom w:val="single" w:sz="4" w:space="0" w:color="auto"/>
              <w:right w:val="single" w:sz="4" w:space="0" w:color="auto"/>
            </w:tcBorders>
            <w:shd w:val="clear" w:color="auto" w:fill="244062"/>
            <w:hideMark/>
          </w:tcPr>
          <w:p w14:paraId="56FB29FE"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Planned public aid (billion €)</w:t>
            </w:r>
          </w:p>
        </w:tc>
        <w:tc>
          <w:tcPr>
            <w:tcW w:w="1277" w:type="dxa"/>
            <w:tcBorders>
              <w:top w:val="single" w:sz="4" w:space="0" w:color="auto"/>
              <w:left w:val="single" w:sz="4" w:space="0" w:color="auto"/>
              <w:bottom w:val="single" w:sz="4" w:space="0" w:color="auto"/>
              <w:right w:val="single" w:sz="4" w:space="0" w:color="auto"/>
            </w:tcBorders>
            <w:shd w:val="clear" w:color="auto" w:fill="244062"/>
            <w:hideMark/>
          </w:tcPr>
          <w:p w14:paraId="7C86E0CB"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Own funds</w:t>
            </w:r>
          </w:p>
          <w:p w14:paraId="5D6ABEAF"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(billion €)</w:t>
            </w:r>
          </w:p>
        </w:tc>
        <w:tc>
          <w:tcPr>
            <w:tcW w:w="1497" w:type="dxa"/>
            <w:tcBorders>
              <w:top w:val="single" w:sz="4" w:space="0" w:color="auto"/>
              <w:left w:val="single" w:sz="4" w:space="0" w:color="auto"/>
              <w:bottom w:val="single" w:sz="4" w:space="0" w:color="auto"/>
              <w:right w:val="single" w:sz="4" w:space="0" w:color="auto"/>
            </w:tcBorders>
            <w:shd w:val="clear" w:color="auto" w:fill="244062"/>
            <w:hideMark/>
          </w:tcPr>
          <w:p w14:paraId="632231FD"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 xml:space="preserve">Own funds over total implementation cost </w:t>
            </w:r>
          </w:p>
        </w:tc>
        <w:tc>
          <w:tcPr>
            <w:tcW w:w="1329" w:type="dxa"/>
            <w:tcBorders>
              <w:top w:val="single" w:sz="4" w:space="0" w:color="auto"/>
              <w:left w:val="single" w:sz="4" w:space="0" w:color="auto"/>
              <w:bottom w:val="single" w:sz="4" w:space="0" w:color="auto"/>
              <w:right w:val="single" w:sz="4" w:space="0" w:color="auto"/>
            </w:tcBorders>
            <w:shd w:val="clear" w:color="auto" w:fill="244062"/>
            <w:hideMark/>
          </w:tcPr>
          <w:p w14:paraId="31E49EC3"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CAPEX WEM (billion €)</w:t>
            </w:r>
          </w:p>
        </w:tc>
        <w:tc>
          <w:tcPr>
            <w:tcW w:w="1329" w:type="dxa"/>
            <w:tcBorders>
              <w:top w:val="single" w:sz="4" w:space="0" w:color="auto"/>
              <w:left w:val="single" w:sz="4" w:space="0" w:color="auto"/>
              <w:bottom w:val="single" w:sz="4" w:space="0" w:color="auto"/>
              <w:right w:val="single" w:sz="4" w:space="0" w:color="auto"/>
            </w:tcBorders>
            <w:shd w:val="clear" w:color="auto" w:fill="244062"/>
            <w:hideMark/>
          </w:tcPr>
          <w:p w14:paraId="2AAB6F3D"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CAPEX WAM (billion €)</w:t>
            </w:r>
          </w:p>
        </w:tc>
      </w:tr>
      <w:tr w:rsidR="00614438" w:rsidRPr="004F5BC1" w14:paraId="1D50AD7B" w14:textId="77777777" w:rsidTr="00614438">
        <w:trPr>
          <w:trHeight w:val="418"/>
        </w:trPr>
        <w:tc>
          <w:tcPr>
            <w:tcW w:w="1571"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17B8A545"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Decarbonisation</w:t>
            </w:r>
          </w:p>
        </w:tc>
        <w:tc>
          <w:tcPr>
            <w:tcW w:w="1527" w:type="dxa"/>
            <w:tcBorders>
              <w:top w:val="single" w:sz="4" w:space="0" w:color="auto"/>
              <w:left w:val="single" w:sz="4" w:space="0" w:color="auto"/>
              <w:bottom w:val="single" w:sz="4" w:space="0" w:color="auto"/>
              <w:right w:val="single" w:sz="4" w:space="0" w:color="auto"/>
            </w:tcBorders>
            <w:hideMark/>
          </w:tcPr>
          <w:p w14:paraId="21A90D74"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5.</w:t>
            </w:r>
            <w:r w:rsidRPr="004F5BC1">
              <w:rPr>
                <w:rFonts w:ascii="Times New Roman" w:hAnsi="Times New Roman" w:cs="Times New Roman"/>
                <w:sz w:val="20"/>
                <w:szCs w:val="20"/>
                <w:lang w:val="el-GR"/>
              </w:rPr>
              <w:t>19</w:t>
            </w:r>
          </w:p>
        </w:tc>
        <w:tc>
          <w:tcPr>
            <w:tcW w:w="1545" w:type="dxa"/>
            <w:tcBorders>
              <w:top w:val="single" w:sz="4" w:space="0" w:color="auto"/>
              <w:left w:val="single" w:sz="4" w:space="0" w:color="auto"/>
              <w:bottom w:val="single" w:sz="4" w:space="0" w:color="auto"/>
              <w:right w:val="single" w:sz="4" w:space="0" w:color="auto"/>
            </w:tcBorders>
            <w:hideMark/>
          </w:tcPr>
          <w:p w14:paraId="6D75D642"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w:t>
            </w:r>
            <w:r w:rsidRPr="004F5BC1">
              <w:rPr>
                <w:rFonts w:ascii="Times New Roman" w:hAnsi="Times New Roman" w:cs="Times New Roman"/>
                <w:sz w:val="20"/>
                <w:szCs w:val="20"/>
                <w:lang w:val="el-GR"/>
              </w:rPr>
              <w:t>19</w:t>
            </w:r>
          </w:p>
        </w:tc>
        <w:tc>
          <w:tcPr>
            <w:tcW w:w="1277" w:type="dxa"/>
            <w:tcBorders>
              <w:top w:val="single" w:sz="4" w:space="0" w:color="auto"/>
              <w:left w:val="single" w:sz="4" w:space="0" w:color="auto"/>
              <w:bottom w:val="single" w:sz="4" w:space="0" w:color="auto"/>
              <w:right w:val="single" w:sz="4" w:space="0" w:color="auto"/>
            </w:tcBorders>
            <w:hideMark/>
          </w:tcPr>
          <w:p w14:paraId="5CA987E1"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4.00</w:t>
            </w:r>
          </w:p>
        </w:tc>
        <w:tc>
          <w:tcPr>
            <w:tcW w:w="1497" w:type="dxa"/>
            <w:tcBorders>
              <w:top w:val="single" w:sz="4" w:space="0" w:color="auto"/>
              <w:left w:val="single" w:sz="4" w:space="0" w:color="auto"/>
              <w:bottom w:val="single" w:sz="4" w:space="0" w:color="auto"/>
              <w:right w:val="single" w:sz="4" w:space="0" w:color="auto"/>
            </w:tcBorders>
            <w:hideMark/>
          </w:tcPr>
          <w:p w14:paraId="6ECE9DC6"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7</w:t>
            </w:r>
            <w:r w:rsidRPr="004F5BC1">
              <w:rPr>
                <w:rFonts w:ascii="Times New Roman" w:hAnsi="Times New Roman" w:cs="Times New Roman"/>
                <w:sz w:val="20"/>
                <w:szCs w:val="20"/>
                <w:lang w:val="el-GR"/>
              </w:rPr>
              <w:t>7</w:t>
            </w:r>
            <w:r w:rsidRPr="004F5BC1">
              <w:rPr>
                <w:rFonts w:ascii="Times New Roman" w:hAnsi="Times New Roman" w:cs="Times New Roman"/>
                <w:sz w:val="20"/>
                <w:szCs w:val="20"/>
                <w:lang w:val="sr-Cyrl-CS"/>
              </w:rPr>
              <w:t>.1</w:t>
            </w:r>
            <w:r w:rsidRPr="004F5BC1">
              <w:rPr>
                <w:rFonts w:ascii="Times New Roman" w:hAnsi="Times New Roman" w:cs="Times New Roman"/>
                <w:sz w:val="20"/>
                <w:szCs w:val="20"/>
                <w:lang w:val="en-GB"/>
              </w:rPr>
              <w:t>%</w:t>
            </w:r>
          </w:p>
        </w:tc>
        <w:tc>
          <w:tcPr>
            <w:tcW w:w="1329" w:type="dxa"/>
            <w:tcBorders>
              <w:top w:val="single" w:sz="4" w:space="0" w:color="auto"/>
              <w:left w:val="single" w:sz="4" w:space="0" w:color="auto"/>
              <w:bottom w:val="single" w:sz="4" w:space="0" w:color="auto"/>
              <w:right w:val="single" w:sz="4" w:space="0" w:color="auto"/>
            </w:tcBorders>
            <w:hideMark/>
          </w:tcPr>
          <w:p w14:paraId="0787A95F"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1.1</w:t>
            </w:r>
            <w:r w:rsidRPr="004F5BC1">
              <w:rPr>
                <w:rFonts w:ascii="Times New Roman" w:hAnsi="Times New Roman" w:cs="Times New Roman"/>
                <w:sz w:val="20"/>
                <w:szCs w:val="20"/>
                <w:lang w:val="el-GR"/>
              </w:rPr>
              <w:t>6</w:t>
            </w:r>
          </w:p>
        </w:tc>
        <w:tc>
          <w:tcPr>
            <w:tcW w:w="1329" w:type="dxa"/>
            <w:tcBorders>
              <w:top w:val="single" w:sz="4" w:space="0" w:color="auto"/>
              <w:left w:val="single" w:sz="4" w:space="0" w:color="auto"/>
              <w:bottom w:val="single" w:sz="4" w:space="0" w:color="auto"/>
              <w:right w:val="single" w:sz="4" w:space="0" w:color="auto"/>
            </w:tcBorders>
            <w:hideMark/>
          </w:tcPr>
          <w:p w14:paraId="7A795F79"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4.03</w:t>
            </w:r>
          </w:p>
        </w:tc>
      </w:tr>
      <w:tr w:rsidR="00614438" w:rsidRPr="004F5BC1" w14:paraId="600BA2A7" w14:textId="77777777" w:rsidTr="00614438">
        <w:trPr>
          <w:trHeight w:val="410"/>
        </w:trPr>
        <w:tc>
          <w:tcPr>
            <w:tcW w:w="1571"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3B1BF95D"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Energy Efficiency</w:t>
            </w:r>
          </w:p>
        </w:tc>
        <w:tc>
          <w:tcPr>
            <w:tcW w:w="1527" w:type="dxa"/>
            <w:tcBorders>
              <w:top w:val="single" w:sz="4" w:space="0" w:color="auto"/>
              <w:left w:val="single" w:sz="4" w:space="0" w:color="auto"/>
              <w:bottom w:val="single" w:sz="4" w:space="0" w:color="auto"/>
              <w:right w:val="single" w:sz="4" w:space="0" w:color="auto"/>
            </w:tcBorders>
            <w:hideMark/>
          </w:tcPr>
          <w:p w14:paraId="3B3A28AC" w14:textId="288E7094" w:rsidR="00614438" w:rsidRPr="004F5BC1" w:rsidRDefault="00BD00CE"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20.00</w:t>
            </w:r>
          </w:p>
        </w:tc>
        <w:tc>
          <w:tcPr>
            <w:tcW w:w="1545" w:type="dxa"/>
            <w:tcBorders>
              <w:top w:val="single" w:sz="4" w:space="0" w:color="auto"/>
              <w:left w:val="single" w:sz="4" w:space="0" w:color="auto"/>
              <w:bottom w:val="single" w:sz="4" w:space="0" w:color="auto"/>
              <w:right w:val="single" w:sz="4" w:space="0" w:color="auto"/>
            </w:tcBorders>
            <w:hideMark/>
          </w:tcPr>
          <w:p w14:paraId="413717B1"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7.8</w:t>
            </w:r>
            <w:r w:rsidRPr="004F5BC1">
              <w:rPr>
                <w:rFonts w:ascii="Times New Roman" w:hAnsi="Times New Roman" w:cs="Times New Roman"/>
                <w:sz w:val="20"/>
                <w:szCs w:val="20"/>
                <w:lang w:val="sr-Cyrl-CS"/>
              </w:rPr>
              <w:t>9</w:t>
            </w:r>
          </w:p>
        </w:tc>
        <w:tc>
          <w:tcPr>
            <w:tcW w:w="1277" w:type="dxa"/>
            <w:tcBorders>
              <w:top w:val="single" w:sz="4" w:space="0" w:color="auto"/>
              <w:left w:val="single" w:sz="4" w:space="0" w:color="auto"/>
              <w:bottom w:val="single" w:sz="4" w:space="0" w:color="auto"/>
              <w:right w:val="single" w:sz="4" w:space="0" w:color="auto"/>
            </w:tcBorders>
            <w:hideMark/>
          </w:tcPr>
          <w:p w14:paraId="7994A688"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12.12</w:t>
            </w:r>
          </w:p>
        </w:tc>
        <w:tc>
          <w:tcPr>
            <w:tcW w:w="1497" w:type="dxa"/>
            <w:tcBorders>
              <w:top w:val="single" w:sz="4" w:space="0" w:color="auto"/>
              <w:left w:val="single" w:sz="4" w:space="0" w:color="auto"/>
              <w:bottom w:val="single" w:sz="4" w:space="0" w:color="auto"/>
              <w:right w:val="single" w:sz="4" w:space="0" w:color="auto"/>
            </w:tcBorders>
            <w:hideMark/>
          </w:tcPr>
          <w:p w14:paraId="56C5A950"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60.6%</w:t>
            </w:r>
          </w:p>
        </w:tc>
        <w:tc>
          <w:tcPr>
            <w:tcW w:w="1329" w:type="dxa"/>
            <w:tcBorders>
              <w:top w:val="single" w:sz="4" w:space="0" w:color="auto"/>
              <w:left w:val="single" w:sz="4" w:space="0" w:color="auto"/>
              <w:bottom w:val="single" w:sz="4" w:space="0" w:color="auto"/>
              <w:right w:val="single" w:sz="4" w:space="0" w:color="auto"/>
            </w:tcBorders>
            <w:hideMark/>
          </w:tcPr>
          <w:p w14:paraId="77FD5047"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12.38</w:t>
            </w:r>
          </w:p>
        </w:tc>
        <w:tc>
          <w:tcPr>
            <w:tcW w:w="1329" w:type="dxa"/>
            <w:tcBorders>
              <w:top w:val="single" w:sz="4" w:space="0" w:color="auto"/>
              <w:left w:val="single" w:sz="4" w:space="0" w:color="auto"/>
              <w:bottom w:val="single" w:sz="4" w:space="0" w:color="auto"/>
              <w:right w:val="single" w:sz="4" w:space="0" w:color="auto"/>
            </w:tcBorders>
            <w:hideMark/>
          </w:tcPr>
          <w:p w14:paraId="4BFDBB6A"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7.63</w:t>
            </w:r>
          </w:p>
        </w:tc>
      </w:tr>
      <w:tr w:rsidR="00614438" w:rsidRPr="004F5BC1" w14:paraId="7CCD7ED8" w14:textId="77777777" w:rsidTr="00614438">
        <w:trPr>
          <w:trHeight w:val="416"/>
        </w:trPr>
        <w:tc>
          <w:tcPr>
            <w:tcW w:w="1571"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396BD602"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Energy Security</w:t>
            </w:r>
          </w:p>
        </w:tc>
        <w:tc>
          <w:tcPr>
            <w:tcW w:w="1527" w:type="dxa"/>
            <w:tcBorders>
              <w:top w:val="single" w:sz="4" w:space="0" w:color="auto"/>
              <w:left w:val="single" w:sz="4" w:space="0" w:color="auto"/>
              <w:bottom w:val="single" w:sz="4" w:space="0" w:color="auto"/>
              <w:right w:val="single" w:sz="4" w:space="0" w:color="auto"/>
            </w:tcBorders>
            <w:hideMark/>
          </w:tcPr>
          <w:p w14:paraId="78FDCF6F" w14:textId="3A3F890D"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w:t>
            </w:r>
            <w:r w:rsidRPr="004F5BC1">
              <w:rPr>
                <w:rFonts w:ascii="Times New Roman" w:hAnsi="Times New Roman" w:cs="Times New Roman"/>
                <w:sz w:val="20"/>
                <w:szCs w:val="20"/>
                <w:lang w:val="el-GR"/>
              </w:rPr>
              <w:t>3</w:t>
            </w:r>
            <w:r w:rsidR="00BD00CE" w:rsidRPr="004F5BC1">
              <w:rPr>
                <w:rFonts w:ascii="Times New Roman" w:hAnsi="Times New Roman" w:cs="Times New Roman"/>
                <w:sz w:val="20"/>
                <w:szCs w:val="20"/>
                <w:lang w:val="en-GB"/>
              </w:rPr>
              <w:t>90</w:t>
            </w:r>
          </w:p>
        </w:tc>
        <w:tc>
          <w:tcPr>
            <w:tcW w:w="1545" w:type="dxa"/>
            <w:tcBorders>
              <w:top w:val="single" w:sz="4" w:space="0" w:color="auto"/>
              <w:left w:val="single" w:sz="4" w:space="0" w:color="auto"/>
              <w:bottom w:val="single" w:sz="4" w:space="0" w:color="auto"/>
              <w:right w:val="single" w:sz="4" w:space="0" w:color="auto"/>
            </w:tcBorders>
            <w:hideMark/>
          </w:tcPr>
          <w:p w14:paraId="3C0BC4D1"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w:t>
            </w:r>
            <w:r w:rsidRPr="004F5BC1">
              <w:rPr>
                <w:rFonts w:ascii="Times New Roman" w:hAnsi="Times New Roman" w:cs="Times New Roman"/>
                <w:sz w:val="20"/>
                <w:szCs w:val="20"/>
                <w:lang w:val="sr-Cyrl-CS"/>
              </w:rPr>
              <w:t>590</w:t>
            </w:r>
          </w:p>
        </w:tc>
        <w:tc>
          <w:tcPr>
            <w:tcW w:w="1277" w:type="dxa"/>
            <w:tcBorders>
              <w:top w:val="single" w:sz="4" w:space="0" w:color="auto"/>
              <w:left w:val="single" w:sz="4" w:space="0" w:color="auto"/>
              <w:bottom w:val="single" w:sz="4" w:space="0" w:color="auto"/>
              <w:right w:val="single" w:sz="4" w:space="0" w:color="auto"/>
            </w:tcBorders>
            <w:hideMark/>
          </w:tcPr>
          <w:p w14:paraId="2A8A6A8E" w14:textId="77777777" w:rsidR="00614438" w:rsidRPr="004F5BC1" w:rsidRDefault="00614438" w:rsidP="004F5BC1">
            <w:pPr>
              <w:spacing w:after="0"/>
              <w:jc w:val="both"/>
              <w:rPr>
                <w:rFonts w:ascii="Times New Roman" w:hAnsi="Times New Roman" w:cs="Times New Roman"/>
                <w:sz w:val="20"/>
                <w:szCs w:val="20"/>
                <w:lang w:val="el-GR"/>
              </w:rPr>
            </w:pPr>
            <w:r w:rsidRPr="004F5BC1">
              <w:rPr>
                <w:rFonts w:ascii="Times New Roman" w:hAnsi="Times New Roman" w:cs="Times New Roman"/>
                <w:sz w:val="20"/>
                <w:szCs w:val="20"/>
                <w:lang w:val="en-GB"/>
              </w:rPr>
              <w:t>1.8</w:t>
            </w:r>
            <w:r w:rsidRPr="004F5BC1">
              <w:rPr>
                <w:rFonts w:ascii="Times New Roman" w:hAnsi="Times New Roman" w:cs="Times New Roman"/>
                <w:sz w:val="20"/>
                <w:szCs w:val="20"/>
                <w:lang w:val="el-GR"/>
              </w:rPr>
              <w:t>0</w:t>
            </w:r>
          </w:p>
        </w:tc>
        <w:tc>
          <w:tcPr>
            <w:tcW w:w="1497" w:type="dxa"/>
            <w:tcBorders>
              <w:top w:val="single" w:sz="4" w:space="0" w:color="auto"/>
              <w:left w:val="single" w:sz="4" w:space="0" w:color="auto"/>
              <w:bottom w:val="single" w:sz="4" w:space="0" w:color="auto"/>
              <w:right w:val="single" w:sz="4" w:space="0" w:color="auto"/>
            </w:tcBorders>
            <w:hideMark/>
          </w:tcPr>
          <w:p w14:paraId="1B26A141"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l-GR"/>
              </w:rPr>
              <w:t>5</w:t>
            </w:r>
            <w:r w:rsidRPr="004F5BC1">
              <w:rPr>
                <w:rFonts w:ascii="Times New Roman" w:hAnsi="Times New Roman" w:cs="Times New Roman"/>
                <w:sz w:val="20"/>
                <w:szCs w:val="20"/>
                <w:lang w:val="sr-Cyrl-CS"/>
              </w:rPr>
              <w:t>3</w:t>
            </w:r>
            <w:r w:rsidRPr="004F5BC1">
              <w:rPr>
                <w:rFonts w:ascii="Times New Roman" w:hAnsi="Times New Roman" w:cs="Times New Roman"/>
                <w:sz w:val="20"/>
                <w:szCs w:val="20"/>
                <w:lang w:val="en-GB"/>
              </w:rPr>
              <w:t>%</w:t>
            </w:r>
          </w:p>
        </w:tc>
        <w:tc>
          <w:tcPr>
            <w:tcW w:w="1329" w:type="dxa"/>
            <w:tcBorders>
              <w:top w:val="single" w:sz="4" w:space="0" w:color="auto"/>
              <w:left w:val="single" w:sz="4" w:space="0" w:color="auto"/>
              <w:bottom w:val="single" w:sz="4" w:space="0" w:color="auto"/>
              <w:right w:val="single" w:sz="4" w:space="0" w:color="auto"/>
            </w:tcBorders>
            <w:hideMark/>
          </w:tcPr>
          <w:p w14:paraId="34050205"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1.99</w:t>
            </w:r>
          </w:p>
        </w:tc>
        <w:tc>
          <w:tcPr>
            <w:tcW w:w="1329" w:type="dxa"/>
            <w:tcBorders>
              <w:top w:val="single" w:sz="4" w:space="0" w:color="auto"/>
              <w:left w:val="single" w:sz="4" w:space="0" w:color="auto"/>
              <w:bottom w:val="single" w:sz="4" w:space="0" w:color="auto"/>
              <w:right w:val="single" w:sz="4" w:space="0" w:color="auto"/>
            </w:tcBorders>
            <w:hideMark/>
          </w:tcPr>
          <w:p w14:paraId="3F2B57A1" w14:textId="32798679"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w:t>
            </w:r>
            <w:r w:rsidRPr="004F5BC1">
              <w:rPr>
                <w:rFonts w:ascii="Times New Roman" w:hAnsi="Times New Roman" w:cs="Times New Roman"/>
                <w:sz w:val="20"/>
                <w:szCs w:val="20"/>
                <w:lang w:val="sr-Cyrl-CS"/>
              </w:rPr>
              <w:t>4</w:t>
            </w:r>
            <w:r w:rsidR="00BD00CE" w:rsidRPr="004F5BC1">
              <w:rPr>
                <w:rFonts w:ascii="Times New Roman" w:hAnsi="Times New Roman" w:cs="Times New Roman"/>
                <w:sz w:val="20"/>
                <w:szCs w:val="20"/>
                <w:lang w:val="en-GB"/>
              </w:rPr>
              <w:t>0</w:t>
            </w:r>
          </w:p>
        </w:tc>
      </w:tr>
      <w:tr w:rsidR="00614438" w:rsidRPr="004F5BC1" w14:paraId="2FDBDD7D" w14:textId="77777777" w:rsidTr="00614438">
        <w:trPr>
          <w:trHeight w:val="564"/>
        </w:trPr>
        <w:tc>
          <w:tcPr>
            <w:tcW w:w="1571"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72882FFC"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Internal Energy Market</w:t>
            </w:r>
          </w:p>
        </w:tc>
        <w:tc>
          <w:tcPr>
            <w:tcW w:w="1527" w:type="dxa"/>
            <w:tcBorders>
              <w:top w:val="single" w:sz="4" w:space="0" w:color="auto"/>
              <w:left w:val="single" w:sz="4" w:space="0" w:color="auto"/>
              <w:bottom w:val="single" w:sz="4" w:space="0" w:color="auto"/>
              <w:right w:val="single" w:sz="4" w:space="0" w:color="auto"/>
            </w:tcBorders>
            <w:hideMark/>
          </w:tcPr>
          <w:p w14:paraId="6DA5B8C7" w14:textId="77777777" w:rsidR="00614438" w:rsidRPr="004F5BC1" w:rsidRDefault="00614438" w:rsidP="004F5BC1">
            <w:pPr>
              <w:spacing w:after="0"/>
              <w:jc w:val="both"/>
              <w:rPr>
                <w:rFonts w:ascii="Times New Roman" w:hAnsi="Times New Roman" w:cs="Times New Roman"/>
                <w:sz w:val="20"/>
                <w:szCs w:val="20"/>
                <w:lang w:val="el-GR"/>
              </w:rPr>
            </w:pPr>
            <w:r w:rsidRPr="004F5BC1">
              <w:rPr>
                <w:rFonts w:ascii="Times New Roman" w:hAnsi="Times New Roman" w:cs="Times New Roman"/>
                <w:sz w:val="20"/>
                <w:szCs w:val="20"/>
                <w:lang w:val="en-GB"/>
              </w:rPr>
              <w:t>1.</w:t>
            </w:r>
            <w:r w:rsidRPr="004F5BC1">
              <w:rPr>
                <w:rFonts w:ascii="Times New Roman" w:hAnsi="Times New Roman" w:cs="Times New Roman"/>
                <w:sz w:val="20"/>
                <w:szCs w:val="20"/>
                <w:lang w:val="el-GR"/>
              </w:rPr>
              <w:t>19</w:t>
            </w:r>
          </w:p>
        </w:tc>
        <w:tc>
          <w:tcPr>
            <w:tcW w:w="1545" w:type="dxa"/>
            <w:tcBorders>
              <w:top w:val="single" w:sz="4" w:space="0" w:color="auto"/>
              <w:left w:val="single" w:sz="4" w:space="0" w:color="auto"/>
              <w:bottom w:val="single" w:sz="4" w:space="0" w:color="auto"/>
              <w:right w:val="single" w:sz="4" w:space="0" w:color="auto"/>
            </w:tcBorders>
            <w:hideMark/>
          </w:tcPr>
          <w:p w14:paraId="09AE893B"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0.1</w:t>
            </w:r>
            <w:r w:rsidRPr="004F5BC1">
              <w:rPr>
                <w:rFonts w:ascii="Times New Roman" w:hAnsi="Times New Roman" w:cs="Times New Roman"/>
                <w:sz w:val="20"/>
                <w:szCs w:val="20"/>
                <w:lang w:val="el-GR"/>
              </w:rPr>
              <w:t>8</w:t>
            </w:r>
          </w:p>
        </w:tc>
        <w:tc>
          <w:tcPr>
            <w:tcW w:w="1277" w:type="dxa"/>
            <w:tcBorders>
              <w:top w:val="single" w:sz="4" w:space="0" w:color="auto"/>
              <w:left w:val="single" w:sz="4" w:space="0" w:color="auto"/>
              <w:bottom w:val="single" w:sz="4" w:space="0" w:color="auto"/>
              <w:right w:val="single" w:sz="4" w:space="0" w:color="auto"/>
            </w:tcBorders>
            <w:hideMark/>
          </w:tcPr>
          <w:p w14:paraId="07D3554F"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w:t>
            </w:r>
            <w:r w:rsidRPr="004F5BC1">
              <w:rPr>
                <w:rFonts w:ascii="Times New Roman" w:hAnsi="Times New Roman" w:cs="Times New Roman"/>
                <w:sz w:val="20"/>
                <w:szCs w:val="20"/>
                <w:lang w:val="el-GR"/>
              </w:rPr>
              <w:t>0</w:t>
            </w:r>
            <w:r w:rsidRPr="004F5BC1">
              <w:rPr>
                <w:rFonts w:ascii="Times New Roman" w:hAnsi="Times New Roman" w:cs="Times New Roman"/>
                <w:sz w:val="20"/>
                <w:szCs w:val="20"/>
                <w:lang w:val="en-GB"/>
              </w:rPr>
              <w:t>1</w:t>
            </w:r>
          </w:p>
        </w:tc>
        <w:tc>
          <w:tcPr>
            <w:tcW w:w="1497" w:type="dxa"/>
            <w:tcBorders>
              <w:top w:val="single" w:sz="4" w:space="0" w:color="auto"/>
              <w:left w:val="single" w:sz="4" w:space="0" w:color="auto"/>
              <w:bottom w:val="single" w:sz="4" w:space="0" w:color="auto"/>
              <w:right w:val="single" w:sz="4" w:space="0" w:color="auto"/>
            </w:tcBorders>
            <w:hideMark/>
          </w:tcPr>
          <w:p w14:paraId="517C6601"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85.0%</w:t>
            </w:r>
          </w:p>
        </w:tc>
        <w:tc>
          <w:tcPr>
            <w:tcW w:w="1329" w:type="dxa"/>
            <w:tcBorders>
              <w:top w:val="single" w:sz="4" w:space="0" w:color="auto"/>
              <w:left w:val="single" w:sz="4" w:space="0" w:color="auto"/>
              <w:bottom w:val="single" w:sz="4" w:space="0" w:color="auto"/>
              <w:right w:val="single" w:sz="4" w:space="0" w:color="auto"/>
            </w:tcBorders>
            <w:hideMark/>
          </w:tcPr>
          <w:p w14:paraId="2C6217F2"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1.19</w:t>
            </w:r>
          </w:p>
        </w:tc>
        <w:tc>
          <w:tcPr>
            <w:tcW w:w="1329" w:type="dxa"/>
            <w:tcBorders>
              <w:top w:val="single" w:sz="4" w:space="0" w:color="auto"/>
              <w:left w:val="single" w:sz="4" w:space="0" w:color="auto"/>
              <w:bottom w:val="single" w:sz="4" w:space="0" w:color="auto"/>
              <w:right w:val="single" w:sz="4" w:space="0" w:color="auto"/>
            </w:tcBorders>
            <w:hideMark/>
          </w:tcPr>
          <w:p w14:paraId="4A3D61C0"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0.00</w:t>
            </w:r>
          </w:p>
        </w:tc>
      </w:tr>
      <w:tr w:rsidR="00614438" w:rsidRPr="004F5BC1" w14:paraId="03D680C0" w14:textId="77777777" w:rsidTr="00614438">
        <w:trPr>
          <w:trHeight w:val="544"/>
        </w:trPr>
        <w:tc>
          <w:tcPr>
            <w:tcW w:w="1571"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20CCDCFA"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Research Innovation and Competitiveness</w:t>
            </w:r>
          </w:p>
        </w:tc>
        <w:tc>
          <w:tcPr>
            <w:tcW w:w="1527" w:type="dxa"/>
            <w:tcBorders>
              <w:top w:val="single" w:sz="4" w:space="0" w:color="auto"/>
              <w:left w:val="single" w:sz="4" w:space="0" w:color="auto"/>
              <w:bottom w:val="single" w:sz="4" w:space="0" w:color="auto"/>
              <w:right w:val="single" w:sz="4" w:space="0" w:color="auto"/>
            </w:tcBorders>
            <w:hideMark/>
          </w:tcPr>
          <w:p w14:paraId="6E46311E"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0.11</w:t>
            </w:r>
          </w:p>
        </w:tc>
        <w:tc>
          <w:tcPr>
            <w:tcW w:w="1545" w:type="dxa"/>
            <w:tcBorders>
              <w:top w:val="single" w:sz="4" w:space="0" w:color="auto"/>
              <w:left w:val="single" w:sz="4" w:space="0" w:color="auto"/>
              <w:bottom w:val="single" w:sz="4" w:space="0" w:color="auto"/>
              <w:right w:val="single" w:sz="4" w:space="0" w:color="auto"/>
            </w:tcBorders>
            <w:hideMark/>
          </w:tcPr>
          <w:p w14:paraId="15D744FC"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0.06</w:t>
            </w:r>
          </w:p>
        </w:tc>
        <w:tc>
          <w:tcPr>
            <w:tcW w:w="1277" w:type="dxa"/>
            <w:tcBorders>
              <w:top w:val="single" w:sz="4" w:space="0" w:color="auto"/>
              <w:left w:val="single" w:sz="4" w:space="0" w:color="auto"/>
              <w:bottom w:val="single" w:sz="4" w:space="0" w:color="auto"/>
              <w:right w:val="single" w:sz="4" w:space="0" w:color="auto"/>
            </w:tcBorders>
            <w:hideMark/>
          </w:tcPr>
          <w:p w14:paraId="7E7E3F66"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0.05</w:t>
            </w:r>
          </w:p>
        </w:tc>
        <w:tc>
          <w:tcPr>
            <w:tcW w:w="1497" w:type="dxa"/>
            <w:tcBorders>
              <w:top w:val="single" w:sz="4" w:space="0" w:color="auto"/>
              <w:left w:val="single" w:sz="4" w:space="0" w:color="auto"/>
              <w:bottom w:val="single" w:sz="4" w:space="0" w:color="auto"/>
              <w:right w:val="single" w:sz="4" w:space="0" w:color="auto"/>
            </w:tcBorders>
            <w:hideMark/>
          </w:tcPr>
          <w:p w14:paraId="4C5333AD"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45.</w:t>
            </w:r>
            <w:r w:rsidRPr="004F5BC1">
              <w:rPr>
                <w:rFonts w:ascii="Times New Roman" w:hAnsi="Times New Roman" w:cs="Times New Roman"/>
                <w:sz w:val="20"/>
                <w:szCs w:val="20"/>
                <w:lang w:val="sr-Cyrl-CS"/>
              </w:rPr>
              <w:t>5</w:t>
            </w:r>
            <w:r w:rsidRPr="004F5BC1">
              <w:rPr>
                <w:rFonts w:ascii="Times New Roman" w:hAnsi="Times New Roman" w:cs="Times New Roman"/>
                <w:sz w:val="20"/>
                <w:szCs w:val="20"/>
                <w:lang w:val="en-GB"/>
              </w:rPr>
              <w:t>%</w:t>
            </w:r>
          </w:p>
        </w:tc>
        <w:tc>
          <w:tcPr>
            <w:tcW w:w="1329" w:type="dxa"/>
            <w:tcBorders>
              <w:top w:val="single" w:sz="4" w:space="0" w:color="auto"/>
              <w:left w:val="single" w:sz="4" w:space="0" w:color="auto"/>
              <w:bottom w:val="single" w:sz="4" w:space="0" w:color="auto"/>
              <w:right w:val="single" w:sz="4" w:space="0" w:color="auto"/>
            </w:tcBorders>
            <w:hideMark/>
          </w:tcPr>
          <w:p w14:paraId="2EF244FF"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0.11</w:t>
            </w:r>
          </w:p>
        </w:tc>
        <w:tc>
          <w:tcPr>
            <w:tcW w:w="1329" w:type="dxa"/>
            <w:tcBorders>
              <w:top w:val="single" w:sz="4" w:space="0" w:color="auto"/>
              <w:left w:val="single" w:sz="4" w:space="0" w:color="auto"/>
              <w:bottom w:val="single" w:sz="4" w:space="0" w:color="auto"/>
              <w:right w:val="single" w:sz="4" w:space="0" w:color="auto"/>
            </w:tcBorders>
            <w:hideMark/>
          </w:tcPr>
          <w:p w14:paraId="1F4DB99D"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0.00</w:t>
            </w:r>
          </w:p>
        </w:tc>
      </w:tr>
      <w:tr w:rsidR="00614438" w:rsidRPr="004F5BC1" w14:paraId="49D62C03" w14:textId="77777777" w:rsidTr="00614438">
        <w:trPr>
          <w:trHeight w:val="272"/>
        </w:trPr>
        <w:tc>
          <w:tcPr>
            <w:tcW w:w="1571"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5715E884"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Total (billion €)</w:t>
            </w:r>
          </w:p>
        </w:tc>
        <w:tc>
          <w:tcPr>
            <w:tcW w:w="1527"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7E85F494" w14:textId="77777777" w:rsidR="00614438" w:rsidRPr="004F5BC1" w:rsidRDefault="00614438" w:rsidP="004F5BC1">
            <w:pPr>
              <w:spacing w:after="0"/>
              <w:jc w:val="both"/>
              <w:rPr>
                <w:rFonts w:ascii="Times New Roman" w:hAnsi="Times New Roman" w:cs="Times New Roman"/>
                <w:sz w:val="20"/>
                <w:szCs w:val="20"/>
                <w:lang w:val="el-GR"/>
              </w:rPr>
            </w:pPr>
            <w:r w:rsidRPr="004F5BC1">
              <w:rPr>
                <w:rFonts w:ascii="Times New Roman" w:hAnsi="Times New Roman" w:cs="Times New Roman"/>
                <w:sz w:val="20"/>
                <w:szCs w:val="20"/>
                <w:lang w:val="en-GB"/>
              </w:rPr>
              <w:t>29.</w:t>
            </w:r>
            <w:r w:rsidRPr="004F5BC1">
              <w:rPr>
                <w:rFonts w:ascii="Times New Roman" w:hAnsi="Times New Roman" w:cs="Times New Roman"/>
                <w:sz w:val="20"/>
                <w:szCs w:val="20"/>
                <w:lang w:val="sr-Cyrl-CS"/>
              </w:rPr>
              <w:t>889</w:t>
            </w:r>
          </w:p>
        </w:tc>
        <w:tc>
          <w:tcPr>
            <w:tcW w:w="1545"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7404CFCB"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10.</w:t>
            </w:r>
            <w:r w:rsidRPr="004F5BC1">
              <w:rPr>
                <w:rFonts w:ascii="Times New Roman" w:hAnsi="Times New Roman" w:cs="Times New Roman"/>
                <w:sz w:val="20"/>
                <w:szCs w:val="20"/>
                <w:lang w:val="sr-Cyrl-CS"/>
              </w:rPr>
              <w:t>909</w:t>
            </w:r>
          </w:p>
        </w:tc>
        <w:tc>
          <w:tcPr>
            <w:tcW w:w="1277"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77A48CAA"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18.98</w:t>
            </w:r>
          </w:p>
        </w:tc>
        <w:tc>
          <w:tcPr>
            <w:tcW w:w="1497"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7EB54193"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6</w:t>
            </w:r>
            <w:r w:rsidRPr="004F5BC1">
              <w:rPr>
                <w:rFonts w:ascii="Times New Roman" w:hAnsi="Times New Roman" w:cs="Times New Roman"/>
                <w:sz w:val="20"/>
                <w:szCs w:val="20"/>
                <w:lang w:val="sr-Cyrl-CS"/>
              </w:rPr>
              <w:t>3.5</w:t>
            </w:r>
            <w:r w:rsidRPr="004F5BC1">
              <w:rPr>
                <w:rFonts w:ascii="Times New Roman" w:hAnsi="Times New Roman" w:cs="Times New Roman"/>
                <w:sz w:val="20"/>
                <w:szCs w:val="20"/>
                <w:lang w:val="en-GB"/>
              </w:rPr>
              <w:t>%</w:t>
            </w:r>
          </w:p>
        </w:tc>
        <w:tc>
          <w:tcPr>
            <w:tcW w:w="1329"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0AA1B34B"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16.83</w:t>
            </w:r>
          </w:p>
        </w:tc>
        <w:tc>
          <w:tcPr>
            <w:tcW w:w="1329"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786806B4"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w:t>
            </w:r>
            <w:r w:rsidRPr="004F5BC1">
              <w:rPr>
                <w:rFonts w:ascii="Times New Roman" w:hAnsi="Times New Roman" w:cs="Times New Roman"/>
                <w:sz w:val="20"/>
                <w:szCs w:val="20"/>
                <w:lang w:val="sr-Cyrl-CS"/>
              </w:rPr>
              <w:t>3.065</w:t>
            </w:r>
          </w:p>
        </w:tc>
      </w:tr>
    </w:tbl>
    <w:p w14:paraId="7B28A61F" w14:textId="77777777" w:rsidR="00BD00CE" w:rsidRDefault="00BD00CE" w:rsidP="00614438">
      <w:pPr>
        <w:jc w:val="both"/>
        <w:rPr>
          <w:rFonts w:ascii="Times New Roman" w:hAnsi="Times New Roman" w:cs="Times New Roman"/>
          <w:sz w:val="24"/>
          <w:szCs w:val="24"/>
          <w:lang w:val="en-GB"/>
        </w:rPr>
      </w:pPr>
      <w:bookmarkStart w:id="650" w:name="_Toc113919407"/>
    </w:p>
    <w:p w14:paraId="38635C69" w14:textId="642B7285" w:rsidR="00614438" w:rsidRPr="00614438" w:rsidRDefault="00614438" w:rsidP="00BD00C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Out of the cumulative investment needs of 29.</w:t>
      </w:r>
      <w:r w:rsidRPr="00614438">
        <w:rPr>
          <w:rFonts w:ascii="Times New Roman" w:hAnsi="Times New Roman" w:cs="Times New Roman"/>
          <w:sz w:val="24"/>
          <w:szCs w:val="24"/>
          <w:lang w:val="sr-Cyrl-CS"/>
        </w:rPr>
        <w:t xml:space="preserve">889 </w:t>
      </w:r>
      <w:r w:rsidRPr="00614438">
        <w:rPr>
          <w:rFonts w:ascii="Times New Roman" w:hAnsi="Times New Roman" w:cs="Times New Roman"/>
          <w:sz w:val="24"/>
          <w:szCs w:val="24"/>
          <w:lang w:val="en-GB"/>
        </w:rPr>
        <w:t>billion EUR up to 2030, approximately 3</w:t>
      </w:r>
      <w:r w:rsidRPr="00614438">
        <w:rPr>
          <w:rFonts w:ascii="Times New Roman" w:hAnsi="Times New Roman" w:cs="Times New Roman"/>
          <w:sz w:val="24"/>
          <w:szCs w:val="24"/>
          <w:lang w:val="sr-Cyrl-CS"/>
        </w:rPr>
        <w:t>6.5</w:t>
      </w:r>
      <w:r w:rsidRPr="00614438">
        <w:rPr>
          <w:rFonts w:ascii="Times New Roman" w:hAnsi="Times New Roman" w:cs="Times New Roman"/>
          <w:sz w:val="24"/>
          <w:szCs w:val="24"/>
          <w:lang w:val="en-GB"/>
        </w:rPr>
        <w:t>% refers to public sector investments (</w:t>
      </w:r>
      <w:r w:rsidR="00FA29EF">
        <w:fldChar w:fldCharType="begin"/>
      </w:r>
      <w:r w:rsidR="00FA29EF">
        <w:instrText xml:space="preserve"> REF _Ref153529201 \h  \* MERGEFORMAT </w:instrText>
      </w:r>
      <w:r w:rsidR="00FA29EF">
        <w:fldChar w:fldCharType="separate"/>
      </w:r>
      <w:r w:rsidRPr="00614438">
        <w:rPr>
          <w:rFonts w:ascii="Times New Roman" w:hAnsi="Times New Roman" w:cs="Times New Roman"/>
          <w:sz w:val="24"/>
          <w:szCs w:val="24"/>
          <w:lang w:val="en-GB"/>
        </w:rPr>
        <w:t>Figure 5.50</w:t>
      </w:r>
      <w:r w:rsidR="00FA29EF">
        <w:fldChar w:fldCharType="end"/>
      </w:r>
      <w:r w:rsidRPr="00614438">
        <w:rPr>
          <w:rFonts w:ascii="Times New Roman" w:hAnsi="Times New Roman" w:cs="Times New Roman"/>
          <w:sz w:val="24"/>
          <w:szCs w:val="24"/>
          <w:lang w:val="en-GB"/>
        </w:rPr>
        <w:t>) The remaining almost 6</w:t>
      </w:r>
      <w:r w:rsidRPr="00614438">
        <w:rPr>
          <w:rFonts w:ascii="Times New Roman" w:hAnsi="Times New Roman" w:cs="Times New Roman"/>
          <w:sz w:val="24"/>
          <w:szCs w:val="24"/>
          <w:lang w:val="sr-Cyrl-CS"/>
        </w:rPr>
        <w:t>3.5</w:t>
      </w:r>
      <w:r w:rsidRPr="00614438">
        <w:rPr>
          <w:rFonts w:ascii="Times New Roman" w:hAnsi="Times New Roman" w:cs="Times New Roman"/>
          <w:sz w:val="24"/>
          <w:szCs w:val="24"/>
          <w:lang w:val="en-GB"/>
        </w:rPr>
        <w:t>% shall come from own funds investments</w:t>
      </w:r>
      <w:r w:rsidR="00BD00CE">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including the projects promoted by the Transmission and Distribution System Operators that will be eventually socialized through the tariffs. Particularly, large</w:t>
      </w:r>
      <w:r w:rsidR="00BD00CE">
        <w:rPr>
          <w:rFonts w:ascii="Times New Roman" w:hAnsi="Times New Roman" w:cs="Times New Roman"/>
          <w:sz w:val="24"/>
          <w:szCs w:val="24"/>
          <w:lang w:val="en-GB"/>
        </w:rPr>
        <w:t>-</w:t>
      </w:r>
      <w:r w:rsidRPr="00614438">
        <w:rPr>
          <w:rFonts w:ascii="Times New Roman" w:hAnsi="Times New Roman" w:cs="Times New Roman"/>
          <w:sz w:val="24"/>
          <w:szCs w:val="24"/>
          <w:lang w:val="en-GB"/>
        </w:rPr>
        <w:t>scale transmission projects will be further assessed with respect to the financial capacity of the project promoters to implement them, as well as with respect to their stress on the transmission and distribution tariffs.</w:t>
      </w:r>
      <w:bookmarkEnd w:id="650"/>
    </w:p>
    <w:p w14:paraId="56DD0282" w14:textId="77777777" w:rsidR="00614438" w:rsidRPr="00614438" w:rsidRDefault="00614438" w:rsidP="00614438">
      <w:pPr>
        <w:jc w:val="both"/>
        <w:rPr>
          <w:rFonts w:ascii="Times New Roman" w:hAnsi="Times New Roman" w:cs="Times New Roman"/>
          <w:sz w:val="24"/>
          <w:szCs w:val="24"/>
        </w:rPr>
      </w:pPr>
      <w:bookmarkStart w:id="651" w:name="_Ref153529201"/>
      <w:bookmarkStart w:id="652" w:name="_Toc154575323"/>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50</w:t>
      </w:r>
      <w:r w:rsidR="00C83251" w:rsidRPr="00614438">
        <w:rPr>
          <w:rFonts w:ascii="Times New Roman" w:hAnsi="Times New Roman" w:cs="Times New Roman"/>
          <w:sz w:val="24"/>
          <w:szCs w:val="24"/>
        </w:rPr>
        <w:fldChar w:fldCharType="end"/>
      </w:r>
      <w:bookmarkEnd w:id="651"/>
      <w:r w:rsidRPr="00614438">
        <w:rPr>
          <w:rFonts w:ascii="Times New Roman" w:hAnsi="Times New Roman" w:cs="Times New Roman"/>
          <w:sz w:val="24"/>
          <w:szCs w:val="24"/>
        </w:rPr>
        <w:t>: Distribution of implementation costs per for public and private (own resources) investments</w:t>
      </w:r>
      <w:bookmarkEnd w:id="652"/>
    </w:p>
    <w:p w14:paraId="77B6114F"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lastRenderedPageBreak/>
        <w:drawing>
          <wp:inline distT="0" distB="0" distL="0" distR="0" wp14:anchorId="61920964" wp14:editId="3A7F2F40">
            <wp:extent cx="6134100" cy="3343275"/>
            <wp:effectExtent l="0" t="0" r="0" b="9525"/>
            <wp:docPr id="1130117081" name="Chart 221">
              <a:extLst xmlns:a="http://schemas.openxmlformats.org/drawingml/2006/main">
                <a:ext uri="{FF2B5EF4-FFF2-40B4-BE49-F238E27FC236}">
                  <a16:creationId xmlns:a16="http://schemas.microsoft.com/office/drawing/2014/main" id="{13D220E0-9743-DBF6-6268-F83AA121EB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1EC30CF8" w14:textId="77777777" w:rsidR="00614438" w:rsidRPr="00614438" w:rsidRDefault="00614438" w:rsidP="00BD00C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blending of private (own resources) and public funds will be the prevalent option for the financing of those measures subject to public budget and private sector affordability constraints. Part of the investment needs related to green transition can be covered by the earmarking of public revenues from the imposition of the carbon pricing. Also, the instrument of Public and Private Partnerships could be key to leveraging private sector investments.</w:t>
      </w:r>
    </w:p>
    <w:p w14:paraId="7B656D1D" w14:textId="77777777" w:rsidR="00BD00CE" w:rsidRDefault="00614438" w:rsidP="00BD00CE">
      <w:pPr>
        <w:ind w:firstLine="720"/>
        <w:jc w:val="both"/>
        <w:rPr>
          <w:rFonts w:ascii="Times New Roman" w:hAnsi="Times New Roman" w:cs="Times New Roman"/>
          <w:sz w:val="24"/>
          <w:szCs w:val="24"/>
          <w:lang w:val="en-GB"/>
        </w:rPr>
      </w:pPr>
      <w:bookmarkStart w:id="653" w:name="_Toc113919418"/>
      <w:r w:rsidRPr="00614438">
        <w:rPr>
          <w:rFonts w:ascii="Times New Roman" w:hAnsi="Times New Roman" w:cs="Times New Roman"/>
          <w:sz w:val="24"/>
          <w:szCs w:val="24"/>
          <w:lang w:val="en-GB"/>
        </w:rPr>
        <w:t xml:space="preserve">In this context, the role of IFIs is critical to support the green transition of the Serbian energy sector. Whereas there is a number of green financing activities in terms of grants and loans, these are quite limited compared to the overall investment needs. </w:t>
      </w:r>
    </w:p>
    <w:p w14:paraId="3BD556F1" w14:textId="014F4E07" w:rsidR="00614438" w:rsidRPr="00614438" w:rsidRDefault="00614438" w:rsidP="00BD00CE">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An indicative overview of available green funding instruments for </w:t>
      </w:r>
      <w:r w:rsidR="00BD00CE">
        <w:rPr>
          <w:rFonts w:ascii="Times New Roman" w:hAnsi="Times New Roman" w:cs="Times New Roman"/>
          <w:sz w:val="24"/>
          <w:szCs w:val="24"/>
          <w:lang w:val="en-GB"/>
        </w:rPr>
        <w:t xml:space="preserve">the Republic of </w:t>
      </w:r>
      <w:r w:rsidRPr="00614438">
        <w:rPr>
          <w:rFonts w:ascii="Times New Roman" w:hAnsi="Times New Roman" w:cs="Times New Roman"/>
          <w:sz w:val="24"/>
          <w:szCs w:val="24"/>
          <w:lang w:val="en-GB"/>
        </w:rPr>
        <w:t xml:space="preserve">Serbia and the entire Western Balkans region is presented in </w:t>
      </w:r>
      <w:r w:rsidR="00FA29EF">
        <w:fldChar w:fldCharType="begin"/>
      </w:r>
      <w:r w:rsidR="00FA29EF">
        <w:instrText xml:space="preserve"> REF _Ref153529477 \h  \* MERGEFORMAT </w:instrText>
      </w:r>
      <w:r w:rsidR="00FA29EF">
        <w:fldChar w:fldCharType="separate"/>
      </w:r>
      <w:r w:rsidRPr="00614438">
        <w:rPr>
          <w:rFonts w:ascii="Times New Roman" w:hAnsi="Times New Roman" w:cs="Times New Roman"/>
          <w:sz w:val="24"/>
          <w:szCs w:val="24"/>
          <w:lang w:val="en-GB"/>
        </w:rPr>
        <w:t>Table 5.4</w:t>
      </w:r>
      <w:r w:rsidR="00FA29EF">
        <w:fldChar w:fldCharType="end"/>
      </w:r>
      <w:r w:rsidRPr="00614438">
        <w:rPr>
          <w:rFonts w:ascii="Times New Roman" w:hAnsi="Times New Roman" w:cs="Times New Roman"/>
          <w:sz w:val="24"/>
          <w:szCs w:val="24"/>
          <w:lang w:val="en-GB"/>
        </w:rPr>
        <w:t>.</w:t>
      </w:r>
      <w:bookmarkEnd w:id="653"/>
    </w:p>
    <w:p w14:paraId="02753505" w14:textId="77777777" w:rsidR="00614438" w:rsidRPr="004F5BC1" w:rsidRDefault="00614438" w:rsidP="00614438">
      <w:pPr>
        <w:jc w:val="both"/>
        <w:rPr>
          <w:rFonts w:ascii="Times New Roman" w:hAnsi="Times New Roman" w:cs="Times New Roman"/>
          <w:sz w:val="16"/>
          <w:szCs w:val="16"/>
          <w:lang w:val="en-GB"/>
        </w:rPr>
      </w:pPr>
      <w:bookmarkStart w:id="654" w:name="_Ref153529477"/>
      <w:bookmarkStart w:id="655" w:name="_Toc153545078"/>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bookmarkEnd w:id="654"/>
      <w:r w:rsidRPr="00614438">
        <w:rPr>
          <w:rFonts w:ascii="Times New Roman" w:hAnsi="Times New Roman" w:cs="Times New Roman"/>
          <w:sz w:val="24"/>
          <w:szCs w:val="24"/>
        </w:rPr>
        <w:t>: Indicative Overview of Serbia's green transition support programs</w:t>
      </w:r>
      <w:bookmarkEnd w:id="65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862"/>
        <w:gridCol w:w="1290"/>
        <w:gridCol w:w="6983"/>
      </w:tblGrid>
      <w:tr w:rsidR="00614438" w:rsidRPr="004F5BC1" w14:paraId="6B4E64F0" w14:textId="77777777" w:rsidTr="00614438">
        <w:trPr>
          <w:trHeight w:val="398"/>
          <w:tblHeader/>
        </w:trPr>
        <w:tc>
          <w:tcPr>
            <w:tcW w:w="0" w:type="auto"/>
            <w:tcBorders>
              <w:top w:val="single" w:sz="4" w:space="0" w:color="auto"/>
              <w:left w:val="single" w:sz="4" w:space="0" w:color="auto"/>
              <w:bottom w:val="single" w:sz="4" w:space="0" w:color="auto"/>
              <w:right w:val="single" w:sz="4" w:space="0" w:color="auto"/>
            </w:tcBorders>
            <w:shd w:val="clear" w:color="auto" w:fill="244062"/>
            <w:vAlign w:val="center"/>
            <w:hideMark/>
          </w:tcPr>
          <w:p w14:paraId="657FAFA5"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Donor</w:t>
            </w:r>
          </w:p>
        </w:tc>
        <w:tc>
          <w:tcPr>
            <w:tcW w:w="1290" w:type="dxa"/>
            <w:tcBorders>
              <w:top w:val="single" w:sz="4" w:space="0" w:color="auto"/>
              <w:left w:val="single" w:sz="4" w:space="0" w:color="auto"/>
              <w:bottom w:val="single" w:sz="4" w:space="0" w:color="auto"/>
              <w:right w:val="single" w:sz="4" w:space="0" w:color="auto"/>
            </w:tcBorders>
            <w:shd w:val="clear" w:color="auto" w:fill="244062"/>
            <w:vAlign w:val="center"/>
            <w:hideMark/>
          </w:tcPr>
          <w:p w14:paraId="6E823AF0"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Field</w:t>
            </w:r>
          </w:p>
        </w:tc>
        <w:tc>
          <w:tcPr>
            <w:tcW w:w="6983" w:type="dxa"/>
            <w:tcBorders>
              <w:top w:val="single" w:sz="4" w:space="0" w:color="auto"/>
              <w:left w:val="single" w:sz="4" w:space="0" w:color="auto"/>
              <w:bottom w:val="single" w:sz="4" w:space="0" w:color="auto"/>
              <w:right w:val="single" w:sz="4" w:space="0" w:color="auto"/>
            </w:tcBorders>
            <w:shd w:val="clear" w:color="auto" w:fill="244062"/>
            <w:vAlign w:val="center"/>
            <w:hideMark/>
          </w:tcPr>
          <w:p w14:paraId="151BEC8C"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Description</w:t>
            </w:r>
          </w:p>
        </w:tc>
      </w:tr>
      <w:tr w:rsidR="00614438" w:rsidRPr="004F5BC1" w14:paraId="115B1D95" w14:textId="77777777" w:rsidTr="00614438">
        <w:trPr>
          <w:trHeight w:val="280"/>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3983403A"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WB,EBRD,</w:t>
            </w:r>
          </w:p>
          <w:p w14:paraId="7B43C06B"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KfW</w:t>
            </w: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39B06B"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Type of aid</w:t>
            </w:r>
          </w:p>
        </w:tc>
        <w:tc>
          <w:tcPr>
            <w:tcW w:w="6983" w:type="dxa"/>
            <w:tcBorders>
              <w:top w:val="single" w:sz="4" w:space="0" w:color="auto"/>
              <w:left w:val="single" w:sz="4" w:space="0" w:color="auto"/>
              <w:bottom w:val="single" w:sz="4" w:space="0" w:color="auto"/>
              <w:right w:val="single" w:sz="4" w:space="0" w:color="auto"/>
            </w:tcBorders>
            <w:vAlign w:val="center"/>
            <w:hideMark/>
          </w:tcPr>
          <w:p w14:paraId="4D31FA46"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Directorate for Financing and Promoting Energy Efficiency</w:t>
            </w:r>
          </w:p>
        </w:tc>
      </w:tr>
      <w:tr w:rsidR="00614438" w:rsidRPr="004F5BC1" w14:paraId="327B6557" w14:textId="77777777" w:rsidTr="00614438">
        <w:trPr>
          <w:trHeight w:val="8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F8AA1E9"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725E1B"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Amount</w:t>
            </w:r>
          </w:p>
        </w:tc>
        <w:tc>
          <w:tcPr>
            <w:tcW w:w="6983" w:type="dxa"/>
            <w:tcBorders>
              <w:top w:val="single" w:sz="4" w:space="0" w:color="auto"/>
              <w:left w:val="single" w:sz="4" w:space="0" w:color="auto"/>
              <w:bottom w:val="single" w:sz="4" w:space="0" w:color="auto"/>
              <w:right w:val="single" w:sz="4" w:space="0" w:color="auto"/>
            </w:tcBorders>
            <w:vAlign w:val="center"/>
            <w:hideMark/>
          </w:tcPr>
          <w:p w14:paraId="22911265" w14:textId="0DDCD04B" w:rsidR="00614438" w:rsidRPr="004F5BC1" w:rsidRDefault="00614438" w:rsidP="00971E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The fund is allocated from the central budget of the Government of Serbia, on an annual basis, in the approximate amount of 20 million</w:t>
            </w:r>
            <w:r w:rsidR="00971E38" w:rsidRPr="004F5BC1">
              <w:rPr>
                <w:rFonts w:ascii="Times New Roman" w:hAnsi="Times New Roman" w:cs="Times New Roman"/>
                <w:sz w:val="16"/>
                <w:szCs w:val="16"/>
                <w:lang w:val="en-GB"/>
              </w:rPr>
              <w:t xml:space="preserve"> EUR</w:t>
            </w:r>
            <w:r w:rsidRPr="004F5BC1">
              <w:rPr>
                <w:rFonts w:ascii="Times New Roman" w:hAnsi="Times New Roman" w:cs="Times New Roman"/>
                <w:sz w:val="16"/>
                <w:szCs w:val="16"/>
                <w:lang w:val="en-GB"/>
              </w:rPr>
              <w:t>. As of 2019, an EE levy has been introduced on energy bills.</w:t>
            </w:r>
          </w:p>
        </w:tc>
      </w:tr>
      <w:tr w:rsidR="00614438" w:rsidRPr="004F5BC1" w14:paraId="66F92B43" w14:textId="77777777" w:rsidTr="00614438">
        <w:trPr>
          <w:trHeight w:val="47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2EB7A5F"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C25817"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Purpose</w:t>
            </w:r>
          </w:p>
        </w:tc>
        <w:tc>
          <w:tcPr>
            <w:tcW w:w="6983" w:type="dxa"/>
            <w:tcBorders>
              <w:top w:val="single" w:sz="4" w:space="0" w:color="auto"/>
              <w:left w:val="single" w:sz="4" w:space="0" w:color="auto"/>
              <w:bottom w:val="single" w:sz="4" w:space="0" w:color="auto"/>
              <w:right w:val="single" w:sz="4" w:space="0" w:color="auto"/>
            </w:tcBorders>
            <w:vAlign w:val="center"/>
            <w:hideMark/>
          </w:tcPr>
          <w:p w14:paraId="60BA526E"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Support the implementation of EE measures in energy efficiency in public buildings, households and commercial facilities</w:t>
            </w:r>
          </w:p>
        </w:tc>
      </w:tr>
      <w:tr w:rsidR="00614438" w:rsidRPr="004F5BC1" w14:paraId="7BC93741"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FD995B"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F1271A"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Duration</w:t>
            </w:r>
          </w:p>
        </w:tc>
        <w:tc>
          <w:tcPr>
            <w:tcW w:w="6983" w:type="dxa"/>
            <w:tcBorders>
              <w:top w:val="single" w:sz="4" w:space="0" w:color="auto"/>
              <w:left w:val="single" w:sz="4" w:space="0" w:color="auto"/>
              <w:bottom w:val="single" w:sz="4" w:space="0" w:color="auto"/>
              <w:right w:val="single" w:sz="4" w:space="0" w:color="auto"/>
            </w:tcBorders>
            <w:vAlign w:val="center"/>
            <w:hideMark/>
          </w:tcPr>
          <w:p w14:paraId="4475F1C7"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n.a</w:t>
            </w:r>
          </w:p>
        </w:tc>
      </w:tr>
      <w:tr w:rsidR="00614438" w:rsidRPr="004F5BC1" w14:paraId="536CE2FE" w14:textId="77777777" w:rsidTr="00614438">
        <w:trPr>
          <w:trHeight w:val="353"/>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7159C241"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UNDP</w:t>
            </w: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7E2B61"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Type of aid</w:t>
            </w:r>
          </w:p>
        </w:tc>
        <w:tc>
          <w:tcPr>
            <w:tcW w:w="6983" w:type="dxa"/>
            <w:tcBorders>
              <w:top w:val="single" w:sz="4" w:space="0" w:color="auto"/>
              <w:left w:val="single" w:sz="4" w:space="0" w:color="auto"/>
              <w:bottom w:val="single" w:sz="4" w:space="0" w:color="auto"/>
              <w:right w:val="single" w:sz="4" w:space="0" w:color="auto"/>
            </w:tcBorders>
            <w:vAlign w:val="center"/>
            <w:hideMark/>
          </w:tcPr>
          <w:p w14:paraId="5252F424" w14:textId="6B2F768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Advancing Medium</w:t>
            </w:r>
            <w:r w:rsidR="00971E38" w:rsidRPr="004F5BC1">
              <w:rPr>
                <w:rFonts w:ascii="Times New Roman" w:hAnsi="Times New Roman" w:cs="Times New Roman"/>
                <w:sz w:val="16"/>
                <w:szCs w:val="16"/>
                <w:lang w:val="en-GB"/>
              </w:rPr>
              <w:t>-</w:t>
            </w:r>
            <w:r w:rsidRPr="004F5BC1">
              <w:rPr>
                <w:rFonts w:ascii="Times New Roman" w:hAnsi="Times New Roman" w:cs="Times New Roman"/>
                <w:sz w:val="16"/>
                <w:szCs w:val="16"/>
                <w:lang w:val="en-GB"/>
              </w:rPr>
              <w:t xml:space="preserve"> and Long-Term Adaptation Planning in the Republic of Serbia</w:t>
            </w:r>
          </w:p>
        </w:tc>
      </w:tr>
      <w:tr w:rsidR="00614438" w:rsidRPr="004F5BC1" w14:paraId="6D06F4EB"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34D02EB"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C75A048"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Amount</w:t>
            </w:r>
          </w:p>
        </w:tc>
        <w:tc>
          <w:tcPr>
            <w:tcW w:w="6983" w:type="dxa"/>
            <w:tcBorders>
              <w:top w:val="single" w:sz="4" w:space="0" w:color="auto"/>
              <w:left w:val="single" w:sz="4" w:space="0" w:color="auto"/>
              <w:bottom w:val="single" w:sz="4" w:space="0" w:color="auto"/>
              <w:right w:val="single" w:sz="4" w:space="0" w:color="auto"/>
            </w:tcBorders>
            <w:vAlign w:val="center"/>
            <w:hideMark/>
          </w:tcPr>
          <w:p w14:paraId="17929265" w14:textId="0EA16B62" w:rsidR="00614438" w:rsidRPr="004F5BC1" w:rsidRDefault="00971E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1,935,484 USD</w:t>
            </w:r>
          </w:p>
        </w:tc>
      </w:tr>
      <w:tr w:rsidR="00614438" w:rsidRPr="004F5BC1" w14:paraId="5552FC3A"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EEEDF78"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FFE16C"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Purpose</w:t>
            </w:r>
          </w:p>
        </w:tc>
        <w:tc>
          <w:tcPr>
            <w:tcW w:w="6983" w:type="dxa"/>
            <w:tcBorders>
              <w:top w:val="single" w:sz="4" w:space="0" w:color="auto"/>
              <w:left w:val="single" w:sz="4" w:space="0" w:color="auto"/>
              <w:bottom w:val="single" w:sz="4" w:space="0" w:color="auto"/>
              <w:right w:val="single" w:sz="4" w:space="0" w:color="auto"/>
            </w:tcBorders>
            <w:vAlign w:val="center"/>
            <w:hideMark/>
          </w:tcPr>
          <w:p w14:paraId="2F77DC7A" w14:textId="77777777" w:rsidR="00614438" w:rsidRPr="004F5BC1" w:rsidRDefault="00614438" w:rsidP="00485CA7">
            <w:pPr>
              <w:numPr>
                <w:ilvl w:val="0"/>
                <w:numId w:val="246"/>
              </w:numPr>
              <w:jc w:val="both"/>
              <w:rPr>
                <w:rFonts w:ascii="Times New Roman" w:hAnsi="Times New Roman" w:cs="Times New Roman"/>
                <w:sz w:val="16"/>
                <w:szCs w:val="16"/>
              </w:rPr>
            </w:pPr>
            <w:r w:rsidRPr="004F5BC1">
              <w:rPr>
                <w:rFonts w:ascii="Times New Roman" w:hAnsi="Times New Roman" w:cs="Times New Roman"/>
                <w:sz w:val="16"/>
                <w:szCs w:val="16"/>
              </w:rPr>
              <w:t>Strengthening legal and institutional framework for climate change adaptation (CCA);</w:t>
            </w:r>
          </w:p>
          <w:p w14:paraId="2452120F" w14:textId="77777777" w:rsidR="00614438" w:rsidRPr="004F5BC1" w:rsidRDefault="00614438" w:rsidP="00485CA7">
            <w:pPr>
              <w:numPr>
                <w:ilvl w:val="0"/>
                <w:numId w:val="246"/>
              </w:numPr>
              <w:jc w:val="both"/>
              <w:rPr>
                <w:rFonts w:ascii="Times New Roman" w:hAnsi="Times New Roman" w:cs="Times New Roman"/>
                <w:sz w:val="16"/>
                <w:szCs w:val="16"/>
              </w:rPr>
            </w:pPr>
            <w:r w:rsidRPr="004F5BC1">
              <w:rPr>
                <w:rFonts w:ascii="Times New Roman" w:hAnsi="Times New Roman" w:cs="Times New Roman"/>
                <w:sz w:val="16"/>
                <w:szCs w:val="16"/>
              </w:rPr>
              <w:t>Assessing and addressing immediate national and subnational CCA policy and institutional capacity gaps;</w:t>
            </w:r>
          </w:p>
          <w:p w14:paraId="7B8B85D7" w14:textId="61A13E54" w:rsidR="00614438" w:rsidRPr="004F5BC1" w:rsidRDefault="00614438" w:rsidP="00485CA7">
            <w:pPr>
              <w:numPr>
                <w:ilvl w:val="0"/>
                <w:numId w:val="246"/>
              </w:numPr>
              <w:jc w:val="both"/>
              <w:rPr>
                <w:rFonts w:ascii="Times New Roman" w:hAnsi="Times New Roman" w:cs="Times New Roman"/>
                <w:sz w:val="16"/>
                <w:szCs w:val="16"/>
              </w:rPr>
            </w:pPr>
            <w:r w:rsidRPr="004F5BC1">
              <w:rPr>
                <w:rFonts w:ascii="Times New Roman" w:hAnsi="Times New Roman" w:cs="Times New Roman"/>
                <w:sz w:val="16"/>
                <w:szCs w:val="16"/>
              </w:rPr>
              <w:t>Developing the National Climate Change Adaptation Plan (NAP) and integration of the CCA into national and subnational planning processes;</w:t>
            </w:r>
          </w:p>
          <w:p w14:paraId="329A7262" w14:textId="01E11168" w:rsidR="00614438" w:rsidRPr="004F5BC1" w:rsidRDefault="00614438" w:rsidP="00485CA7">
            <w:pPr>
              <w:numPr>
                <w:ilvl w:val="0"/>
                <w:numId w:val="246"/>
              </w:numPr>
              <w:jc w:val="both"/>
              <w:rPr>
                <w:rFonts w:ascii="Times New Roman" w:hAnsi="Times New Roman" w:cs="Times New Roman"/>
                <w:sz w:val="16"/>
                <w:szCs w:val="16"/>
              </w:rPr>
            </w:pPr>
            <w:r w:rsidRPr="004F5BC1">
              <w:rPr>
                <w:rFonts w:ascii="Times New Roman" w:hAnsi="Times New Roman" w:cs="Times New Roman"/>
                <w:sz w:val="16"/>
                <w:szCs w:val="16"/>
              </w:rPr>
              <w:lastRenderedPageBreak/>
              <w:t>Improving the Nationally Determined Contributions (NDC);</w:t>
            </w:r>
          </w:p>
          <w:p w14:paraId="6A22D504" w14:textId="3265840C" w:rsidR="00614438" w:rsidRPr="004F5BC1" w:rsidRDefault="00614438" w:rsidP="00971E38">
            <w:pPr>
              <w:numPr>
                <w:ilvl w:val="0"/>
                <w:numId w:val="246"/>
              </w:numPr>
              <w:jc w:val="both"/>
              <w:rPr>
                <w:rFonts w:ascii="Times New Roman" w:hAnsi="Times New Roman" w:cs="Times New Roman"/>
                <w:sz w:val="16"/>
                <w:szCs w:val="16"/>
              </w:rPr>
            </w:pPr>
            <w:r w:rsidRPr="004F5BC1">
              <w:rPr>
                <w:rFonts w:ascii="Times New Roman" w:hAnsi="Times New Roman" w:cs="Times New Roman"/>
                <w:sz w:val="16"/>
                <w:szCs w:val="16"/>
              </w:rPr>
              <w:t>Developing web-based application and platform for Climate Change Vulnerability Assessments and Adaptation (CCA)</w:t>
            </w:r>
          </w:p>
        </w:tc>
      </w:tr>
      <w:tr w:rsidR="00614438" w:rsidRPr="004F5BC1" w14:paraId="2023F46C"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BA32DFC"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E28127B"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Duration</w:t>
            </w:r>
          </w:p>
        </w:tc>
        <w:tc>
          <w:tcPr>
            <w:tcW w:w="6983" w:type="dxa"/>
            <w:tcBorders>
              <w:top w:val="single" w:sz="4" w:space="0" w:color="auto"/>
              <w:left w:val="single" w:sz="4" w:space="0" w:color="auto"/>
              <w:bottom w:val="single" w:sz="4" w:space="0" w:color="auto"/>
              <w:right w:val="single" w:sz="4" w:space="0" w:color="auto"/>
            </w:tcBorders>
            <w:vAlign w:val="center"/>
            <w:hideMark/>
          </w:tcPr>
          <w:p w14:paraId="1259F54B" w14:textId="1AB8B74C" w:rsidR="00614438" w:rsidRPr="004F5BC1" w:rsidRDefault="007A480D"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 xml:space="preserve">Until </w:t>
            </w:r>
            <w:r w:rsidR="00614438" w:rsidRPr="004F5BC1">
              <w:rPr>
                <w:rFonts w:ascii="Times New Roman" w:hAnsi="Times New Roman" w:cs="Times New Roman"/>
                <w:sz w:val="16"/>
                <w:szCs w:val="16"/>
                <w:lang w:val="en-GB"/>
              </w:rPr>
              <w:t>2023</w:t>
            </w:r>
          </w:p>
        </w:tc>
      </w:tr>
      <w:tr w:rsidR="00614438" w:rsidRPr="004F5BC1" w14:paraId="2E2C5F05" w14:textId="77777777" w:rsidTr="00614438">
        <w:trPr>
          <w:trHeight w:val="353"/>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1E64933A"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KfW</w:t>
            </w: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370D032"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Type of aid</w:t>
            </w:r>
          </w:p>
        </w:tc>
        <w:tc>
          <w:tcPr>
            <w:tcW w:w="6983" w:type="dxa"/>
            <w:tcBorders>
              <w:top w:val="single" w:sz="4" w:space="0" w:color="auto"/>
              <w:left w:val="single" w:sz="4" w:space="0" w:color="auto"/>
              <w:bottom w:val="single" w:sz="4" w:space="0" w:color="auto"/>
              <w:right w:val="single" w:sz="4" w:space="0" w:color="auto"/>
            </w:tcBorders>
            <w:vAlign w:val="center"/>
            <w:hideMark/>
          </w:tcPr>
          <w:p w14:paraId="69EFC383"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Supporting Sustainable National Guarantee Institutions</w:t>
            </w:r>
          </w:p>
        </w:tc>
      </w:tr>
      <w:tr w:rsidR="00614438" w:rsidRPr="004F5BC1" w14:paraId="55FE125D"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4601E7"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C3F8DF"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Amount</w:t>
            </w:r>
          </w:p>
        </w:tc>
        <w:tc>
          <w:tcPr>
            <w:tcW w:w="6983" w:type="dxa"/>
            <w:tcBorders>
              <w:top w:val="single" w:sz="4" w:space="0" w:color="auto"/>
              <w:left w:val="single" w:sz="4" w:space="0" w:color="auto"/>
              <w:bottom w:val="single" w:sz="4" w:space="0" w:color="auto"/>
              <w:right w:val="single" w:sz="4" w:space="0" w:color="auto"/>
            </w:tcBorders>
            <w:vAlign w:val="center"/>
            <w:hideMark/>
          </w:tcPr>
          <w:p w14:paraId="202F69E4" w14:textId="3AB5E9A6" w:rsidR="00614438" w:rsidRPr="004F5BC1" w:rsidRDefault="00614438" w:rsidP="007A480D">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Up to 50 million</w:t>
            </w:r>
            <w:r w:rsidR="007A480D" w:rsidRPr="004F5BC1">
              <w:rPr>
                <w:rFonts w:ascii="Times New Roman" w:hAnsi="Times New Roman" w:cs="Times New Roman"/>
                <w:sz w:val="16"/>
                <w:szCs w:val="16"/>
                <w:lang w:val="en-GB"/>
              </w:rPr>
              <w:t xml:space="preserve"> EUR</w:t>
            </w:r>
          </w:p>
        </w:tc>
      </w:tr>
      <w:tr w:rsidR="00614438" w:rsidRPr="004F5BC1" w14:paraId="1D127C9F"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F135F04"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30DF23"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Purpose</w:t>
            </w:r>
          </w:p>
        </w:tc>
        <w:tc>
          <w:tcPr>
            <w:tcW w:w="6983" w:type="dxa"/>
            <w:tcBorders>
              <w:top w:val="single" w:sz="4" w:space="0" w:color="auto"/>
              <w:left w:val="single" w:sz="4" w:space="0" w:color="auto"/>
              <w:bottom w:val="single" w:sz="4" w:space="0" w:color="auto"/>
              <w:right w:val="single" w:sz="4" w:space="0" w:color="auto"/>
            </w:tcBorders>
            <w:vAlign w:val="center"/>
            <w:hideMark/>
          </w:tcPr>
          <w:p w14:paraId="6EED34E1" w14:textId="105720A9" w:rsidR="00614438" w:rsidRPr="004F5BC1" w:rsidRDefault="00614438" w:rsidP="007A480D">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 xml:space="preserve">Unlocking 140+ millions </w:t>
            </w:r>
            <w:r w:rsidR="007A480D" w:rsidRPr="004F5BC1">
              <w:rPr>
                <w:rFonts w:ascii="Times New Roman" w:hAnsi="Times New Roman" w:cs="Times New Roman"/>
                <w:sz w:val="16"/>
                <w:szCs w:val="16"/>
                <w:lang w:val="en-GB"/>
              </w:rPr>
              <w:t xml:space="preserve">EUR </w:t>
            </w:r>
            <w:r w:rsidRPr="004F5BC1">
              <w:rPr>
                <w:rFonts w:ascii="Times New Roman" w:hAnsi="Times New Roman" w:cs="Times New Roman"/>
                <w:sz w:val="16"/>
                <w:szCs w:val="16"/>
                <w:lang w:val="en-GB"/>
              </w:rPr>
              <w:t>of financing, Reaching 4700+MSMEs and Entrepreneurs and Investing in a sustainable recovery</w:t>
            </w:r>
          </w:p>
        </w:tc>
      </w:tr>
      <w:tr w:rsidR="00614438" w:rsidRPr="004F5BC1" w14:paraId="18903D6B"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943B45B"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56AE3AB"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Duration</w:t>
            </w:r>
          </w:p>
        </w:tc>
        <w:tc>
          <w:tcPr>
            <w:tcW w:w="6983" w:type="dxa"/>
            <w:tcBorders>
              <w:top w:val="single" w:sz="4" w:space="0" w:color="auto"/>
              <w:left w:val="single" w:sz="4" w:space="0" w:color="auto"/>
              <w:bottom w:val="single" w:sz="4" w:space="0" w:color="auto"/>
              <w:right w:val="single" w:sz="4" w:space="0" w:color="auto"/>
            </w:tcBorders>
            <w:vAlign w:val="center"/>
            <w:hideMark/>
          </w:tcPr>
          <w:p w14:paraId="50AD0471"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ongoing support</w:t>
            </w:r>
          </w:p>
        </w:tc>
      </w:tr>
      <w:tr w:rsidR="00614438" w:rsidRPr="004F5BC1" w14:paraId="537BA46C" w14:textId="77777777" w:rsidTr="00614438">
        <w:trPr>
          <w:trHeight w:val="353"/>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7090E798"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EC</w:t>
            </w: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2119521"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Type of aid</w:t>
            </w:r>
          </w:p>
        </w:tc>
        <w:tc>
          <w:tcPr>
            <w:tcW w:w="6983" w:type="dxa"/>
            <w:tcBorders>
              <w:top w:val="single" w:sz="4" w:space="0" w:color="auto"/>
              <w:left w:val="single" w:sz="4" w:space="0" w:color="auto"/>
              <w:bottom w:val="single" w:sz="4" w:space="0" w:color="auto"/>
              <w:right w:val="single" w:sz="4" w:space="0" w:color="auto"/>
            </w:tcBorders>
            <w:vAlign w:val="center"/>
            <w:hideMark/>
          </w:tcPr>
          <w:p w14:paraId="7792BD78"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Instrument for Pre-accession Assistance III (IPA III)</w:t>
            </w:r>
          </w:p>
        </w:tc>
      </w:tr>
      <w:tr w:rsidR="00614438" w:rsidRPr="004F5BC1" w14:paraId="7DC036EC"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95FAF81"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DCD3C2"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Amount</w:t>
            </w:r>
          </w:p>
        </w:tc>
        <w:tc>
          <w:tcPr>
            <w:tcW w:w="6983" w:type="dxa"/>
            <w:tcBorders>
              <w:top w:val="single" w:sz="4" w:space="0" w:color="auto"/>
              <w:left w:val="single" w:sz="4" w:space="0" w:color="auto"/>
              <w:bottom w:val="single" w:sz="4" w:space="0" w:color="auto"/>
              <w:right w:val="single" w:sz="4" w:space="0" w:color="auto"/>
            </w:tcBorders>
            <w:vAlign w:val="center"/>
            <w:hideMark/>
          </w:tcPr>
          <w:p w14:paraId="10B4A8E6"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Up to EUR 9 billion</w:t>
            </w:r>
          </w:p>
        </w:tc>
      </w:tr>
      <w:tr w:rsidR="00614438" w:rsidRPr="004F5BC1" w14:paraId="78FEC332"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0804DA"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8AF089F"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Purpose</w:t>
            </w:r>
          </w:p>
        </w:tc>
        <w:tc>
          <w:tcPr>
            <w:tcW w:w="6983" w:type="dxa"/>
            <w:tcBorders>
              <w:top w:val="single" w:sz="4" w:space="0" w:color="auto"/>
              <w:left w:val="single" w:sz="4" w:space="0" w:color="auto"/>
              <w:bottom w:val="single" w:sz="4" w:space="0" w:color="auto"/>
              <w:right w:val="single" w:sz="4" w:space="0" w:color="auto"/>
            </w:tcBorders>
            <w:vAlign w:val="center"/>
            <w:hideMark/>
          </w:tcPr>
          <w:p w14:paraId="0DEA850C"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Reinforcing instruments to foster public and private- sector investment (support economic convergence with the EU through investments and support to competitiveness and inclusive growth, sustainable connectivity, and the twin green and digital transition)</w:t>
            </w:r>
          </w:p>
        </w:tc>
      </w:tr>
      <w:tr w:rsidR="00614438" w:rsidRPr="004F5BC1" w14:paraId="4DC9CA40"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0934AF3"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AF3ACD"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Duration</w:t>
            </w:r>
          </w:p>
        </w:tc>
        <w:tc>
          <w:tcPr>
            <w:tcW w:w="6983" w:type="dxa"/>
            <w:tcBorders>
              <w:top w:val="single" w:sz="4" w:space="0" w:color="auto"/>
              <w:left w:val="single" w:sz="4" w:space="0" w:color="auto"/>
              <w:bottom w:val="single" w:sz="4" w:space="0" w:color="auto"/>
              <w:right w:val="single" w:sz="4" w:space="0" w:color="auto"/>
            </w:tcBorders>
            <w:vAlign w:val="center"/>
            <w:hideMark/>
          </w:tcPr>
          <w:p w14:paraId="166F7AE1"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2021-2027</w:t>
            </w:r>
          </w:p>
        </w:tc>
      </w:tr>
      <w:tr w:rsidR="00614438" w:rsidRPr="004F5BC1" w14:paraId="38DB4BCE" w14:textId="77777777" w:rsidTr="00614438">
        <w:trPr>
          <w:trHeight w:val="353"/>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5160E226"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EC</w:t>
            </w: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CD0B109"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Type of aid</w:t>
            </w:r>
          </w:p>
        </w:tc>
        <w:tc>
          <w:tcPr>
            <w:tcW w:w="6983" w:type="dxa"/>
            <w:tcBorders>
              <w:top w:val="single" w:sz="4" w:space="0" w:color="auto"/>
              <w:left w:val="single" w:sz="4" w:space="0" w:color="auto"/>
              <w:bottom w:val="single" w:sz="4" w:space="0" w:color="auto"/>
              <w:right w:val="single" w:sz="4" w:space="0" w:color="auto"/>
            </w:tcBorders>
            <w:vAlign w:val="center"/>
            <w:hideMark/>
          </w:tcPr>
          <w:p w14:paraId="3D2468F5"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Instrument for Pre-accession Assistance III (IPA III)</w:t>
            </w:r>
          </w:p>
        </w:tc>
      </w:tr>
      <w:tr w:rsidR="00614438" w:rsidRPr="004F5BC1" w14:paraId="11D45CFD"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FF7FEA5"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F0CD7D"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Amount</w:t>
            </w:r>
          </w:p>
        </w:tc>
        <w:tc>
          <w:tcPr>
            <w:tcW w:w="6983" w:type="dxa"/>
            <w:tcBorders>
              <w:top w:val="single" w:sz="4" w:space="0" w:color="auto"/>
              <w:left w:val="single" w:sz="4" w:space="0" w:color="auto"/>
              <w:bottom w:val="single" w:sz="4" w:space="0" w:color="auto"/>
              <w:right w:val="single" w:sz="4" w:space="0" w:color="auto"/>
            </w:tcBorders>
            <w:vAlign w:val="center"/>
            <w:hideMark/>
          </w:tcPr>
          <w:p w14:paraId="6C083489" w14:textId="64FA0287" w:rsidR="00614438" w:rsidRPr="004F5BC1" w:rsidRDefault="00614438" w:rsidP="007A480D">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Over 14 billion</w:t>
            </w:r>
            <w:r w:rsidR="007A480D" w:rsidRPr="004F5BC1">
              <w:rPr>
                <w:rFonts w:ascii="Times New Roman" w:hAnsi="Times New Roman" w:cs="Times New Roman"/>
                <w:sz w:val="16"/>
                <w:szCs w:val="16"/>
                <w:lang w:val="en-GB"/>
              </w:rPr>
              <w:t xml:space="preserve"> EUR</w:t>
            </w:r>
          </w:p>
        </w:tc>
      </w:tr>
      <w:tr w:rsidR="00614438" w:rsidRPr="004F5BC1" w14:paraId="4F75B276"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001B12"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E1B4E1D"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Purpose</w:t>
            </w:r>
          </w:p>
        </w:tc>
        <w:tc>
          <w:tcPr>
            <w:tcW w:w="6983" w:type="dxa"/>
            <w:tcBorders>
              <w:top w:val="single" w:sz="4" w:space="0" w:color="auto"/>
              <w:left w:val="single" w:sz="4" w:space="0" w:color="auto"/>
              <w:bottom w:val="single" w:sz="4" w:space="0" w:color="auto"/>
              <w:right w:val="single" w:sz="4" w:space="0" w:color="auto"/>
            </w:tcBorders>
            <w:vAlign w:val="center"/>
            <w:hideMark/>
          </w:tcPr>
          <w:p w14:paraId="2890A0CD"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Increasing public and private investment in the region by the EIB, EBRD and other IFIs, DFIs, the Western Balkans governments and private investors, including foreign direct investment, as well as integrating markets</w:t>
            </w:r>
          </w:p>
        </w:tc>
      </w:tr>
      <w:tr w:rsidR="00614438" w:rsidRPr="004F5BC1" w14:paraId="596DA09E"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14C3879"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41F7178"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Duration</w:t>
            </w:r>
          </w:p>
        </w:tc>
        <w:tc>
          <w:tcPr>
            <w:tcW w:w="6983" w:type="dxa"/>
            <w:tcBorders>
              <w:top w:val="single" w:sz="4" w:space="0" w:color="auto"/>
              <w:left w:val="single" w:sz="4" w:space="0" w:color="auto"/>
              <w:bottom w:val="single" w:sz="4" w:space="0" w:color="auto"/>
              <w:right w:val="single" w:sz="4" w:space="0" w:color="auto"/>
            </w:tcBorders>
            <w:vAlign w:val="center"/>
            <w:hideMark/>
          </w:tcPr>
          <w:p w14:paraId="1550D7A5"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2021-2027</w:t>
            </w:r>
          </w:p>
        </w:tc>
      </w:tr>
      <w:tr w:rsidR="00614438" w:rsidRPr="004F5BC1" w14:paraId="5C737750" w14:textId="77777777" w:rsidTr="00614438">
        <w:trPr>
          <w:trHeight w:val="353"/>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5DB7B8C5"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EC</w:t>
            </w: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384291"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Type of aid</w:t>
            </w:r>
          </w:p>
        </w:tc>
        <w:tc>
          <w:tcPr>
            <w:tcW w:w="6983" w:type="dxa"/>
            <w:tcBorders>
              <w:top w:val="single" w:sz="4" w:space="0" w:color="auto"/>
              <w:left w:val="single" w:sz="4" w:space="0" w:color="auto"/>
              <w:bottom w:val="single" w:sz="4" w:space="0" w:color="auto"/>
              <w:right w:val="single" w:sz="4" w:space="0" w:color="auto"/>
            </w:tcBorders>
            <w:vAlign w:val="center"/>
            <w:hideMark/>
          </w:tcPr>
          <w:p w14:paraId="455EAF2F"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 xml:space="preserve">Facilitating the increase of energy efficiency - in the context of the EU Green Deal, </w:t>
            </w:r>
            <w:r w:rsidRPr="004F5BC1">
              <w:rPr>
                <w:rFonts w:ascii="Times New Roman" w:hAnsi="Times New Roman" w:cs="Times New Roman"/>
                <w:sz w:val="16"/>
                <w:szCs w:val="16"/>
                <w:u w:val="single"/>
                <w:lang w:val="en-GB"/>
              </w:rPr>
              <w:t xml:space="preserve">EU renovation wave </w:t>
            </w:r>
            <w:r w:rsidRPr="004F5BC1">
              <w:rPr>
                <w:rFonts w:ascii="Times New Roman" w:hAnsi="Times New Roman" w:cs="Times New Roman"/>
                <w:sz w:val="16"/>
                <w:szCs w:val="16"/>
                <w:lang w:val="en-GB"/>
              </w:rPr>
              <w:t>support will be extended</w:t>
            </w:r>
          </w:p>
        </w:tc>
      </w:tr>
      <w:tr w:rsidR="00614438" w:rsidRPr="004F5BC1" w14:paraId="3D119FC9"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4B51EB7"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68267A"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Amount</w:t>
            </w:r>
          </w:p>
        </w:tc>
        <w:tc>
          <w:tcPr>
            <w:tcW w:w="6983" w:type="dxa"/>
            <w:tcBorders>
              <w:top w:val="single" w:sz="4" w:space="0" w:color="auto"/>
              <w:left w:val="single" w:sz="4" w:space="0" w:color="auto"/>
              <w:bottom w:val="single" w:sz="4" w:space="0" w:color="auto"/>
              <w:right w:val="single" w:sz="4" w:space="0" w:color="auto"/>
            </w:tcBorders>
            <w:vAlign w:val="center"/>
            <w:hideMark/>
          </w:tcPr>
          <w:p w14:paraId="0D98E18D" w14:textId="4E03DEA0" w:rsidR="00614438" w:rsidRPr="004F5BC1" w:rsidRDefault="00614438" w:rsidP="007A480D">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 xml:space="preserve">so far green investments </w:t>
            </w:r>
            <w:r w:rsidR="007A480D" w:rsidRPr="004F5BC1">
              <w:rPr>
                <w:rFonts w:ascii="Times New Roman" w:hAnsi="Times New Roman" w:cs="Times New Roman"/>
                <w:sz w:val="16"/>
                <w:szCs w:val="16"/>
                <w:lang w:val="en-GB"/>
              </w:rPr>
              <w:t xml:space="preserve">were enabled </w:t>
            </w:r>
            <w:r w:rsidRPr="004F5BC1">
              <w:rPr>
                <w:rFonts w:ascii="Times New Roman" w:hAnsi="Times New Roman" w:cs="Times New Roman"/>
                <w:sz w:val="16"/>
                <w:szCs w:val="16"/>
                <w:lang w:val="en-GB"/>
              </w:rPr>
              <w:t>of a total of 700 million</w:t>
            </w:r>
            <w:r w:rsidR="007A480D" w:rsidRPr="004F5BC1">
              <w:rPr>
                <w:rFonts w:ascii="Times New Roman" w:hAnsi="Times New Roman" w:cs="Times New Roman"/>
                <w:sz w:val="16"/>
                <w:szCs w:val="16"/>
                <w:lang w:val="en-GB"/>
              </w:rPr>
              <w:t xml:space="preserve"> EUR</w:t>
            </w:r>
          </w:p>
        </w:tc>
      </w:tr>
      <w:tr w:rsidR="00614438" w:rsidRPr="004F5BC1" w14:paraId="43497035"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2BB962"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73DCDC"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Purpose</w:t>
            </w:r>
          </w:p>
        </w:tc>
        <w:tc>
          <w:tcPr>
            <w:tcW w:w="6983" w:type="dxa"/>
            <w:tcBorders>
              <w:top w:val="single" w:sz="4" w:space="0" w:color="auto"/>
              <w:left w:val="single" w:sz="4" w:space="0" w:color="auto"/>
              <w:bottom w:val="single" w:sz="4" w:space="0" w:color="auto"/>
              <w:right w:val="single" w:sz="4" w:space="0" w:color="auto"/>
            </w:tcBorders>
            <w:vAlign w:val="center"/>
            <w:hideMark/>
          </w:tcPr>
          <w:p w14:paraId="27ECD238" w14:textId="2DB40051"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 xml:space="preserve">Purpose is: transition from coal to sustainable and clean energy. </w:t>
            </w:r>
            <w:r w:rsidR="007A480D" w:rsidRPr="004F5BC1">
              <w:rPr>
                <w:rFonts w:ascii="Times New Roman" w:hAnsi="Times New Roman" w:cs="Times New Roman"/>
                <w:sz w:val="16"/>
                <w:szCs w:val="16"/>
                <w:lang w:val="en-GB"/>
              </w:rPr>
              <w:t xml:space="preserve">The </w:t>
            </w:r>
            <w:r w:rsidRPr="004F5BC1">
              <w:rPr>
                <w:rFonts w:ascii="Times New Roman" w:hAnsi="Times New Roman" w:cs="Times New Roman"/>
                <w:sz w:val="16"/>
                <w:szCs w:val="16"/>
                <w:lang w:val="en-GB"/>
              </w:rPr>
              <w:t xml:space="preserve">Commission proposes to expand the “EU renovation wave” to the region of the Western Balkans. A refurbished and improved building stock will help pave the way for a decarbonized and clean energy system, as the building sector is one of the largest energy consumers in Europe. For this purpose, the EU will use, among others, the existing platforms such as </w:t>
            </w:r>
            <w:r w:rsidRPr="004F5BC1">
              <w:rPr>
                <w:rFonts w:ascii="Times New Roman" w:hAnsi="Times New Roman" w:cs="Times New Roman"/>
                <w:sz w:val="16"/>
                <w:szCs w:val="16"/>
                <w:u w:val="single"/>
                <w:lang w:val="en-GB"/>
              </w:rPr>
              <w:t>Green for Growth Fund</w:t>
            </w:r>
            <w:r w:rsidRPr="004F5BC1">
              <w:rPr>
                <w:rFonts w:ascii="Times New Roman" w:hAnsi="Times New Roman" w:cs="Times New Roman"/>
                <w:sz w:val="16"/>
                <w:szCs w:val="16"/>
                <w:lang w:val="en-GB"/>
              </w:rPr>
              <w:t xml:space="preserve"> and </w:t>
            </w:r>
            <w:r w:rsidRPr="004F5BC1">
              <w:rPr>
                <w:rFonts w:ascii="Times New Roman" w:hAnsi="Times New Roman" w:cs="Times New Roman"/>
                <w:sz w:val="16"/>
                <w:szCs w:val="16"/>
                <w:u w:val="single"/>
                <w:lang w:val="en-GB"/>
              </w:rPr>
              <w:t>Regional Energy Efficiency Programme</w:t>
            </w:r>
          </w:p>
        </w:tc>
      </w:tr>
      <w:tr w:rsidR="00614438" w:rsidRPr="004F5BC1" w14:paraId="617D0FDC"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3626E21"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227CFC4"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Duration</w:t>
            </w:r>
          </w:p>
        </w:tc>
        <w:tc>
          <w:tcPr>
            <w:tcW w:w="6983" w:type="dxa"/>
            <w:tcBorders>
              <w:top w:val="single" w:sz="4" w:space="0" w:color="auto"/>
              <w:left w:val="single" w:sz="4" w:space="0" w:color="auto"/>
              <w:bottom w:val="single" w:sz="4" w:space="0" w:color="auto"/>
              <w:right w:val="single" w:sz="4" w:space="0" w:color="auto"/>
            </w:tcBorders>
            <w:vAlign w:val="center"/>
            <w:hideMark/>
          </w:tcPr>
          <w:p w14:paraId="6C5A5BB5"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4 years for contractual commitments and 5-7 years for implementation</w:t>
            </w:r>
          </w:p>
        </w:tc>
      </w:tr>
      <w:tr w:rsidR="00614438" w:rsidRPr="004F5BC1" w14:paraId="27CF1596" w14:textId="77777777" w:rsidTr="00614438">
        <w:trPr>
          <w:trHeight w:val="353"/>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15D65459"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EC</w:t>
            </w: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6EA39C"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Type of aid</w:t>
            </w:r>
          </w:p>
        </w:tc>
        <w:tc>
          <w:tcPr>
            <w:tcW w:w="6983" w:type="dxa"/>
            <w:tcBorders>
              <w:top w:val="single" w:sz="4" w:space="0" w:color="auto"/>
              <w:left w:val="single" w:sz="4" w:space="0" w:color="auto"/>
              <w:bottom w:val="single" w:sz="4" w:space="0" w:color="auto"/>
              <w:right w:val="single" w:sz="4" w:space="0" w:color="auto"/>
            </w:tcBorders>
            <w:vAlign w:val="center"/>
            <w:hideMark/>
          </w:tcPr>
          <w:p w14:paraId="61878A3C"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Western Balkans Guarantee facility</w:t>
            </w:r>
          </w:p>
        </w:tc>
      </w:tr>
      <w:tr w:rsidR="00614438" w:rsidRPr="004F5BC1" w14:paraId="5CF87E69"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7BE3A6"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D92E13"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Amount</w:t>
            </w:r>
          </w:p>
        </w:tc>
        <w:tc>
          <w:tcPr>
            <w:tcW w:w="6983" w:type="dxa"/>
            <w:tcBorders>
              <w:top w:val="single" w:sz="4" w:space="0" w:color="auto"/>
              <w:left w:val="single" w:sz="4" w:space="0" w:color="auto"/>
              <w:bottom w:val="single" w:sz="4" w:space="0" w:color="auto"/>
              <w:right w:val="single" w:sz="4" w:space="0" w:color="auto"/>
            </w:tcBorders>
            <w:vAlign w:val="center"/>
            <w:hideMark/>
          </w:tcPr>
          <w:p w14:paraId="03C94F6B" w14:textId="43EFB1EF" w:rsidR="00614438" w:rsidRPr="004F5BC1" w:rsidRDefault="00614438" w:rsidP="007A480D">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 xml:space="preserve">Mobilizing cca 20 billion </w:t>
            </w:r>
            <w:r w:rsidR="007A480D" w:rsidRPr="004F5BC1">
              <w:rPr>
                <w:rFonts w:ascii="Times New Roman" w:hAnsi="Times New Roman" w:cs="Times New Roman"/>
                <w:sz w:val="16"/>
                <w:szCs w:val="16"/>
                <w:lang w:val="en-GB"/>
              </w:rPr>
              <w:t xml:space="preserve">EUR </w:t>
            </w:r>
            <w:r w:rsidRPr="004F5BC1">
              <w:rPr>
                <w:rFonts w:ascii="Times New Roman" w:hAnsi="Times New Roman" w:cs="Times New Roman"/>
                <w:sz w:val="16"/>
                <w:szCs w:val="16"/>
                <w:lang w:val="en-GB"/>
              </w:rPr>
              <w:t>of investments</w:t>
            </w:r>
          </w:p>
        </w:tc>
      </w:tr>
      <w:tr w:rsidR="00614438" w:rsidRPr="004F5BC1" w14:paraId="1A9D5B0B"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4165801"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83AEF10"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Purpose</w:t>
            </w:r>
          </w:p>
        </w:tc>
        <w:tc>
          <w:tcPr>
            <w:tcW w:w="6983" w:type="dxa"/>
            <w:tcBorders>
              <w:top w:val="single" w:sz="4" w:space="0" w:color="auto"/>
              <w:left w:val="single" w:sz="4" w:space="0" w:color="auto"/>
              <w:bottom w:val="single" w:sz="4" w:space="0" w:color="auto"/>
              <w:right w:val="single" w:sz="4" w:space="0" w:color="auto"/>
            </w:tcBorders>
            <w:vAlign w:val="center"/>
            <w:hideMark/>
          </w:tcPr>
          <w:p w14:paraId="77F20456" w14:textId="48A2F624" w:rsidR="00614438" w:rsidRPr="004F5BC1" w:rsidRDefault="00614438" w:rsidP="007A480D">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Improvement of the investment capacity of the region: reducing the cost of financing for both public and private investments and reducing the risk for investors, support</w:t>
            </w:r>
            <w:r w:rsidR="007A480D" w:rsidRPr="004F5BC1">
              <w:rPr>
                <w:rFonts w:ascii="Times New Roman" w:hAnsi="Times New Roman" w:cs="Times New Roman"/>
                <w:sz w:val="16"/>
                <w:szCs w:val="16"/>
                <w:lang w:val="en-GB"/>
              </w:rPr>
              <w:t>ing</w:t>
            </w:r>
            <w:r w:rsidRPr="004F5BC1">
              <w:rPr>
                <w:rFonts w:ascii="Times New Roman" w:hAnsi="Times New Roman" w:cs="Times New Roman"/>
                <w:sz w:val="16"/>
                <w:szCs w:val="16"/>
                <w:lang w:val="en-GB"/>
              </w:rPr>
              <w:t xml:space="preserve"> the green and digital twin transitions; increas</w:t>
            </w:r>
            <w:r w:rsidR="007A480D" w:rsidRPr="004F5BC1">
              <w:rPr>
                <w:rFonts w:ascii="Times New Roman" w:hAnsi="Times New Roman" w:cs="Times New Roman"/>
                <w:sz w:val="16"/>
                <w:szCs w:val="16"/>
                <w:lang w:val="en-GB"/>
              </w:rPr>
              <w:t>ing</w:t>
            </w:r>
            <w:r w:rsidRPr="004F5BC1">
              <w:rPr>
                <w:rFonts w:ascii="Times New Roman" w:hAnsi="Times New Roman" w:cs="Times New Roman"/>
                <w:sz w:val="16"/>
                <w:szCs w:val="16"/>
                <w:lang w:val="en-GB"/>
              </w:rPr>
              <w:t xml:space="preserve"> competitiveness of the private sector, boost</w:t>
            </w:r>
            <w:r w:rsidR="007A480D" w:rsidRPr="004F5BC1">
              <w:rPr>
                <w:rFonts w:ascii="Times New Roman" w:hAnsi="Times New Roman" w:cs="Times New Roman"/>
                <w:sz w:val="16"/>
                <w:szCs w:val="16"/>
                <w:lang w:val="en-GB"/>
              </w:rPr>
              <w:t>ing</w:t>
            </w:r>
            <w:r w:rsidRPr="004F5BC1">
              <w:rPr>
                <w:rFonts w:ascii="Times New Roman" w:hAnsi="Times New Roman" w:cs="Times New Roman"/>
                <w:sz w:val="16"/>
                <w:szCs w:val="16"/>
                <w:lang w:val="en-GB"/>
              </w:rPr>
              <w:t xml:space="preserve"> innovation and development of social sectors, connecting economies through strengthened regional economic integration and integration with the EU.</w:t>
            </w:r>
          </w:p>
        </w:tc>
      </w:tr>
      <w:tr w:rsidR="00614438" w:rsidRPr="004F5BC1" w14:paraId="41AC42AF"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BA7BF5"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321A02"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Duration</w:t>
            </w:r>
          </w:p>
        </w:tc>
        <w:tc>
          <w:tcPr>
            <w:tcW w:w="6983" w:type="dxa"/>
            <w:tcBorders>
              <w:top w:val="single" w:sz="4" w:space="0" w:color="auto"/>
              <w:left w:val="single" w:sz="4" w:space="0" w:color="auto"/>
              <w:bottom w:val="single" w:sz="4" w:space="0" w:color="auto"/>
              <w:right w:val="single" w:sz="4" w:space="0" w:color="auto"/>
            </w:tcBorders>
            <w:vAlign w:val="center"/>
            <w:hideMark/>
          </w:tcPr>
          <w:p w14:paraId="3F1C7473"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2022-2032</w:t>
            </w:r>
          </w:p>
        </w:tc>
      </w:tr>
      <w:tr w:rsidR="00614438" w:rsidRPr="004F5BC1" w14:paraId="7A4444EE" w14:textId="77777777" w:rsidTr="00614438">
        <w:trPr>
          <w:trHeight w:val="353"/>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0887046D"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EIB</w:t>
            </w: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C17CB3"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Type of aid</w:t>
            </w:r>
          </w:p>
        </w:tc>
        <w:tc>
          <w:tcPr>
            <w:tcW w:w="6983" w:type="dxa"/>
            <w:tcBorders>
              <w:top w:val="single" w:sz="4" w:space="0" w:color="auto"/>
              <w:left w:val="single" w:sz="4" w:space="0" w:color="auto"/>
              <w:bottom w:val="single" w:sz="4" w:space="0" w:color="auto"/>
              <w:right w:val="single" w:sz="4" w:space="0" w:color="auto"/>
            </w:tcBorders>
            <w:vAlign w:val="center"/>
            <w:hideMark/>
          </w:tcPr>
          <w:p w14:paraId="1FD9B439" w14:textId="2EC9A4F0" w:rsidR="00614438" w:rsidRPr="004F5BC1" w:rsidRDefault="00614438" w:rsidP="00485CA7">
            <w:pPr>
              <w:numPr>
                <w:ilvl w:val="0"/>
                <w:numId w:val="246"/>
              </w:numPr>
              <w:jc w:val="both"/>
              <w:rPr>
                <w:rFonts w:ascii="Times New Roman" w:hAnsi="Times New Roman" w:cs="Times New Roman"/>
                <w:sz w:val="16"/>
                <w:szCs w:val="16"/>
              </w:rPr>
            </w:pPr>
            <w:r w:rsidRPr="004F5BC1">
              <w:rPr>
                <w:rFonts w:ascii="Times New Roman" w:hAnsi="Times New Roman" w:cs="Times New Roman"/>
                <w:sz w:val="16"/>
                <w:szCs w:val="16"/>
              </w:rPr>
              <w:t>€88</w:t>
            </w:r>
            <w:r w:rsidR="007A480D" w:rsidRPr="004F5BC1">
              <w:rPr>
                <w:rFonts w:ascii="Times New Roman" w:hAnsi="Times New Roman" w:cs="Times New Roman"/>
                <w:sz w:val="16"/>
                <w:szCs w:val="16"/>
              </w:rPr>
              <w:t xml:space="preserve"> </w:t>
            </w:r>
            <w:r w:rsidRPr="004F5BC1">
              <w:rPr>
                <w:rFonts w:ascii="Times New Roman" w:hAnsi="Times New Roman" w:cs="Times New Roman"/>
                <w:sz w:val="16"/>
                <w:szCs w:val="16"/>
              </w:rPr>
              <w:t>million for the health and water sectors</w:t>
            </w:r>
          </w:p>
          <w:p w14:paraId="7DE3B656" w14:textId="7D4B69E2" w:rsidR="00614438" w:rsidRPr="004F5BC1" w:rsidRDefault="00614438" w:rsidP="00485CA7">
            <w:pPr>
              <w:numPr>
                <w:ilvl w:val="0"/>
                <w:numId w:val="246"/>
              </w:numPr>
              <w:jc w:val="both"/>
              <w:rPr>
                <w:rFonts w:ascii="Times New Roman" w:hAnsi="Times New Roman" w:cs="Times New Roman"/>
                <w:sz w:val="16"/>
                <w:szCs w:val="16"/>
              </w:rPr>
            </w:pPr>
            <w:r w:rsidRPr="004F5BC1">
              <w:rPr>
                <w:rFonts w:ascii="Times New Roman" w:hAnsi="Times New Roman" w:cs="Times New Roman"/>
                <w:sz w:val="16"/>
                <w:szCs w:val="16"/>
              </w:rPr>
              <w:t>€761</w:t>
            </w:r>
            <w:r w:rsidR="007A480D" w:rsidRPr="004F5BC1">
              <w:rPr>
                <w:rFonts w:ascii="Times New Roman" w:hAnsi="Times New Roman" w:cs="Times New Roman"/>
                <w:sz w:val="16"/>
                <w:szCs w:val="16"/>
              </w:rPr>
              <w:t xml:space="preserve"> </w:t>
            </w:r>
            <w:r w:rsidRPr="004F5BC1">
              <w:rPr>
                <w:rFonts w:ascii="Times New Roman" w:hAnsi="Times New Roman" w:cs="Times New Roman"/>
                <w:sz w:val="16"/>
                <w:szCs w:val="16"/>
              </w:rPr>
              <w:t>million for the socioeconomic recovery (€385 million from it to ensure survival in the short-term, and recovery in the medium-term of businesses in the private sector)</w:t>
            </w:r>
          </w:p>
          <w:p w14:paraId="23D6F3F6" w14:textId="5129FC09" w:rsidR="00614438" w:rsidRPr="004F5BC1" w:rsidRDefault="00614438" w:rsidP="00485CA7">
            <w:pPr>
              <w:numPr>
                <w:ilvl w:val="0"/>
                <w:numId w:val="246"/>
              </w:numPr>
              <w:jc w:val="both"/>
              <w:rPr>
                <w:rFonts w:ascii="Times New Roman" w:hAnsi="Times New Roman" w:cs="Times New Roman"/>
                <w:sz w:val="16"/>
                <w:szCs w:val="16"/>
              </w:rPr>
            </w:pPr>
            <w:r w:rsidRPr="004F5BC1">
              <w:rPr>
                <w:rFonts w:ascii="Times New Roman" w:hAnsi="Times New Roman" w:cs="Times New Roman"/>
                <w:sz w:val="16"/>
                <w:szCs w:val="16"/>
              </w:rPr>
              <w:t>€750</w:t>
            </w:r>
            <w:r w:rsidR="007A480D" w:rsidRPr="004F5BC1">
              <w:rPr>
                <w:rFonts w:ascii="Times New Roman" w:hAnsi="Times New Roman" w:cs="Times New Roman"/>
                <w:sz w:val="16"/>
                <w:szCs w:val="16"/>
              </w:rPr>
              <w:t xml:space="preserve"> </w:t>
            </w:r>
            <w:r w:rsidRPr="004F5BC1">
              <w:rPr>
                <w:rFonts w:ascii="Times New Roman" w:hAnsi="Times New Roman" w:cs="Times New Roman"/>
                <w:sz w:val="16"/>
                <w:szCs w:val="16"/>
              </w:rPr>
              <w:t>million macro-financial assistance (Western Balkan</w:t>
            </w:r>
            <w:r w:rsidR="007A480D" w:rsidRPr="004F5BC1">
              <w:rPr>
                <w:rFonts w:ascii="Times New Roman" w:hAnsi="Times New Roman" w:cs="Times New Roman"/>
                <w:sz w:val="16"/>
                <w:szCs w:val="16"/>
              </w:rPr>
              <w:t>s</w:t>
            </w:r>
            <w:r w:rsidRPr="004F5BC1">
              <w:rPr>
                <w:rFonts w:ascii="Times New Roman" w:hAnsi="Times New Roman" w:cs="Times New Roman"/>
                <w:sz w:val="16"/>
                <w:szCs w:val="16"/>
              </w:rPr>
              <w:t xml:space="preserve"> governments support in payment crisis)</w:t>
            </w:r>
          </w:p>
          <w:p w14:paraId="0859DB71" w14:textId="77777777" w:rsidR="00614438" w:rsidRPr="004F5BC1" w:rsidRDefault="00614438" w:rsidP="00485CA7">
            <w:pPr>
              <w:numPr>
                <w:ilvl w:val="0"/>
                <w:numId w:val="246"/>
              </w:numPr>
              <w:jc w:val="both"/>
              <w:rPr>
                <w:rFonts w:ascii="Times New Roman" w:hAnsi="Times New Roman" w:cs="Times New Roman"/>
                <w:sz w:val="16"/>
                <w:szCs w:val="16"/>
              </w:rPr>
            </w:pPr>
            <w:r w:rsidRPr="004F5BC1">
              <w:rPr>
                <w:rFonts w:ascii="Times New Roman" w:hAnsi="Times New Roman" w:cs="Times New Roman"/>
                <w:sz w:val="16"/>
                <w:szCs w:val="16"/>
              </w:rPr>
              <w:t>€1.7 billion of EIB investment (for additional loans for public sector investments, and further credit to enterprises, to help safeguard jobs for the many people working in SMEs in the region)</w:t>
            </w:r>
          </w:p>
        </w:tc>
      </w:tr>
      <w:tr w:rsidR="00614438" w:rsidRPr="004F5BC1" w14:paraId="214E5D60"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8155839"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5E63CA0"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Amount</w:t>
            </w:r>
          </w:p>
        </w:tc>
        <w:tc>
          <w:tcPr>
            <w:tcW w:w="6983" w:type="dxa"/>
            <w:tcBorders>
              <w:top w:val="single" w:sz="4" w:space="0" w:color="auto"/>
              <w:left w:val="single" w:sz="4" w:space="0" w:color="auto"/>
              <w:bottom w:val="single" w:sz="4" w:space="0" w:color="auto"/>
              <w:right w:val="single" w:sz="4" w:space="0" w:color="auto"/>
            </w:tcBorders>
            <w:vAlign w:val="center"/>
            <w:hideMark/>
          </w:tcPr>
          <w:p w14:paraId="7CB0AF9F" w14:textId="28CF96C2" w:rsidR="00614438" w:rsidRPr="004F5BC1" w:rsidRDefault="00614438" w:rsidP="007A480D">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over 3.3 billion</w:t>
            </w:r>
            <w:r w:rsidR="007A480D" w:rsidRPr="004F5BC1">
              <w:rPr>
                <w:rFonts w:ascii="Times New Roman" w:hAnsi="Times New Roman" w:cs="Times New Roman"/>
                <w:sz w:val="16"/>
                <w:szCs w:val="16"/>
                <w:lang w:val="en-GB"/>
              </w:rPr>
              <w:t xml:space="preserve"> EUR</w:t>
            </w:r>
          </w:p>
        </w:tc>
      </w:tr>
      <w:tr w:rsidR="00614438" w:rsidRPr="004F5BC1" w14:paraId="12046053"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660F408"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7EADAC"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Purpose</w:t>
            </w:r>
          </w:p>
        </w:tc>
        <w:tc>
          <w:tcPr>
            <w:tcW w:w="6983" w:type="dxa"/>
            <w:tcBorders>
              <w:top w:val="single" w:sz="4" w:space="0" w:color="auto"/>
              <w:left w:val="single" w:sz="4" w:space="0" w:color="auto"/>
              <w:bottom w:val="single" w:sz="4" w:space="0" w:color="auto"/>
              <w:right w:val="single" w:sz="4" w:space="0" w:color="auto"/>
            </w:tcBorders>
            <w:vAlign w:val="center"/>
            <w:hideMark/>
          </w:tcPr>
          <w:p w14:paraId="76D9865C"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Bringing under control coronavirus health crisis and post-pandemic socio- economic recovery</w:t>
            </w:r>
          </w:p>
        </w:tc>
      </w:tr>
      <w:tr w:rsidR="00614438" w:rsidRPr="004F5BC1" w14:paraId="58B5B490"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CF00F04"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7CF581"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Duration</w:t>
            </w:r>
          </w:p>
        </w:tc>
        <w:tc>
          <w:tcPr>
            <w:tcW w:w="6983" w:type="dxa"/>
            <w:tcBorders>
              <w:top w:val="single" w:sz="4" w:space="0" w:color="auto"/>
              <w:left w:val="single" w:sz="4" w:space="0" w:color="auto"/>
              <w:bottom w:val="single" w:sz="4" w:space="0" w:color="auto"/>
              <w:right w:val="single" w:sz="4" w:space="0" w:color="auto"/>
            </w:tcBorders>
            <w:vAlign w:val="center"/>
            <w:hideMark/>
          </w:tcPr>
          <w:p w14:paraId="44E322AA"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Ongoing support</w:t>
            </w:r>
          </w:p>
        </w:tc>
      </w:tr>
      <w:tr w:rsidR="00614438" w:rsidRPr="004F5BC1" w14:paraId="439B73CE" w14:textId="77777777" w:rsidTr="00614438">
        <w:trPr>
          <w:trHeight w:val="353"/>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4DDCEC3A" w14:textId="3ED76871"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lastRenderedPageBreak/>
              <w:t>EBRD,</w:t>
            </w:r>
            <w:r w:rsidR="007A480D" w:rsidRPr="004F5BC1">
              <w:rPr>
                <w:rFonts w:ascii="Times New Roman" w:hAnsi="Times New Roman" w:cs="Times New Roman"/>
                <w:sz w:val="16"/>
                <w:szCs w:val="16"/>
                <w:lang w:val="en-GB"/>
              </w:rPr>
              <w:t xml:space="preserve"> </w:t>
            </w:r>
            <w:r w:rsidRPr="004F5BC1">
              <w:rPr>
                <w:rFonts w:ascii="Times New Roman" w:hAnsi="Times New Roman" w:cs="Times New Roman"/>
                <w:sz w:val="16"/>
                <w:szCs w:val="16"/>
                <w:lang w:val="en-GB"/>
              </w:rPr>
              <w:t>KfW,</w:t>
            </w:r>
          </w:p>
          <w:p w14:paraId="2F5F46D6"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EU</w:t>
            </w: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2D4A71"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Type of aid</w:t>
            </w:r>
          </w:p>
        </w:tc>
        <w:tc>
          <w:tcPr>
            <w:tcW w:w="6983" w:type="dxa"/>
            <w:tcBorders>
              <w:top w:val="single" w:sz="4" w:space="0" w:color="auto"/>
              <w:left w:val="single" w:sz="4" w:space="0" w:color="auto"/>
              <w:bottom w:val="single" w:sz="4" w:space="0" w:color="auto"/>
              <w:right w:val="single" w:sz="4" w:space="0" w:color="auto"/>
            </w:tcBorders>
            <w:vAlign w:val="center"/>
            <w:hideMark/>
          </w:tcPr>
          <w:p w14:paraId="658DD4EC" w14:textId="7EE3A999" w:rsidR="00614438" w:rsidRPr="004F5BC1" w:rsidRDefault="007A480D"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BOX</w:t>
            </w:r>
            <w:r w:rsidR="00614438" w:rsidRPr="004F5BC1">
              <w:rPr>
                <w:rFonts w:ascii="Times New Roman" w:hAnsi="Times New Roman" w:cs="Times New Roman"/>
                <w:sz w:val="16"/>
                <w:szCs w:val="16"/>
                <w:lang w:val="en-GB"/>
              </w:rPr>
              <w:t xml:space="preserve"> 2:</w:t>
            </w:r>
          </w:p>
          <w:p w14:paraId="0D2E55F4"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IFI/Donor programmes in the region of the Western Balkans (ECS Donor Coordination Platform)</w:t>
            </w:r>
          </w:p>
          <w:p w14:paraId="45A41A8D"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It is a regional programme blending IFI financing from the EBRD and KfW with EU grant financing to support an integrated package of targeted policy dialogue (transposition of the EU Energy Performance of Buildings directive), technical assistance, and financing with the aim to Stimulate sustainable growth</w:t>
            </w:r>
          </w:p>
        </w:tc>
      </w:tr>
      <w:tr w:rsidR="00614438" w:rsidRPr="004F5BC1" w14:paraId="59A57FF8"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B684D8"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E133899"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Amount</w:t>
            </w:r>
          </w:p>
        </w:tc>
        <w:tc>
          <w:tcPr>
            <w:tcW w:w="6983" w:type="dxa"/>
            <w:tcBorders>
              <w:top w:val="single" w:sz="4" w:space="0" w:color="auto"/>
              <w:left w:val="single" w:sz="4" w:space="0" w:color="auto"/>
              <w:bottom w:val="single" w:sz="4" w:space="0" w:color="auto"/>
              <w:right w:val="single" w:sz="4" w:space="0" w:color="auto"/>
            </w:tcBorders>
            <w:vAlign w:val="center"/>
            <w:hideMark/>
          </w:tcPr>
          <w:p w14:paraId="626F0F29" w14:textId="4704B3B4" w:rsidR="00614438" w:rsidRPr="004F5BC1" w:rsidRDefault="00614438" w:rsidP="007A480D">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 xml:space="preserve">45 million </w:t>
            </w:r>
            <w:r w:rsidR="007A480D" w:rsidRPr="004F5BC1">
              <w:rPr>
                <w:rFonts w:ascii="Times New Roman" w:hAnsi="Times New Roman" w:cs="Times New Roman"/>
                <w:sz w:val="16"/>
                <w:szCs w:val="16"/>
                <w:lang w:val="en-GB"/>
              </w:rPr>
              <w:t xml:space="preserve">EUR </w:t>
            </w:r>
            <w:r w:rsidRPr="004F5BC1">
              <w:rPr>
                <w:rFonts w:ascii="Times New Roman" w:hAnsi="Times New Roman" w:cs="Times New Roman"/>
                <w:sz w:val="16"/>
                <w:szCs w:val="16"/>
                <w:lang w:val="en-GB"/>
              </w:rPr>
              <w:t xml:space="preserve">EBRD with EUR 6.7 million of EU grant co-financing; up to 85 million </w:t>
            </w:r>
            <w:r w:rsidR="007A480D" w:rsidRPr="004F5BC1">
              <w:rPr>
                <w:rFonts w:ascii="Times New Roman" w:hAnsi="Times New Roman" w:cs="Times New Roman"/>
                <w:sz w:val="16"/>
                <w:szCs w:val="16"/>
                <w:lang w:val="en-GB"/>
              </w:rPr>
              <w:t xml:space="preserve">EUR </w:t>
            </w:r>
            <w:r w:rsidRPr="004F5BC1">
              <w:rPr>
                <w:rFonts w:ascii="Times New Roman" w:hAnsi="Times New Roman" w:cs="Times New Roman"/>
                <w:sz w:val="16"/>
                <w:szCs w:val="16"/>
                <w:lang w:val="en-GB"/>
              </w:rPr>
              <w:t xml:space="preserve">KfW financing and 15.6 million </w:t>
            </w:r>
            <w:r w:rsidR="007A480D" w:rsidRPr="004F5BC1">
              <w:rPr>
                <w:rFonts w:ascii="Times New Roman" w:hAnsi="Times New Roman" w:cs="Times New Roman"/>
                <w:sz w:val="16"/>
                <w:szCs w:val="16"/>
                <w:lang w:val="en-GB"/>
              </w:rPr>
              <w:t xml:space="preserve">EUR </w:t>
            </w:r>
            <w:r w:rsidRPr="004F5BC1">
              <w:rPr>
                <w:rFonts w:ascii="Times New Roman" w:hAnsi="Times New Roman" w:cs="Times New Roman"/>
                <w:sz w:val="16"/>
                <w:szCs w:val="16"/>
                <w:lang w:val="en-GB"/>
              </w:rPr>
              <w:t>of EU grants</w:t>
            </w:r>
          </w:p>
        </w:tc>
      </w:tr>
      <w:tr w:rsidR="00614438" w:rsidRPr="004F5BC1" w14:paraId="0208A54C"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2B3266"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D393CB6"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Purpose</w:t>
            </w:r>
          </w:p>
        </w:tc>
        <w:tc>
          <w:tcPr>
            <w:tcW w:w="6983" w:type="dxa"/>
            <w:tcBorders>
              <w:top w:val="single" w:sz="4" w:space="0" w:color="auto"/>
              <w:left w:val="single" w:sz="4" w:space="0" w:color="auto"/>
              <w:bottom w:val="single" w:sz="4" w:space="0" w:color="auto"/>
              <w:right w:val="single" w:sz="4" w:space="0" w:color="auto"/>
            </w:tcBorders>
            <w:vAlign w:val="center"/>
            <w:hideMark/>
          </w:tcPr>
          <w:p w14:paraId="57DADACC"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Public Finance Window finances EE renovations of public buildings owned by municipalities or governments (schools, hospitals, central and local administration offices). This window comprises of: up to EUR 45 million EBRD financing</w:t>
            </w:r>
          </w:p>
        </w:tc>
      </w:tr>
      <w:tr w:rsidR="00614438" w:rsidRPr="004F5BC1" w14:paraId="4DCEF18B"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0B9F847"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7680F5"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Duration</w:t>
            </w:r>
          </w:p>
        </w:tc>
        <w:tc>
          <w:tcPr>
            <w:tcW w:w="6983" w:type="dxa"/>
            <w:tcBorders>
              <w:top w:val="single" w:sz="4" w:space="0" w:color="auto"/>
              <w:left w:val="single" w:sz="4" w:space="0" w:color="auto"/>
              <w:bottom w:val="single" w:sz="4" w:space="0" w:color="auto"/>
              <w:right w:val="single" w:sz="4" w:space="0" w:color="auto"/>
            </w:tcBorders>
            <w:vAlign w:val="center"/>
            <w:hideMark/>
          </w:tcPr>
          <w:p w14:paraId="723DF438"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n.a.</w:t>
            </w:r>
          </w:p>
        </w:tc>
      </w:tr>
      <w:tr w:rsidR="00614438" w:rsidRPr="004F5BC1" w14:paraId="62D62E92" w14:textId="77777777" w:rsidTr="00614438">
        <w:trPr>
          <w:trHeight w:val="353"/>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17153C3D"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EIB</w:t>
            </w: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B4A25D"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Type of aid</w:t>
            </w:r>
          </w:p>
        </w:tc>
        <w:tc>
          <w:tcPr>
            <w:tcW w:w="6983" w:type="dxa"/>
            <w:tcBorders>
              <w:top w:val="single" w:sz="4" w:space="0" w:color="auto"/>
              <w:left w:val="single" w:sz="4" w:space="0" w:color="auto"/>
              <w:bottom w:val="single" w:sz="4" w:space="0" w:color="auto"/>
              <w:right w:val="single" w:sz="4" w:space="0" w:color="auto"/>
            </w:tcBorders>
            <w:vAlign w:val="center"/>
            <w:hideMark/>
          </w:tcPr>
          <w:p w14:paraId="40C59816"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BOX 2:</w:t>
            </w:r>
          </w:p>
          <w:p w14:paraId="776856B6"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IFI/Donor programmes in the region of the Western Balkans (ECS Donor Coordination Platform)</w:t>
            </w:r>
          </w:p>
          <w:p w14:paraId="78D37255"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It is a regional programme blending IFI financing from the EBRD and KfW with EU grant financing to support an integrated package of targeted policy dialogue (transposition of the EU Energy Performance of Buildings directive), technical assistance, and financing with the aim to Stimulate sustainable growth</w:t>
            </w:r>
          </w:p>
        </w:tc>
      </w:tr>
      <w:tr w:rsidR="00614438" w:rsidRPr="004F5BC1" w14:paraId="7A241AF1"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DC59571"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02FA4D"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Amount</w:t>
            </w:r>
          </w:p>
        </w:tc>
        <w:tc>
          <w:tcPr>
            <w:tcW w:w="6983" w:type="dxa"/>
            <w:tcBorders>
              <w:top w:val="single" w:sz="4" w:space="0" w:color="auto"/>
              <w:left w:val="single" w:sz="4" w:space="0" w:color="auto"/>
              <w:bottom w:val="single" w:sz="4" w:space="0" w:color="auto"/>
              <w:right w:val="single" w:sz="4" w:space="0" w:color="auto"/>
            </w:tcBorders>
            <w:hideMark/>
          </w:tcPr>
          <w:p w14:paraId="7D49252D"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EUR 135 million EBRD credit line supported by technical assistance and incentives and provided through local financial institutions, EUR 35,1 million grants from donors</w:t>
            </w:r>
          </w:p>
        </w:tc>
      </w:tr>
      <w:tr w:rsidR="00614438" w:rsidRPr="004F5BC1" w14:paraId="269FEB3B"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62A8975"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E83BB9"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Purpose</w:t>
            </w:r>
          </w:p>
        </w:tc>
        <w:tc>
          <w:tcPr>
            <w:tcW w:w="6983" w:type="dxa"/>
            <w:tcBorders>
              <w:top w:val="single" w:sz="4" w:space="0" w:color="auto"/>
              <w:left w:val="single" w:sz="4" w:space="0" w:color="auto"/>
              <w:bottom w:val="single" w:sz="4" w:space="0" w:color="auto"/>
              <w:right w:val="single" w:sz="4" w:space="0" w:color="auto"/>
            </w:tcBorders>
            <w:vAlign w:val="center"/>
            <w:hideMark/>
          </w:tcPr>
          <w:p w14:paraId="40480977"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Western Balkans Green Economy Financing Facility (WBGEFF I and II) promotes EE renovations in the residential sector and the construction of new high performing buildings</w:t>
            </w:r>
          </w:p>
        </w:tc>
      </w:tr>
      <w:tr w:rsidR="00614438" w:rsidRPr="004F5BC1" w14:paraId="313A89DA"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00FF778"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95A9E8"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Duration</w:t>
            </w:r>
          </w:p>
        </w:tc>
        <w:tc>
          <w:tcPr>
            <w:tcW w:w="6983" w:type="dxa"/>
            <w:tcBorders>
              <w:top w:val="single" w:sz="4" w:space="0" w:color="auto"/>
              <w:left w:val="single" w:sz="4" w:space="0" w:color="auto"/>
              <w:bottom w:val="single" w:sz="4" w:space="0" w:color="auto"/>
              <w:right w:val="single" w:sz="4" w:space="0" w:color="auto"/>
            </w:tcBorders>
            <w:vAlign w:val="center"/>
            <w:hideMark/>
          </w:tcPr>
          <w:p w14:paraId="0BA41807"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2021-2027</w:t>
            </w:r>
          </w:p>
        </w:tc>
      </w:tr>
      <w:tr w:rsidR="00614438" w:rsidRPr="004F5BC1" w14:paraId="7C028799" w14:textId="77777777" w:rsidTr="00614438">
        <w:trPr>
          <w:trHeight w:val="353"/>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2DC74AB6"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EIB,EC</w:t>
            </w: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89EBC7"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Type of aid</w:t>
            </w:r>
          </w:p>
        </w:tc>
        <w:tc>
          <w:tcPr>
            <w:tcW w:w="6983" w:type="dxa"/>
            <w:tcBorders>
              <w:top w:val="single" w:sz="4" w:space="0" w:color="auto"/>
              <w:left w:val="single" w:sz="4" w:space="0" w:color="auto"/>
              <w:bottom w:val="single" w:sz="4" w:space="0" w:color="auto"/>
              <w:right w:val="single" w:sz="4" w:space="0" w:color="auto"/>
            </w:tcBorders>
            <w:vAlign w:val="center"/>
            <w:hideMark/>
          </w:tcPr>
          <w:p w14:paraId="33270BF5"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n.a.</w:t>
            </w:r>
          </w:p>
        </w:tc>
      </w:tr>
      <w:tr w:rsidR="00614438" w:rsidRPr="004F5BC1" w14:paraId="342F1B74"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18F15F"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F0757F"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Amount</w:t>
            </w:r>
          </w:p>
        </w:tc>
        <w:tc>
          <w:tcPr>
            <w:tcW w:w="6983" w:type="dxa"/>
            <w:tcBorders>
              <w:top w:val="single" w:sz="4" w:space="0" w:color="auto"/>
              <w:left w:val="single" w:sz="4" w:space="0" w:color="auto"/>
              <w:bottom w:val="single" w:sz="4" w:space="0" w:color="auto"/>
              <w:right w:val="single" w:sz="4" w:space="0" w:color="auto"/>
            </w:tcBorders>
            <w:vAlign w:val="center"/>
            <w:hideMark/>
          </w:tcPr>
          <w:p w14:paraId="06D85485"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EUR 80 million</w:t>
            </w:r>
          </w:p>
        </w:tc>
      </w:tr>
      <w:tr w:rsidR="00614438" w:rsidRPr="004F5BC1" w14:paraId="4732BD82"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E3D0045"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5400359"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Purpose</w:t>
            </w:r>
          </w:p>
        </w:tc>
        <w:tc>
          <w:tcPr>
            <w:tcW w:w="6983" w:type="dxa"/>
            <w:tcBorders>
              <w:top w:val="single" w:sz="4" w:space="0" w:color="auto"/>
              <w:left w:val="single" w:sz="4" w:space="0" w:color="auto"/>
              <w:bottom w:val="single" w:sz="4" w:space="0" w:color="auto"/>
              <w:right w:val="single" w:sz="4" w:space="0" w:color="auto"/>
            </w:tcBorders>
            <w:vAlign w:val="center"/>
            <w:hideMark/>
          </w:tcPr>
          <w:p w14:paraId="13CD5496" w14:textId="54A97EBF"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The Private Financing for Energy Efficiency (PF4EE) is a joint initiative between the EIB and the European Commission. Through the LIFE Programme</w:t>
            </w:r>
            <w:r w:rsidR="007A480D" w:rsidRPr="004F5BC1">
              <w:rPr>
                <w:rFonts w:ascii="Times New Roman" w:hAnsi="Times New Roman" w:cs="Times New Roman"/>
                <w:sz w:val="16"/>
                <w:szCs w:val="16"/>
                <w:lang w:val="en-GB"/>
              </w:rPr>
              <w:t>,</w:t>
            </w:r>
            <w:r w:rsidRPr="004F5BC1">
              <w:rPr>
                <w:rFonts w:ascii="Times New Roman" w:hAnsi="Times New Roman" w:cs="Times New Roman"/>
                <w:sz w:val="16"/>
                <w:szCs w:val="16"/>
                <w:lang w:val="en-GB"/>
              </w:rPr>
              <w:t xml:space="preserve"> the instrument’s credit risk protection and expert support services will be funded. The EIB leverages this amount, making a minimum of EUR 480 million available in long-term financing</w:t>
            </w:r>
          </w:p>
        </w:tc>
      </w:tr>
      <w:tr w:rsidR="00614438" w:rsidRPr="004F5BC1" w14:paraId="1E13FC7F"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09CF4DB"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06A13C2"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Duration</w:t>
            </w:r>
          </w:p>
        </w:tc>
        <w:tc>
          <w:tcPr>
            <w:tcW w:w="6983" w:type="dxa"/>
            <w:tcBorders>
              <w:top w:val="single" w:sz="4" w:space="0" w:color="auto"/>
              <w:left w:val="single" w:sz="4" w:space="0" w:color="auto"/>
              <w:bottom w:val="single" w:sz="4" w:space="0" w:color="auto"/>
              <w:right w:val="single" w:sz="4" w:space="0" w:color="auto"/>
            </w:tcBorders>
            <w:vAlign w:val="center"/>
            <w:hideMark/>
          </w:tcPr>
          <w:p w14:paraId="2084B4AC"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2021-2027</w:t>
            </w:r>
          </w:p>
        </w:tc>
      </w:tr>
      <w:tr w:rsidR="00614438" w:rsidRPr="004F5BC1" w14:paraId="03A5A136" w14:textId="77777777" w:rsidTr="00614438">
        <w:trPr>
          <w:trHeight w:val="353"/>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7FCA5356"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EC,EEFIG</w:t>
            </w: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EBFF79"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Type of aid</w:t>
            </w:r>
          </w:p>
        </w:tc>
        <w:tc>
          <w:tcPr>
            <w:tcW w:w="6983" w:type="dxa"/>
            <w:tcBorders>
              <w:top w:val="single" w:sz="4" w:space="0" w:color="auto"/>
              <w:left w:val="single" w:sz="4" w:space="0" w:color="auto"/>
              <w:bottom w:val="single" w:sz="4" w:space="0" w:color="auto"/>
              <w:right w:val="single" w:sz="4" w:space="0" w:color="auto"/>
            </w:tcBorders>
            <w:vAlign w:val="center"/>
            <w:hideMark/>
          </w:tcPr>
          <w:p w14:paraId="6BB46C24"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n.a.</w:t>
            </w:r>
          </w:p>
        </w:tc>
      </w:tr>
      <w:tr w:rsidR="00614438" w:rsidRPr="004F5BC1" w14:paraId="4B68BB84"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426391C"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969AC41"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Amount</w:t>
            </w:r>
          </w:p>
        </w:tc>
        <w:tc>
          <w:tcPr>
            <w:tcW w:w="6983" w:type="dxa"/>
            <w:tcBorders>
              <w:top w:val="single" w:sz="4" w:space="0" w:color="auto"/>
              <w:left w:val="single" w:sz="4" w:space="0" w:color="auto"/>
              <w:bottom w:val="single" w:sz="4" w:space="0" w:color="auto"/>
              <w:right w:val="single" w:sz="4" w:space="0" w:color="auto"/>
            </w:tcBorders>
            <w:vAlign w:val="center"/>
            <w:hideMark/>
          </w:tcPr>
          <w:p w14:paraId="027E30BE" w14:textId="77777777" w:rsidR="007A480D" w:rsidRPr="004F5BC1" w:rsidRDefault="007A480D"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Horizon EU</w:t>
            </w:r>
          </w:p>
          <w:p w14:paraId="76022595" w14:textId="7F587108" w:rsidR="00614438" w:rsidRPr="004F5BC1" w:rsidRDefault="00D74C60" w:rsidP="00D74C60">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A research and innovation program worth a total of 95.5 billion euros</w:t>
            </w:r>
          </w:p>
        </w:tc>
      </w:tr>
      <w:tr w:rsidR="00614438" w:rsidRPr="004F5BC1" w14:paraId="46B6D3F4"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EE907F" w14:textId="3E209A2E"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2A0DEF"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Purpose</w:t>
            </w:r>
          </w:p>
        </w:tc>
        <w:tc>
          <w:tcPr>
            <w:tcW w:w="6983" w:type="dxa"/>
            <w:tcBorders>
              <w:top w:val="single" w:sz="4" w:space="0" w:color="auto"/>
              <w:left w:val="single" w:sz="4" w:space="0" w:color="auto"/>
              <w:bottom w:val="single" w:sz="4" w:space="0" w:color="auto"/>
              <w:right w:val="single" w:sz="4" w:space="0" w:color="auto"/>
            </w:tcBorders>
            <w:vAlign w:val="center"/>
            <w:hideMark/>
          </w:tcPr>
          <w:p w14:paraId="1A6573B3" w14:textId="06F5FBE8"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 xml:space="preserve">Through EU Horizon 2020, the Commission has setup a series of facilities funding Project Development Assistance (PDA) to support public authorities </w:t>
            </w:r>
            <w:r w:rsidR="00D74C60" w:rsidRPr="004F5BC1">
              <w:rPr>
                <w:rFonts w:ascii="Times New Roman" w:hAnsi="Times New Roman" w:cs="Times New Roman"/>
                <w:sz w:val="16"/>
                <w:szCs w:val="16"/>
                <w:lang w:val="en-GB"/>
              </w:rPr>
              <w:t>–</w:t>
            </w:r>
            <w:r w:rsidRPr="004F5BC1">
              <w:rPr>
                <w:rFonts w:ascii="Times New Roman" w:hAnsi="Times New Roman" w:cs="Times New Roman"/>
                <w:sz w:val="16"/>
                <w:szCs w:val="16"/>
                <w:lang w:val="en-GB"/>
              </w:rPr>
              <w:t xml:space="preserve"> regions, cities, municipalities and public bodies in developing bankable sustainable energy projects.</w:t>
            </w:r>
          </w:p>
          <w:p w14:paraId="411466C1"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The Commission, in collaboration with the Energy Efficiency Financial Institutions Group (EEFIG), has developed products that aim to inform financial institutions, investors and project promoters about the real benefits and risks of energy efficiency investments</w:t>
            </w:r>
          </w:p>
        </w:tc>
      </w:tr>
      <w:tr w:rsidR="00614438" w:rsidRPr="004F5BC1" w14:paraId="436164C6"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EEE094F"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E81B74"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Duration</w:t>
            </w:r>
          </w:p>
        </w:tc>
        <w:tc>
          <w:tcPr>
            <w:tcW w:w="6983" w:type="dxa"/>
            <w:tcBorders>
              <w:top w:val="single" w:sz="4" w:space="0" w:color="auto"/>
              <w:left w:val="single" w:sz="4" w:space="0" w:color="auto"/>
              <w:bottom w:val="single" w:sz="4" w:space="0" w:color="auto"/>
              <w:right w:val="single" w:sz="4" w:space="0" w:color="auto"/>
            </w:tcBorders>
            <w:vAlign w:val="center"/>
            <w:hideMark/>
          </w:tcPr>
          <w:p w14:paraId="2F71FF71"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2021-2027</w:t>
            </w:r>
          </w:p>
        </w:tc>
      </w:tr>
      <w:tr w:rsidR="00614438" w:rsidRPr="004F5BC1" w14:paraId="2E1633C9" w14:textId="77777777" w:rsidTr="00614438">
        <w:trPr>
          <w:trHeight w:val="353"/>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0A63C7CA"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EC,EEFIG</w:t>
            </w: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F44B47"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Type of aid</w:t>
            </w:r>
          </w:p>
        </w:tc>
        <w:tc>
          <w:tcPr>
            <w:tcW w:w="6983" w:type="dxa"/>
            <w:tcBorders>
              <w:top w:val="single" w:sz="4" w:space="0" w:color="auto"/>
              <w:left w:val="single" w:sz="4" w:space="0" w:color="auto"/>
              <w:bottom w:val="single" w:sz="4" w:space="0" w:color="auto"/>
              <w:right w:val="single" w:sz="4" w:space="0" w:color="auto"/>
            </w:tcBorders>
            <w:vAlign w:val="center"/>
            <w:hideMark/>
          </w:tcPr>
          <w:p w14:paraId="26F8B3CB"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n.a.</w:t>
            </w:r>
          </w:p>
        </w:tc>
      </w:tr>
      <w:tr w:rsidR="00614438" w:rsidRPr="004F5BC1" w14:paraId="1522B819"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CD72F9"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C082D6"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Amount</w:t>
            </w:r>
          </w:p>
        </w:tc>
        <w:tc>
          <w:tcPr>
            <w:tcW w:w="6983" w:type="dxa"/>
            <w:tcBorders>
              <w:top w:val="single" w:sz="4" w:space="0" w:color="auto"/>
              <w:left w:val="single" w:sz="4" w:space="0" w:color="auto"/>
              <w:bottom w:val="single" w:sz="4" w:space="0" w:color="auto"/>
              <w:right w:val="single" w:sz="4" w:space="0" w:color="auto"/>
            </w:tcBorders>
            <w:vAlign w:val="center"/>
            <w:hideMark/>
          </w:tcPr>
          <w:p w14:paraId="0C68376B"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n.a.</w:t>
            </w:r>
          </w:p>
        </w:tc>
      </w:tr>
      <w:tr w:rsidR="00614438" w:rsidRPr="004F5BC1" w14:paraId="0B5C16EC"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FFD61B5"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69A59A8"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Purpose</w:t>
            </w:r>
          </w:p>
        </w:tc>
        <w:tc>
          <w:tcPr>
            <w:tcW w:w="6983" w:type="dxa"/>
            <w:tcBorders>
              <w:top w:val="single" w:sz="4" w:space="0" w:color="auto"/>
              <w:left w:val="single" w:sz="4" w:space="0" w:color="auto"/>
              <w:bottom w:val="single" w:sz="4" w:space="0" w:color="auto"/>
              <w:right w:val="single" w:sz="4" w:space="0" w:color="auto"/>
            </w:tcBorders>
            <w:vAlign w:val="center"/>
            <w:hideMark/>
          </w:tcPr>
          <w:p w14:paraId="4A6E7A71" w14:textId="721495EB" w:rsidR="00614438" w:rsidRPr="004F5BC1" w:rsidRDefault="00614438" w:rsidP="00D74C60">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 xml:space="preserve">The De-risking Energy Efficiency Platform (DEEP) is a pan-EU open-source database containing detailed information and analysis of over 10,000 industrial and buildings-related EE projects. </w:t>
            </w:r>
            <w:r w:rsidR="00D74C60" w:rsidRPr="004F5BC1">
              <w:rPr>
                <w:rFonts w:ascii="Times New Roman" w:hAnsi="Times New Roman" w:cs="Times New Roman"/>
                <w:sz w:val="16"/>
                <w:szCs w:val="16"/>
                <w:lang w:val="en-GB"/>
              </w:rPr>
              <w:t>The platform serves to track records and helps project managers, financiers and investors to better assess the risks and benefits of investing in energy efficiency.</w:t>
            </w:r>
          </w:p>
        </w:tc>
      </w:tr>
      <w:tr w:rsidR="00614438" w:rsidRPr="004F5BC1" w14:paraId="448B685B" w14:textId="77777777" w:rsidTr="00614438">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6E8155A" w14:textId="77777777" w:rsidR="00614438" w:rsidRPr="004F5BC1" w:rsidRDefault="00614438" w:rsidP="00614438">
            <w:pPr>
              <w:jc w:val="both"/>
              <w:rPr>
                <w:rFonts w:ascii="Times New Roman" w:hAnsi="Times New Roman" w:cs="Times New Roman"/>
                <w:sz w:val="16"/>
                <w:szCs w:val="16"/>
                <w:lang w:val="en-GB"/>
              </w:rPr>
            </w:pP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8811AF"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Duration</w:t>
            </w:r>
          </w:p>
        </w:tc>
        <w:tc>
          <w:tcPr>
            <w:tcW w:w="6983" w:type="dxa"/>
            <w:tcBorders>
              <w:top w:val="single" w:sz="4" w:space="0" w:color="auto"/>
              <w:left w:val="single" w:sz="4" w:space="0" w:color="auto"/>
              <w:bottom w:val="single" w:sz="4" w:space="0" w:color="auto"/>
              <w:right w:val="single" w:sz="4" w:space="0" w:color="auto"/>
            </w:tcBorders>
            <w:vAlign w:val="center"/>
            <w:hideMark/>
          </w:tcPr>
          <w:p w14:paraId="2F1B474F" w14:textId="77777777" w:rsidR="00614438" w:rsidRPr="004F5BC1" w:rsidRDefault="00614438" w:rsidP="00614438">
            <w:pPr>
              <w:jc w:val="both"/>
              <w:rPr>
                <w:rFonts w:ascii="Times New Roman" w:hAnsi="Times New Roman" w:cs="Times New Roman"/>
                <w:sz w:val="16"/>
                <w:szCs w:val="16"/>
                <w:lang w:val="en-GB"/>
              </w:rPr>
            </w:pPr>
            <w:r w:rsidRPr="004F5BC1">
              <w:rPr>
                <w:rFonts w:ascii="Times New Roman" w:hAnsi="Times New Roman" w:cs="Times New Roman"/>
                <w:sz w:val="16"/>
                <w:szCs w:val="16"/>
                <w:lang w:val="en-GB"/>
              </w:rPr>
              <w:t>n.a.</w:t>
            </w:r>
          </w:p>
        </w:tc>
      </w:tr>
    </w:tbl>
    <w:p w14:paraId="1AC8508F" w14:textId="77777777" w:rsidR="00D74C60" w:rsidRDefault="00D74C60" w:rsidP="00614438">
      <w:pPr>
        <w:jc w:val="both"/>
        <w:rPr>
          <w:rFonts w:ascii="Times New Roman" w:hAnsi="Times New Roman" w:cs="Times New Roman"/>
          <w:sz w:val="24"/>
          <w:szCs w:val="24"/>
          <w:lang w:val="en-GB"/>
        </w:rPr>
      </w:pPr>
    </w:p>
    <w:p w14:paraId="332F4FEA" w14:textId="3AD86732" w:rsidR="00614438" w:rsidRPr="00614438" w:rsidRDefault="00F45704" w:rsidP="00D74C60">
      <w:pPr>
        <w:ind w:firstLine="360"/>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A</w:t>
      </w:r>
      <w:r w:rsidR="00614438" w:rsidRPr="00614438">
        <w:rPr>
          <w:rFonts w:ascii="Times New Roman" w:hAnsi="Times New Roman" w:cs="Times New Roman"/>
          <w:sz w:val="24"/>
          <w:szCs w:val="24"/>
          <w:lang w:val="en-GB"/>
        </w:rPr>
        <w:t xml:space="preserve"> a draft Just Transition Action Plan should be finalised and adopted by the Government of RS during 2024. As regards to its development, the following principles are used to drive decisions under the assessment for infrastructures and interventions needed:</w:t>
      </w:r>
    </w:p>
    <w:p w14:paraId="39198A37" w14:textId="1B56D9EC" w:rsidR="00614438" w:rsidRPr="00614438" w:rsidRDefault="00614438" w:rsidP="00485CA7">
      <w:pPr>
        <w:numPr>
          <w:ilvl w:val="0"/>
          <w:numId w:val="247"/>
        </w:numPr>
        <w:jc w:val="both"/>
        <w:rPr>
          <w:rFonts w:ascii="Times New Roman" w:hAnsi="Times New Roman" w:cs="Times New Roman"/>
          <w:sz w:val="24"/>
          <w:szCs w:val="24"/>
        </w:rPr>
      </w:pPr>
      <w:r w:rsidRPr="00614438">
        <w:rPr>
          <w:rFonts w:ascii="Times New Roman" w:hAnsi="Times New Roman" w:cs="Times New Roman"/>
          <w:sz w:val="24"/>
          <w:szCs w:val="24"/>
        </w:rPr>
        <w:t>Public infrastructure investment decisions will be aligned with the policies and strategies set by the government such as INECP, especially the time milestones</w:t>
      </w:r>
      <w:r w:rsidR="00F45704" w:rsidRPr="00F45704">
        <w:rPr>
          <w:rFonts w:ascii="Times New Roman" w:hAnsi="Times New Roman" w:cs="Times New Roman"/>
          <w:sz w:val="24"/>
          <w:szCs w:val="24"/>
        </w:rPr>
        <w:t xml:space="preserve"> </w:t>
      </w:r>
      <w:r w:rsidR="00F45704">
        <w:rPr>
          <w:rFonts w:ascii="Times New Roman" w:hAnsi="Times New Roman" w:cs="Times New Roman"/>
          <w:sz w:val="24"/>
          <w:szCs w:val="24"/>
        </w:rPr>
        <w:t xml:space="preserve">of </w:t>
      </w:r>
      <w:r w:rsidR="00F45704" w:rsidRPr="00614438">
        <w:rPr>
          <w:rFonts w:ascii="Times New Roman" w:hAnsi="Times New Roman" w:cs="Times New Roman"/>
          <w:sz w:val="24"/>
          <w:szCs w:val="24"/>
        </w:rPr>
        <w:t>major</w:t>
      </w:r>
      <w:r w:rsidR="00F45704">
        <w:rPr>
          <w:rFonts w:ascii="Times New Roman" w:hAnsi="Times New Roman" w:cs="Times New Roman"/>
          <w:sz w:val="24"/>
          <w:szCs w:val="24"/>
        </w:rPr>
        <w:t xml:space="preserve"> events</w:t>
      </w:r>
    </w:p>
    <w:p w14:paraId="23D84164" w14:textId="3231C9AD" w:rsidR="00614438" w:rsidRPr="00614438" w:rsidRDefault="00614438" w:rsidP="00485CA7">
      <w:pPr>
        <w:numPr>
          <w:ilvl w:val="0"/>
          <w:numId w:val="247"/>
        </w:numPr>
        <w:jc w:val="both"/>
        <w:rPr>
          <w:rFonts w:ascii="Times New Roman" w:hAnsi="Times New Roman" w:cs="Times New Roman"/>
          <w:sz w:val="24"/>
          <w:szCs w:val="24"/>
        </w:rPr>
      </w:pPr>
      <w:r w:rsidRPr="00614438">
        <w:rPr>
          <w:rFonts w:ascii="Times New Roman" w:hAnsi="Times New Roman" w:cs="Times New Roman"/>
          <w:sz w:val="24"/>
          <w:szCs w:val="24"/>
        </w:rPr>
        <w:t xml:space="preserve">Only some economic inclusion problems can be effectively addressed by infrastructure, </w:t>
      </w:r>
      <w:r w:rsidR="00F45704">
        <w:rPr>
          <w:rFonts w:ascii="Times New Roman" w:hAnsi="Times New Roman" w:cs="Times New Roman"/>
          <w:sz w:val="24"/>
          <w:szCs w:val="24"/>
        </w:rPr>
        <w:t>and</w:t>
      </w:r>
      <w:r w:rsidRPr="00614438">
        <w:rPr>
          <w:rFonts w:ascii="Times New Roman" w:hAnsi="Times New Roman" w:cs="Times New Roman"/>
          <w:sz w:val="24"/>
          <w:szCs w:val="24"/>
        </w:rPr>
        <w:t xml:space="preserve"> targeted intangible interventions are being considered, although further reforms are being explored.</w:t>
      </w:r>
    </w:p>
    <w:p w14:paraId="3A5151E6" w14:textId="77777777" w:rsidR="00614438" w:rsidRPr="00614438" w:rsidRDefault="00614438" w:rsidP="00485CA7">
      <w:pPr>
        <w:numPr>
          <w:ilvl w:val="0"/>
          <w:numId w:val="247"/>
        </w:numPr>
        <w:jc w:val="both"/>
        <w:rPr>
          <w:rFonts w:ascii="Times New Roman" w:hAnsi="Times New Roman" w:cs="Times New Roman"/>
          <w:sz w:val="24"/>
          <w:szCs w:val="24"/>
        </w:rPr>
      </w:pPr>
      <w:r w:rsidRPr="00614438">
        <w:rPr>
          <w:rFonts w:ascii="Times New Roman" w:hAnsi="Times New Roman" w:cs="Times New Roman"/>
          <w:sz w:val="24"/>
          <w:szCs w:val="24"/>
        </w:rPr>
        <w:t>Fit-for-purpose, accessibility and affordability are key variables in the assessment process for the selection of the actions.</w:t>
      </w:r>
    </w:p>
    <w:p w14:paraId="5CBFC3B6" w14:textId="77777777" w:rsidR="00614438" w:rsidRPr="00614438" w:rsidRDefault="00614438" w:rsidP="00485CA7">
      <w:pPr>
        <w:numPr>
          <w:ilvl w:val="0"/>
          <w:numId w:val="247"/>
        </w:numPr>
        <w:jc w:val="both"/>
        <w:rPr>
          <w:rFonts w:ascii="Times New Roman" w:hAnsi="Times New Roman" w:cs="Times New Roman"/>
          <w:sz w:val="24"/>
          <w:szCs w:val="24"/>
        </w:rPr>
      </w:pPr>
      <w:r w:rsidRPr="00614438">
        <w:rPr>
          <w:rFonts w:ascii="Times New Roman" w:hAnsi="Times New Roman" w:cs="Times New Roman"/>
          <w:sz w:val="24"/>
          <w:szCs w:val="24"/>
        </w:rPr>
        <w:t>Individuals, enterprises and the community must have the capacity, capability and willingness to access/support the infrastructures and any interventions.</w:t>
      </w:r>
    </w:p>
    <w:p w14:paraId="43C4112E" w14:textId="77777777" w:rsidR="00614438" w:rsidRPr="00614438" w:rsidRDefault="00614438" w:rsidP="00485CA7">
      <w:pPr>
        <w:numPr>
          <w:ilvl w:val="0"/>
          <w:numId w:val="247"/>
        </w:numPr>
        <w:jc w:val="both"/>
        <w:rPr>
          <w:rFonts w:ascii="Times New Roman" w:hAnsi="Times New Roman" w:cs="Times New Roman"/>
          <w:sz w:val="24"/>
          <w:szCs w:val="24"/>
        </w:rPr>
      </w:pPr>
      <w:r w:rsidRPr="00614438">
        <w:rPr>
          <w:rFonts w:ascii="Times New Roman" w:hAnsi="Times New Roman" w:cs="Times New Roman"/>
          <w:sz w:val="24"/>
          <w:szCs w:val="24"/>
        </w:rPr>
        <w:t>Flexibility to meet the complex and changing nature of the impacts due to transition over the time schedule.</w:t>
      </w:r>
    </w:p>
    <w:p w14:paraId="53D3F969" w14:textId="7BB6D58B" w:rsidR="00614438" w:rsidRPr="00614438" w:rsidRDefault="00614438" w:rsidP="00485CA7">
      <w:pPr>
        <w:numPr>
          <w:ilvl w:val="0"/>
          <w:numId w:val="247"/>
        </w:numPr>
        <w:jc w:val="both"/>
        <w:rPr>
          <w:rFonts w:ascii="Times New Roman" w:hAnsi="Times New Roman" w:cs="Times New Roman"/>
          <w:sz w:val="24"/>
          <w:szCs w:val="24"/>
        </w:rPr>
      </w:pPr>
      <w:r w:rsidRPr="00614438">
        <w:rPr>
          <w:rFonts w:ascii="Times New Roman" w:hAnsi="Times New Roman" w:cs="Times New Roman"/>
          <w:sz w:val="24"/>
          <w:szCs w:val="24"/>
        </w:rPr>
        <w:t>Infrastructure investments should leverage the comparative advantages of enterprises operating in the territor</w:t>
      </w:r>
      <w:r w:rsidR="00F45704">
        <w:rPr>
          <w:rFonts w:ascii="Times New Roman" w:hAnsi="Times New Roman" w:cs="Times New Roman"/>
          <w:sz w:val="24"/>
          <w:szCs w:val="24"/>
        </w:rPr>
        <w:t>y</w:t>
      </w:r>
      <w:r w:rsidRPr="00614438">
        <w:rPr>
          <w:rFonts w:ascii="Times New Roman" w:hAnsi="Times New Roman" w:cs="Times New Roman"/>
          <w:sz w:val="24"/>
          <w:szCs w:val="24"/>
        </w:rPr>
        <w:t xml:space="preserve"> and support those </w:t>
      </w:r>
      <w:r w:rsidR="00F45704">
        <w:rPr>
          <w:rFonts w:ascii="Times New Roman" w:hAnsi="Times New Roman" w:cs="Times New Roman"/>
          <w:sz w:val="24"/>
          <w:szCs w:val="24"/>
        </w:rPr>
        <w:t xml:space="preserve">enterprises </w:t>
      </w:r>
      <w:r w:rsidRPr="00614438">
        <w:rPr>
          <w:rFonts w:ascii="Times New Roman" w:hAnsi="Times New Roman" w:cs="Times New Roman"/>
          <w:sz w:val="24"/>
          <w:szCs w:val="24"/>
        </w:rPr>
        <w:t>that are required to transform their activities</w:t>
      </w:r>
      <w:r w:rsidR="00F45704">
        <w:rPr>
          <w:rFonts w:ascii="Times New Roman" w:hAnsi="Times New Roman" w:cs="Times New Roman"/>
          <w:sz w:val="24"/>
          <w:szCs w:val="24"/>
        </w:rPr>
        <w:t>,</w:t>
      </w:r>
      <w:r w:rsidRPr="00614438">
        <w:rPr>
          <w:rFonts w:ascii="Times New Roman" w:hAnsi="Times New Roman" w:cs="Times New Roman"/>
          <w:sz w:val="24"/>
          <w:szCs w:val="24"/>
        </w:rPr>
        <w:t xml:space="preserve"> demonstrat</w:t>
      </w:r>
      <w:r w:rsidR="00F45704">
        <w:rPr>
          <w:rFonts w:ascii="Times New Roman" w:hAnsi="Times New Roman" w:cs="Times New Roman"/>
          <w:sz w:val="24"/>
          <w:szCs w:val="24"/>
        </w:rPr>
        <w:t>ing</w:t>
      </w:r>
      <w:r w:rsidRPr="00614438">
        <w:rPr>
          <w:rFonts w:ascii="Times New Roman" w:hAnsi="Times New Roman" w:cs="Times New Roman"/>
          <w:sz w:val="24"/>
          <w:szCs w:val="24"/>
        </w:rPr>
        <w:t xml:space="preserve"> the</w:t>
      </w:r>
      <w:r w:rsidR="00F45704">
        <w:rPr>
          <w:rFonts w:ascii="Times New Roman" w:hAnsi="Times New Roman" w:cs="Times New Roman"/>
          <w:sz w:val="24"/>
          <w:szCs w:val="24"/>
        </w:rPr>
        <w:t>ir growth</w:t>
      </w:r>
      <w:r w:rsidRPr="00614438">
        <w:rPr>
          <w:rFonts w:ascii="Times New Roman" w:hAnsi="Times New Roman" w:cs="Times New Roman"/>
          <w:sz w:val="24"/>
          <w:szCs w:val="24"/>
        </w:rPr>
        <w:t xml:space="preserve"> potential in the future.</w:t>
      </w:r>
    </w:p>
    <w:p w14:paraId="061419F9" w14:textId="66CF0573" w:rsidR="00614438" w:rsidRPr="00614438" w:rsidRDefault="00614438" w:rsidP="00F45704">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As a result of the aforementioned methodology, the proposed Action Plan encompasses actions across a number of pillars, such as Governance, Policy &amp; Reforms (Laws/Regulations), Investments/Interventions and </w:t>
      </w:r>
      <w:r w:rsidR="00F45704" w:rsidRPr="00614438">
        <w:rPr>
          <w:rFonts w:ascii="Times New Roman" w:hAnsi="Times New Roman" w:cs="Times New Roman"/>
          <w:sz w:val="24"/>
          <w:szCs w:val="24"/>
          <w:lang w:val="en-GB"/>
        </w:rPr>
        <w:t>Capacity B</w:t>
      </w:r>
      <w:r w:rsidRPr="00614438">
        <w:rPr>
          <w:rFonts w:ascii="Times New Roman" w:hAnsi="Times New Roman" w:cs="Times New Roman"/>
          <w:sz w:val="24"/>
          <w:szCs w:val="24"/>
          <w:lang w:val="en-GB"/>
        </w:rPr>
        <w:t xml:space="preserve">uilding. </w:t>
      </w:r>
      <w:r w:rsidR="00F45704">
        <w:rPr>
          <w:rFonts w:ascii="Times New Roman" w:hAnsi="Times New Roman" w:cs="Times New Roman"/>
          <w:sz w:val="24"/>
          <w:szCs w:val="24"/>
          <w:lang w:val="en-GB"/>
        </w:rPr>
        <w:t>W</w:t>
      </w:r>
      <w:r w:rsidRPr="00614438">
        <w:rPr>
          <w:rFonts w:ascii="Times New Roman" w:hAnsi="Times New Roman" w:cs="Times New Roman"/>
          <w:sz w:val="24"/>
          <w:szCs w:val="24"/>
          <w:lang w:val="en-GB"/>
        </w:rPr>
        <w:t>ith respect to investments</w:t>
      </w:r>
      <w:r w:rsidR="00F45704">
        <w:rPr>
          <w:rFonts w:ascii="Times New Roman" w:hAnsi="Times New Roman" w:cs="Times New Roman"/>
          <w:sz w:val="24"/>
          <w:szCs w:val="24"/>
          <w:lang w:val="en-GB"/>
        </w:rPr>
        <w:t xml:space="preserve"> specifically</w:t>
      </w:r>
      <w:r w:rsidRPr="00614438">
        <w:rPr>
          <w:rFonts w:ascii="Times New Roman" w:hAnsi="Times New Roman" w:cs="Times New Roman"/>
          <w:sz w:val="24"/>
          <w:szCs w:val="24"/>
          <w:lang w:val="en-GB"/>
        </w:rPr>
        <w:t>, those are linked to infrastructure (e.g., energy transition, green transition, building of infrastructure, etc.), innovation &amp; research, entrepreneurship, labour force skilling, social inclusion, as well as regeneration of brownfields. According to the same Draft Action Plan, the modes of financing for those investments can be either of public or of private (own resources) origin or a combination of both.</w:t>
      </w:r>
    </w:p>
    <w:p w14:paraId="4C351D5A" w14:textId="08B1F56F" w:rsidR="00614438" w:rsidRPr="00614438" w:rsidRDefault="00F45704" w:rsidP="00F45704">
      <w:pPr>
        <w:jc w:val="center"/>
        <w:rPr>
          <w:rFonts w:ascii="Times New Roman" w:hAnsi="Times New Roman" w:cs="Times New Roman"/>
          <w:sz w:val="24"/>
          <w:szCs w:val="24"/>
          <w:lang w:val="en-GB"/>
        </w:rPr>
      </w:pPr>
      <w:bookmarkStart w:id="656" w:name="_Toc79772569"/>
      <w:bookmarkStart w:id="657" w:name="_Toc118991789"/>
      <w:bookmarkStart w:id="658" w:name="_Toc153545061"/>
      <w:r w:rsidRPr="00BA00B6">
        <w:rPr>
          <w:rFonts w:ascii="Times New Roman" w:hAnsi="Times New Roman" w:cs="Times New Roman"/>
          <w:sz w:val="24"/>
          <w:szCs w:val="24"/>
          <w:lang w:val="en-GB"/>
        </w:rPr>
        <w:t xml:space="preserve">5.4 </w:t>
      </w:r>
      <w:r w:rsidR="00614438" w:rsidRPr="00BA00B6">
        <w:rPr>
          <w:rFonts w:ascii="Times New Roman" w:hAnsi="Times New Roman" w:cs="Times New Roman"/>
          <w:sz w:val="24"/>
          <w:szCs w:val="24"/>
          <w:lang w:val="en-GB"/>
        </w:rPr>
        <w:t xml:space="preserve">Impacts of planned policies and measures on other Contracting Parties of the Energy Community and Member States of the European Union, </w:t>
      </w:r>
      <w:bookmarkEnd w:id="656"/>
      <w:bookmarkEnd w:id="657"/>
      <w:bookmarkEnd w:id="658"/>
      <w:r w:rsidR="00BA00B6" w:rsidRPr="00BA00B6">
        <w:rPr>
          <w:rFonts w:ascii="Times New Roman" w:hAnsi="Times New Roman" w:cs="Times New Roman"/>
          <w:sz w:val="24"/>
          <w:szCs w:val="24"/>
          <w:lang w:val="en-GB"/>
        </w:rPr>
        <w:t>including comparison of projections with existing policies and measures</w:t>
      </w:r>
    </w:p>
    <w:p w14:paraId="2CB3F2DE" w14:textId="3452B711" w:rsidR="00614438" w:rsidRPr="00614438" w:rsidRDefault="00BA00B6" w:rsidP="00BA00B6">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5.4.1 </w:t>
      </w:r>
      <w:r w:rsidR="00614438" w:rsidRPr="00614438">
        <w:rPr>
          <w:rFonts w:ascii="Times New Roman" w:hAnsi="Times New Roman" w:cs="Times New Roman"/>
          <w:sz w:val="24"/>
          <w:szCs w:val="24"/>
          <w:lang w:val="en-GB"/>
        </w:rPr>
        <w:t>Impacts on the energy system in neighbouring and other Member States in the region to the extent possible</w:t>
      </w:r>
    </w:p>
    <w:p w14:paraId="0E78FB14" w14:textId="1B86E9E4" w:rsidR="00614438" w:rsidRPr="00614438" w:rsidRDefault="00614438" w:rsidP="00BA00B6">
      <w:pPr>
        <w:ind w:firstLine="720"/>
        <w:jc w:val="both"/>
        <w:rPr>
          <w:rFonts w:ascii="Times New Roman" w:hAnsi="Times New Roman" w:cs="Times New Roman"/>
          <w:sz w:val="24"/>
          <w:szCs w:val="24"/>
        </w:rPr>
      </w:pPr>
      <w:r w:rsidRPr="00614438">
        <w:rPr>
          <w:rFonts w:ascii="Times New Roman" w:hAnsi="Times New Roman" w:cs="Times New Roman"/>
          <w:sz w:val="24"/>
          <w:szCs w:val="24"/>
        </w:rPr>
        <w:t xml:space="preserve">The Serbian energy market is the largest in the Balkan region of the EnC. The energy sector is highly dependent on fossil fuels, which are mostly used in </w:t>
      </w:r>
      <w:r w:rsidR="00BA00B6">
        <w:rPr>
          <w:rFonts w:ascii="Times New Roman" w:hAnsi="Times New Roman" w:cs="Times New Roman"/>
          <w:sz w:val="24"/>
          <w:szCs w:val="24"/>
        </w:rPr>
        <w:t xml:space="preserve">an </w:t>
      </w:r>
      <w:r w:rsidRPr="00614438">
        <w:rPr>
          <w:rFonts w:ascii="Times New Roman" w:hAnsi="Times New Roman" w:cs="Times New Roman"/>
          <w:sz w:val="24"/>
          <w:szCs w:val="24"/>
        </w:rPr>
        <w:t>inefficient infrastructure, such as power plants, heat plants and passenger vehicles.</w:t>
      </w:r>
    </w:p>
    <w:p w14:paraId="5244EC3B" w14:textId="25086244" w:rsidR="00614438" w:rsidRPr="00614438" w:rsidRDefault="00614438" w:rsidP="00BA00B6">
      <w:pPr>
        <w:ind w:firstLine="720"/>
        <w:jc w:val="both"/>
        <w:rPr>
          <w:rFonts w:ascii="Times New Roman" w:hAnsi="Times New Roman" w:cs="Times New Roman"/>
          <w:sz w:val="24"/>
          <w:szCs w:val="24"/>
        </w:rPr>
      </w:pPr>
      <w:r w:rsidRPr="00614438">
        <w:rPr>
          <w:rFonts w:ascii="Times New Roman" w:hAnsi="Times New Roman" w:cs="Times New Roman"/>
          <w:sz w:val="24"/>
          <w:szCs w:val="24"/>
        </w:rPr>
        <w:t>Nevertheless,</w:t>
      </w:r>
      <w:r w:rsidR="00BA00B6">
        <w:rPr>
          <w:rFonts w:ascii="Times New Roman" w:hAnsi="Times New Roman" w:cs="Times New Roman"/>
          <w:sz w:val="24"/>
          <w:szCs w:val="24"/>
        </w:rPr>
        <w:t xml:space="preserve"> the Republic of</w:t>
      </w:r>
      <w:r w:rsidRPr="00614438">
        <w:rPr>
          <w:rFonts w:ascii="Times New Roman" w:hAnsi="Times New Roman" w:cs="Times New Roman"/>
          <w:sz w:val="24"/>
          <w:szCs w:val="24"/>
        </w:rPr>
        <w:t xml:space="preserve"> Serbia has a well meshed Transmission System designed as the backbone of a much larger system. The Transmission System does not exhibit “structural constraints” and the fact that Serbia has 8 electrical Borders with a large interconnection capacity is a</w:t>
      </w:r>
      <w:r w:rsidR="00BA00B6">
        <w:rPr>
          <w:rFonts w:ascii="Times New Roman" w:hAnsi="Times New Roman" w:cs="Times New Roman"/>
          <w:sz w:val="24"/>
          <w:szCs w:val="24"/>
        </w:rPr>
        <w:t>n indicator</w:t>
      </w:r>
      <w:r w:rsidRPr="00614438">
        <w:rPr>
          <w:rFonts w:ascii="Times New Roman" w:hAnsi="Times New Roman" w:cs="Times New Roman"/>
          <w:sz w:val="24"/>
          <w:szCs w:val="24"/>
        </w:rPr>
        <w:t xml:space="preserve"> of how well the Serbian System can integrate a relatively large level of variable RES. On the other hand, the relatively inflexible generation fleet, calls for enhanced </w:t>
      </w:r>
      <w:r w:rsidR="00BA00B6">
        <w:rPr>
          <w:rFonts w:ascii="Times New Roman" w:hAnsi="Times New Roman" w:cs="Times New Roman"/>
          <w:sz w:val="24"/>
          <w:szCs w:val="24"/>
        </w:rPr>
        <w:t>f</w:t>
      </w:r>
      <w:r w:rsidRPr="00614438">
        <w:rPr>
          <w:rFonts w:ascii="Times New Roman" w:hAnsi="Times New Roman" w:cs="Times New Roman"/>
          <w:sz w:val="24"/>
          <w:szCs w:val="24"/>
        </w:rPr>
        <w:t xml:space="preserve">lexibility solutions (like for example </w:t>
      </w:r>
      <w:r w:rsidR="00BA00B6">
        <w:rPr>
          <w:rFonts w:ascii="Times New Roman" w:hAnsi="Times New Roman" w:cs="Times New Roman"/>
          <w:sz w:val="24"/>
          <w:szCs w:val="24"/>
        </w:rPr>
        <w:t>e</w:t>
      </w:r>
      <w:r w:rsidRPr="00614438">
        <w:rPr>
          <w:rFonts w:ascii="Times New Roman" w:hAnsi="Times New Roman" w:cs="Times New Roman"/>
          <w:sz w:val="24"/>
          <w:szCs w:val="24"/>
        </w:rPr>
        <w:t xml:space="preserve">nergy </w:t>
      </w:r>
      <w:r w:rsidR="00BA00B6">
        <w:rPr>
          <w:rFonts w:ascii="Times New Roman" w:hAnsi="Times New Roman" w:cs="Times New Roman"/>
          <w:sz w:val="24"/>
          <w:szCs w:val="24"/>
        </w:rPr>
        <w:t>s</w:t>
      </w:r>
      <w:r w:rsidRPr="00614438">
        <w:rPr>
          <w:rFonts w:ascii="Times New Roman" w:hAnsi="Times New Roman" w:cs="Times New Roman"/>
          <w:sz w:val="24"/>
          <w:szCs w:val="24"/>
        </w:rPr>
        <w:t>torage) in order to cope with increased capacity levels of variable RES.</w:t>
      </w:r>
    </w:p>
    <w:p w14:paraId="39277597" w14:textId="16E2CFEC" w:rsidR="00614438" w:rsidRPr="00614438" w:rsidRDefault="00BA00B6" w:rsidP="00BA00B6">
      <w:pPr>
        <w:ind w:firstLine="360"/>
        <w:jc w:val="both"/>
        <w:rPr>
          <w:rFonts w:ascii="Times New Roman" w:hAnsi="Times New Roman" w:cs="Times New Roman"/>
          <w:sz w:val="24"/>
          <w:szCs w:val="24"/>
        </w:rPr>
      </w:pPr>
      <w:r>
        <w:rPr>
          <w:rFonts w:ascii="Times New Roman" w:hAnsi="Times New Roman" w:cs="Times New Roman"/>
          <w:sz w:val="24"/>
          <w:szCs w:val="24"/>
        </w:rPr>
        <w:t>Joint-Stock Company “</w:t>
      </w:r>
      <w:r w:rsidR="00614438" w:rsidRPr="00614438">
        <w:rPr>
          <w:rFonts w:ascii="Times New Roman" w:hAnsi="Times New Roman" w:cs="Times New Roman"/>
          <w:sz w:val="24"/>
          <w:szCs w:val="24"/>
        </w:rPr>
        <w:t>E</w:t>
      </w:r>
      <w:r>
        <w:rPr>
          <w:rFonts w:ascii="Times New Roman" w:hAnsi="Times New Roman" w:cs="Times New Roman"/>
          <w:sz w:val="24"/>
          <w:szCs w:val="24"/>
        </w:rPr>
        <w:t>lektromreza Srbije”</w:t>
      </w:r>
      <w:r w:rsidR="00614438" w:rsidRPr="00614438">
        <w:rPr>
          <w:rFonts w:ascii="Times New Roman" w:hAnsi="Times New Roman" w:cs="Times New Roman"/>
          <w:sz w:val="24"/>
          <w:szCs w:val="24"/>
        </w:rPr>
        <w:t xml:space="preserve"> plans extensive investments for the upgrade of existing infrastructure</w:t>
      </w:r>
      <w:r>
        <w:rPr>
          <w:rFonts w:ascii="Times New Roman" w:hAnsi="Times New Roman" w:cs="Times New Roman"/>
          <w:sz w:val="24"/>
          <w:szCs w:val="24"/>
        </w:rPr>
        <w:t>,</w:t>
      </w:r>
      <w:r w:rsidR="00614438" w:rsidRPr="00614438">
        <w:rPr>
          <w:rFonts w:ascii="Times New Roman" w:hAnsi="Times New Roman" w:cs="Times New Roman"/>
          <w:sz w:val="24"/>
          <w:szCs w:val="24"/>
        </w:rPr>
        <w:t xml:space="preserve"> as well as for new transmission capacities. Such infrastructure will improve the security of supply of the transmission system users and increase cross-border capacities. This is </w:t>
      </w:r>
      <w:r w:rsidR="00614438" w:rsidRPr="00614438">
        <w:rPr>
          <w:rFonts w:ascii="Times New Roman" w:hAnsi="Times New Roman" w:cs="Times New Roman"/>
          <w:sz w:val="24"/>
          <w:szCs w:val="24"/>
        </w:rPr>
        <w:lastRenderedPageBreak/>
        <w:t>of great importance since</w:t>
      </w:r>
      <w:r>
        <w:rPr>
          <w:rFonts w:ascii="Times New Roman" w:hAnsi="Times New Roman" w:cs="Times New Roman"/>
          <w:sz w:val="24"/>
          <w:szCs w:val="24"/>
        </w:rPr>
        <w:t xml:space="preserve"> the Republic of </w:t>
      </w:r>
      <w:r w:rsidR="00614438" w:rsidRPr="00614438">
        <w:rPr>
          <w:rFonts w:ascii="Times New Roman" w:hAnsi="Times New Roman" w:cs="Times New Roman"/>
          <w:sz w:val="24"/>
          <w:szCs w:val="24"/>
        </w:rPr>
        <w:t>Serbia is connected with eight neighbouring countries (Romania, Hungary, Croatia, Bosnia</w:t>
      </w:r>
      <w:r>
        <w:rPr>
          <w:rFonts w:ascii="Times New Roman" w:hAnsi="Times New Roman" w:cs="Times New Roman"/>
          <w:sz w:val="24"/>
          <w:szCs w:val="24"/>
        </w:rPr>
        <w:t xml:space="preserve"> and Herzegovina</w:t>
      </w:r>
      <w:r w:rsidR="00614438" w:rsidRPr="00614438">
        <w:rPr>
          <w:rFonts w:ascii="Times New Roman" w:hAnsi="Times New Roman" w:cs="Times New Roman"/>
          <w:sz w:val="24"/>
          <w:szCs w:val="24"/>
        </w:rPr>
        <w:t>, Montenegro, Northern Macedonia, Albania, Bulgaria). The existing and the planned interconnectors, highlight the role of Serbia as an energy transit country in the Balkans and potentially energy hub.</w:t>
      </w:r>
    </w:p>
    <w:p w14:paraId="39D6F9BF" w14:textId="56AB95D4" w:rsidR="00614438" w:rsidRPr="00614438" w:rsidRDefault="00BA00B6" w:rsidP="00BA00B6">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5.4.2 </w:t>
      </w:r>
      <w:r w:rsidR="00614438" w:rsidRPr="00614438">
        <w:rPr>
          <w:rFonts w:ascii="Times New Roman" w:hAnsi="Times New Roman" w:cs="Times New Roman"/>
          <w:sz w:val="24"/>
          <w:szCs w:val="24"/>
          <w:lang w:val="en-GB"/>
        </w:rPr>
        <w:t>Impacts on energy prices, utilities and energy market integration</w:t>
      </w:r>
    </w:p>
    <w:p w14:paraId="0737F0B4" w14:textId="77777777" w:rsidR="00614438" w:rsidRPr="00614438" w:rsidRDefault="00614438" w:rsidP="00BA00B6">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import dependency of oil and oil products is projected to increase from 76% in 2019 to 97% in 2050, while the import dependency of natural gas is projected to follow a similar upward trend from 84% in 2019 to 94% in 2050. The import dependency of electricity is projected to be at the levels observed until now, ranging between 0% in 2019 to small negative numbers in the period until 2050, ensuring the self-sufficiency of the Republic of Serbia in electricity. This is achieved through the utilisation of the lignite fired power plants in the medium term until 2030 and the gradual shift to RES (mainly wind and solar PV) in the period until 2050.</w:t>
      </w:r>
    </w:p>
    <w:p w14:paraId="0819D47A" w14:textId="35878517" w:rsidR="00614438" w:rsidRPr="00614438" w:rsidRDefault="00614438" w:rsidP="00BA00B6">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Moreover, the organised day-ahead market/power exchange in Serbia (JSC “SEEPEX”) (established in February 2016 on the basis of partnership between </w:t>
      </w:r>
      <w:r w:rsidR="00BA00B6">
        <w:rPr>
          <w:rFonts w:ascii="Times New Roman" w:hAnsi="Times New Roman" w:cs="Times New Roman"/>
          <w:sz w:val="24"/>
          <w:szCs w:val="24"/>
        </w:rPr>
        <w:t>JOINT-STOCK COMPANY “</w:t>
      </w:r>
      <w:r w:rsidR="00BA00B6" w:rsidRPr="00614438">
        <w:rPr>
          <w:rFonts w:ascii="Times New Roman" w:hAnsi="Times New Roman" w:cs="Times New Roman"/>
          <w:sz w:val="24"/>
          <w:szCs w:val="24"/>
        </w:rPr>
        <w:t>E</w:t>
      </w:r>
      <w:r w:rsidR="00BA00B6">
        <w:rPr>
          <w:rFonts w:ascii="Times New Roman" w:hAnsi="Times New Roman" w:cs="Times New Roman"/>
          <w:sz w:val="24"/>
          <w:szCs w:val="24"/>
        </w:rPr>
        <w:t>LEKTROMREZA SRBIJE”</w:t>
      </w:r>
      <w:r w:rsidR="00BA00B6" w:rsidRPr="00614438">
        <w:rPr>
          <w:rFonts w:ascii="Times New Roman" w:hAnsi="Times New Roman" w:cs="Times New Roman"/>
          <w:sz w:val="24"/>
          <w:szCs w:val="24"/>
        </w:rPr>
        <w:t xml:space="preserve"> </w:t>
      </w:r>
      <w:r w:rsidRPr="00614438">
        <w:rPr>
          <w:rFonts w:ascii="Times New Roman" w:hAnsi="Times New Roman" w:cs="Times New Roman"/>
          <w:sz w:val="24"/>
          <w:szCs w:val="24"/>
          <w:lang w:val="en-GB"/>
        </w:rPr>
        <w:t xml:space="preserve">and </w:t>
      </w:r>
      <w:r w:rsidR="00BA00B6">
        <w:rPr>
          <w:rFonts w:ascii="Times New Roman" w:hAnsi="Times New Roman" w:cs="Times New Roman"/>
          <w:sz w:val="24"/>
          <w:szCs w:val="24"/>
          <w:lang w:val="en-GB"/>
        </w:rPr>
        <w:t xml:space="preserve">the </w:t>
      </w:r>
      <w:r w:rsidRPr="00614438">
        <w:rPr>
          <w:rFonts w:ascii="Times New Roman" w:hAnsi="Times New Roman" w:cs="Times New Roman"/>
          <w:sz w:val="24"/>
          <w:szCs w:val="24"/>
          <w:lang w:val="en-GB"/>
        </w:rPr>
        <w:t>European Power Exchange), could play a significant role in further promoting regional market integration, particularly in the absence of exchanges in neighbouring markets.</w:t>
      </w:r>
    </w:p>
    <w:p w14:paraId="61F910CE" w14:textId="2885397F" w:rsidR="00614438" w:rsidRPr="00614438" w:rsidRDefault="00FC55B7" w:rsidP="00FC55B7">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5.4.3 </w:t>
      </w:r>
      <w:r w:rsidR="00614438" w:rsidRPr="00614438">
        <w:rPr>
          <w:rFonts w:ascii="Times New Roman" w:hAnsi="Times New Roman" w:cs="Times New Roman"/>
          <w:sz w:val="24"/>
          <w:szCs w:val="24"/>
          <w:lang w:val="en-GB"/>
        </w:rPr>
        <w:t>Where relevant impacts on regional cooperation</w:t>
      </w:r>
    </w:p>
    <w:p w14:paraId="2B06896D"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importance of regional cooperation is emphasized throughout the INECP and reflected on a number of cross-border interconnection projects which will enhance the country’s energy security and create new energy flows within the Balkan area. The development and implementation of such complex projects constitutes an excellent example of regional cooperation either at national or TSO level.</w:t>
      </w:r>
    </w:p>
    <w:p w14:paraId="34D2E53A" w14:textId="77777777" w:rsidR="00614438" w:rsidRPr="004F5BC1" w:rsidRDefault="00614438" w:rsidP="00614438">
      <w:pPr>
        <w:jc w:val="both"/>
        <w:rPr>
          <w:rFonts w:ascii="Times New Roman" w:hAnsi="Times New Roman" w:cs="Times New Roman"/>
          <w:sz w:val="20"/>
          <w:szCs w:val="20"/>
        </w:rPr>
      </w:pPr>
      <w:bookmarkStart w:id="659" w:name="_Toc153545079"/>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List of most important regional cooperation-related projects</w:t>
      </w:r>
      <w:bookmarkEnd w:id="659"/>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2127"/>
        <w:gridCol w:w="7087"/>
      </w:tblGrid>
      <w:tr w:rsidR="00614438" w:rsidRPr="004F5BC1" w14:paraId="480FE8A0" w14:textId="77777777" w:rsidTr="00614438">
        <w:trPr>
          <w:trHeight w:val="275"/>
        </w:trPr>
        <w:tc>
          <w:tcPr>
            <w:tcW w:w="2127" w:type="dxa"/>
            <w:tcBorders>
              <w:top w:val="single" w:sz="4" w:space="0" w:color="auto"/>
              <w:left w:val="single" w:sz="4" w:space="0" w:color="auto"/>
              <w:bottom w:val="single" w:sz="4" w:space="0" w:color="auto"/>
              <w:right w:val="single" w:sz="4" w:space="0" w:color="auto"/>
            </w:tcBorders>
            <w:shd w:val="clear" w:color="auto" w:fill="002060"/>
            <w:vAlign w:val="bottom"/>
            <w:hideMark/>
          </w:tcPr>
          <w:p w14:paraId="19B0B89D"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Policy Measure Code</w:t>
            </w:r>
          </w:p>
        </w:tc>
        <w:tc>
          <w:tcPr>
            <w:tcW w:w="7087" w:type="dxa"/>
            <w:tcBorders>
              <w:top w:val="single" w:sz="4" w:space="0" w:color="auto"/>
              <w:left w:val="single" w:sz="4" w:space="0" w:color="auto"/>
              <w:bottom w:val="single" w:sz="4" w:space="0" w:color="auto"/>
              <w:right w:val="single" w:sz="4" w:space="0" w:color="auto"/>
            </w:tcBorders>
            <w:shd w:val="clear" w:color="auto" w:fill="002060"/>
            <w:vAlign w:val="bottom"/>
            <w:hideMark/>
          </w:tcPr>
          <w:p w14:paraId="2BA73102"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Policy Measure Name</w:t>
            </w:r>
          </w:p>
        </w:tc>
      </w:tr>
      <w:tr w:rsidR="00614438" w:rsidRPr="004F5BC1" w14:paraId="5FC387D4" w14:textId="77777777" w:rsidTr="00614438">
        <w:trPr>
          <w:trHeight w:val="275"/>
        </w:trPr>
        <w:tc>
          <w:tcPr>
            <w:tcW w:w="2127"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255C263B"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PM_IEM3</w:t>
            </w:r>
          </w:p>
        </w:tc>
        <w:tc>
          <w:tcPr>
            <w:tcW w:w="708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B3372AF" w14:textId="22A48278" w:rsidR="00614438" w:rsidRPr="004F5BC1" w:rsidRDefault="00614438" w:rsidP="00614438">
            <w:pPr>
              <w:jc w:val="both"/>
              <w:rPr>
                <w:rFonts w:ascii="Times New Roman" w:hAnsi="Times New Roman" w:cs="Times New Roman"/>
                <w:sz w:val="20"/>
                <w:szCs w:val="20"/>
                <w:lang w:val="pt-PT"/>
              </w:rPr>
            </w:pPr>
            <w:r w:rsidRPr="004F5BC1">
              <w:rPr>
                <w:rFonts w:ascii="Times New Roman" w:hAnsi="Times New Roman" w:cs="Times New Roman"/>
                <w:sz w:val="20"/>
                <w:szCs w:val="20"/>
                <w:lang w:val="pt-PT"/>
              </w:rPr>
              <w:t>Trans</w:t>
            </w:r>
            <w:r w:rsidR="00FF27C6" w:rsidRPr="004F5BC1">
              <w:rPr>
                <w:rFonts w:ascii="Times New Roman" w:hAnsi="Times New Roman" w:cs="Times New Roman"/>
                <w:sz w:val="20"/>
                <w:szCs w:val="20"/>
                <w:lang w:val="pt-PT"/>
              </w:rPr>
              <w:t>-B</w:t>
            </w:r>
            <w:r w:rsidRPr="004F5BC1">
              <w:rPr>
                <w:rFonts w:ascii="Times New Roman" w:hAnsi="Times New Roman" w:cs="Times New Roman"/>
                <w:sz w:val="20"/>
                <w:szCs w:val="20"/>
                <w:lang w:val="pt-PT"/>
              </w:rPr>
              <w:t>alkan Corridor: OHL B.Basta (RS) – Visegrad (BA) – Pljevlja (ME)</w:t>
            </w:r>
          </w:p>
        </w:tc>
      </w:tr>
      <w:tr w:rsidR="00614438" w:rsidRPr="004F5BC1" w14:paraId="0FC70ADC" w14:textId="77777777" w:rsidTr="00614438">
        <w:trPr>
          <w:trHeight w:val="297"/>
        </w:trPr>
        <w:tc>
          <w:tcPr>
            <w:tcW w:w="2127"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6B3EAB33"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PM_IEM4</w:t>
            </w:r>
          </w:p>
        </w:tc>
        <w:tc>
          <w:tcPr>
            <w:tcW w:w="708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E3AC5E7"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Interconnection between Resita (RO) and Pancevo (RS)</w:t>
            </w:r>
          </w:p>
        </w:tc>
      </w:tr>
      <w:tr w:rsidR="00614438" w:rsidRPr="004F5BC1" w14:paraId="5026BD11" w14:textId="77777777" w:rsidTr="00614438">
        <w:trPr>
          <w:trHeight w:val="288"/>
        </w:trPr>
        <w:tc>
          <w:tcPr>
            <w:tcW w:w="2127"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61F84887"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PM_IEM5</w:t>
            </w:r>
          </w:p>
        </w:tc>
        <w:tc>
          <w:tcPr>
            <w:tcW w:w="708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D033C23"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Pannonian Corridor</w:t>
            </w:r>
          </w:p>
        </w:tc>
      </w:tr>
      <w:tr w:rsidR="00614438" w:rsidRPr="004F5BC1" w14:paraId="086F87AB" w14:textId="77777777" w:rsidTr="00614438">
        <w:trPr>
          <w:trHeight w:val="288"/>
        </w:trPr>
        <w:tc>
          <w:tcPr>
            <w:tcW w:w="2127"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79301169"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PM_IEM6</w:t>
            </w:r>
          </w:p>
        </w:tc>
        <w:tc>
          <w:tcPr>
            <w:tcW w:w="708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418D9FD"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Central Balkan Corridor</w:t>
            </w:r>
          </w:p>
        </w:tc>
      </w:tr>
      <w:tr w:rsidR="00614438" w:rsidRPr="004F5BC1" w14:paraId="25F9C91F" w14:textId="77777777" w:rsidTr="00614438">
        <w:trPr>
          <w:trHeight w:val="229"/>
        </w:trPr>
        <w:tc>
          <w:tcPr>
            <w:tcW w:w="2127"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39B46CE9"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PM_IEM7</w:t>
            </w:r>
          </w:p>
        </w:tc>
        <w:tc>
          <w:tcPr>
            <w:tcW w:w="708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9C2EC8D"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RES integration cluster of projects - North Corridor</w:t>
            </w:r>
          </w:p>
        </w:tc>
      </w:tr>
      <w:tr w:rsidR="00614438" w:rsidRPr="004F5BC1" w14:paraId="6819CFED" w14:textId="77777777" w:rsidTr="00614438">
        <w:trPr>
          <w:trHeight w:val="225"/>
        </w:trPr>
        <w:tc>
          <w:tcPr>
            <w:tcW w:w="2127"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7AA57350"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PM_IEM8</w:t>
            </w:r>
          </w:p>
        </w:tc>
        <w:tc>
          <w:tcPr>
            <w:tcW w:w="708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845C816"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Regional connection through the implementation of interconnection projects</w:t>
            </w:r>
          </w:p>
        </w:tc>
      </w:tr>
      <w:tr w:rsidR="00614438" w:rsidRPr="004F5BC1" w14:paraId="06646E71" w14:textId="77777777" w:rsidTr="00614438">
        <w:trPr>
          <w:trHeight w:val="307"/>
        </w:trPr>
        <w:tc>
          <w:tcPr>
            <w:tcW w:w="2127"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414AB26E"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PM_IEM8.1</w:t>
            </w:r>
          </w:p>
        </w:tc>
        <w:tc>
          <w:tcPr>
            <w:tcW w:w="708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9ABFF0C"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Serbia-Bulgaria gas interconnection project</w:t>
            </w:r>
          </w:p>
        </w:tc>
      </w:tr>
      <w:tr w:rsidR="00614438" w:rsidRPr="004F5BC1" w14:paraId="6F83365E" w14:textId="77777777" w:rsidTr="00614438">
        <w:trPr>
          <w:trHeight w:val="159"/>
        </w:trPr>
        <w:tc>
          <w:tcPr>
            <w:tcW w:w="2127"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55ED9AEC"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PM_IEM8.2</w:t>
            </w:r>
          </w:p>
        </w:tc>
        <w:tc>
          <w:tcPr>
            <w:tcW w:w="708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75D4094"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Serbia-Romania gas interconnection</w:t>
            </w:r>
          </w:p>
        </w:tc>
      </w:tr>
      <w:tr w:rsidR="00614438" w:rsidRPr="004F5BC1" w14:paraId="65DFAAFD" w14:textId="77777777" w:rsidTr="00614438">
        <w:trPr>
          <w:trHeight w:val="132"/>
        </w:trPr>
        <w:tc>
          <w:tcPr>
            <w:tcW w:w="2127"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17C9B4BA"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PM_IEM8.3</w:t>
            </w:r>
          </w:p>
        </w:tc>
        <w:tc>
          <w:tcPr>
            <w:tcW w:w="708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02711B9"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Serbia-Croatia gas interconnection</w:t>
            </w:r>
          </w:p>
        </w:tc>
      </w:tr>
      <w:tr w:rsidR="00614438" w:rsidRPr="004F5BC1" w14:paraId="5CB552DB" w14:textId="77777777" w:rsidTr="00614438">
        <w:trPr>
          <w:trHeight w:val="116"/>
        </w:trPr>
        <w:tc>
          <w:tcPr>
            <w:tcW w:w="2127"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50AFA25F"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PM_IEM8.4</w:t>
            </w:r>
          </w:p>
        </w:tc>
        <w:tc>
          <w:tcPr>
            <w:tcW w:w="708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CF4F704"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Serbia-BiH gas interconnection</w:t>
            </w:r>
          </w:p>
        </w:tc>
      </w:tr>
      <w:tr w:rsidR="00614438" w:rsidRPr="004F5BC1" w14:paraId="157207E9" w14:textId="77777777" w:rsidTr="00614438">
        <w:trPr>
          <w:trHeight w:val="238"/>
        </w:trPr>
        <w:tc>
          <w:tcPr>
            <w:tcW w:w="2127"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333885E2"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PM_IEM8.5</w:t>
            </w:r>
          </w:p>
        </w:tc>
        <w:tc>
          <w:tcPr>
            <w:tcW w:w="708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A74FF47"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Regional gas pipeline Leskovac-Vladicin Han-Vranje</w:t>
            </w:r>
          </w:p>
        </w:tc>
      </w:tr>
      <w:tr w:rsidR="00614438" w:rsidRPr="004F5BC1" w14:paraId="280D0BDA" w14:textId="77777777" w:rsidTr="00614438">
        <w:trPr>
          <w:trHeight w:val="207"/>
        </w:trPr>
        <w:tc>
          <w:tcPr>
            <w:tcW w:w="2127"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52A62333"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PM_IEM8.6</w:t>
            </w:r>
          </w:p>
        </w:tc>
        <w:tc>
          <w:tcPr>
            <w:tcW w:w="708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A14626"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Gas pipeline - interconnection with Montenegro</w:t>
            </w:r>
          </w:p>
        </w:tc>
      </w:tr>
      <w:tr w:rsidR="00614438" w:rsidRPr="004F5BC1" w14:paraId="61E62518" w14:textId="77777777" w:rsidTr="00614438">
        <w:trPr>
          <w:trHeight w:val="187"/>
        </w:trPr>
        <w:tc>
          <w:tcPr>
            <w:tcW w:w="2127"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178C8131"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PM_IEM8.7</w:t>
            </w:r>
          </w:p>
        </w:tc>
        <w:tc>
          <w:tcPr>
            <w:tcW w:w="708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444E3DC"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Serbia-Macedonia gas interconnection</w:t>
            </w:r>
          </w:p>
        </w:tc>
      </w:tr>
      <w:tr w:rsidR="00614438" w:rsidRPr="004F5BC1" w14:paraId="2358DEE5" w14:textId="77777777" w:rsidTr="00614438">
        <w:trPr>
          <w:trHeight w:val="50"/>
        </w:trPr>
        <w:tc>
          <w:tcPr>
            <w:tcW w:w="2127"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5529F012"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lastRenderedPageBreak/>
              <w:t>PM_IEM8.8</w:t>
            </w:r>
          </w:p>
        </w:tc>
        <w:tc>
          <w:tcPr>
            <w:tcW w:w="708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4EBC106" w14:textId="77777777" w:rsidR="00614438" w:rsidRPr="004F5BC1" w:rsidRDefault="00614438" w:rsidP="00614438">
            <w:pPr>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Nis-Pristina gas pipeline</w:t>
            </w:r>
          </w:p>
        </w:tc>
      </w:tr>
    </w:tbl>
    <w:p w14:paraId="2CF373EE" w14:textId="77777777" w:rsidR="00FF27C6" w:rsidRDefault="00FF27C6" w:rsidP="00614438">
      <w:pPr>
        <w:jc w:val="both"/>
        <w:rPr>
          <w:rFonts w:ascii="Times New Roman" w:hAnsi="Times New Roman" w:cs="Times New Roman"/>
          <w:sz w:val="24"/>
          <w:szCs w:val="24"/>
          <w:lang w:val="en-GB"/>
        </w:rPr>
      </w:pPr>
    </w:p>
    <w:p w14:paraId="236BB742" w14:textId="1C2E07F1" w:rsidR="00614438" w:rsidRPr="00614438" w:rsidRDefault="00614438" w:rsidP="00FF27C6">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Similarly, at market level, the South-East European Gas (SEEGAS) Initiative, launched by the Energy Community Secretariat in December 2020, is a response to stakeholders’ increasing interest to establish organized gas exchanges and improve cross-border trading. The initiative aims to foster closer cooperation between national gas exchanges and TSOs in the region to enable further market opening, better services for traders and ultimately benefit end-consumers through increased competition in gas trading.</w:t>
      </w:r>
    </w:p>
    <w:p w14:paraId="76621E10"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br w:type="page"/>
      </w:r>
    </w:p>
    <w:p w14:paraId="64E444E3" w14:textId="77777777" w:rsidR="00FF27C6" w:rsidRPr="00FF27C6" w:rsidRDefault="00FF27C6" w:rsidP="00FF27C6">
      <w:pPr>
        <w:jc w:val="center"/>
        <w:rPr>
          <w:rFonts w:ascii="Times New Roman" w:hAnsi="Times New Roman" w:cs="Times New Roman"/>
          <w:sz w:val="24"/>
          <w:szCs w:val="24"/>
          <w:lang w:val="en-GB"/>
        </w:rPr>
      </w:pPr>
      <w:r w:rsidRPr="00FF27C6">
        <w:rPr>
          <w:rFonts w:ascii="Times New Roman" w:hAnsi="Times New Roman" w:cs="Times New Roman"/>
          <w:sz w:val="24"/>
          <w:szCs w:val="24"/>
          <w:lang w:val="en-GB"/>
        </w:rPr>
        <w:lastRenderedPageBreak/>
        <w:t>6. Final part</w:t>
      </w:r>
    </w:p>
    <w:p w14:paraId="2433B11A" w14:textId="4AAA49AA" w:rsidR="00FF27C6" w:rsidRPr="00FF27C6" w:rsidRDefault="00FF27C6" w:rsidP="00FF27C6">
      <w:pPr>
        <w:ind w:firstLine="720"/>
        <w:jc w:val="both"/>
        <w:rPr>
          <w:rFonts w:ascii="Times New Roman" w:hAnsi="Times New Roman" w:cs="Times New Roman"/>
          <w:sz w:val="24"/>
          <w:szCs w:val="24"/>
          <w:lang w:val="en-GB"/>
        </w:rPr>
      </w:pPr>
      <w:r w:rsidRPr="00FF27C6">
        <w:rPr>
          <w:rFonts w:ascii="Times New Roman" w:hAnsi="Times New Roman" w:cs="Times New Roman"/>
          <w:sz w:val="24"/>
          <w:szCs w:val="24"/>
          <w:lang w:val="en-GB"/>
        </w:rPr>
        <w:t xml:space="preserve"> ANNEX</w:t>
      </w:r>
      <w:r>
        <w:rPr>
          <w:rFonts w:ascii="Times New Roman" w:hAnsi="Times New Roman" w:cs="Times New Roman"/>
          <w:sz w:val="24"/>
          <w:szCs w:val="24"/>
          <w:lang w:val="en-GB"/>
        </w:rPr>
        <w:t xml:space="preserve"> I</w:t>
      </w:r>
      <w:r w:rsidRPr="00FF27C6">
        <w:rPr>
          <w:rFonts w:ascii="Times New Roman" w:hAnsi="Times New Roman" w:cs="Times New Roman"/>
          <w:sz w:val="24"/>
          <w:szCs w:val="24"/>
          <w:lang w:val="en-GB"/>
        </w:rPr>
        <w:t>: SUMMARY TABLE OF MEASURES WITH IMPLEMENTATION COSTS,  ANNEX</w:t>
      </w:r>
      <w:r>
        <w:rPr>
          <w:rFonts w:ascii="Times New Roman" w:hAnsi="Times New Roman" w:cs="Times New Roman"/>
          <w:sz w:val="24"/>
          <w:szCs w:val="24"/>
          <w:lang w:val="en-GB"/>
        </w:rPr>
        <w:t xml:space="preserve"> II</w:t>
      </w:r>
      <w:r w:rsidRPr="00FF27C6">
        <w:rPr>
          <w:rFonts w:ascii="Times New Roman" w:hAnsi="Times New Roman" w:cs="Times New Roman"/>
          <w:sz w:val="24"/>
          <w:szCs w:val="24"/>
          <w:lang w:val="en-GB"/>
        </w:rPr>
        <w:t>: DETAILED ANALYSIS OF ELECTRICAL POWER SYSTEM WORK, ANNEX</w:t>
      </w:r>
      <w:r>
        <w:rPr>
          <w:rFonts w:ascii="Times New Roman" w:hAnsi="Times New Roman" w:cs="Times New Roman"/>
          <w:sz w:val="24"/>
          <w:szCs w:val="24"/>
          <w:lang w:val="en-GB"/>
        </w:rPr>
        <w:t xml:space="preserve"> III</w:t>
      </w:r>
      <w:r w:rsidRPr="00FF27C6">
        <w:rPr>
          <w:rFonts w:ascii="Times New Roman" w:hAnsi="Times New Roman" w:cs="Times New Roman"/>
          <w:sz w:val="24"/>
          <w:szCs w:val="24"/>
          <w:lang w:val="en-GB"/>
        </w:rPr>
        <w:t>: TOOLS FOR QUANTITATIVE ANALYSIS,</w:t>
      </w:r>
      <w:r>
        <w:rPr>
          <w:rFonts w:ascii="Times New Roman" w:hAnsi="Times New Roman" w:cs="Times New Roman"/>
          <w:sz w:val="24"/>
          <w:szCs w:val="24"/>
          <w:lang w:val="en-GB"/>
        </w:rPr>
        <w:t xml:space="preserve"> </w:t>
      </w:r>
      <w:r w:rsidRPr="00FF27C6">
        <w:rPr>
          <w:rFonts w:ascii="Times New Roman" w:hAnsi="Times New Roman" w:cs="Times New Roman"/>
          <w:sz w:val="24"/>
          <w:szCs w:val="24"/>
          <w:lang w:val="en-GB"/>
        </w:rPr>
        <w:t>ANNEX</w:t>
      </w:r>
      <w:r>
        <w:rPr>
          <w:rFonts w:ascii="Times New Roman" w:hAnsi="Times New Roman" w:cs="Times New Roman"/>
          <w:sz w:val="24"/>
          <w:szCs w:val="24"/>
          <w:lang w:val="en-GB"/>
        </w:rPr>
        <w:t xml:space="preserve"> </w:t>
      </w:r>
      <w:r w:rsidRPr="00FF27C6">
        <w:rPr>
          <w:rFonts w:ascii="Times New Roman" w:hAnsi="Times New Roman" w:cs="Times New Roman"/>
          <w:sz w:val="24"/>
          <w:szCs w:val="24"/>
          <w:lang w:val="en-GB"/>
        </w:rPr>
        <w:t>IV: LIST OF PROJECTS FROM THE INFRASTRUCTURE PLAN and</w:t>
      </w:r>
      <w:r>
        <w:rPr>
          <w:rFonts w:ascii="Times New Roman" w:hAnsi="Times New Roman" w:cs="Times New Roman"/>
          <w:sz w:val="24"/>
          <w:szCs w:val="24"/>
          <w:lang w:val="en-GB"/>
        </w:rPr>
        <w:t xml:space="preserve"> </w:t>
      </w:r>
      <w:r w:rsidRPr="00FF27C6">
        <w:rPr>
          <w:rFonts w:ascii="Times New Roman" w:hAnsi="Times New Roman" w:cs="Times New Roman"/>
          <w:sz w:val="24"/>
          <w:szCs w:val="24"/>
          <w:lang w:val="en-GB"/>
        </w:rPr>
        <w:t>ANNEX</w:t>
      </w:r>
      <w:r>
        <w:rPr>
          <w:rFonts w:ascii="Times New Roman" w:hAnsi="Times New Roman" w:cs="Times New Roman"/>
          <w:sz w:val="24"/>
          <w:szCs w:val="24"/>
          <w:lang w:val="en-GB"/>
        </w:rPr>
        <w:t xml:space="preserve"> </w:t>
      </w:r>
      <w:r w:rsidRPr="00FF27C6">
        <w:rPr>
          <w:rFonts w:ascii="Times New Roman" w:hAnsi="Times New Roman" w:cs="Times New Roman"/>
          <w:sz w:val="24"/>
          <w:szCs w:val="24"/>
          <w:lang w:val="en-GB"/>
        </w:rPr>
        <w:t>V: ADDITIONAL TABLES, are printed with this plan and form an integral part of it.</w:t>
      </w:r>
    </w:p>
    <w:p w14:paraId="6E1DF6DA" w14:textId="77777777" w:rsidR="00FF27C6" w:rsidRPr="00FF27C6" w:rsidRDefault="00FF27C6" w:rsidP="00FF27C6">
      <w:pPr>
        <w:ind w:firstLine="720"/>
        <w:jc w:val="both"/>
        <w:rPr>
          <w:rFonts w:ascii="Times New Roman" w:hAnsi="Times New Roman" w:cs="Times New Roman"/>
          <w:sz w:val="24"/>
          <w:szCs w:val="24"/>
          <w:lang w:val="en-GB"/>
        </w:rPr>
      </w:pPr>
      <w:r w:rsidRPr="00FF27C6">
        <w:rPr>
          <w:rFonts w:ascii="Times New Roman" w:hAnsi="Times New Roman" w:cs="Times New Roman"/>
          <w:sz w:val="24"/>
          <w:szCs w:val="24"/>
          <w:lang w:val="en-GB"/>
        </w:rPr>
        <w:t>This plan will be published in the "Official Gazette of the Republic of Serbia", on the website of the Government and the website of the Ministry of Mining and Energy.</w:t>
      </w:r>
    </w:p>
    <w:p w14:paraId="0E94032F" w14:textId="77777777" w:rsidR="00FF27C6" w:rsidRPr="00FF27C6" w:rsidRDefault="00FF27C6" w:rsidP="00FF27C6">
      <w:pPr>
        <w:jc w:val="both"/>
        <w:rPr>
          <w:rFonts w:ascii="Times New Roman" w:hAnsi="Times New Roman" w:cs="Times New Roman"/>
          <w:sz w:val="24"/>
          <w:szCs w:val="24"/>
          <w:lang w:val="en-GB"/>
        </w:rPr>
      </w:pPr>
      <w:r w:rsidRPr="00FF27C6">
        <w:rPr>
          <w:rFonts w:ascii="Times New Roman" w:hAnsi="Times New Roman" w:cs="Times New Roman"/>
          <w:sz w:val="24"/>
          <w:szCs w:val="24"/>
          <w:lang w:val="en-GB"/>
        </w:rPr>
        <w:t>05 Number: 353-7013/2024</w:t>
      </w:r>
    </w:p>
    <w:p w14:paraId="5F4ACA76" w14:textId="77777777" w:rsidR="00FF27C6" w:rsidRPr="00FF27C6" w:rsidRDefault="00FF27C6" w:rsidP="00FF27C6">
      <w:pPr>
        <w:jc w:val="both"/>
        <w:rPr>
          <w:rFonts w:ascii="Times New Roman" w:hAnsi="Times New Roman" w:cs="Times New Roman"/>
          <w:sz w:val="24"/>
          <w:szCs w:val="24"/>
          <w:lang w:val="en-GB"/>
        </w:rPr>
      </w:pPr>
      <w:r w:rsidRPr="00FF27C6">
        <w:rPr>
          <w:rFonts w:ascii="Times New Roman" w:hAnsi="Times New Roman" w:cs="Times New Roman"/>
          <w:sz w:val="24"/>
          <w:szCs w:val="24"/>
          <w:lang w:val="en-GB"/>
        </w:rPr>
        <w:t>In Belgrade, July 25, 2024</w:t>
      </w:r>
    </w:p>
    <w:p w14:paraId="5345E709" w14:textId="5A85E807" w:rsidR="00FF27C6" w:rsidRPr="00FF27C6" w:rsidRDefault="00FF27C6" w:rsidP="00FF27C6">
      <w:pPr>
        <w:jc w:val="center"/>
        <w:rPr>
          <w:rFonts w:ascii="Times New Roman" w:hAnsi="Times New Roman" w:cs="Times New Roman"/>
          <w:sz w:val="24"/>
          <w:szCs w:val="24"/>
          <w:lang w:val="en-GB"/>
        </w:rPr>
      </w:pPr>
      <w:r>
        <w:rPr>
          <w:rFonts w:ascii="Times New Roman" w:hAnsi="Times New Roman" w:cs="Times New Roman"/>
          <w:sz w:val="24"/>
          <w:szCs w:val="24"/>
          <w:lang w:val="en-GB"/>
        </w:rPr>
        <w:t>THE GOVERNMENT</w:t>
      </w:r>
    </w:p>
    <w:p w14:paraId="3BBD19C3" w14:textId="61343241" w:rsidR="00FF27C6" w:rsidRPr="00FF27C6" w:rsidRDefault="00FF27C6" w:rsidP="00FF27C6">
      <w:pPr>
        <w:jc w:val="right"/>
        <w:rPr>
          <w:rFonts w:ascii="Times New Roman" w:hAnsi="Times New Roman" w:cs="Times New Roman"/>
          <w:sz w:val="24"/>
          <w:szCs w:val="24"/>
          <w:lang w:val="en-GB"/>
        </w:rPr>
      </w:pPr>
      <w:r w:rsidRPr="00FF27C6">
        <w:rPr>
          <w:rFonts w:ascii="Times New Roman" w:hAnsi="Times New Roman" w:cs="Times New Roman"/>
          <w:sz w:val="24"/>
          <w:szCs w:val="24"/>
          <w:lang w:val="en-GB"/>
        </w:rPr>
        <w:t xml:space="preserve">  PRI</w:t>
      </w:r>
      <w:r>
        <w:rPr>
          <w:rFonts w:ascii="Times New Roman" w:hAnsi="Times New Roman" w:cs="Times New Roman"/>
          <w:sz w:val="24"/>
          <w:szCs w:val="24"/>
          <w:lang w:val="en-GB"/>
        </w:rPr>
        <w:t>M</w:t>
      </w:r>
      <w:r w:rsidRPr="00FF27C6">
        <w:rPr>
          <w:rFonts w:ascii="Times New Roman" w:hAnsi="Times New Roman" w:cs="Times New Roman"/>
          <w:sz w:val="24"/>
          <w:szCs w:val="24"/>
          <w:lang w:val="en-GB"/>
        </w:rPr>
        <w:t>E</w:t>
      </w:r>
      <w:r>
        <w:rPr>
          <w:rFonts w:ascii="Times New Roman" w:hAnsi="Times New Roman" w:cs="Times New Roman"/>
          <w:sz w:val="24"/>
          <w:szCs w:val="24"/>
          <w:lang w:val="en-GB"/>
        </w:rPr>
        <w:t xml:space="preserve"> MINISTER</w:t>
      </w:r>
    </w:p>
    <w:p w14:paraId="60923158" w14:textId="77777777" w:rsidR="00FF27C6" w:rsidRPr="00FF27C6" w:rsidRDefault="00FF27C6" w:rsidP="00FF27C6">
      <w:pPr>
        <w:jc w:val="both"/>
        <w:rPr>
          <w:rFonts w:ascii="Times New Roman" w:hAnsi="Times New Roman" w:cs="Times New Roman"/>
          <w:sz w:val="24"/>
          <w:szCs w:val="24"/>
          <w:lang w:val="en-GB"/>
        </w:rPr>
      </w:pPr>
    </w:p>
    <w:p w14:paraId="2D2849C5" w14:textId="29CDBCE8" w:rsidR="00614438" w:rsidRPr="00614438" w:rsidRDefault="00FF27C6" w:rsidP="00FF27C6">
      <w:pPr>
        <w:jc w:val="right"/>
        <w:rPr>
          <w:rFonts w:ascii="Times New Roman" w:hAnsi="Times New Roman" w:cs="Times New Roman"/>
          <w:sz w:val="24"/>
          <w:szCs w:val="24"/>
          <w:lang w:val="en-GB"/>
        </w:rPr>
        <w:sectPr w:rsidR="00614438" w:rsidRPr="00614438" w:rsidSect="00614438">
          <w:footerReference w:type="default" r:id="rId147"/>
          <w:pgSz w:w="11906" w:h="16838"/>
          <w:pgMar w:top="1134" w:right="1134" w:bottom="1134" w:left="1134" w:header="720" w:footer="720" w:gutter="0"/>
          <w:cols w:space="720"/>
        </w:sectPr>
      </w:pPr>
      <w:r w:rsidRPr="00FF27C6">
        <w:rPr>
          <w:rFonts w:ascii="Times New Roman" w:hAnsi="Times New Roman" w:cs="Times New Roman"/>
          <w:sz w:val="24"/>
          <w:szCs w:val="24"/>
          <w:lang w:val="en-GB"/>
        </w:rPr>
        <w:t>Miloš</w:t>
      </w:r>
      <w:r>
        <w:rPr>
          <w:rFonts w:ascii="Times New Roman" w:hAnsi="Times New Roman" w:cs="Times New Roman"/>
          <w:sz w:val="24"/>
          <w:szCs w:val="24"/>
          <w:lang w:val="en-GB"/>
        </w:rPr>
        <w:t xml:space="preserve"> </w:t>
      </w:r>
      <w:r w:rsidRPr="00FF27C6">
        <w:rPr>
          <w:rFonts w:ascii="Times New Roman" w:hAnsi="Times New Roman" w:cs="Times New Roman"/>
          <w:sz w:val="24"/>
          <w:szCs w:val="24"/>
          <w:lang w:val="en-GB"/>
        </w:rPr>
        <w:t>Vu</w:t>
      </w:r>
      <w:r>
        <w:rPr>
          <w:rFonts w:ascii="Times New Roman" w:hAnsi="Times New Roman" w:cs="Times New Roman"/>
          <w:sz w:val="24"/>
          <w:szCs w:val="24"/>
          <w:lang w:val="sr-Latn-RS"/>
        </w:rPr>
        <w:t>č</w:t>
      </w:r>
      <w:r w:rsidRPr="00FF27C6">
        <w:rPr>
          <w:rFonts w:ascii="Times New Roman" w:hAnsi="Times New Roman" w:cs="Times New Roman"/>
          <w:sz w:val="24"/>
          <w:szCs w:val="24"/>
          <w:lang w:val="en-GB"/>
        </w:rPr>
        <w:t>evi</w:t>
      </w:r>
      <w:r>
        <w:rPr>
          <w:rFonts w:ascii="Times New Roman" w:hAnsi="Times New Roman" w:cs="Times New Roman"/>
          <w:sz w:val="24"/>
          <w:szCs w:val="24"/>
          <w:lang w:val="en-GB"/>
        </w:rPr>
        <w:t>ć</w:t>
      </w:r>
    </w:p>
    <w:p w14:paraId="7DA2CB14" w14:textId="07361409" w:rsidR="00614438" w:rsidRPr="00614438" w:rsidRDefault="00FF27C6" w:rsidP="00485CA7">
      <w:pPr>
        <w:numPr>
          <w:ilvl w:val="0"/>
          <w:numId w:val="249"/>
        </w:numPr>
        <w:jc w:val="both"/>
        <w:rPr>
          <w:rFonts w:ascii="Times New Roman" w:hAnsi="Times New Roman" w:cs="Times New Roman"/>
          <w:sz w:val="24"/>
          <w:szCs w:val="24"/>
          <w:lang w:val="en-GB"/>
        </w:rPr>
      </w:pPr>
      <w:bookmarkStart w:id="660" w:name="_Hlk148602291"/>
      <w:r w:rsidRPr="00614438">
        <w:rPr>
          <w:rFonts w:ascii="Times New Roman" w:hAnsi="Times New Roman" w:cs="Times New Roman"/>
          <w:sz w:val="24"/>
          <w:szCs w:val="24"/>
          <w:lang w:val="en-GB"/>
        </w:rPr>
        <w:lastRenderedPageBreak/>
        <w:t xml:space="preserve"> </w:t>
      </w:r>
      <w:bookmarkStart w:id="661" w:name="_Toc153545062"/>
      <w:r w:rsidRPr="00614438">
        <w:rPr>
          <w:rFonts w:ascii="Times New Roman" w:hAnsi="Times New Roman" w:cs="Times New Roman"/>
          <w:sz w:val="24"/>
          <w:szCs w:val="24"/>
          <w:lang w:val="en-GB"/>
        </w:rPr>
        <w:t>ANNEX: SUMMARY TABLE OF MEASURES WITH IMPLEMENTATION COST</w:t>
      </w:r>
      <w:bookmarkEnd w:id="661"/>
    </w:p>
    <w:p w14:paraId="6955A72A" w14:textId="77777777" w:rsidR="00614438" w:rsidRPr="004F5BC1" w:rsidRDefault="00614438" w:rsidP="00614438">
      <w:pPr>
        <w:jc w:val="both"/>
        <w:rPr>
          <w:rFonts w:ascii="Times New Roman" w:hAnsi="Times New Roman" w:cs="Times New Roman"/>
          <w:sz w:val="14"/>
          <w:szCs w:val="14"/>
        </w:rPr>
      </w:pPr>
      <w:bookmarkStart w:id="662" w:name="_Toc153545080"/>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I</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Decarbonisation policy measures</w:t>
      </w:r>
      <w:bookmarkEnd w:id="662"/>
    </w:p>
    <w:tbl>
      <w:tblPr>
        <w:tblW w:w="5045" w:type="pct"/>
        <w:tblCellMar>
          <w:left w:w="57" w:type="dxa"/>
          <w:right w:w="57" w:type="dxa"/>
        </w:tblCellMar>
        <w:tblLook w:val="04A0" w:firstRow="1" w:lastRow="0" w:firstColumn="1" w:lastColumn="0" w:noHBand="0" w:noVBand="1"/>
      </w:tblPr>
      <w:tblGrid>
        <w:gridCol w:w="1673"/>
        <w:gridCol w:w="1047"/>
        <w:gridCol w:w="2349"/>
        <w:gridCol w:w="1172"/>
        <w:gridCol w:w="1355"/>
        <w:gridCol w:w="1475"/>
        <w:gridCol w:w="1043"/>
        <w:gridCol w:w="887"/>
        <w:gridCol w:w="1507"/>
        <w:gridCol w:w="1290"/>
        <w:gridCol w:w="893"/>
      </w:tblGrid>
      <w:tr w:rsidR="00390BED" w:rsidRPr="004F5BC1" w14:paraId="681B7A30" w14:textId="77777777" w:rsidTr="00390BED">
        <w:trPr>
          <w:trHeight w:val="20"/>
          <w:tblHeader/>
        </w:trPr>
        <w:tc>
          <w:tcPr>
            <w:tcW w:w="569" w:type="pct"/>
            <w:tcBorders>
              <w:top w:val="single" w:sz="4" w:space="0" w:color="auto"/>
              <w:left w:val="single" w:sz="4" w:space="0" w:color="auto"/>
              <w:bottom w:val="single" w:sz="4" w:space="0" w:color="auto"/>
              <w:right w:val="single" w:sz="4" w:space="0" w:color="auto"/>
            </w:tcBorders>
            <w:shd w:val="clear" w:color="auto" w:fill="BFBFBF"/>
            <w:vAlign w:val="center"/>
            <w:hideMark/>
          </w:tcPr>
          <w:bookmarkEnd w:id="660"/>
          <w:p w14:paraId="15FADB7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Dimension</w:t>
            </w:r>
          </w:p>
        </w:tc>
        <w:tc>
          <w:tcPr>
            <w:tcW w:w="356" w:type="pct"/>
            <w:tcBorders>
              <w:top w:val="single" w:sz="4" w:space="0" w:color="auto"/>
              <w:left w:val="nil"/>
              <w:bottom w:val="single" w:sz="4" w:space="0" w:color="auto"/>
              <w:right w:val="single" w:sz="4" w:space="0" w:color="auto"/>
            </w:tcBorders>
            <w:shd w:val="clear" w:color="auto" w:fill="BFBFBF"/>
            <w:vAlign w:val="center"/>
            <w:hideMark/>
          </w:tcPr>
          <w:p w14:paraId="53C30D1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PAM number</w:t>
            </w:r>
          </w:p>
        </w:tc>
        <w:tc>
          <w:tcPr>
            <w:tcW w:w="799" w:type="pct"/>
            <w:tcBorders>
              <w:top w:val="single" w:sz="4" w:space="0" w:color="auto"/>
              <w:left w:val="nil"/>
              <w:bottom w:val="single" w:sz="4" w:space="0" w:color="auto"/>
              <w:right w:val="single" w:sz="4" w:space="0" w:color="auto"/>
            </w:tcBorders>
            <w:shd w:val="clear" w:color="auto" w:fill="BFBFBF"/>
            <w:vAlign w:val="center"/>
            <w:hideMark/>
          </w:tcPr>
          <w:p w14:paraId="7CDA44E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Name of policy or measure</w:t>
            </w:r>
          </w:p>
        </w:tc>
        <w:tc>
          <w:tcPr>
            <w:tcW w:w="399" w:type="pct"/>
            <w:tcBorders>
              <w:top w:val="single" w:sz="4" w:space="0" w:color="auto"/>
              <w:left w:val="nil"/>
              <w:bottom w:val="single" w:sz="4" w:space="0" w:color="auto"/>
              <w:right w:val="single" w:sz="4" w:space="0" w:color="auto"/>
            </w:tcBorders>
            <w:shd w:val="clear" w:color="auto" w:fill="BFBFBF"/>
            <w:vAlign w:val="center"/>
            <w:hideMark/>
          </w:tcPr>
          <w:p w14:paraId="5C9172E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Type of measure</w:t>
            </w:r>
          </w:p>
        </w:tc>
        <w:tc>
          <w:tcPr>
            <w:tcW w:w="461" w:type="pct"/>
            <w:tcBorders>
              <w:top w:val="single" w:sz="4" w:space="0" w:color="auto"/>
              <w:left w:val="nil"/>
              <w:bottom w:val="single" w:sz="4" w:space="0" w:color="auto"/>
              <w:right w:val="single" w:sz="4" w:space="0" w:color="auto"/>
            </w:tcBorders>
            <w:shd w:val="clear" w:color="auto" w:fill="BFBFBF"/>
            <w:vAlign w:val="center"/>
            <w:hideMark/>
          </w:tcPr>
          <w:p w14:paraId="52F2223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Synergetic effects</w:t>
            </w:r>
          </w:p>
        </w:tc>
        <w:tc>
          <w:tcPr>
            <w:tcW w:w="502" w:type="pct"/>
            <w:tcBorders>
              <w:top w:val="single" w:sz="4" w:space="0" w:color="auto"/>
              <w:left w:val="nil"/>
              <w:bottom w:val="single" w:sz="4" w:space="0" w:color="auto"/>
              <w:right w:val="single" w:sz="4" w:space="0" w:color="auto"/>
            </w:tcBorders>
            <w:shd w:val="clear" w:color="auto" w:fill="BFBFBF"/>
            <w:vAlign w:val="center"/>
            <w:hideMark/>
          </w:tcPr>
          <w:p w14:paraId="2E16B1E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Implementation Cost (million €)</w:t>
            </w:r>
          </w:p>
        </w:tc>
        <w:tc>
          <w:tcPr>
            <w:tcW w:w="355" w:type="pct"/>
            <w:tcBorders>
              <w:top w:val="single" w:sz="4" w:space="0" w:color="auto"/>
              <w:left w:val="nil"/>
              <w:bottom w:val="single" w:sz="4" w:space="0" w:color="auto"/>
              <w:right w:val="single" w:sz="4" w:space="0" w:color="auto"/>
            </w:tcBorders>
            <w:shd w:val="clear" w:color="auto" w:fill="BFBFBF"/>
            <w:vAlign w:val="center"/>
            <w:hideMark/>
          </w:tcPr>
          <w:p w14:paraId="37B4C22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Planned public aid (million €)</w:t>
            </w:r>
          </w:p>
        </w:tc>
        <w:tc>
          <w:tcPr>
            <w:tcW w:w="302" w:type="pct"/>
            <w:tcBorders>
              <w:top w:val="single" w:sz="4" w:space="0" w:color="auto"/>
              <w:left w:val="nil"/>
              <w:bottom w:val="single" w:sz="4" w:space="0" w:color="auto"/>
              <w:right w:val="single" w:sz="4" w:space="0" w:color="auto"/>
            </w:tcBorders>
            <w:shd w:val="clear" w:color="auto" w:fill="BFBFBF"/>
            <w:vAlign w:val="center"/>
            <w:hideMark/>
          </w:tcPr>
          <w:p w14:paraId="2C89A2C5" w14:textId="33102FBF" w:rsidR="00614438" w:rsidRPr="004F5BC1" w:rsidRDefault="00390BED"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O</w:t>
            </w:r>
            <w:r w:rsidR="00614438" w:rsidRPr="004F5BC1">
              <w:rPr>
                <w:rFonts w:ascii="Times New Roman" w:hAnsi="Times New Roman" w:cs="Times New Roman"/>
                <w:sz w:val="14"/>
                <w:szCs w:val="14"/>
                <w:lang w:val="en-GB"/>
              </w:rPr>
              <w:t>wn Funds (million €)</w:t>
            </w:r>
          </w:p>
        </w:tc>
        <w:tc>
          <w:tcPr>
            <w:tcW w:w="513" w:type="pct"/>
            <w:tcBorders>
              <w:top w:val="single" w:sz="4" w:space="0" w:color="auto"/>
              <w:left w:val="nil"/>
              <w:bottom w:val="single" w:sz="4" w:space="0" w:color="auto"/>
              <w:right w:val="single" w:sz="4" w:space="0" w:color="auto"/>
            </w:tcBorders>
            <w:shd w:val="clear" w:color="auto" w:fill="BFBFBF"/>
            <w:vAlign w:val="center"/>
            <w:hideMark/>
          </w:tcPr>
          <w:p w14:paraId="37362D6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Projections scenario in which the PAM is included</w:t>
            </w:r>
          </w:p>
        </w:tc>
        <w:tc>
          <w:tcPr>
            <w:tcW w:w="439" w:type="pct"/>
            <w:tcBorders>
              <w:top w:val="single" w:sz="4" w:space="0" w:color="auto"/>
              <w:left w:val="nil"/>
              <w:bottom w:val="single" w:sz="4" w:space="0" w:color="auto"/>
              <w:right w:val="single" w:sz="4" w:space="0" w:color="auto"/>
            </w:tcBorders>
            <w:shd w:val="clear" w:color="auto" w:fill="BFBFBF"/>
            <w:vAlign w:val="center"/>
            <w:hideMark/>
          </w:tcPr>
          <w:p w14:paraId="3479312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CAPEX WEM (million €)</w:t>
            </w:r>
          </w:p>
        </w:tc>
        <w:tc>
          <w:tcPr>
            <w:tcW w:w="304" w:type="pct"/>
            <w:tcBorders>
              <w:top w:val="single" w:sz="4" w:space="0" w:color="auto"/>
              <w:left w:val="nil"/>
              <w:bottom w:val="single" w:sz="4" w:space="0" w:color="auto"/>
              <w:right w:val="single" w:sz="4" w:space="0" w:color="auto"/>
            </w:tcBorders>
            <w:shd w:val="clear" w:color="auto" w:fill="BFBFBF"/>
            <w:vAlign w:val="center"/>
            <w:hideMark/>
          </w:tcPr>
          <w:p w14:paraId="285F390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CAPEX WAM (million €)</w:t>
            </w:r>
          </w:p>
        </w:tc>
      </w:tr>
      <w:tr w:rsidR="00390BED" w:rsidRPr="004F5BC1" w14:paraId="22786FAE" w14:textId="77777777" w:rsidTr="00390BED">
        <w:trPr>
          <w:cantSplit/>
          <w:trHeight w:val="20"/>
        </w:trPr>
        <w:tc>
          <w:tcPr>
            <w:tcW w:w="569" w:type="pct"/>
            <w:vMerge w:val="restart"/>
            <w:tcBorders>
              <w:top w:val="nil"/>
              <w:left w:val="single" w:sz="4" w:space="0" w:color="auto"/>
              <w:bottom w:val="single" w:sz="4" w:space="0" w:color="auto"/>
              <w:right w:val="single" w:sz="4" w:space="0" w:color="auto"/>
            </w:tcBorders>
            <w:shd w:val="clear" w:color="auto" w:fill="BFBFBF"/>
            <w:vAlign w:val="center"/>
            <w:hideMark/>
          </w:tcPr>
          <w:p w14:paraId="012B699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Decarbonisation</w:t>
            </w:r>
          </w:p>
          <w:p w14:paraId="797DA94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56" w:type="pct"/>
            <w:tcBorders>
              <w:top w:val="nil"/>
              <w:left w:val="nil"/>
              <w:bottom w:val="nil"/>
              <w:right w:val="single" w:sz="2" w:space="0" w:color="auto"/>
            </w:tcBorders>
            <w:noWrap/>
            <w:vAlign w:val="bottom"/>
            <w:hideMark/>
          </w:tcPr>
          <w:p w14:paraId="64D30AB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PM_D1</w:t>
            </w:r>
          </w:p>
        </w:tc>
        <w:tc>
          <w:tcPr>
            <w:tcW w:w="799" w:type="pct"/>
            <w:tcBorders>
              <w:top w:val="single" w:sz="4" w:space="0" w:color="auto"/>
              <w:left w:val="single" w:sz="2" w:space="0" w:color="auto"/>
              <w:bottom w:val="single" w:sz="4" w:space="0" w:color="auto"/>
              <w:right w:val="nil"/>
            </w:tcBorders>
            <w:vAlign w:val="bottom"/>
            <w:hideMark/>
          </w:tcPr>
          <w:p w14:paraId="0F4DF2D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Introduction of carbon pricing on energy</w:t>
            </w:r>
          </w:p>
        </w:tc>
        <w:tc>
          <w:tcPr>
            <w:tcW w:w="399" w:type="pct"/>
            <w:tcBorders>
              <w:top w:val="nil"/>
              <w:left w:val="single" w:sz="4" w:space="0" w:color="auto"/>
              <w:bottom w:val="single" w:sz="4" w:space="0" w:color="auto"/>
              <w:right w:val="single" w:sz="4" w:space="0" w:color="auto"/>
            </w:tcBorders>
            <w:vAlign w:val="center"/>
            <w:hideMark/>
          </w:tcPr>
          <w:p w14:paraId="3C6A8B2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461" w:type="pct"/>
            <w:tcBorders>
              <w:top w:val="nil"/>
              <w:left w:val="nil"/>
              <w:bottom w:val="single" w:sz="4" w:space="0" w:color="auto"/>
              <w:right w:val="single" w:sz="4" w:space="0" w:color="auto"/>
            </w:tcBorders>
            <w:vAlign w:val="center"/>
            <w:hideMark/>
          </w:tcPr>
          <w:p w14:paraId="5E686D7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673B7CF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355" w:type="pct"/>
            <w:tcBorders>
              <w:top w:val="nil"/>
              <w:left w:val="nil"/>
              <w:bottom w:val="single" w:sz="4" w:space="0" w:color="auto"/>
              <w:right w:val="single" w:sz="4" w:space="0" w:color="auto"/>
            </w:tcBorders>
            <w:shd w:val="clear" w:color="auto" w:fill="E2EFDA"/>
            <w:vAlign w:val="center"/>
            <w:hideMark/>
          </w:tcPr>
          <w:p w14:paraId="7034EAD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302" w:type="pct"/>
            <w:tcBorders>
              <w:top w:val="nil"/>
              <w:left w:val="nil"/>
              <w:bottom w:val="single" w:sz="4" w:space="0" w:color="auto"/>
              <w:right w:val="single" w:sz="4" w:space="0" w:color="auto"/>
            </w:tcBorders>
            <w:shd w:val="clear" w:color="auto" w:fill="E2EFDA"/>
            <w:vAlign w:val="center"/>
            <w:hideMark/>
          </w:tcPr>
          <w:p w14:paraId="39210F6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2EFDA"/>
            <w:vAlign w:val="center"/>
            <w:hideMark/>
          </w:tcPr>
          <w:p w14:paraId="44595E6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439" w:type="pct"/>
            <w:tcBorders>
              <w:top w:val="nil"/>
              <w:left w:val="nil"/>
              <w:bottom w:val="single" w:sz="4" w:space="0" w:color="auto"/>
              <w:right w:val="single" w:sz="4" w:space="0" w:color="auto"/>
            </w:tcBorders>
            <w:shd w:val="clear" w:color="auto" w:fill="ED7D31"/>
            <w:vAlign w:val="center"/>
            <w:hideMark/>
          </w:tcPr>
          <w:p w14:paraId="338769C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304" w:type="pct"/>
            <w:tcBorders>
              <w:top w:val="nil"/>
              <w:left w:val="nil"/>
              <w:bottom w:val="single" w:sz="4" w:space="0" w:color="auto"/>
              <w:right w:val="single" w:sz="4" w:space="0" w:color="auto"/>
            </w:tcBorders>
            <w:shd w:val="clear" w:color="auto" w:fill="ED7D31"/>
            <w:vAlign w:val="center"/>
            <w:hideMark/>
          </w:tcPr>
          <w:p w14:paraId="6CF2321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r>
      <w:tr w:rsidR="00390BED" w:rsidRPr="004F5BC1" w14:paraId="48149C0B"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01611917"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single" w:sz="4" w:space="0" w:color="auto"/>
              <w:left w:val="nil"/>
              <w:bottom w:val="single" w:sz="4" w:space="0" w:color="auto"/>
              <w:right w:val="single" w:sz="4" w:space="0" w:color="auto"/>
            </w:tcBorders>
            <w:vAlign w:val="center"/>
            <w:hideMark/>
          </w:tcPr>
          <w:p w14:paraId="050C47A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PM_D2</w:t>
            </w:r>
          </w:p>
        </w:tc>
        <w:tc>
          <w:tcPr>
            <w:tcW w:w="799" w:type="pct"/>
            <w:tcBorders>
              <w:top w:val="single" w:sz="4" w:space="0" w:color="auto"/>
              <w:left w:val="nil"/>
              <w:bottom w:val="single" w:sz="4" w:space="0" w:color="auto"/>
              <w:right w:val="single" w:sz="4" w:space="0" w:color="auto"/>
            </w:tcBorders>
            <w:vAlign w:val="center"/>
            <w:hideMark/>
          </w:tcPr>
          <w:p w14:paraId="432558F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Monitoring and revision of the Low-carbon Development Strategy and implementation of the Climate Change Adaptation Programme with Action Plan</w:t>
            </w:r>
          </w:p>
        </w:tc>
        <w:tc>
          <w:tcPr>
            <w:tcW w:w="399" w:type="pct"/>
            <w:tcBorders>
              <w:top w:val="nil"/>
              <w:left w:val="nil"/>
              <w:bottom w:val="single" w:sz="4" w:space="0" w:color="auto"/>
              <w:right w:val="single" w:sz="4" w:space="0" w:color="auto"/>
            </w:tcBorders>
            <w:vAlign w:val="center"/>
            <w:hideMark/>
          </w:tcPr>
          <w:p w14:paraId="0AD1C5E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461" w:type="pct"/>
            <w:tcBorders>
              <w:top w:val="nil"/>
              <w:left w:val="nil"/>
              <w:bottom w:val="single" w:sz="4" w:space="0" w:color="auto"/>
              <w:right w:val="single" w:sz="4" w:space="0" w:color="auto"/>
            </w:tcBorders>
            <w:vAlign w:val="center"/>
            <w:hideMark/>
          </w:tcPr>
          <w:p w14:paraId="2CA26A9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6DE0E33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1.40</w:t>
            </w:r>
          </w:p>
        </w:tc>
        <w:tc>
          <w:tcPr>
            <w:tcW w:w="355" w:type="pct"/>
            <w:tcBorders>
              <w:top w:val="nil"/>
              <w:left w:val="nil"/>
              <w:bottom w:val="single" w:sz="4" w:space="0" w:color="auto"/>
              <w:right w:val="single" w:sz="4" w:space="0" w:color="auto"/>
            </w:tcBorders>
            <w:shd w:val="clear" w:color="auto" w:fill="E2EFDA"/>
            <w:vAlign w:val="center"/>
            <w:hideMark/>
          </w:tcPr>
          <w:p w14:paraId="677ADC6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1.40</w:t>
            </w:r>
          </w:p>
        </w:tc>
        <w:tc>
          <w:tcPr>
            <w:tcW w:w="302" w:type="pct"/>
            <w:tcBorders>
              <w:top w:val="nil"/>
              <w:left w:val="nil"/>
              <w:bottom w:val="single" w:sz="4" w:space="0" w:color="auto"/>
              <w:right w:val="single" w:sz="4" w:space="0" w:color="auto"/>
            </w:tcBorders>
            <w:shd w:val="clear" w:color="auto" w:fill="E2EFDA"/>
            <w:vAlign w:val="center"/>
            <w:hideMark/>
          </w:tcPr>
          <w:p w14:paraId="6F66204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D7D31"/>
            <w:vAlign w:val="center"/>
            <w:hideMark/>
          </w:tcPr>
          <w:p w14:paraId="3BF11AD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439" w:type="pct"/>
            <w:tcBorders>
              <w:top w:val="nil"/>
              <w:left w:val="nil"/>
              <w:bottom w:val="single" w:sz="4" w:space="0" w:color="auto"/>
              <w:right w:val="single" w:sz="4" w:space="0" w:color="auto"/>
            </w:tcBorders>
            <w:shd w:val="clear" w:color="auto" w:fill="ED7D31"/>
            <w:vAlign w:val="center"/>
            <w:hideMark/>
          </w:tcPr>
          <w:p w14:paraId="2BA0467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1.40</w:t>
            </w:r>
          </w:p>
        </w:tc>
        <w:tc>
          <w:tcPr>
            <w:tcW w:w="304" w:type="pct"/>
            <w:tcBorders>
              <w:top w:val="nil"/>
              <w:left w:val="nil"/>
              <w:bottom w:val="single" w:sz="4" w:space="0" w:color="auto"/>
              <w:right w:val="single" w:sz="4" w:space="0" w:color="auto"/>
            </w:tcBorders>
            <w:shd w:val="clear" w:color="auto" w:fill="ED7D31"/>
            <w:vAlign w:val="center"/>
            <w:hideMark/>
          </w:tcPr>
          <w:p w14:paraId="3EBBDCD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390BED" w:rsidRPr="004F5BC1" w14:paraId="6052DC36"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59B32DB5"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49ED5F2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PM_D3</w:t>
            </w:r>
          </w:p>
        </w:tc>
        <w:tc>
          <w:tcPr>
            <w:tcW w:w="799" w:type="pct"/>
            <w:tcBorders>
              <w:top w:val="nil"/>
              <w:left w:val="nil"/>
              <w:bottom w:val="single" w:sz="4" w:space="0" w:color="auto"/>
              <w:right w:val="single" w:sz="4" w:space="0" w:color="auto"/>
            </w:tcBorders>
            <w:vAlign w:val="center"/>
            <w:hideMark/>
          </w:tcPr>
          <w:p w14:paraId="32694D2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Promoting circular economy</w:t>
            </w:r>
          </w:p>
        </w:tc>
        <w:tc>
          <w:tcPr>
            <w:tcW w:w="399" w:type="pct"/>
            <w:tcBorders>
              <w:top w:val="nil"/>
              <w:left w:val="nil"/>
              <w:bottom w:val="single" w:sz="4" w:space="0" w:color="auto"/>
              <w:right w:val="single" w:sz="4" w:space="0" w:color="auto"/>
            </w:tcBorders>
            <w:vAlign w:val="center"/>
            <w:hideMark/>
          </w:tcPr>
          <w:p w14:paraId="0CC21BD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Reform </w:t>
            </w:r>
          </w:p>
        </w:tc>
        <w:tc>
          <w:tcPr>
            <w:tcW w:w="461" w:type="pct"/>
            <w:tcBorders>
              <w:top w:val="nil"/>
              <w:left w:val="nil"/>
              <w:bottom w:val="single" w:sz="4" w:space="0" w:color="auto"/>
              <w:right w:val="single" w:sz="4" w:space="0" w:color="auto"/>
            </w:tcBorders>
            <w:vAlign w:val="center"/>
            <w:hideMark/>
          </w:tcPr>
          <w:p w14:paraId="0DB33AA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2FDD3AC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4.50</w:t>
            </w:r>
          </w:p>
        </w:tc>
        <w:tc>
          <w:tcPr>
            <w:tcW w:w="355" w:type="pct"/>
            <w:tcBorders>
              <w:top w:val="nil"/>
              <w:left w:val="nil"/>
              <w:bottom w:val="single" w:sz="4" w:space="0" w:color="auto"/>
              <w:right w:val="single" w:sz="4" w:space="0" w:color="auto"/>
            </w:tcBorders>
            <w:shd w:val="clear" w:color="auto" w:fill="ED7D31"/>
            <w:vAlign w:val="center"/>
            <w:hideMark/>
          </w:tcPr>
          <w:p w14:paraId="5524F40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4.50</w:t>
            </w:r>
          </w:p>
        </w:tc>
        <w:tc>
          <w:tcPr>
            <w:tcW w:w="302" w:type="pct"/>
            <w:tcBorders>
              <w:top w:val="nil"/>
              <w:left w:val="nil"/>
              <w:bottom w:val="single" w:sz="4" w:space="0" w:color="auto"/>
              <w:right w:val="single" w:sz="4" w:space="0" w:color="auto"/>
            </w:tcBorders>
            <w:shd w:val="clear" w:color="auto" w:fill="ED7D31"/>
            <w:vAlign w:val="center"/>
            <w:hideMark/>
          </w:tcPr>
          <w:p w14:paraId="05B1B30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D7D31"/>
            <w:vAlign w:val="center"/>
            <w:hideMark/>
          </w:tcPr>
          <w:p w14:paraId="0D2E56F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439" w:type="pct"/>
            <w:tcBorders>
              <w:top w:val="nil"/>
              <w:left w:val="nil"/>
              <w:bottom w:val="single" w:sz="4" w:space="0" w:color="auto"/>
              <w:right w:val="single" w:sz="4" w:space="0" w:color="auto"/>
            </w:tcBorders>
            <w:shd w:val="clear" w:color="auto" w:fill="ED7D31"/>
            <w:vAlign w:val="center"/>
            <w:hideMark/>
          </w:tcPr>
          <w:p w14:paraId="45CAC40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4.50</w:t>
            </w:r>
          </w:p>
        </w:tc>
        <w:tc>
          <w:tcPr>
            <w:tcW w:w="304" w:type="pct"/>
            <w:tcBorders>
              <w:top w:val="nil"/>
              <w:left w:val="nil"/>
              <w:bottom w:val="single" w:sz="4" w:space="0" w:color="auto"/>
              <w:right w:val="single" w:sz="4" w:space="0" w:color="auto"/>
            </w:tcBorders>
            <w:shd w:val="clear" w:color="auto" w:fill="ED7D31"/>
            <w:vAlign w:val="center"/>
            <w:hideMark/>
          </w:tcPr>
          <w:p w14:paraId="0ED018C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390BED" w:rsidRPr="004F5BC1" w14:paraId="10F05C98"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65D6E89E"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00A6EFE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PM_D4</w:t>
            </w:r>
          </w:p>
        </w:tc>
        <w:tc>
          <w:tcPr>
            <w:tcW w:w="799" w:type="pct"/>
            <w:tcBorders>
              <w:top w:val="nil"/>
              <w:left w:val="nil"/>
              <w:bottom w:val="single" w:sz="4" w:space="0" w:color="auto"/>
              <w:right w:val="single" w:sz="4" w:space="0" w:color="auto"/>
            </w:tcBorders>
            <w:vAlign w:val="center"/>
            <w:hideMark/>
          </w:tcPr>
          <w:p w14:paraId="1F4E707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Organizing awareness campaigns for better information dissemination about climate change</w:t>
            </w:r>
          </w:p>
        </w:tc>
        <w:tc>
          <w:tcPr>
            <w:tcW w:w="399" w:type="pct"/>
            <w:tcBorders>
              <w:top w:val="nil"/>
              <w:left w:val="nil"/>
              <w:bottom w:val="single" w:sz="4" w:space="0" w:color="auto"/>
              <w:right w:val="single" w:sz="4" w:space="0" w:color="auto"/>
            </w:tcBorders>
            <w:vAlign w:val="center"/>
            <w:hideMark/>
          </w:tcPr>
          <w:p w14:paraId="1F3CA51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Reform </w:t>
            </w:r>
          </w:p>
        </w:tc>
        <w:tc>
          <w:tcPr>
            <w:tcW w:w="461" w:type="pct"/>
            <w:tcBorders>
              <w:top w:val="nil"/>
              <w:left w:val="nil"/>
              <w:bottom w:val="single" w:sz="4" w:space="0" w:color="auto"/>
              <w:right w:val="single" w:sz="4" w:space="0" w:color="auto"/>
            </w:tcBorders>
            <w:vAlign w:val="center"/>
            <w:hideMark/>
          </w:tcPr>
          <w:p w14:paraId="749693B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D7D31"/>
            <w:vAlign w:val="center"/>
            <w:hideMark/>
          </w:tcPr>
          <w:p w14:paraId="4FAD138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under examination</w:t>
            </w:r>
          </w:p>
        </w:tc>
        <w:tc>
          <w:tcPr>
            <w:tcW w:w="355" w:type="pct"/>
            <w:tcBorders>
              <w:top w:val="nil"/>
              <w:left w:val="nil"/>
              <w:bottom w:val="single" w:sz="4" w:space="0" w:color="auto"/>
              <w:right w:val="single" w:sz="4" w:space="0" w:color="auto"/>
            </w:tcBorders>
            <w:shd w:val="clear" w:color="auto" w:fill="ED7D31"/>
            <w:vAlign w:val="center"/>
            <w:hideMark/>
          </w:tcPr>
          <w:p w14:paraId="3DD30E0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02" w:type="pct"/>
            <w:tcBorders>
              <w:top w:val="nil"/>
              <w:left w:val="nil"/>
              <w:bottom w:val="single" w:sz="4" w:space="0" w:color="auto"/>
              <w:right w:val="single" w:sz="4" w:space="0" w:color="auto"/>
            </w:tcBorders>
            <w:shd w:val="clear" w:color="auto" w:fill="ED7D31"/>
            <w:vAlign w:val="center"/>
            <w:hideMark/>
          </w:tcPr>
          <w:p w14:paraId="64CD7F7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13" w:type="pct"/>
            <w:tcBorders>
              <w:top w:val="nil"/>
              <w:left w:val="nil"/>
              <w:bottom w:val="single" w:sz="4" w:space="0" w:color="auto"/>
              <w:right w:val="single" w:sz="4" w:space="0" w:color="auto"/>
            </w:tcBorders>
            <w:shd w:val="clear" w:color="auto" w:fill="ED7D31"/>
            <w:vAlign w:val="center"/>
            <w:hideMark/>
          </w:tcPr>
          <w:p w14:paraId="3AA044D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439" w:type="pct"/>
            <w:tcBorders>
              <w:top w:val="nil"/>
              <w:left w:val="nil"/>
              <w:bottom w:val="single" w:sz="4" w:space="0" w:color="auto"/>
              <w:right w:val="single" w:sz="4" w:space="0" w:color="auto"/>
            </w:tcBorders>
            <w:shd w:val="clear" w:color="auto" w:fill="ED7D31"/>
            <w:vAlign w:val="center"/>
            <w:hideMark/>
          </w:tcPr>
          <w:p w14:paraId="317E881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under examination</w:t>
            </w:r>
          </w:p>
        </w:tc>
        <w:tc>
          <w:tcPr>
            <w:tcW w:w="304" w:type="pct"/>
            <w:tcBorders>
              <w:top w:val="nil"/>
              <w:left w:val="nil"/>
              <w:bottom w:val="single" w:sz="4" w:space="0" w:color="auto"/>
              <w:right w:val="single" w:sz="4" w:space="0" w:color="auto"/>
            </w:tcBorders>
            <w:shd w:val="clear" w:color="auto" w:fill="ED7D31"/>
            <w:vAlign w:val="center"/>
            <w:hideMark/>
          </w:tcPr>
          <w:p w14:paraId="5E37778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390BED" w:rsidRPr="004F5BC1" w14:paraId="25D7DA08"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701CE6B1"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1FCB0C5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PM_D6</w:t>
            </w:r>
          </w:p>
        </w:tc>
        <w:tc>
          <w:tcPr>
            <w:tcW w:w="799" w:type="pct"/>
            <w:tcBorders>
              <w:top w:val="nil"/>
              <w:left w:val="nil"/>
              <w:bottom w:val="single" w:sz="4" w:space="0" w:color="auto"/>
              <w:right w:val="single" w:sz="4" w:space="0" w:color="auto"/>
            </w:tcBorders>
            <w:vAlign w:val="center"/>
            <w:hideMark/>
          </w:tcPr>
          <w:p w14:paraId="4BA518C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Monitoring and revision of Just Transition Plan </w:t>
            </w:r>
          </w:p>
        </w:tc>
        <w:tc>
          <w:tcPr>
            <w:tcW w:w="399" w:type="pct"/>
            <w:tcBorders>
              <w:top w:val="nil"/>
              <w:left w:val="nil"/>
              <w:bottom w:val="single" w:sz="4" w:space="0" w:color="auto"/>
              <w:right w:val="single" w:sz="4" w:space="0" w:color="auto"/>
            </w:tcBorders>
            <w:vAlign w:val="center"/>
            <w:hideMark/>
          </w:tcPr>
          <w:p w14:paraId="17B48CD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Reform </w:t>
            </w:r>
          </w:p>
        </w:tc>
        <w:tc>
          <w:tcPr>
            <w:tcW w:w="461" w:type="pct"/>
            <w:tcBorders>
              <w:top w:val="nil"/>
              <w:left w:val="nil"/>
              <w:bottom w:val="single" w:sz="4" w:space="0" w:color="auto"/>
              <w:right w:val="single" w:sz="4" w:space="0" w:color="auto"/>
            </w:tcBorders>
            <w:vAlign w:val="center"/>
            <w:hideMark/>
          </w:tcPr>
          <w:p w14:paraId="048B17C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671CE03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2.00</w:t>
            </w:r>
          </w:p>
        </w:tc>
        <w:tc>
          <w:tcPr>
            <w:tcW w:w="355" w:type="pct"/>
            <w:tcBorders>
              <w:top w:val="nil"/>
              <w:left w:val="nil"/>
              <w:bottom w:val="single" w:sz="4" w:space="0" w:color="auto"/>
              <w:right w:val="single" w:sz="4" w:space="0" w:color="auto"/>
            </w:tcBorders>
            <w:shd w:val="clear" w:color="auto" w:fill="E2EFDA"/>
            <w:vAlign w:val="center"/>
            <w:hideMark/>
          </w:tcPr>
          <w:p w14:paraId="59D1DE5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1.00</w:t>
            </w:r>
          </w:p>
        </w:tc>
        <w:tc>
          <w:tcPr>
            <w:tcW w:w="302" w:type="pct"/>
            <w:tcBorders>
              <w:top w:val="nil"/>
              <w:left w:val="nil"/>
              <w:bottom w:val="single" w:sz="4" w:space="0" w:color="auto"/>
              <w:right w:val="single" w:sz="4" w:space="0" w:color="auto"/>
            </w:tcBorders>
            <w:shd w:val="clear" w:color="auto" w:fill="E2EFDA"/>
            <w:vAlign w:val="center"/>
            <w:hideMark/>
          </w:tcPr>
          <w:p w14:paraId="634C8DD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1.00</w:t>
            </w:r>
          </w:p>
        </w:tc>
        <w:tc>
          <w:tcPr>
            <w:tcW w:w="513" w:type="pct"/>
            <w:tcBorders>
              <w:top w:val="nil"/>
              <w:left w:val="nil"/>
              <w:bottom w:val="single" w:sz="4" w:space="0" w:color="auto"/>
              <w:right w:val="single" w:sz="4" w:space="0" w:color="auto"/>
            </w:tcBorders>
            <w:shd w:val="clear" w:color="auto" w:fill="ED7D31"/>
            <w:vAlign w:val="center"/>
            <w:hideMark/>
          </w:tcPr>
          <w:p w14:paraId="0AE98AA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439" w:type="pct"/>
            <w:tcBorders>
              <w:top w:val="nil"/>
              <w:left w:val="nil"/>
              <w:bottom w:val="single" w:sz="4" w:space="0" w:color="auto"/>
              <w:right w:val="single" w:sz="4" w:space="0" w:color="auto"/>
            </w:tcBorders>
            <w:shd w:val="clear" w:color="auto" w:fill="ED7D31"/>
            <w:vAlign w:val="center"/>
            <w:hideMark/>
          </w:tcPr>
          <w:p w14:paraId="3C7A037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2.00</w:t>
            </w:r>
          </w:p>
        </w:tc>
        <w:tc>
          <w:tcPr>
            <w:tcW w:w="304" w:type="pct"/>
            <w:tcBorders>
              <w:top w:val="nil"/>
              <w:left w:val="nil"/>
              <w:bottom w:val="single" w:sz="4" w:space="0" w:color="auto"/>
              <w:right w:val="single" w:sz="4" w:space="0" w:color="auto"/>
            </w:tcBorders>
            <w:shd w:val="clear" w:color="auto" w:fill="ED7D31"/>
            <w:vAlign w:val="center"/>
            <w:hideMark/>
          </w:tcPr>
          <w:p w14:paraId="2FE2AB7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390BED" w:rsidRPr="004F5BC1" w14:paraId="1C6F0997"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64D41F6C"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38C66D1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PM_D5</w:t>
            </w:r>
          </w:p>
        </w:tc>
        <w:tc>
          <w:tcPr>
            <w:tcW w:w="799" w:type="pct"/>
            <w:tcBorders>
              <w:top w:val="nil"/>
              <w:left w:val="nil"/>
              <w:bottom w:val="single" w:sz="4" w:space="0" w:color="auto"/>
              <w:right w:val="single" w:sz="4" w:space="0" w:color="auto"/>
            </w:tcBorders>
            <w:vAlign w:val="center"/>
            <w:hideMark/>
          </w:tcPr>
          <w:p w14:paraId="2F54ED8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Implementation of best available technologies in production processes in specific industries</w:t>
            </w:r>
          </w:p>
        </w:tc>
        <w:tc>
          <w:tcPr>
            <w:tcW w:w="399" w:type="pct"/>
            <w:tcBorders>
              <w:top w:val="nil"/>
              <w:left w:val="nil"/>
              <w:bottom w:val="single" w:sz="4" w:space="0" w:color="auto"/>
              <w:right w:val="single" w:sz="4" w:space="0" w:color="auto"/>
            </w:tcBorders>
            <w:vAlign w:val="center"/>
            <w:hideMark/>
          </w:tcPr>
          <w:p w14:paraId="6829B89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nil"/>
              <w:left w:val="nil"/>
              <w:bottom w:val="single" w:sz="4" w:space="0" w:color="auto"/>
              <w:right w:val="single" w:sz="4" w:space="0" w:color="auto"/>
            </w:tcBorders>
            <w:vAlign w:val="center"/>
            <w:hideMark/>
          </w:tcPr>
          <w:p w14:paraId="239AB96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01C710F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29.00</w:t>
            </w:r>
          </w:p>
        </w:tc>
        <w:tc>
          <w:tcPr>
            <w:tcW w:w="355" w:type="pct"/>
            <w:tcBorders>
              <w:top w:val="nil"/>
              <w:left w:val="nil"/>
              <w:bottom w:val="single" w:sz="4" w:space="0" w:color="auto"/>
              <w:right w:val="single" w:sz="4" w:space="0" w:color="auto"/>
            </w:tcBorders>
            <w:shd w:val="clear" w:color="auto" w:fill="E2EFDA"/>
            <w:vAlign w:val="center"/>
            <w:hideMark/>
          </w:tcPr>
          <w:p w14:paraId="4CE1985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29.00</w:t>
            </w:r>
          </w:p>
        </w:tc>
        <w:tc>
          <w:tcPr>
            <w:tcW w:w="302" w:type="pct"/>
            <w:tcBorders>
              <w:top w:val="nil"/>
              <w:left w:val="nil"/>
              <w:bottom w:val="single" w:sz="4" w:space="0" w:color="auto"/>
              <w:right w:val="single" w:sz="4" w:space="0" w:color="auto"/>
            </w:tcBorders>
            <w:shd w:val="clear" w:color="auto" w:fill="E2EFDA"/>
            <w:vAlign w:val="center"/>
            <w:hideMark/>
          </w:tcPr>
          <w:p w14:paraId="059DEA3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D7D31"/>
            <w:vAlign w:val="center"/>
            <w:hideMark/>
          </w:tcPr>
          <w:p w14:paraId="162F420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439" w:type="pct"/>
            <w:tcBorders>
              <w:top w:val="nil"/>
              <w:left w:val="nil"/>
              <w:bottom w:val="single" w:sz="4" w:space="0" w:color="auto"/>
              <w:right w:val="single" w:sz="4" w:space="0" w:color="auto"/>
            </w:tcBorders>
            <w:shd w:val="clear" w:color="auto" w:fill="ED7D31"/>
            <w:vAlign w:val="center"/>
            <w:hideMark/>
          </w:tcPr>
          <w:p w14:paraId="2E05F98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29.00</w:t>
            </w:r>
          </w:p>
        </w:tc>
        <w:tc>
          <w:tcPr>
            <w:tcW w:w="304" w:type="pct"/>
            <w:tcBorders>
              <w:top w:val="nil"/>
              <w:left w:val="nil"/>
              <w:bottom w:val="single" w:sz="4" w:space="0" w:color="auto"/>
              <w:right w:val="single" w:sz="4" w:space="0" w:color="auto"/>
            </w:tcBorders>
            <w:shd w:val="clear" w:color="auto" w:fill="ED7D31"/>
            <w:vAlign w:val="center"/>
            <w:hideMark/>
          </w:tcPr>
          <w:p w14:paraId="3641FC0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390BED" w:rsidRPr="004F5BC1" w14:paraId="2226A727"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6ACFA64B"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3B2B6D2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PM_D5.1</w:t>
            </w:r>
          </w:p>
        </w:tc>
        <w:tc>
          <w:tcPr>
            <w:tcW w:w="799" w:type="pct"/>
            <w:tcBorders>
              <w:top w:val="nil"/>
              <w:left w:val="nil"/>
              <w:bottom w:val="single" w:sz="4" w:space="0" w:color="auto"/>
              <w:right w:val="single" w:sz="4" w:space="0" w:color="auto"/>
            </w:tcBorders>
            <w:vAlign w:val="center"/>
            <w:hideMark/>
          </w:tcPr>
          <w:p w14:paraId="0C0840C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Measures for the reduction of emissions of fluorinated gases with greenhouse effect in the refrigeration and air conditioning equipment</w:t>
            </w:r>
          </w:p>
        </w:tc>
        <w:tc>
          <w:tcPr>
            <w:tcW w:w="399" w:type="pct"/>
            <w:tcBorders>
              <w:top w:val="nil"/>
              <w:left w:val="nil"/>
              <w:bottom w:val="single" w:sz="4" w:space="0" w:color="auto"/>
              <w:right w:val="single" w:sz="4" w:space="0" w:color="auto"/>
            </w:tcBorders>
            <w:vAlign w:val="center"/>
            <w:hideMark/>
          </w:tcPr>
          <w:p w14:paraId="33A9B53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nil"/>
              <w:left w:val="nil"/>
              <w:bottom w:val="single" w:sz="4" w:space="0" w:color="auto"/>
              <w:right w:val="single" w:sz="4" w:space="0" w:color="auto"/>
            </w:tcBorders>
            <w:vAlign w:val="center"/>
            <w:hideMark/>
          </w:tcPr>
          <w:p w14:paraId="1099A4D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7154DBB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under examination</w:t>
            </w:r>
          </w:p>
        </w:tc>
        <w:tc>
          <w:tcPr>
            <w:tcW w:w="355" w:type="pct"/>
            <w:tcBorders>
              <w:top w:val="nil"/>
              <w:left w:val="nil"/>
              <w:bottom w:val="single" w:sz="4" w:space="0" w:color="auto"/>
              <w:right w:val="single" w:sz="4" w:space="0" w:color="auto"/>
            </w:tcBorders>
            <w:shd w:val="clear" w:color="auto" w:fill="E2EFDA"/>
            <w:vAlign w:val="center"/>
            <w:hideMark/>
          </w:tcPr>
          <w:p w14:paraId="5F7DC3A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02" w:type="pct"/>
            <w:tcBorders>
              <w:top w:val="nil"/>
              <w:left w:val="nil"/>
              <w:bottom w:val="single" w:sz="4" w:space="0" w:color="auto"/>
              <w:right w:val="single" w:sz="4" w:space="0" w:color="auto"/>
            </w:tcBorders>
            <w:shd w:val="clear" w:color="auto" w:fill="E2EFDA"/>
            <w:vAlign w:val="center"/>
            <w:hideMark/>
          </w:tcPr>
          <w:p w14:paraId="76C71B0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13" w:type="pct"/>
            <w:tcBorders>
              <w:top w:val="nil"/>
              <w:left w:val="nil"/>
              <w:bottom w:val="single" w:sz="4" w:space="0" w:color="auto"/>
              <w:right w:val="single" w:sz="4" w:space="0" w:color="auto"/>
            </w:tcBorders>
            <w:shd w:val="clear" w:color="auto" w:fill="ED7D31"/>
            <w:vAlign w:val="center"/>
            <w:hideMark/>
          </w:tcPr>
          <w:p w14:paraId="4F65D5E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439" w:type="pct"/>
            <w:tcBorders>
              <w:top w:val="nil"/>
              <w:left w:val="nil"/>
              <w:bottom w:val="single" w:sz="4" w:space="0" w:color="auto"/>
              <w:right w:val="single" w:sz="4" w:space="0" w:color="auto"/>
            </w:tcBorders>
            <w:shd w:val="clear" w:color="auto" w:fill="ED7D31"/>
            <w:vAlign w:val="center"/>
            <w:hideMark/>
          </w:tcPr>
          <w:p w14:paraId="10CCF06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under examination</w:t>
            </w:r>
          </w:p>
        </w:tc>
        <w:tc>
          <w:tcPr>
            <w:tcW w:w="304" w:type="pct"/>
            <w:tcBorders>
              <w:top w:val="nil"/>
              <w:left w:val="nil"/>
              <w:bottom w:val="single" w:sz="4" w:space="0" w:color="auto"/>
              <w:right w:val="single" w:sz="4" w:space="0" w:color="auto"/>
            </w:tcBorders>
            <w:shd w:val="clear" w:color="auto" w:fill="ED7D31"/>
            <w:vAlign w:val="center"/>
            <w:hideMark/>
          </w:tcPr>
          <w:p w14:paraId="212EF98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390BED" w:rsidRPr="004F5BC1" w14:paraId="220E0776"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3FE73C1D"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24FA002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PM_D14</w:t>
            </w:r>
          </w:p>
        </w:tc>
        <w:tc>
          <w:tcPr>
            <w:tcW w:w="799" w:type="pct"/>
            <w:tcBorders>
              <w:top w:val="nil"/>
              <w:left w:val="nil"/>
              <w:bottom w:val="single" w:sz="4" w:space="0" w:color="auto"/>
              <w:right w:val="single" w:sz="4" w:space="0" w:color="auto"/>
            </w:tcBorders>
            <w:vAlign w:val="center"/>
            <w:hideMark/>
          </w:tcPr>
          <w:p w14:paraId="25E5777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Improvement of wastewater treatment and discharge system</w:t>
            </w:r>
          </w:p>
        </w:tc>
        <w:tc>
          <w:tcPr>
            <w:tcW w:w="399" w:type="pct"/>
            <w:tcBorders>
              <w:top w:val="nil"/>
              <w:left w:val="nil"/>
              <w:bottom w:val="single" w:sz="4" w:space="0" w:color="auto"/>
              <w:right w:val="single" w:sz="4" w:space="0" w:color="auto"/>
            </w:tcBorders>
            <w:vAlign w:val="center"/>
            <w:hideMark/>
          </w:tcPr>
          <w:p w14:paraId="6F24139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nil"/>
              <w:left w:val="nil"/>
              <w:bottom w:val="single" w:sz="4" w:space="0" w:color="auto"/>
              <w:right w:val="single" w:sz="4" w:space="0" w:color="auto"/>
            </w:tcBorders>
            <w:vAlign w:val="center"/>
            <w:hideMark/>
          </w:tcPr>
          <w:p w14:paraId="5611B85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00D9CBE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90.00</w:t>
            </w:r>
          </w:p>
        </w:tc>
        <w:tc>
          <w:tcPr>
            <w:tcW w:w="355" w:type="pct"/>
            <w:tcBorders>
              <w:top w:val="nil"/>
              <w:left w:val="nil"/>
              <w:bottom w:val="single" w:sz="4" w:space="0" w:color="auto"/>
              <w:right w:val="single" w:sz="4" w:space="0" w:color="auto"/>
            </w:tcBorders>
            <w:shd w:val="clear" w:color="auto" w:fill="E2EFDA"/>
            <w:vAlign w:val="center"/>
            <w:hideMark/>
          </w:tcPr>
          <w:p w14:paraId="3E7139A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90.00</w:t>
            </w:r>
          </w:p>
        </w:tc>
        <w:tc>
          <w:tcPr>
            <w:tcW w:w="302" w:type="pct"/>
            <w:tcBorders>
              <w:top w:val="nil"/>
              <w:left w:val="nil"/>
              <w:bottom w:val="single" w:sz="4" w:space="0" w:color="auto"/>
              <w:right w:val="single" w:sz="4" w:space="0" w:color="auto"/>
            </w:tcBorders>
            <w:shd w:val="clear" w:color="auto" w:fill="E2EFDA"/>
            <w:vAlign w:val="center"/>
            <w:hideMark/>
          </w:tcPr>
          <w:p w14:paraId="18BCE35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D7D31"/>
            <w:vAlign w:val="center"/>
            <w:hideMark/>
          </w:tcPr>
          <w:p w14:paraId="2169ECE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439" w:type="pct"/>
            <w:tcBorders>
              <w:top w:val="nil"/>
              <w:left w:val="nil"/>
              <w:bottom w:val="single" w:sz="4" w:space="0" w:color="auto"/>
              <w:right w:val="single" w:sz="4" w:space="0" w:color="auto"/>
            </w:tcBorders>
            <w:shd w:val="clear" w:color="auto" w:fill="ED7D31"/>
            <w:vAlign w:val="center"/>
            <w:hideMark/>
          </w:tcPr>
          <w:p w14:paraId="77B2162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90.00</w:t>
            </w:r>
          </w:p>
        </w:tc>
        <w:tc>
          <w:tcPr>
            <w:tcW w:w="304" w:type="pct"/>
            <w:tcBorders>
              <w:top w:val="nil"/>
              <w:left w:val="nil"/>
              <w:bottom w:val="single" w:sz="4" w:space="0" w:color="auto"/>
              <w:right w:val="single" w:sz="4" w:space="0" w:color="auto"/>
            </w:tcBorders>
            <w:shd w:val="clear" w:color="auto" w:fill="ED7D31"/>
            <w:vAlign w:val="center"/>
            <w:hideMark/>
          </w:tcPr>
          <w:p w14:paraId="0608FE3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390BED" w:rsidRPr="004F5BC1" w14:paraId="0B5A6790"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0F40EE2C"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48FDB93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PM_D15</w:t>
            </w:r>
          </w:p>
        </w:tc>
        <w:tc>
          <w:tcPr>
            <w:tcW w:w="799" w:type="pct"/>
            <w:tcBorders>
              <w:top w:val="nil"/>
              <w:left w:val="nil"/>
              <w:bottom w:val="single" w:sz="4" w:space="0" w:color="auto"/>
              <w:right w:val="single" w:sz="4" w:space="0" w:color="auto"/>
            </w:tcBorders>
            <w:vAlign w:val="center"/>
            <w:hideMark/>
          </w:tcPr>
          <w:p w14:paraId="48B76BC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Improvement of municipal waste management system, through increased recycling rates, reduced disposal of biodegradable waste on landfills and unsanitary landfills</w:t>
            </w:r>
          </w:p>
        </w:tc>
        <w:tc>
          <w:tcPr>
            <w:tcW w:w="399" w:type="pct"/>
            <w:tcBorders>
              <w:top w:val="nil"/>
              <w:left w:val="nil"/>
              <w:bottom w:val="single" w:sz="4" w:space="0" w:color="auto"/>
              <w:right w:val="single" w:sz="4" w:space="0" w:color="auto"/>
            </w:tcBorders>
            <w:vAlign w:val="center"/>
            <w:hideMark/>
          </w:tcPr>
          <w:p w14:paraId="3FAE108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nil"/>
              <w:left w:val="nil"/>
              <w:bottom w:val="single" w:sz="4" w:space="0" w:color="auto"/>
              <w:right w:val="single" w:sz="4" w:space="0" w:color="auto"/>
            </w:tcBorders>
            <w:vAlign w:val="center"/>
            <w:hideMark/>
          </w:tcPr>
          <w:p w14:paraId="13BDBC9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70F92F7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80.00</w:t>
            </w:r>
          </w:p>
        </w:tc>
        <w:tc>
          <w:tcPr>
            <w:tcW w:w="355" w:type="pct"/>
            <w:tcBorders>
              <w:top w:val="nil"/>
              <w:left w:val="nil"/>
              <w:bottom w:val="single" w:sz="4" w:space="0" w:color="auto"/>
              <w:right w:val="single" w:sz="4" w:space="0" w:color="auto"/>
            </w:tcBorders>
            <w:shd w:val="clear" w:color="auto" w:fill="E2EFDA"/>
            <w:vAlign w:val="center"/>
            <w:hideMark/>
          </w:tcPr>
          <w:p w14:paraId="229DF78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80.00</w:t>
            </w:r>
          </w:p>
        </w:tc>
        <w:tc>
          <w:tcPr>
            <w:tcW w:w="302" w:type="pct"/>
            <w:tcBorders>
              <w:top w:val="nil"/>
              <w:left w:val="nil"/>
              <w:bottom w:val="single" w:sz="4" w:space="0" w:color="auto"/>
              <w:right w:val="single" w:sz="4" w:space="0" w:color="auto"/>
            </w:tcBorders>
            <w:shd w:val="clear" w:color="auto" w:fill="E2EFDA"/>
            <w:vAlign w:val="center"/>
            <w:hideMark/>
          </w:tcPr>
          <w:p w14:paraId="212E3BC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D7D31"/>
            <w:vAlign w:val="center"/>
            <w:hideMark/>
          </w:tcPr>
          <w:p w14:paraId="05B8288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439" w:type="pct"/>
            <w:tcBorders>
              <w:top w:val="nil"/>
              <w:left w:val="nil"/>
              <w:bottom w:val="single" w:sz="4" w:space="0" w:color="auto"/>
              <w:right w:val="single" w:sz="4" w:space="0" w:color="auto"/>
            </w:tcBorders>
            <w:shd w:val="clear" w:color="auto" w:fill="ED7D31"/>
            <w:vAlign w:val="center"/>
            <w:hideMark/>
          </w:tcPr>
          <w:p w14:paraId="04F841E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80.00</w:t>
            </w:r>
          </w:p>
        </w:tc>
        <w:tc>
          <w:tcPr>
            <w:tcW w:w="304" w:type="pct"/>
            <w:tcBorders>
              <w:top w:val="nil"/>
              <w:left w:val="nil"/>
              <w:bottom w:val="single" w:sz="4" w:space="0" w:color="auto"/>
              <w:right w:val="single" w:sz="4" w:space="0" w:color="auto"/>
            </w:tcBorders>
            <w:shd w:val="clear" w:color="auto" w:fill="ED7D31"/>
            <w:vAlign w:val="center"/>
            <w:hideMark/>
          </w:tcPr>
          <w:p w14:paraId="4303FEF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390BED" w:rsidRPr="004F5BC1" w14:paraId="4AFF7A5F"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2643BA82"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0F56D3B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PM_D16</w:t>
            </w:r>
          </w:p>
        </w:tc>
        <w:tc>
          <w:tcPr>
            <w:tcW w:w="799" w:type="pct"/>
            <w:tcBorders>
              <w:top w:val="nil"/>
              <w:left w:val="nil"/>
              <w:bottom w:val="single" w:sz="4" w:space="0" w:color="auto"/>
              <w:right w:val="single" w:sz="4" w:space="0" w:color="auto"/>
            </w:tcBorders>
            <w:vAlign w:val="center"/>
            <w:hideMark/>
          </w:tcPr>
          <w:p w14:paraId="1105AA3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Higher percentage of municipal solid waste treated by biological treatment options </w:t>
            </w:r>
          </w:p>
        </w:tc>
        <w:tc>
          <w:tcPr>
            <w:tcW w:w="399" w:type="pct"/>
            <w:tcBorders>
              <w:top w:val="nil"/>
              <w:left w:val="nil"/>
              <w:bottom w:val="single" w:sz="4" w:space="0" w:color="auto"/>
              <w:right w:val="single" w:sz="4" w:space="0" w:color="auto"/>
            </w:tcBorders>
            <w:vAlign w:val="center"/>
            <w:hideMark/>
          </w:tcPr>
          <w:p w14:paraId="215FCE6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nil"/>
              <w:left w:val="nil"/>
              <w:bottom w:val="single" w:sz="4" w:space="0" w:color="auto"/>
              <w:right w:val="single" w:sz="4" w:space="0" w:color="auto"/>
            </w:tcBorders>
            <w:vAlign w:val="center"/>
            <w:hideMark/>
          </w:tcPr>
          <w:p w14:paraId="737F329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71C5BD6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85.00</w:t>
            </w:r>
          </w:p>
        </w:tc>
        <w:tc>
          <w:tcPr>
            <w:tcW w:w="355" w:type="pct"/>
            <w:tcBorders>
              <w:top w:val="nil"/>
              <w:left w:val="nil"/>
              <w:bottom w:val="single" w:sz="4" w:space="0" w:color="auto"/>
              <w:right w:val="single" w:sz="4" w:space="0" w:color="auto"/>
            </w:tcBorders>
            <w:shd w:val="clear" w:color="auto" w:fill="E2EFDA"/>
            <w:vAlign w:val="center"/>
            <w:hideMark/>
          </w:tcPr>
          <w:p w14:paraId="49FEEDF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85.00</w:t>
            </w:r>
          </w:p>
        </w:tc>
        <w:tc>
          <w:tcPr>
            <w:tcW w:w="302" w:type="pct"/>
            <w:tcBorders>
              <w:top w:val="nil"/>
              <w:left w:val="nil"/>
              <w:bottom w:val="single" w:sz="4" w:space="0" w:color="auto"/>
              <w:right w:val="single" w:sz="4" w:space="0" w:color="auto"/>
            </w:tcBorders>
            <w:shd w:val="clear" w:color="auto" w:fill="E2EFDA"/>
            <w:vAlign w:val="center"/>
            <w:hideMark/>
          </w:tcPr>
          <w:p w14:paraId="53FBA10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D7D31"/>
            <w:vAlign w:val="center"/>
            <w:hideMark/>
          </w:tcPr>
          <w:p w14:paraId="775C646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439" w:type="pct"/>
            <w:tcBorders>
              <w:top w:val="nil"/>
              <w:left w:val="nil"/>
              <w:bottom w:val="single" w:sz="4" w:space="0" w:color="auto"/>
              <w:right w:val="single" w:sz="4" w:space="0" w:color="auto"/>
            </w:tcBorders>
            <w:shd w:val="clear" w:color="auto" w:fill="ED7D31"/>
            <w:vAlign w:val="center"/>
            <w:hideMark/>
          </w:tcPr>
          <w:p w14:paraId="2E84905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85.00</w:t>
            </w:r>
          </w:p>
        </w:tc>
        <w:tc>
          <w:tcPr>
            <w:tcW w:w="304" w:type="pct"/>
            <w:tcBorders>
              <w:top w:val="nil"/>
              <w:left w:val="nil"/>
              <w:bottom w:val="single" w:sz="4" w:space="0" w:color="auto"/>
              <w:right w:val="single" w:sz="4" w:space="0" w:color="auto"/>
            </w:tcBorders>
            <w:shd w:val="clear" w:color="auto" w:fill="ED7D31"/>
            <w:vAlign w:val="center"/>
            <w:hideMark/>
          </w:tcPr>
          <w:p w14:paraId="2EA354F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390BED" w:rsidRPr="004F5BC1" w14:paraId="04C49F70"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460664E7"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7E59DC5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PM_D17</w:t>
            </w:r>
          </w:p>
        </w:tc>
        <w:tc>
          <w:tcPr>
            <w:tcW w:w="799" w:type="pct"/>
            <w:tcBorders>
              <w:top w:val="nil"/>
              <w:left w:val="nil"/>
              <w:bottom w:val="single" w:sz="4" w:space="0" w:color="auto"/>
              <w:right w:val="single" w:sz="4" w:space="0" w:color="auto"/>
            </w:tcBorders>
            <w:vAlign w:val="center"/>
            <w:hideMark/>
          </w:tcPr>
          <w:p w14:paraId="5865E69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Utilisation of the entire amount of methane (CH4) generated from all the dumped quantities of waste that end up in sanitary landfills </w:t>
            </w:r>
          </w:p>
        </w:tc>
        <w:tc>
          <w:tcPr>
            <w:tcW w:w="399" w:type="pct"/>
            <w:tcBorders>
              <w:top w:val="nil"/>
              <w:left w:val="nil"/>
              <w:bottom w:val="single" w:sz="4" w:space="0" w:color="auto"/>
              <w:right w:val="single" w:sz="4" w:space="0" w:color="auto"/>
            </w:tcBorders>
            <w:vAlign w:val="center"/>
            <w:hideMark/>
          </w:tcPr>
          <w:p w14:paraId="584B2C1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nil"/>
              <w:left w:val="nil"/>
              <w:bottom w:val="single" w:sz="4" w:space="0" w:color="auto"/>
              <w:right w:val="single" w:sz="4" w:space="0" w:color="auto"/>
            </w:tcBorders>
            <w:vAlign w:val="center"/>
            <w:hideMark/>
          </w:tcPr>
          <w:p w14:paraId="56E7E31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18FF0C8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48.00</w:t>
            </w:r>
          </w:p>
        </w:tc>
        <w:tc>
          <w:tcPr>
            <w:tcW w:w="355" w:type="pct"/>
            <w:tcBorders>
              <w:top w:val="nil"/>
              <w:left w:val="nil"/>
              <w:bottom w:val="single" w:sz="4" w:space="0" w:color="auto"/>
              <w:right w:val="single" w:sz="4" w:space="0" w:color="auto"/>
            </w:tcBorders>
            <w:shd w:val="clear" w:color="auto" w:fill="E2EFDA"/>
            <w:vAlign w:val="center"/>
            <w:hideMark/>
          </w:tcPr>
          <w:p w14:paraId="0B90222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48.00</w:t>
            </w:r>
          </w:p>
        </w:tc>
        <w:tc>
          <w:tcPr>
            <w:tcW w:w="302" w:type="pct"/>
            <w:tcBorders>
              <w:top w:val="nil"/>
              <w:left w:val="nil"/>
              <w:bottom w:val="single" w:sz="4" w:space="0" w:color="auto"/>
              <w:right w:val="single" w:sz="4" w:space="0" w:color="auto"/>
            </w:tcBorders>
            <w:shd w:val="clear" w:color="auto" w:fill="E2EFDA"/>
            <w:vAlign w:val="center"/>
            <w:hideMark/>
          </w:tcPr>
          <w:p w14:paraId="337A47B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D7D31"/>
            <w:vAlign w:val="center"/>
            <w:hideMark/>
          </w:tcPr>
          <w:p w14:paraId="751D4D3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439" w:type="pct"/>
            <w:tcBorders>
              <w:top w:val="nil"/>
              <w:left w:val="nil"/>
              <w:bottom w:val="single" w:sz="4" w:space="0" w:color="auto"/>
              <w:right w:val="single" w:sz="4" w:space="0" w:color="auto"/>
            </w:tcBorders>
            <w:shd w:val="clear" w:color="auto" w:fill="ED7D31"/>
            <w:vAlign w:val="center"/>
            <w:hideMark/>
          </w:tcPr>
          <w:p w14:paraId="0028BAE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48.00</w:t>
            </w:r>
          </w:p>
        </w:tc>
        <w:tc>
          <w:tcPr>
            <w:tcW w:w="304" w:type="pct"/>
            <w:tcBorders>
              <w:top w:val="nil"/>
              <w:left w:val="nil"/>
              <w:bottom w:val="single" w:sz="4" w:space="0" w:color="auto"/>
              <w:right w:val="single" w:sz="4" w:space="0" w:color="auto"/>
            </w:tcBorders>
            <w:shd w:val="clear" w:color="auto" w:fill="ED7D31"/>
            <w:vAlign w:val="center"/>
            <w:hideMark/>
          </w:tcPr>
          <w:p w14:paraId="3597347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390BED" w:rsidRPr="004F5BC1" w14:paraId="5064E765"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06254443"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5EB8772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PM_D18</w:t>
            </w:r>
          </w:p>
        </w:tc>
        <w:tc>
          <w:tcPr>
            <w:tcW w:w="799" w:type="pct"/>
            <w:tcBorders>
              <w:top w:val="nil"/>
              <w:left w:val="nil"/>
              <w:bottom w:val="single" w:sz="4" w:space="0" w:color="auto"/>
              <w:right w:val="single" w:sz="4" w:space="0" w:color="auto"/>
            </w:tcBorders>
            <w:vAlign w:val="center"/>
            <w:hideMark/>
          </w:tcPr>
          <w:p w14:paraId="65BF476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Promotion of composting in both centralised and household perspectives</w:t>
            </w:r>
          </w:p>
        </w:tc>
        <w:tc>
          <w:tcPr>
            <w:tcW w:w="399" w:type="pct"/>
            <w:tcBorders>
              <w:top w:val="nil"/>
              <w:left w:val="nil"/>
              <w:bottom w:val="single" w:sz="4" w:space="0" w:color="auto"/>
              <w:right w:val="single" w:sz="4" w:space="0" w:color="auto"/>
            </w:tcBorders>
            <w:vAlign w:val="center"/>
            <w:hideMark/>
          </w:tcPr>
          <w:p w14:paraId="7623953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nil"/>
              <w:left w:val="nil"/>
              <w:bottom w:val="single" w:sz="4" w:space="0" w:color="auto"/>
              <w:right w:val="single" w:sz="4" w:space="0" w:color="auto"/>
            </w:tcBorders>
            <w:vAlign w:val="center"/>
            <w:hideMark/>
          </w:tcPr>
          <w:p w14:paraId="4E1FFB1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3BF00C9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60.00</w:t>
            </w:r>
          </w:p>
        </w:tc>
        <w:tc>
          <w:tcPr>
            <w:tcW w:w="355" w:type="pct"/>
            <w:tcBorders>
              <w:top w:val="nil"/>
              <w:left w:val="nil"/>
              <w:bottom w:val="single" w:sz="4" w:space="0" w:color="auto"/>
              <w:right w:val="single" w:sz="4" w:space="0" w:color="auto"/>
            </w:tcBorders>
            <w:shd w:val="clear" w:color="auto" w:fill="E2EFDA"/>
            <w:vAlign w:val="center"/>
            <w:hideMark/>
          </w:tcPr>
          <w:p w14:paraId="03203DB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60.00</w:t>
            </w:r>
          </w:p>
        </w:tc>
        <w:tc>
          <w:tcPr>
            <w:tcW w:w="302" w:type="pct"/>
            <w:tcBorders>
              <w:top w:val="nil"/>
              <w:left w:val="nil"/>
              <w:bottom w:val="single" w:sz="4" w:space="0" w:color="auto"/>
              <w:right w:val="single" w:sz="4" w:space="0" w:color="auto"/>
            </w:tcBorders>
            <w:shd w:val="clear" w:color="auto" w:fill="E2EFDA"/>
            <w:vAlign w:val="center"/>
            <w:hideMark/>
          </w:tcPr>
          <w:p w14:paraId="06ECAA8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D7D31"/>
            <w:vAlign w:val="center"/>
            <w:hideMark/>
          </w:tcPr>
          <w:p w14:paraId="4056484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439" w:type="pct"/>
            <w:tcBorders>
              <w:top w:val="nil"/>
              <w:left w:val="nil"/>
              <w:bottom w:val="single" w:sz="4" w:space="0" w:color="auto"/>
              <w:right w:val="single" w:sz="4" w:space="0" w:color="auto"/>
            </w:tcBorders>
            <w:shd w:val="clear" w:color="auto" w:fill="ED7D31"/>
            <w:vAlign w:val="center"/>
            <w:hideMark/>
          </w:tcPr>
          <w:p w14:paraId="49205AE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60.00</w:t>
            </w:r>
          </w:p>
        </w:tc>
        <w:tc>
          <w:tcPr>
            <w:tcW w:w="304" w:type="pct"/>
            <w:tcBorders>
              <w:top w:val="nil"/>
              <w:left w:val="nil"/>
              <w:bottom w:val="single" w:sz="4" w:space="0" w:color="auto"/>
              <w:right w:val="single" w:sz="4" w:space="0" w:color="auto"/>
            </w:tcBorders>
            <w:shd w:val="clear" w:color="auto" w:fill="ED7D31"/>
            <w:vAlign w:val="center"/>
            <w:hideMark/>
          </w:tcPr>
          <w:p w14:paraId="794B14A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390BED" w:rsidRPr="004F5BC1" w14:paraId="1840D773"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4A0DF086"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13D10E9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PM_D7</w:t>
            </w:r>
          </w:p>
        </w:tc>
        <w:tc>
          <w:tcPr>
            <w:tcW w:w="799" w:type="pct"/>
            <w:tcBorders>
              <w:top w:val="nil"/>
              <w:left w:val="nil"/>
              <w:bottom w:val="single" w:sz="4" w:space="0" w:color="auto"/>
              <w:right w:val="single" w:sz="4" w:space="0" w:color="auto"/>
            </w:tcBorders>
            <w:vAlign w:val="center"/>
            <w:hideMark/>
          </w:tcPr>
          <w:p w14:paraId="56286189" w14:textId="482DD8AC"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Sustainable forest management (forest land</w:t>
            </w:r>
            <w:r w:rsidR="00093B3B" w:rsidRPr="004F5BC1">
              <w:rPr>
                <w:rFonts w:ascii="Times New Roman" w:hAnsi="Times New Roman" w:cs="Times New Roman"/>
                <w:sz w:val="14"/>
                <w:szCs w:val="14"/>
                <w:lang w:val="en-GB"/>
              </w:rPr>
              <w:t>,</w:t>
            </w:r>
            <w:r w:rsidRPr="004F5BC1">
              <w:rPr>
                <w:rFonts w:ascii="Times New Roman" w:hAnsi="Times New Roman" w:cs="Times New Roman"/>
                <w:sz w:val="14"/>
                <w:szCs w:val="14"/>
                <w:lang w:val="en-GB"/>
              </w:rPr>
              <w:t xml:space="preserve"> remaining forest land)</w:t>
            </w:r>
          </w:p>
        </w:tc>
        <w:tc>
          <w:tcPr>
            <w:tcW w:w="399" w:type="pct"/>
            <w:tcBorders>
              <w:top w:val="nil"/>
              <w:left w:val="nil"/>
              <w:bottom w:val="single" w:sz="4" w:space="0" w:color="auto"/>
              <w:right w:val="single" w:sz="4" w:space="0" w:color="auto"/>
            </w:tcBorders>
            <w:vAlign w:val="center"/>
            <w:hideMark/>
          </w:tcPr>
          <w:p w14:paraId="6632999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nil"/>
              <w:left w:val="nil"/>
              <w:bottom w:val="single" w:sz="4" w:space="0" w:color="auto"/>
              <w:right w:val="single" w:sz="4" w:space="0" w:color="auto"/>
            </w:tcBorders>
            <w:vAlign w:val="center"/>
            <w:hideMark/>
          </w:tcPr>
          <w:p w14:paraId="3E3B010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78A28AA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354.00</w:t>
            </w:r>
          </w:p>
        </w:tc>
        <w:tc>
          <w:tcPr>
            <w:tcW w:w="355" w:type="pct"/>
            <w:tcBorders>
              <w:top w:val="nil"/>
              <w:left w:val="nil"/>
              <w:bottom w:val="single" w:sz="4" w:space="0" w:color="auto"/>
              <w:right w:val="single" w:sz="4" w:space="0" w:color="auto"/>
            </w:tcBorders>
            <w:shd w:val="clear" w:color="auto" w:fill="E2EFDA"/>
            <w:vAlign w:val="center"/>
            <w:hideMark/>
          </w:tcPr>
          <w:p w14:paraId="0EAF371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354.00</w:t>
            </w:r>
          </w:p>
        </w:tc>
        <w:tc>
          <w:tcPr>
            <w:tcW w:w="302" w:type="pct"/>
            <w:tcBorders>
              <w:top w:val="nil"/>
              <w:left w:val="nil"/>
              <w:bottom w:val="single" w:sz="4" w:space="0" w:color="auto"/>
              <w:right w:val="single" w:sz="4" w:space="0" w:color="auto"/>
            </w:tcBorders>
            <w:shd w:val="clear" w:color="auto" w:fill="E2EFDA"/>
            <w:vAlign w:val="center"/>
            <w:hideMark/>
          </w:tcPr>
          <w:p w14:paraId="72E0326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D7D31"/>
            <w:vAlign w:val="center"/>
            <w:hideMark/>
          </w:tcPr>
          <w:p w14:paraId="1DFAB89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439" w:type="pct"/>
            <w:tcBorders>
              <w:top w:val="nil"/>
              <w:left w:val="nil"/>
              <w:bottom w:val="single" w:sz="4" w:space="0" w:color="auto"/>
              <w:right w:val="single" w:sz="4" w:space="0" w:color="auto"/>
            </w:tcBorders>
            <w:shd w:val="clear" w:color="auto" w:fill="ED7D31"/>
            <w:vAlign w:val="center"/>
            <w:hideMark/>
          </w:tcPr>
          <w:p w14:paraId="3687650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354.00</w:t>
            </w:r>
          </w:p>
        </w:tc>
        <w:tc>
          <w:tcPr>
            <w:tcW w:w="304" w:type="pct"/>
            <w:tcBorders>
              <w:top w:val="nil"/>
              <w:left w:val="nil"/>
              <w:bottom w:val="single" w:sz="4" w:space="0" w:color="auto"/>
              <w:right w:val="single" w:sz="4" w:space="0" w:color="auto"/>
            </w:tcBorders>
            <w:shd w:val="clear" w:color="auto" w:fill="ED7D31"/>
            <w:vAlign w:val="center"/>
            <w:hideMark/>
          </w:tcPr>
          <w:p w14:paraId="033B629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390BED" w:rsidRPr="004F5BC1" w14:paraId="2E6D44C7"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0A9625E8"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3D38F89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PM_D8</w:t>
            </w:r>
          </w:p>
        </w:tc>
        <w:tc>
          <w:tcPr>
            <w:tcW w:w="799" w:type="pct"/>
            <w:tcBorders>
              <w:top w:val="nil"/>
              <w:left w:val="nil"/>
              <w:bottom w:val="single" w:sz="4" w:space="0" w:color="auto"/>
              <w:right w:val="single" w:sz="4" w:space="0" w:color="auto"/>
            </w:tcBorders>
            <w:vAlign w:val="center"/>
            <w:hideMark/>
          </w:tcPr>
          <w:p w14:paraId="4DA4B0D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Waste lands conversion to croplands</w:t>
            </w:r>
          </w:p>
        </w:tc>
        <w:tc>
          <w:tcPr>
            <w:tcW w:w="399" w:type="pct"/>
            <w:tcBorders>
              <w:top w:val="nil"/>
              <w:left w:val="nil"/>
              <w:bottom w:val="single" w:sz="4" w:space="0" w:color="auto"/>
              <w:right w:val="single" w:sz="4" w:space="0" w:color="auto"/>
            </w:tcBorders>
            <w:vAlign w:val="center"/>
            <w:hideMark/>
          </w:tcPr>
          <w:p w14:paraId="4221CE2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nil"/>
              <w:left w:val="nil"/>
              <w:bottom w:val="single" w:sz="4" w:space="0" w:color="auto"/>
              <w:right w:val="single" w:sz="4" w:space="0" w:color="auto"/>
            </w:tcBorders>
            <w:vAlign w:val="center"/>
            <w:hideMark/>
          </w:tcPr>
          <w:p w14:paraId="25ED722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2141E5F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8.50</w:t>
            </w:r>
          </w:p>
        </w:tc>
        <w:tc>
          <w:tcPr>
            <w:tcW w:w="355" w:type="pct"/>
            <w:tcBorders>
              <w:top w:val="nil"/>
              <w:left w:val="nil"/>
              <w:bottom w:val="single" w:sz="4" w:space="0" w:color="auto"/>
              <w:right w:val="single" w:sz="4" w:space="0" w:color="auto"/>
            </w:tcBorders>
            <w:shd w:val="clear" w:color="auto" w:fill="E2EFDA"/>
            <w:vAlign w:val="center"/>
            <w:hideMark/>
          </w:tcPr>
          <w:p w14:paraId="781F0DD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8.50</w:t>
            </w:r>
          </w:p>
        </w:tc>
        <w:tc>
          <w:tcPr>
            <w:tcW w:w="302" w:type="pct"/>
            <w:tcBorders>
              <w:top w:val="nil"/>
              <w:left w:val="nil"/>
              <w:bottom w:val="single" w:sz="4" w:space="0" w:color="auto"/>
              <w:right w:val="single" w:sz="4" w:space="0" w:color="auto"/>
            </w:tcBorders>
            <w:shd w:val="clear" w:color="auto" w:fill="E2EFDA"/>
            <w:vAlign w:val="center"/>
            <w:hideMark/>
          </w:tcPr>
          <w:p w14:paraId="5A63C3C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D7D31"/>
            <w:vAlign w:val="center"/>
            <w:hideMark/>
          </w:tcPr>
          <w:p w14:paraId="405AAA1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439" w:type="pct"/>
            <w:tcBorders>
              <w:top w:val="nil"/>
              <w:left w:val="nil"/>
              <w:bottom w:val="single" w:sz="4" w:space="0" w:color="auto"/>
              <w:right w:val="single" w:sz="4" w:space="0" w:color="auto"/>
            </w:tcBorders>
            <w:shd w:val="clear" w:color="auto" w:fill="ED7D31"/>
            <w:vAlign w:val="center"/>
            <w:hideMark/>
          </w:tcPr>
          <w:p w14:paraId="713C3DC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8.50</w:t>
            </w:r>
          </w:p>
        </w:tc>
        <w:tc>
          <w:tcPr>
            <w:tcW w:w="304" w:type="pct"/>
            <w:tcBorders>
              <w:top w:val="nil"/>
              <w:left w:val="nil"/>
              <w:bottom w:val="single" w:sz="4" w:space="0" w:color="auto"/>
              <w:right w:val="single" w:sz="4" w:space="0" w:color="auto"/>
            </w:tcBorders>
            <w:shd w:val="clear" w:color="auto" w:fill="ED7D31"/>
            <w:vAlign w:val="center"/>
            <w:hideMark/>
          </w:tcPr>
          <w:p w14:paraId="2F1AB3B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390BED" w:rsidRPr="004F5BC1" w14:paraId="330D6446"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30F46335"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2A8EA4B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PM_D9</w:t>
            </w:r>
          </w:p>
        </w:tc>
        <w:tc>
          <w:tcPr>
            <w:tcW w:w="799" w:type="pct"/>
            <w:tcBorders>
              <w:top w:val="nil"/>
              <w:left w:val="nil"/>
              <w:bottom w:val="single" w:sz="4" w:space="0" w:color="auto"/>
              <w:right w:val="single" w:sz="4" w:space="0" w:color="auto"/>
            </w:tcBorders>
            <w:vAlign w:val="center"/>
            <w:hideMark/>
          </w:tcPr>
          <w:p w14:paraId="3D52171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Increase the tree-planted areas (groves / parks / green roofs, sanitary protection zones around mines and industrial buildings, wind protection belts and green zones next to highways)</w:t>
            </w:r>
          </w:p>
        </w:tc>
        <w:tc>
          <w:tcPr>
            <w:tcW w:w="399" w:type="pct"/>
            <w:tcBorders>
              <w:top w:val="nil"/>
              <w:left w:val="nil"/>
              <w:bottom w:val="single" w:sz="4" w:space="0" w:color="auto"/>
              <w:right w:val="single" w:sz="4" w:space="0" w:color="auto"/>
            </w:tcBorders>
            <w:vAlign w:val="center"/>
            <w:hideMark/>
          </w:tcPr>
          <w:p w14:paraId="114C849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nil"/>
              <w:left w:val="nil"/>
              <w:bottom w:val="single" w:sz="4" w:space="0" w:color="auto"/>
              <w:right w:val="single" w:sz="4" w:space="0" w:color="auto"/>
            </w:tcBorders>
            <w:vAlign w:val="center"/>
            <w:hideMark/>
          </w:tcPr>
          <w:p w14:paraId="3F86F69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37AEA3A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6.50</w:t>
            </w:r>
          </w:p>
        </w:tc>
        <w:tc>
          <w:tcPr>
            <w:tcW w:w="355" w:type="pct"/>
            <w:tcBorders>
              <w:top w:val="nil"/>
              <w:left w:val="nil"/>
              <w:bottom w:val="single" w:sz="4" w:space="0" w:color="auto"/>
              <w:right w:val="single" w:sz="4" w:space="0" w:color="auto"/>
            </w:tcBorders>
            <w:shd w:val="clear" w:color="auto" w:fill="E2EFDA"/>
            <w:vAlign w:val="center"/>
            <w:hideMark/>
          </w:tcPr>
          <w:p w14:paraId="41C8D1E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6.50</w:t>
            </w:r>
          </w:p>
        </w:tc>
        <w:tc>
          <w:tcPr>
            <w:tcW w:w="302" w:type="pct"/>
            <w:tcBorders>
              <w:top w:val="nil"/>
              <w:left w:val="nil"/>
              <w:bottom w:val="single" w:sz="4" w:space="0" w:color="auto"/>
              <w:right w:val="single" w:sz="4" w:space="0" w:color="auto"/>
            </w:tcBorders>
            <w:shd w:val="clear" w:color="auto" w:fill="E2EFDA"/>
            <w:vAlign w:val="center"/>
            <w:hideMark/>
          </w:tcPr>
          <w:p w14:paraId="5029400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D7D31"/>
            <w:vAlign w:val="center"/>
            <w:hideMark/>
          </w:tcPr>
          <w:p w14:paraId="598AB78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439" w:type="pct"/>
            <w:tcBorders>
              <w:top w:val="nil"/>
              <w:left w:val="nil"/>
              <w:bottom w:val="single" w:sz="4" w:space="0" w:color="auto"/>
              <w:right w:val="single" w:sz="4" w:space="0" w:color="auto"/>
            </w:tcBorders>
            <w:shd w:val="clear" w:color="auto" w:fill="ED7D31"/>
            <w:vAlign w:val="center"/>
            <w:hideMark/>
          </w:tcPr>
          <w:p w14:paraId="39AF34C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6.50</w:t>
            </w:r>
          </w:p>
        </w:tc>
        <w:tc>
          <w:tcPr>
            <w:tcW w:w="304" w:type="pct"/>
            <w:tcBorders>
              <w:top w:val="nil"/>
              <w:left w:val="nil"/>
              <w:bottom w:val="single" w:sz="4" w:space="0" w:color="auto"/>
              <w:right w:val="single" w:sz="4" w:space="0" w:color="auto"/>
            </w:tcBorders>
            <w:shd w:val="clear" w:color="auto" w:fill="ED7D31"/>
            <w:vAlign w:val="center"/>
            <w:hideMark/>
          </w:tcPr>
          <w:p w14:paraId="1188400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390BED" w:rsidRPr="004F5BC1" w14:paraId="1F17F3B7"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23CCA474"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7CCDB38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PM_D10</w:t>
            </w:r>
          </w:p>
        </w:tc>
        <w:tc>
          <w:tcPr>
            <w:tcW w:w="799" w:type="pct"/>
            <w:tcBorders>
              <w:top w:val="nil"/>
              <w:left w:val="nil"/>
              <w:bottom w:val="single" w:sz="4" w:space="0" w:color="auto"/>
              <w:right w:val="single" w:sz="4" w:space="0" w:color="auto"/>
            </w:tcBorders>
            <w:vAlign w:val="center"/>
            <w:hideMark/>
          </w:tcPr>
          <w:p w14:paraId="7A6C52F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Measures for the reduction of CH4 emissions from the enteric fermentation of animals</w:t>
            </w:r>
          </w:p>
        </w:tc>
        <w:tc>
          <w:tcPr>
            <w:tcW w:w="399" w:type="pct"/>
            <w:tcBorders>
              <w:top w:val="nil"/>
              <w:left w:val="nil"/>
              <w:bottom w:val="single" w:sz="4" w:space="0" w:color="auto"/>
              <w:right w:val="single" w:sz="4" w:space="0" w:color="auto"/>
            </w:tcBorders>
            <w:vAlign w:val="center"/>
            <w:hideMark/>
          </w:tcPr>
          <w:p w14:paraId="28B8F9A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461" w:type="pct"/>
            <w:tcBorders>
              <w:top w:val="nil"/>
              <w:left w:val="nil"/>
              <w:bottom w:val="single" w:sz="4" w:space="0" w:color="auto"/>
              <w:right w:val="single" w:sz="4" w:space="0" w:color="auto"/>
            </w:tcBorders>
            <w:vAlign w:val="center"/>
            <w:hideMark/>
          </w:tcPr>
          <w:p w14:paraId="5B4E164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5DB91B0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355" w:type="pct"/>
            <w:tcBorders>
              <w:top w:val="nil"/>
              <w:left w:val="nil"/>
              <w:bottom w:val="single" w:sz="4" w:space="0" w:color="auto"/>
              <w:right w:val="single" w:sz="4" w:space="0" w:color="auto"/>
            </w:tcBorders>
            <w:shd w:val="clear" w:color="auto" w:fill="E2EFDA"/>
            <w:vAlign w:val="center"/>
            <w:hideMark/>
          </w:tcPr>
          <w:p w14:paraId="214F8E3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302" w:type="pct"/>
            <w:tcBorders>
              <w:top w:val="nil"/>
              <w:left w:val="nil"/>
              <w:bottom w:val="single" w:sz="4" w:space="0" w:color="auto"/>
              <w:right w:val="single" w:sz="4" w:space="0" w:color="auto"/>
            </w:tcBorders>
            <w:shd w:val="clear" w:color="auto" w:fill="E2EFDA"/>
            <w:vAlign w:val="center"/>
            <w:hideMark/>
          </w:tcPr>
          <w:p w14:paraId="04100C0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D7D31"/>
            <w:vAlign w:val="center"/>
            <w:hideMark/>
          </w:tcPr>
          <w:p w14:paraId="76A9606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439" w:type="pct"/>
            <w:tcBorders>
              <w:top w:val="nil"/>
              <w:left w:val="nil"/>
              <w:bottom w:val="single" w:sz="4" w:space="0" w:color="auto"/>
              <w:right w:val="single" w:sz="4" w:space="0" w:color="auto"/>
            </w:tcBorders>
            <w:shd w:val="clear" w:color="auto" w:fill="ED7D31"/>
            <w:vAlign w:val="center"/>
            <w:hideMark/>
          </w:tcPr>
          <w:p w14:paraId="5AE4015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304" w:type="pct"/>
            <w:tcBorders>
              <w:top w:val="nil"/>
              <w:left w:val="nil"/>
              <w:bottom w:val="single" w:sz="4" w:space="0" w:color="auto"/>
              <w:right w:val="single" w:sz="4" w:space="0" w:color="auto"/>
            </w:tcBorders>
            <w:shd w:val="clear" w:color="auto" w:fill="ED7D31"/>
            <w:vAlign w:val="center"/>
            <w:hideMark/>
          </w:tcPr>
          <w:p w14:paraId="78137FB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390BED" w:rsidRPr="004F5BC1" w14:paraId="5CE180F5"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74ED71BE"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5431840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PM_D11</w:t>
            </w:r>
          </w:p>
        </w:tc>
        <w:tc>
          <w:tcPr>
            <w:tcW w:w="799" w:type="pct"/>
            <w:tcBorders>
              <w:top w:val="nil"/>
              <w:left w:val="nil"/>
              <w:bottom w:val="single" w:sz="4" w:space="0" w:color="auto"/>
              <w:right w:val="single" w:sz="4" w:space="0" w:color="auto"/>
            </w:tcBorders>
            <w:vAlign w:val="center"/>
            <w:hideMark/>
          </w:tcPr>
          <w:p w14:paraId="0AA3D4A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Improvement of manure management for the reduction of CH4 and N2O emissions</w:t>
            </w:r>
          </w:p>
        </w:tc>
        <w:tc>
          <w:tcPr>
            <w:tcW w:w="399" w:type="pct"/>
            <w:tcBorders>
              <w:top w:val="nil"/>
              <w:left w:val="nil"/>
              <w:bottom w:val="single" w:sz="4" w:space="0" w:color="auto"/>
              <w:right w:val="single" w:sz="4" w:space="0" w:color="auto"/>
            </w:tcBorders>
            <w:vAlign w:val="center"/>
            <w:hideMark/>
          </w:tcPr>
          <w:p w14:paraId="4A21835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nil"/>
              <w:left w:val="nil"/>
              <w:bottom w:val="single" w:sz="4" w:space="0" w:color="auto"/>
              <w:right w:val="single" w:sz="4" w:space="0" w:color="auto"/>
            </w:tcBorders>
            <w:vAlign w:val="center"/>
            <w:hideMark/>
          </w:tcPr>
          <w:p w14:paraId="02B7E8A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646474C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9.00</w:t>
            </w:r>
          </w:p>
        </w:tc>
        <w:tc>
          <w:tcPr>
            <w:tcW w:w="355" w:type="pct"/>
            <w:tcBorders>
              <w:top w:val="nil"/>
              <w:left w:val="nil"/>
              <w:bottom w:val="single" w:sz="4" w:space="0" w:color="auto"/>
              <w:right w:val="single" w:sz="4" w:space="0" w:color="auto"/>
            </w:tcBorders>
            <w:shd w:val="clear" w:color="auto" w:fill="E2EFDA"/>
            <w:vAlign w:val="center"/>
            <w:hideMark/>
          </w:tcPr>
          <w:p w14:paraId="7CDFEB2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9.00</w:t>
            </w:r>
          </w:p>
        </w:tc>
        <w:tc>
          <w:tcPr>
            <w:tcW w:w="302" w:type="pct"/>
            <w:tcBorders>
              <w:top w:val="nil"/>
              <w:left w:val="nil"/>
              <w:bottom w:val="single" w:sz="4" w:space="0" w:color="auto"/>
              <w:right w:val="single" w:sz="4" w:space="0" w:color="auto"/>
            </w:tcBorders>
            <w:shd w:val="clear" w:color="auto" w:fill="E2EFDA"/>
            <w:vAlign w:val="center"/>
            <w:hideMark/>
          </w:tcPr>
          <w:p w14:paraId="354D1C3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D7D31"/>
            <w:vAlign w:val="center"/>
            <w:hideMark/>
          </w:tcPr>
          <w:p w14:paraId="6A41781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439" w:type="pct"/>
            <w:tcBorders>
              <w:top w:val="nil"/>
              <w:left w:val="nil"/>
              <w:bottom w:val="single" w:sz="4" w:space="0" w:color="auto"/>
              <w:right w:val="single" w:sz="4" w:space="0" w:color="auto"/>
            </w:tcBorders>
            <w:shd w:val="clear" w:color="auto" w:fill="ED7D31"/>
            <w:vAlign w:val="center"/>
            <w:hideMark/>
          </w:tcPr>
          <w:p w14:paraId="6CA84CE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9.00</w:t>
            </w:r>
          </w:p>
        </w:tc>
        <w:tc>
          <w:tcPr>
            <w:tcW w:w="304" w:type="pct"/>
            <w:tcBorders>
              <w:top w:val="nil"/>
              <w:left w:val="nil"/>
              <w:bottom w:val="single" w:sz="4" w:space="0" w:color="auto"/>
              <w:right w:val="single" w:sz="4" w:space="0" w:color="auto"/>
            </w:tcBorders>
            <w:shd w:val="clear" w:color="auto" w:fill="ED7D31"/>
            <w:vAlign w:val="center"/>
            <w:hideMark/>
          </w:tcPr>
          <w:p w14:paraId="0F9B88F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390BED" w:rsidRPr="004F5BC1" w14:paraId="16E6FEE9"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521D1710"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410A956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PM_D12</w:t>
            </w:r>
          </w:p>
        </w:tc>
        <w:tc>
          <w:tcPr>
            <w:tcW w:w="799" w:type="pct"/>
            <w:tcBorders>
              <w:top w:val="nil"/>
              <w:left w:val="nil"/>
              <w:bottom w:val="single" w:sz="4" w:space="0" w:color="auto"/>
              <w:right w:val="single" w:sz="4" w:space="0" w:color="auto"/>
            </w:tcBorders>
            <w:vAlign w:val="center"/>
            <w:hideMark/>
          </w:tcPr>
          <w:p w14:paraId="4E12936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Measures for the reduction of direct and indirect N2O emissions from managed soils</w:t>
            </w:r>
          </w:p>
        </w:tc>
        <w:tc>
          <w:tcPr>
            <w:tcW w:w="399" w:type="pct"/>
            <w:tcBorders>
              <w:top w:val="nil"/>
              <w:left w:val="nil"/>
              <w:bottom w:val="single" w:sz="4" w:space="0" w:color="auto"/>
              <w:right w:val="single" w:sz="4" w:space="0" w:color="auto"/>
            </w:tcBorders>
            <w:vAlign w:val="center"/>
            <w:hideMark/>
          </w:tcPr>
          <w:p w14:paraId="39AD50A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nil"/>
              <w:left w:val="nil"/>
              <w:bottom w:val="single" w:sz="4" w:space="0" w:color="auto"/>
              <w:right w:val="single" w:sz="4" w:space="0" w:color="auto"/>
            </w:tcBorders>
            <w:vAlign w:val="center"/>
            <w:hideMark/>
          </w:tcPr>
          <w:p w14:paraId="48FBCAA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7E9ADE3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6.00</w:t>
            </w:r>
          </w:p>
        </w:tc>
        <w:tc>
          <w:tcPr>
            <w:tcW w:w="355" w:type="pct"/>
            <w:tcBorders>
              <w:top w:val="nil"/>
              <w:left w:val="nil"/>
              <w:bottom w:val="single" w:sz="4" w:space="0" w:color="auto"/>
              <w:right w:val="single" w:sz="4" w:space="0" w:color="auto"/>
            </w:tcBorders>
            <w:shd w:val="clear" w:color="auto" w:fill="E2EFDA"/>
            <w:vAlign w:val="center"/>
            <w:hideMark/>
          </w:tcPr>
          <w:p w14:paraId="164B7A2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6.00</w:t>
            </w:r>
          </w:p>
        </w:tc>
        <w:tc>
          <w:tcPr>
            <w:tcW w:w="302" w:type="pct"/>
            <w:tcBorders>
              <w:top w:val="nil"/>
              <w:left w:val="nil"/>
              <w:bottom w:val="single" w:sz="4" w:space="0" w:color="auto"/>
              <w:right w:val="single" w:sz="4" w:space="0" w:color="auto"/>
            </w:tcBorders>
            <w:shd w:val="clear" w:color="auto" w:fill="E2EFDA"/>
            <w:vAlign w:val="center"/>
            <w:hideMark/>
          </w:tcPr>
          <w:p w14:paraId="689A47B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D7D31"/>
            <w:vAlign w:val="center"/>
            <w:hideMark/>
          </w:tcPr>
          <w:p w14:paraId="01BF1D7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439" w:type="pct"/>
            <w:tcBorders>
              <w:top w:val="nil"/>
              <w:left w:val="nil"/>
              <w:bottom w:val="single" w:sz="4" w:space="0" w:color="auto"/>
              <w:right w:val="single" w:sz="4" w:space="0" w:color="auto"/>
            </w:tcBorders>
            <w:shd w:val="clear" w:color="auto" w:fill="ED7D31"/>
            <w:vAlign w:val="center"/>
            <w:hideMark/>
          </w:tcPr>
          <w:p w14:paraId="1BDB199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6.00</w:t>
            </w:r>
          </w:p>
        </w:tc>
        <w:tc>
          <w:tcPr>
            <w:tcW w:w="304" w:type="pct"/>
            <w:tcBorders>
              <w:top w:val="nil"/>
              <w:left w:val="nil"/>
              <w:bottom w:val="single" w:sz="4" w:space="0" w:color="auto"/>
              <w:right w:val="single" w:sz="4" w:space="0" w:color="auto"/>
            </w:tcBorders>
            <w:shd w:val="clear" w:color="auto" w:fill="ED7D31"/>
            <w:vAlign w:val="center"/>
            <w:hideMark/>
          </w:tcPr>
          <w:p w14:paraId="3F7216F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390BED" w:rsidRPr="004F5BC1" w14:paraId="7B03C7C1"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36CDDE94"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12E0948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PM_D13</w:t>
            </w:r>
          </w:p>
        </w:tc>
        <w:tc>
          <w:tcPr>
            <w:tcW w:w="799" w:type="pct"/>
            <w:tcBorders>
              <w:top w:val="nil"/>
              <w:left w:val="nil"/>
              <w:bottom w:val="single" w:sz="4" w:space="0" w:color="auto"/>
              <w:right w:val="single" w:sz="4" w:space="0" w:color="auto"/>
            </w:tcBorders>
            <w:vAlign w:val="center"/>
            <w:hideMark/>
          </w:tcPr>
          <w:p w14:paraId="4CADF04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Measures for reducing emissions from fertilizers use</w:t>
            </w:r>
          </w:p>
        </w:tc>
        <w:tc>
          <w:tcPr>
            <w:tcW w:w="399" w:type="pct"/>
            <w:tcBorders>
              <w:top w:val="nil"/>
              <w:left w:val="nil"/>
              <w:bottom w:val="single" w:sz="4" w:space="0" w:color="auto"/>
              <w:right w:val="single" w:sz="4" w:space="0" w:color="auto"/>
            </w:tcBorders>
            <w:vAlign w:val="center"/>
            <w:hideMark/>
          </w:tcPr>
          <w:p w14:paraId="47E8B93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nil"/>
              <w:left w:val="nil"/>
              <w:bottom w:val="single" w:sz="4" w:space="0" w:color="auto"/>
              <w:right w:val="single" w:sz="4" w:space="0" w:color="auto"/>
            </w:tcBorders>
            <w:vAlign w:val="center"/>
            <w:hideMark/>
          </w:tcPr>
          <w:p w14:paraId="4615C3B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4C0192A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28.00</w:t>
            </w:r>
          </w:p>
        </w:tc>
        <w:tc>
          <w:tcPr>
            <w:tcW w:w="355" w:type="pct"/>
            <w:tcBorders>
              <w:top w:val="nil"/>
              <w:left w:val="nil"/>
              <w:bottom w:val="single" w:sz="4" w:space="0" w:color="auto"/>
              <w:right w:val="single" w:sz="4" w:space="0" w:color="auto"/>
            </w:tcBorders>
            <w:shd w:val="clear" w:color="auto" w:fill="E2EFDA"/>
            <w:vAlign w:val="center"/>
            <w:hideMark/>
          </w:tcPr>
          <w:p w14:paraId="7362F3D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28.00</w:t>
            </w:r>
          </w:p>
        </w:tc>
        <w:tc>
          <w:tcPr>
            <w:tcW w:w="302" w:type="pct"/>
            <w:tcBorders>
              <w:top w:val="nil"/>
              <w:left w:val="nil"/>
              <w:bottom w:val="single" w:sz="4" w:space="0" w:color="auto"/>
              <w:right w:val="single" w:sz="4" w:space="0" w:color="auto"/>
            </w:tcBorders>
            <w:shd w:val="clear" w:color="auto" w:fill="E2EFDA"/>
            <w:vAlign w:val="center"/>
            <w:hideMark/>
          </w:tcPr>
          <w:p w14:paraId="363178A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D7D31"/>
            <w:vAlign w:val="center"/>
            <w:hideMark/>
          </w:tcPr>
          <w:p w14:paraId="22EDF70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439" w:type="pct"/>
            <w:tcBorders>
              <w:top w:val="nil"/>
              <w:left w:val="nil"/>
              <w:bottom w:val="single" w:sz="4" w:space="0" w:color="auto"/>
              <w:right w:val="single" w:sz="4" w:space="0" w:color="auto"/>
            </w:tcBorders>
            <w:shd w:val="clear" w:color="auto" w:fill="ED7D31"/>
            <w:vAlign w:val="center"/>
            <w:hideMark/>
          </w:tcPr>
          <w:p w14:paraId="1E2AC46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28.00</w:t>
            </w:r>
          </w:p>
        </w:tc>
        <w:tc>
          <w:tcPr>
            <w:tcW w:w="304" w:type="pct"/>
            <w:tcBorders>
              <w:top w:val="nil"/>
              <w:left w:val="nil"/>
              <w:bottom w:val="single" w:sz="4" w:space="0" w:color="auto"/>
              <w:right w:val="single" w:sz="4" w:space="0" w:color="auto"/>
            </w:tcBorders>
            <w:shd w:val="clear" w:color="auto" w:fill="ED7D31"/>
            <w:vAlign w:val="center"/>
            <w:hideMark/>
          </w:tcPr>
          <w:p w14:paraId="69BC61E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390BED" w:rsidRPr="004F5BC1" w14:paraId="28AC0BF2"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5B134134"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0CB95F1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PM_D19</w:t>
            </w:r>
          </w:p>
        </w:tc>
        <w:tc>
          <w:tcPr>
            <w:tcW w:w="799" w:type="pct"/>
            <w:tcBorders>
              <w:top w:val="nil"/>
              <w:left w:val="nil"/>
              <w:bottom w:val="single" w:sz="4" w:space="0" w:color="auto"/>
              <w:right w:val="single" w:sz="4" w:space="0" w:color="auto"/>
            </w:tcBorders>
            <w:vAlign w:val="center"/>
            <w:hideMark/>
          </w:tcPr>
          <w:p w14:paraId="3E8241E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Provision of operation aid for electricity production from renewable stations based on auctions and strategic partnerships</w:t>
            </w:r>
          </w:p>
        </w:tc>
        <w:tc>
          <w:tcPr>
            <w:tcW w:w="399" w:type="pct"/>
            <w:tcBorders>
              <w:top w:val="nil"/>
              <w:left w:val="nil"/>
              <w:bottom w:val="single" w:sz="4" w:space="0" w:color="auto"/>
              <w:right w:val="single" w:sz="4" w:space="0" w:color="auto"/>
            </w:tcBorders>
            <w:vAlign w:val="center"/>
            <w:hideMark/>
          </w:tcPr>
          <w:p w14:paraId="26275CD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nil"/>
              <w:left w:val="nil"/>
              <w:bottom w:val="single" w:sz="4" w:space="0" w:color="auto"/>
              <w:right w:val="single" w:sz="4" w:space="0" w:color="auto"/>
            </w:tcBorders>
            <w:vAlign w:val="center"/>
            <w:hideMark/>
          </w:tcPr>
          <w:p w14:paraId="4F216BB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502EFE0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3000.00</w:t>
            </w:r>
          </w:p>
        </w:tc>
        <w:tc>
          <w:tcPr>
            <w:tcW w:w="355" w:type="pct"/>
            <w:tcBorders>
              <w:top w:val="nil"/>
              <w:left w:val="nil"/>
              <w:bottom w:val="single" w:sz="4" w:space="0" w:color="auto"/>
              <w:right w:val="single" w:sz="4" w:space="0" w:color="auto"/>
            </w:tcBorders>
            <w:shd w:val="clear" w:color="auto" w:fill="E2EFDA"/>
            <w:vAlign w:val="center"/>
            <w:hideMark/>
          </w:tcPr>
          <w:p w14:paraId="35D3967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302" w:type="pct"/>
            <w:tcBorders>
              <w:top w:val="nil"/>
              <w:left w:val="nil"/>
              <w:bottom w:val="single" w:sz="4" w:space="0" w:color="auto"/>
              <w:right w:val="single" w:sz="4" w:space="0" w:color="auto"/>
            </w:tcBorders>
            <w:shd w:val="clear" w:color="auto" w:fill="E2EFDA"/>
            <w:vAlign w:val="center"/>
            <w:hideMark/>
          </w:tcPr>
          <w:p w14:paraId="113FA00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3000.00</w:t>
            </w:r>
          </w:p>
        </w:tc>
        <w:tc>
          <w:tcPr>
            <w:tcW w:w="513" w:type="pct"/>
            <w:tcBorders>
              <w:top w:val="nil"/>
              <w:left w:val="nil"/>
              <w:bottom w:val="single" w:sz="4" w:space="0" w:color="auto"/>
              <w:right w:val="single" w:sz="4" w:space="0" w:color="auto"/>
            </w:tcBorders>
            <w:shd w:val="clear" w:color="auto" w:fill="E2EFDA"/>
            <w:vAlign w:val="center"/>
            <w:hideMark/>
          </w:tcPr>
          <w:p w14:paraId="50EC109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 WAM (enhancement, adjustment)</w:t>
            </w:r>
          </w:p>
        </w:tc>
        <w:tc>
          <w:tcPr>
            <w:tcW w:w="439" w:type="pct"/>
            <w:tcBorders>
              <w:top w:val="nil"/>
              <w:left w:val="nil"/>
              <w:bottom w:val="single" w:sz="4" w:space="0" w:color="auto"/>
              <w:right w:val="single" w:sz="4" w:space="0" w:color="auto"/>
            </w:tcBorders>
            <w:shd w:val="clear" w:color="auto" w:fill="ED7D31"/>
            <w:vAlign w:val="center"/>
            <w:hideMark/>
          </w:tcPr>
          <w:p w14:paraId="0B45C3C8" w14:textId="617D2CA2"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34</w:t>
            </w:r>
            <w:r w:rsidR="00093B3B" w:rsidRPr="004F5BC1">
              <w:rPr>
                <w:rFonts w:ascii="Times New Roman" w:hAnsi="Times New Roman" w:cs="Times New Roman"/>
                <w:sz w:val="14"/>
                <w:szCs w:val="14"/>
                <w:lang w:val="en-GB"/>
              </w:rPr>
              <w:t>8</w:t>
            </w:r>
            <w:r w:rsidRPr="004F5BC1">
              <w:rPr>
                <w:rFonts w:ascii="Times New Roman" w:hAnsi="Times New Roman" w:cs="Times New Roman"/>
                <w:sz w:val="14"/>
                <w:szCs w:val="14"/>
                <w:lang w:val="en-GB"/>
              </w:rPr>
              <w:t>.82</w:t>
            </w:r>
          </w:p>
        </w:tc>
        <w:tc>
          <w:tcPr>
            <w:tcW w:w="304" w:type="pct"/>
            <w:tcBorders>
              <w:top w:val="nil"/>
              <w:left w:val="nil"/>
              <w:bottom w:val="single" w:sz="4" w:space="0" w:color="auto"/>
              <w:right w:val="single" w:sz="4" w:space="0" w:color="auto"/>
            </w:tcBorders>
            <w:shd w:val="clear" w:color="auto" w:fill="ED7D31"/>
            <w:vAlign w:val="center"/>
            <w:hideMark/>
          </w:tcPr>
          <w:p w14:paraId="0E748F5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2651.18</w:t>
            </w:r>
          </w:p>
        </w:tc>
      </w:tr>
      <w:tr w:rsidR="00390BED" w:rsidRPr="004F5BC1" w14:paraId="412860CF"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6B5308BF"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6B836C5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PM_D20</w:t>
            </w:r>
          </w:p>
        </w:tc>
        <w:tc>
          <w:tcPr>
            <w:tcW w:w="799" w:type="pct"/>
            <w:tcBorders>
              <w:top w:val="nil"/>
              <w:left w:val="nil"/>
              <w:bottom w:val="single" w:sz="4" w:space="0" w:color="auto"/>
              <w:right w:val="single" w:sz="4" w:space="0" w:color="auto"/>
            </w:tcBorders>
            <w:vAlign w:val="center"/>
            <w:hideMark/>
          </w:tcPr>
          <w:p w14:paraId="2BDF2CA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Development of the legislative framework for the participation of the RES producers in electricity market</w:t>
            </w:r>
          </w:p>
        </w:tc>
        <w:tc>
          <w:tcPr>
            <w:tcW w:w="399" w:type="pct"/>
            <w:tcBorders>
              <w:top w:val="nil"/>
              <w:left w:val="nil"/>
              <w:bottom w:val="single" w:sz="4" w:space="0" w:color="auto"/>
              <w:right w:val="single" w:sz="4" w:space="0" w:color="auto"/>
            </w:tcBorders>
            <w:vAlign w:val="center"/>
            <w:hideMark/>
          </w:tcPr>
          <w:p w14:paraId="2BC1CD2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Reform </w:t>
            </w:r>
          </w:p>
        </w:tc>
        <w:tc>
          <w:tcPr>
            <w:tcW w:w="461" w:type="pct"/>
            <w:tcBorders>
              <w:top w:val="nil"/>
              <w:left w:val="nil"/>
              <w:bottom w:val="single" w:sz="4" w:space="0" w:color="auto"/>
              <w:right w:val="single" w:sz="4" w:space="0" w:color="auto"/>
            </w:tcBorders>
            <w:vAlign w:val="center"/>
            <w:hideMark/>
          </w:tcPr>
          <w:p w14:paraId="44E9198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3D8441C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355" w:type="pct"/>
            <w:tcBorders>
              <w:top w:val="nil"/>
              <w:left w:val="nil"/>
              <w:bottom w:val="single" w:sz="4" w:space="0" w:color="auto"/>
              <w:right w:val="single" w:sz="4" w:space="0" w:color="auto"/>
            </w:tcBorders>
            <w:shd w:val="clear" w:color="auto" w:fill="E2EFDA"/>
            <w:vAlign w:val="center"/>
            <w:hideMark/>
          </w:tcPr>
          <w:p w14:paraId="15DB656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302" w:type="pct"/>
            <w:tcBorders>
              <w:top w:val="nil"/>
              <w:left w:val="nil"/>
              <w:bottom w:val="single" w:sz="4" w:space="0" w:color="auto"/>
              <w:right w:val="single" w:sz="4" w:space="0" w:color="auto"/>
            </w:tcBorders>
            <w:shd w:val="clear" w:color="auto" w:fill="E2EFDA"/>
            <w:vAlign w:val="center"/>
            <w:hideMark/>
          </w:tcPr>
          <w:p w14:paraId="1CCED80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2EFDA"/>
            <w:vAlign w:val="center"/>
            <w:hideMark/>
          </w:tcPr>
          <w:p w14:paraId="464308D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 WAM (enhancement, adjustment)</w:t>
            </w:r>
          </w:p>
        </w:tc>
        <w:tc>
          <w:tcPr>
            <w:tcW w:w="439" w:type="pct"/>
            <w:tcBorders>
              <w:top w:val="nil"/>
              <w:left w:val="nil"/>
              <w:bottom w:val="single" w:sz="4" w:space="0" w:color="auto"/>
              <w:right w:val="single" w:sz="4" w:space="0" w:color="auto"/>
            </w:tcBorders>
            <w:shd w:val="clear" w:color="auto" w:fill="ED7D31"/>
            <w:vAlign w:val="center"/>
            <w:hideMark/>
          </w:tcPr>
          <w:p w14:paraId="14B7210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304" w:type="pct"/>
            <w:tcBorders>
              <w:top w:val="nil"/>
              <w:left w:val="nil"/>
              <w:bottom w:val="single" w:sz="4" w:space="0" w:color="auto"/>
              <w:right w:val="single" w:sz="4" w:space="0" w:color="auto"/>
            </w:tcBorders>
            <w:shd w:val="clear" w:color="auto" w:fill="ED7D31"/>
            <w:vAlign w:val="center"/>
            <w:hideMark/>
          </w:tcPr>
          <w:p w14:paraId="507C071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390BED" w:rsidRPr="004F5BC1" w14:paraId="7A14F37B"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4516B72C"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137DE1E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PM_D21</w:t>
            </w:r>
          </w:p>
        </w:tc>
        <w:tc>
          <w:tcPr>
            <w:tcW w:w="799" w:type="pct"/>
            <w:tcBorders>
              <w:top w:val="nil"/>
              <w:left w:val="nil"/>
              <w:bottom w:val="single" w:sz="4" w:space="0" w:color="auto"/>
              <w:right w:val="single" w:sz="4" w:space="0" w:color="auto"/>
            </w:tcBorders>
            <w:vAlign w:val="center"/>
            <w:hideMark/>
          </w:tcPr>
          <w:p w14:paraId="5F4F7F34" w14:textId="1A261DE4"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Supporting electricity production from renewable stations that will not participate into the auctions</w:t>
            </w:r>
            <w:r w:rsidR="00093B3B" w:rsidRPr="004F5BC1">
              <w:rPr>
                <w:rFonts w:ascii="Times New Roman" w:hAnsi="Times New Roman" w:cs="Times New Roman"/>
                <w:sz w:val="14"/>
                <w:szCs w:val="14"/>
                <w:lang w:val="en-GB"/>
              </w:rPr>
              <w:t>,</w:t>
            </w:r>
            <w:r w:rsidRPr="004F5BC1">
              <w:rPr>
                <w:rFonts w:ascii="Times New Roman" w:hAnsi="Times New Roman" w:cs="Times New Roman"/>
                <w:sz w:val="14"/>
                <w:szCs w:val="14"/>
                <w:lang w:val="en-GB"/>
              </w:rPr>
              <w:t xml:space="preserve"> including the deployment of renewables power purchase agreements</w:t>
            </w:r>
          </w:p>
        </w:tc>
        <w:tc>
          <w:tcPr>
            <w:tcW w:w="399" w:type="pct"/>
            <w:tcBorders>
              <w:top w:val="nil"/>
              <w:left w:val="nil"/>
              <w:bottom w:val="single" w:sz="4" w:space="0" w:color="auto"/>
              <w:right w:val="single" w:sz="4" w:space="0" w:color="auto"/>
            </w:tcBorders>
            <w:vAlign w:val="center"/>
            <w:hideMark/>
          </w:tcPr>
          <w:p w14:paraId="07CFE18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nil"/>
              <w:left w:val="nil"/>
              <w:bottom w:val="single" w:sz="4" w:space="0" w:color="auto"/>
              <w:right w:val="single" w:sz="4" w:space="0" w:color="auto"/>
            </w:tcBorders>
            <w:vAlign w:val="center"/>
            <w:hideMark/>
          </w:tcPr>
          <w:p w14:paraId="4D0AF61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3890B81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700.00</w:t>
            </w:r>
          </w:p>
        </w:tc>
        <w:tc>
          <w:tcPr>
            <w:tcW w:w="355" w:type="pct"/>
            <w:tcBorders>
              <w:top w:val="nil"/>
              <w:left w:val="nil"/>
              <w:bottom w:val="single" w:sz="4" w:space="0" w:color="auto"/>
              <w:right w:val="single" w:sz="4" w:space="0" w:color="auto"/>
            </w:tcBorders>
            <w:shd w:val="clear" w:color="auto" w:fill="E2EFDA"/>
            <w:vAlign w:val="center"/>
            <w:hideMark/>
          </w:tcPr>
          <w:p w14:paraId="22F3000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302" w:type="pct"/>
            <w:tcBorders>
              <w:top w:val="nil"/>
              <w:left w:val="nil"/>
              <w:bottom w:val="single" w:sz="4" w:space="0" w:color="auto"/>
              <w:right w:val="single" w:sz="4" w:space="0" w:color="auto"/>
            </w:tcBorders>
            <w:shd w:val="clear" w:color="auto" w:fill="E2EFDA"/>
            <w:vAlign w:val="center"/>
            <w:hideMark/>
          </w:tcPr>
          <w:p w14:paraId="5F54024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700.00</w:t>
            </w:r>
          </w:p>
        </w:tc>
        <w:tc>
          <w:tcPr>
            <w:tcW w:w="513" w:type="pct"/>
            <w:tcBorders>
              <w:top w:val="nil"/>
              <w:left w:val="nil"/>
              <w:bottom w:val="single" w:sz="4" w:space="0" w:color="auto"/>
              <w:right w:val="single" w:sz="4" w:space="0" w:color="auto"/>
            </w:tcBorders>
            <w:shd w:val="clear" w:color="auto" w:fill="E2EFDA"/>
            <w:vAlign w:val="center"/>
            <w:hideMark/>
          </w:tcPr>
          <w:p w14:paraId="34E918F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 WAM (enhancement, adjustment)</w:t>
            </w:r>
          </w:p>
        </w:tc>
        <w:tc>
          <w:tcPr>
            <w:tcW w:w="439" w:type="pct"/>
            <w:tcBorders>
              <w:top w:val="nil"/>
              <w:left w:val="nil"/>
              <w:bottom w:val="single" w:sz="4" w:space="0" w:color="auto"/>
              <w:right w:val="single" w:sz="4" w:space="0" w:color="auto"/>
            </w:tcBorders>
            <w:shd w:val="clear" w:color="auto" w:fill="ED7D31"/>
            <w:vAlign w:val="center"/>
            <w:hideMark/>
          </w:tcPr>
          <w:p w14:paraId="6D6EAEA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304" w:type="pct"/>
            <w:tcBorders>
              <w:top w:val="nil"/>
              <w:left w:val="nil"/>
              <w:bottom w:val="single" w:sz="4" w:space="0" w:color="auto"/>
              <w:right w:val="single" w:sz="4" w:space="0" w:color="auto"/>
            </w:tcBorders>
            <w:shd w:val="clear" w:color="auto" w:fill="ED7D31"/>
            <w:vAlign w:val="center"/>
            <w:hideMark/>
          </w:tcPr>
          <w:p w14:paraId="4A2EA24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700.00</w:t>
            </w:r>
          </w:p>
        </w:tc>
      </w:tr>
      <w:tr w:rsidR="00390BED" w:rsidRPr="004F5BC1" w14:paraId="31271A22"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10CDA687"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3C7A51C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PM_D22</w:t>
            </w:r>
          </w:p>
        </w:tc>
        <w:tc>
          <w:tcPr>
            <w:tcW w:w="799" w:type="pct"/>
            <w:tcBorders>
              <w:top w:val="nil"/>
              <w:left w:val="nil"/>
              <w:bottom w:val="single" w:sz="4" w:space="0" w:color="auto"/>
              <w:right w:val="single" w:sz="4" w:space="0" w:color="auto"/>
            </w:tcBorders>
            <w:vAlign w:val="center"/>
            <w:hideMark/>
          </w:tcPr>
          <w:p w14:paraId="3BA0E74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Provision of economic support to innovative and demonstration pilot RES projects</w:t>
            </w:r>
          </w:p>
        </w:tc>
        <w:tc>
          <w:tcPr>
            <w:tcW w:w="399" w:type="pct"/>
            <w:tcBorders>
              <w:top w:val="nil"/>
              <w:left w:val="nil"/>
              <w:bottom w:val="single" w:sz="4" w:space="0" w:color="auto"/>
              <w:right w:val="single" w:sz="4" w:space="0" w:color="auto"/>
            </w:tcBorders>
            <w:vAlign w:val="center"/>
            <w:hideMark/>
          </w:tcPr>
          <w:p w14:paraId="26D4BB4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nil"/>
              <w:left w:val="nil"/>
              <w:bottom w:val="single" w:sz="4" w:space="0" w:color="auto"/>
              <w:right w:val="single" w:sz="4" w:space="0" w:color="auto"/>
            </w:tcBorders>
            <w:vAlign w:val="center"/>
            <w:hideMark/>
          </w:tcPr>
          <w:p w14:paraId="4A204BC8" w14:textId="0768AF60" w:rsidR="00614438" w:rsidRPr="004F5BC1" w:rsidRDefault="00093B3B"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w:t>
            </w:r>
            <w:r w:rsidR="00614438" w:rsidRPr="004F5BC1">
              <w:rPr>
                <w:rFonts w:ascii="Times New Roman" w:hAnsi="Times New Roman" w:cs="Times New Roman"/>
                <w:sz w:val="14"/>
                <w:szCs w:val="14"/>
                <w:lang w:val="en-GB"/>
              </w:rPr>
              <w:t>ntegrated into PM_D21</w:t>
            </w:r>
          </w:p>
        </w:tc>
        <w:tc>
          <w:tcPr>
            <w:tcW w:w="502" w:type="pct"/>
            <w:tcBorders>
              <w:top w:val="nil"/>
              <w:left w:val="nil"/>
              <w:bottom w:val="single" w:sz="4" w:space="0" w:color="auto"/>
              <w:right w:val="single" w:sz="4" w:space="0" w:color="auto"/>
            </w:tcBorders>
            <w:shd w:val="clear" w:color="auto" w:fill="595959"/>
            <w:vAlign w:val="center"/>
            <w:hideMark/>
          </w:tcPr>
          <w:p w14:paraId="5408271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55" w:type="pct"/>
            <w:tcBorders>
              <w:top w:val="nil"/>
              <w:left w:val="nil"/>
              <w:bottom w:val="single" w:sz="4" w:space="0" w:color="auto"/>
              <w:right w:val="single" w:sz="4" w:space="0" w:color="auto"/>
            </w:tcBorders>
            <w:shd w:val="clear" w:color="auto" w:fill="595959"/>
            <w:vAlign w:val="center"/>
            <w:hideMark/>
          </w:tcPr>
          <w:p w14:paraId="57CFE19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02" w:type="pct"/>
            <w:tcBorders>
              <w:top w:val="nil"/>
              <w:left w:val="nil"/>
              <w:bottom w:val="single" w:sz="4" w:space="0" w:color="auto"/>
              <w:right w:val="single" w:sz="4" w:space="0" w:color="auto"/>
            </w:tcBorders>
            <w:shd w:val="clear" w:color="auto" w:fill="595959"/>
            <w:noWrap/>
            <w:vAlign w:val="bottom"/>
            <w:hideMark/>
          </w:tcPr>
          <w:p w14:paraId="5D0D2D1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13" w:type="pct"/>
            <w:tcBorders>
              <w:top w:val="nil"/>
              <w:left w:val="nil"/>
              <w:bottom w:val="single" w:sz="4" w:space="0" w:color="auto"/>
              <w:right w:val="single" w:sz="4" w:space="0" w:color="auto"/>
            </w:tcBorders>
            <w:shd w:val="clear" w:color="auto" w:fill="E2EFDA"/>
            <w:vAlign w:val="center"/>
            <w:hideMark/>
          </w:tcPr>
          <w:p w14:paraId="5D88057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439" w:type="pct"/>
            <w:tcBorders>
              <w:top w:val="nil"/>
              <w:left w:val="nil"/>
              <w:bottom w:val="single" w:sz="4" w:space="0" w:color="auto"/>
              <w:right w:val="single" w:sz="4" w:space="0" w:color="auto"/>
            </w:tcBorders>
            <w:shd w:val="clear" w:color="auto" w:fill="595959"/>
            <w:vAlign w:val="center"/>
            <w:hideMark/>
          </w:tcPr>
          <w:p w14:paraId="4646FAA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04" w:type="pct"/>
            <w:tcBorders>
              <w:top w:val="nil"/>
              <w:left w:val="nil"/>
              <w:bottom w:val="single" w:sz="4" w:space="0" w:color="auto"/>
              <w:right w:val="single" w:sz="4" w:space="0" w:color="auto"/>
            </w:tcBorders>
            <w:shd w:val="clear" w:color="auto" w:fill="595959"/>
            <w:noWrap/>
            <w:vAlign w:val="bottom"/>
            <w:hideMark/>
          </w:tcPr>
          <w:p w14:paraId="2C0AB0A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390BED" w:rsidRPr="004F5BC1" w14:paraId="67BE13C7"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442257AD"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748A731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PM_D23</w:t>
            </w:r>
          </w:p>
        </w:tc>
        <w:tc>
          <w:tcPr>
            <w:tcW w:w="799" w:type="pct"/>
            <w:tcBorders>
              <w:top w:val="nil"/>
              <w:left w:val="nil"/>
              <w:bottom w:val="single" w:sz="4" w:space="0" w:color="auto"/>
              <w:right w:val="single" w:sz="4" w:space="0" w:color="auto"/>
            </w:tcBorders>
            <w:vAlign w:val="center"/>
            <w:hideMark/>
          </w:tcPr>
          <w:p w14:paraId="7E6D509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Fostering the further utilization of guarantees of origin for energy from RES in all end-uses</w:t>
            </w:r>
          </w:p>
        </w:tc>
        <w:tc>
          <w:tcPr>
            <w:tcW w:w="399" w:type="pct"/>
            <w:tcBorders>
              <w:top w:val="nil"/>
              <w:left w:val="nil"/>
              <w:bottom w:val="single" w:sz="4" w:space="0" w:color="auto"/>
              <w:right w:val="single" w:sz="4" w:space="0" w:color="auto"/>
            </w:tcBorders>
            <w:vAlign w:val="center"/>
            <w:hideMark/>
          </w:tcPr>
          <w:p w14:paraId="42BA26D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Reform </w:t>
            </w:r>
          </w:p>
        </w:tc>
        <w:tc>
          <w:tcPr>
            <w:tcW w:w="461" w:type="pct"/>
            <w:tcBorders>
              <w:top w:val="nil"/>
              <w:left w:val="nil"/>
              <w:bottom w:val="single" w:sz="4" w:space="0" w:color="auto"/>
              <w:right w:val="single" w:sz="4" w:space="0" w:color="auto"/>
            </w:tcBorders>
            <w:vAlign w:val="center"/>
            <w:hideMark/>
          </w:tcPr>
          <w:p w14:paraId="7A7112E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5EEEC0A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0.10</w:t>
            </w:r>
          </w:p>
        </w:tc>
        <w:tc>
          <w:tcPr>
            <w:tcW w:w="355" w:type="pct"/>
            <w:tcBorders>
              <w:top w:val="nil"/>
              <w:left w:val="nil"/>
              <w:bottom w:val="single" w:sz="4" w:space="0" w:color="auto"/>
              <w:right w:val="single" w:sz="4" w:space="0" w:color="auto"/>
            </w:tcBorders>
            <w:shd w:val="clear" w:color="auto" w:fill="E2EFDA"/>
            <w:vAlign w:val="center"/>
            <w:hideMark/>
          </w:tcPr>
          <w:p w14:paraId="086151B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0.10</w:t>
            </w:r>
          </w:p>
        </w:tc>
        <w:tc>
          <w:tcPr>
            <w:tcW w:w="302" w:type="pct"/>
            <w:tcBorders>
              <w:top w:val="nil"/>
              <w:left w:val="nil"/>
              <w:bottom w:val="single" w:sz="4" w:space="0" w:color="auto"/>
              <w:right w:val="single" w:sz="4" w:space="0" w:color="auto"/>
            </w:tcBorders>
            <w:shd w:val="clear" w:color="auto" w:fill="E2EFDA"/>
            <w:vAlign w:val="center"/>
            <w:hideMark/>
          </w:tcPr>
          <w:p w14:paraId="188774F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2EFDA"/>
            <w:vAlign w:val="center"/>
            <w:hideMark/>
          </w:tcPr>
          <w:p w14:paraId="1F9E67F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439" w:type="pct"/>
            <w:tcBorders>
              <w:top w:val="nil"/>
              <w:left w:val="nil"/>
              <w:bottom w:val="single" w:sz="4" w:space="0" w:color="auto"/>
              <w:right w:val="single" w:sz="4" w:space="0" w:color="auto"/>
            </w:tcBorders>
            <w:shd w:val="clear" w:color="auto" w:fill="E2EFDA"/>
            <w:vAlign w:val="center"/>
            <w:hideMark/>
          </w:tcPr>
          <w:p w14:paraId="1B0758D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0.10</w:t>
            </w:r>
          </w:p>
        </w:tc>
        <w:tc>
          <w:tcPr>
            <w:tcW w:w="304" w:type="pct"/>
            <w:tcBorders>
              <w:top w:val="nil"/>
              <w:left w:val="nil"/>
              <w:bottom w:val="single" w:sz="4" w:space="0" w:color="auto"/>
              <w:right w:val="single" w:sz="4" w:space="0" w:color="auto"/>
            </w:tcBorders>
            <w:shd w:val="clear" w:color="auto" w:fill="E2EFDA"/>
            <w:vAlign w:val="center"/>
            <w:hideMark/>
          </w:tcPr>
          <w:p w14:paraId="03E79EA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390BED" w:rsidRPr="004F5BC1" w14:paraId="69F97578"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0209B275"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490FDAF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PM_D24</w:t>
            </w:r>
          </w:p>
        </w:tc>
        <w:tc>
          <w:tcPr>
            <w:tcW w:w="799" w:type="pct"/>
            <w:tcBorders>
              <w:top w:val="nil"/>
              <w:left w:val="nil"/>
              <w:bottom w:val="single" w:sz="4" w:space="0" w:color="auto"/>
              <w:right w:val="single" w:sz="4" w:space="0" w:color="auto"/>
            </w:tcBorders>
            <w:vAlign w:val="center"/>
            <w:hideMark/>
          </w:tcPr>
          <w:p w14:paraId="005012DF" w14:textId="46CEA2AF"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Updating, simplifying and optimizing the authorization, certification, permit-granting and licensing procedures - Establishment of One</w:t>
            </w:r>
            <w:r w:rsidR="00093B3B" w:rsidRPr="004F5BC1">
              <w:rPr>
                <w:rFonts w:ascii="Times New Roman" w:hAnsi="Times New Roman" w:cs="Times New Roman"/>
                <w:sz w:val="14"/>
                <w:szCs w:val="14"/>
                <w:lang w:val="en-GB"/>
              </w:rPr>
              <w:t>-</w:t>
            </w:r>
            <w:r w:rsidRPr="004F5BC1">
              <w:rPr>
                <w:rFonts w:ascii="Times New Roman" w:hAnsi="Times New Roman" w:cs="Times New Roman"/>
                <w:sz w:val="14"/>
                <w:szCs w:val="14"/>
                <w:lang w:val="en-GB"/>
              </w:rPr>
              <w:t xml:space="preserve"> stop shop</w:t>
            </w:r>
          </w:p>
        </w:tc>
        <w:tc>
          <w:tcPr>
            <w:tcW w:w="399" w:type="pct"/>
            <w:tcBorders>
              <w:top w:val="nil"/>
              <w:left w:val="nil"/>
              <w:bottom w:val="single" w:sz="4" w:space="0" w:color="auto"/>
              <w:right w:val="single" w:sz="4" w:space="0" w:color="auto"/>
            </w:tcBorders>
            <w:vAlign w:val="center"/>
            <w:hideMark/>
          </w:tcPr>
          <w:p w14:paraId="1AF0B70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Reform </w:t>
            </w:r>
          </w:p>
        </w:tc>
        <w:tc>
          <w:tcPr>
            <w:tcW w:w="461" w:type="pct"/>
            <w:tcBorders>
              <w:top w:val="nil"/>
              <w:left w:val="nil"/>
              <w:bottom w:val="single" w:sz="4" w:space="0" w:color="auto"/>
              <w:right w:val="single" w:sz="4" w:space="0" w:color="auto"/>
            </w:tcBorders>
            <w:vAlign w:val="center"/>
            <w:hideMark/>
          </w:tcPr>
          <w:p w14:paraId="1FAA3BF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60CC6D3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355" w:type="pct"/>
            <w:tcBorders>
              <w:top w:val="nil"/>
              <w:left w:val="nil"/>
              <w:bottom w:val="single" w:sz="4" w:space="0" w:color="auto"/>
              <w:right w:val="single" w:sz="4" w:space="0" w:color="auto"/>
            </w:tcBorders>
            <w:shd w:val="clear" w:color="auto" w:fill="E2EFDA"/>
            <w:vAlign w:val="center"/>
            <w:hideMark/>
          </w:tcPr>
          <w:p w14:paraId="1D85DC8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302" w:type="pct"/>
            <w:tcBorders>
              <w:top w:val="nil"/>
              <w:left w:val="nil"/>
              <w:bottom w:val="single" w:sz="4" w:space="0" w:color="auto"/>
              <w:right w:val="single" w:sz="4" w:space="0" w:color="auto"/>
            </w:tcBorders>
            <w:shd w:val="clear" w:color="auto" w:fill="E2EFDA"/>
            <w:vAlign w:val="center"/>
            <w:hideMark/>
          </w:tcPr>
          <w:p w14:paraId="336AC85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2EFDA"/>
            <w:vAlign w:val="center"/>
            <w:hideMark/>
          </w:tcPr>
          <w:p w14:paraId="2294978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439" w:type="pct"/>
            <w:tcBorders>
              <w:top w:val="nil"/>
              <w:left w:val="nil"/>
              <w:bottom w:val="single" w:sz="4" w:space="0" w:color="auto"/>
              <w:right w:val="single" w:sz="4" w:space="0" w:color="auto"/>
            </w:tcBorders>
            <w:shd w:val="clear" w:color="auto" w:fill="E2EFDA"/>
            <w:vAlign w:val="center"/>
            <w:hideMark/>
          </w:tcPr>
          <w:p w14:paraId="3985314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304" w:type="pct"/>
            <w:tcBorders>
              <w:top w:val="nil"/>
              <w:left w:val="nil"/>
              <w:bottom w:val="single" w:sz="4" w:space="0" w:color="auto"/>
              <w:right w:val="single" w:sz="4" w:space="0" w:color="auto"/>
            </w:tcBorders>
            <w:shd w:val="clear" w:color="auto" w:fill="E2EFDA"/>
            <w:vAlign w:val="center"/>
            <w:hideMark/>
          </w:tcPr>
          <w:p w14:paraId="45BFCBC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r>
      <w:tr w:rsidR="00390BED" w:rsidRPr="004F5BC1" w14:paraId="6DA5FB5E"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221C772E"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3914D97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PM_D25</w:t>
            </w:r>
          </w:p>
        </w:tc>
        <w:tc>
          <w:tcPr>
            <w:tcW w:w="799" w:type="pct"/>
            <w:tcBorders>
              <w:top w:val="nil"/>
              <w:left w:val="nil"/>
              <w:bottom w:val="single" w:sz="4" w:space="0" w:color="auto"/>
              <w:right w:val="single" w:sz="4" w:space="0" w:color="auto"/>
            </w:tcBorders>
            <w:vAlign w:val="center"/>
            <w:hideMark/>
          </w:tcPr>
          <w:p w14:paraId="6FE81F3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Updating, simplifying and optimizing the grid connection procedures and setting detailed methodology and allocation rules for RES grid connection costs</w:t>
            </w:r>
          </w:p>
        </w:tc>
        <w:tc>
          <w:tcPr>
            <w:tcW w:w="399" w:type="pct"/>
            <w:tcBorders>
              <w:top w:val="nil"/>
              <w:left w:val="nil"/>
              <w:bottom w:val="single" w:sz="4" w:space="0" w:color="auto"/>
              <w:right w:val="single" w:sz="4" w:space="0" w:color="auto"/>
            </w:tcBorders>
            <w:vAlign w:val="center"/>
            <w:hideMark/>
          </w:tcPr>
          <w:p w14:paraId="37038C6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Reform </w:t>
            </w:r>
          </w:p>
        </w:tc>
        <w:tc>
          <w:tcPr>
            <w:tcW w:w="461" w:type="pct"/>
            <w:tcBorders>
              <w:top w:val="nil"/>
              <w:left w:val="nil"/>
              <w:bottom w:val="single" w:sz="4" w:space="0" w:color="auto"/>
              <w:right w:val="single" w:sz="4" w:space="0" w:color="auto"/>
            </w:tcBorders>
            <w:vAlign w:val="center"/>
            <w:hideMark/>
          </w:tcPr>
          <w:p w14:paraId="1E2D2CA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461693C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0.10</w:t>
            </w:r>
          </w:p>
        </w:tc>
        <w:tc>
          <w:tcPr>
            <w:tcW w:w="355" w:type="pct"/>
            <w:tcBorders>
              <w:top w:val="nil"/>
              <w:left w:val="nil"/>
              <w:bottom w:val="single" w:sz="4" w:space="0" w:color="auto"/>
              <w:right w:val="single" w:sz="4" w:space="0" w:color="auto"/>
            </w:tcBorders>
            <w:shd w:val="clear" w:color="auto" w:fill="E2EFDA"/>
            <w:vAlign w:val="center"/>
            <w:hideMark/>
          </w:tcPr>
          <w:p w14:paraId="6B2F167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0.10</w:t>
            </w:r>
          </w:p>
        </w:tc>
        <w:tc>
          <w:tcPr>
            <w:tcW w:w="302" w:type="pct"/>
            <w:tcBorders>
              <w:top w:val="nil"/>
              <w:left w:val="nil"/>
              <w:bottom w:val="single" w:sz="4" w:space="0" w:color="auto"/>
              <w:right w:val="single" w:sz="4" w:space="0" w:color="auto"/>
            </w:tcBorders>
            <w:shd w:val="clear" w:color="auto" w:fill="E2EFDA"/>
            <w:vAlign w:val="center"/>
            <w:hideMark/>
          </w:tcPr>
          <w:p w14:paraId="087E051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2EFDA"/>
            <w:vAlign w:val="center"/>
            <w:hideMark/>
          </w:tcPr>
          <w:p w14:paraId="6596E56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439" w:type="pct"/>
            <w:tcBorders>
              <w:top w:val="nil"/>
              <w:left w:val="nil"/>
              <w:bottom w:val="single" w:sz="4" w:space="0" w:color="auto"/>
              <w:right w:val="single" w:sz="4" w:space="0" w:color="auto"/>
            </w:tcBorders>
            <w:shd w:val="clear" w:color="auto" w:fill="E2EFDA"/>
            <w:vAlign w:val="center"/>
            <w:hideMark/>
          </w:tcPr>
          <w:p w14:paraId="68EB7F4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304" w:type="pct"/>
            <w:tcBorders>
              <w:top w:val="nil"/>
              <w:left w:val="nil"/>
              <w:bottom w:val="single" w:sz="4" w:space="0" w:color="auto"/>
              <w:right w:val="single" w:sz="4" w:space="0" w:color="auto"/>
            </w:tcBorders>
            <w:shd w:val="clear" w:color="auto" w:fill="E2EFDA"/>
            <w:vAlign w:val="center"/>
            <w:hideMark/>
          </w:tcPr>
          <w:p w14:paraId="2D7E9EF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0.10</w:t>
            </w:r>
          </w:p>
        </w:tc>
      </w:tr>
      <w:tr w:rsidR="00390BED" w:rsidRPr="004F5BC1" w14:paraId="4AC4B917"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13A92C7A"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5C1C0A6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PM_D26</w:t>
            </w:r>
          </w:p>
        </w:tc>
        <w:tc>
          <w:tcPr>
            <w:tcW w:w="799" w:type="pct"/>
            <w:tcBorders>
              <w:top w:val="nil"/>
              <w:left w:val="nil"/>
              <w:bottom w:val="single" w:sz="4" w:space="0" w:color="auto"/>
              <w:right w:val="single" w:sz="4" w:space="0" w:color="auto"/>
            </w:tcBorders>
            <w:vAlign w:val="center"/>
            <w:hideMark/>
          </w:tcPr>
          <w:p w14:paraId="3AC6FEB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Fostering the self-consumption of the produced electricity</w:t>
            </w:r>
          </w:p>
        </w:tc>
        <w:tc>
          <w:tcPr>
            <w:tcW w:w="399" w:type="pct"/>
            <w:tcBorders>
              <w:top w:val="nil"/>
              <w:left w:val="nil"/>
              <w:bottom w:val="single" w:sz="4" w:space="0" w:color="auto"/>
              <w:right w:val="single" w:sz="4" w:space="0" w:color="auto"/>
            </w:tcBorders>
            <w:vAlign w:val="center"/>
            <w:hideMark/>
          </w:tcPr>
          <w:p w14:paraId="7F264CE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nil"/>
              <w:left w:val="nil"/>
              <w:bottom w:val="single" w:sz="4" w:space="0" w:color="auto"/>
              <w:right w:val="single" w:sz="4" w:space="0" w:color="auto"/>
            </w:tcBorders>
            <w:vAlign w:val="center"/>
            <w:hideMark/>
          </w:tcPr>
          <w:p w14:paraId="7B6224DE" w14:textId="2729596B" w:rsidR="00614438" w:rsidRPr="004F5BC1" w:rsidRDefault="00093B3B"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w:t>
            </w:r>
            <w:r w:rsidR="00614438" w:rsidRPr="004F5BC1">
              <w:rPr>
                <w:rFonts w:ascii="Times New Roman" w:hAnsi="Times New Roman" w:cs="Times New Roman"/>
                <w:sz w:val="14"/>
                <w:szCs w:val="14"/>
                <w:lang w:val="en-GB"/>
              </w:rPr>
              <w:t>ntegrated into PM_D21</w:t>
            </w:r>
          </w:p>
        </w:tc>
        <w:tc>
          <w:tcPr>
            <w:tcW w:w="502" w:type="pct"/>
            <w:tcBorders>
              <w:top w:val="nil"/>
              <w:left w:val="nil"/>
              <w:bottom w:val="single" w:sz="4" w:space="0" w:color="auto"/>
              <w:right w:val="single" w:sz="4" w:space="0" w:color="auto"/>
            </w:tcBorders>
            <w:shd w:val="clear" w:color="auto" w:fill="595959"/>
            <w:vAlign w:val="center"/>
            <w:hideMark/>
          </w:tcPr>
          <w:p w14:paraId="7F2D53C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55" w:type="pct"/>
            <w:tcBorders>
              <w:top w:val="nil"/>
              <w:left w:val="nil"/>
              <w:bottom w:val="single" w:sz="4" w:space="0" w:color="auto"/>
              <w:right w:val="single" w:sz="4" w:space="0" w:color="auto"/>
            </w:tcBorders>
            <w:shd w:val="clear" w:color="auto" w:fill="595959"/>
            <w:vAlign w:val="center"/>
            <w:hideMark/>
          </w:tcPr>
          <w:p w14:paraId="08F2FDB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02" w:type="pct"/>
            <w:tcBorders>
              <w:top w:val="nil"/>
              <w:left w:val="nil"/>
              <w:bottom w:val="single" w:sz="4" w:space="0" w:color="auto"/>
              <w:right w:val="single" w:sz="4" w:space="0" w:color="auto"/>
            </w:tcBorders>
            <w:shd w:val="clear" w:color="auto" w:fill="595959"/>
            <w:noWrap/>
            <w:vAlign w:val="bottom"/>
            <w:hideMark/>
          </w:tcPr>
          <w:p w14:paraId="6CFD016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13" w:type="pct"/>
            <w:tcBorders>
              <w:top w:val="nil"/>
              <w:left w:val="nil"/>
              <w:bottom w:val="single" w:sz="4" w:space="0" w:color="auto"/>
              <w:right w:val="single" w:sz="4" w:space="0" w:color="auto"/>
            </w:tcBorders>
            <w:shd w:val="clear" w:color="auto" w:fill="E2EFDA"/>
            <w:vAlign w:val="center"/>
            <w:hideMark/>
          </w:tcPr>
          <w:p w14:paraId="412C43D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439" w:type="pct"/>
            <w:tcBorders>
              <w:top w:val="nil"/>
              <w:left w:val="nil"/>
              <w:bottom w:val="single" w:sz="4" w:space="0" w:color="auto"/>
              <w:right w:val="single" w:sz="4" w:space="0" w:color="auto"/>
            </w:tcBorders>
            <w:shd w:val="clear" w:color="auto" w:fill="595959"/>
            <w:vAlign w:val="center"/>
            <w:hideMark/>
          </w:tcPr>
          <w:p w14:paraId="5A3313D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04" w:type="pct"/>
            <w:tcBorders>
              <w:top w:val="nil"/>
              <w:left w:val="nil"/>
              <w:bottom w:val="single" w:sz="4" w:space="0" w:color="auto"/>
              <w:right w:val="single" w:sz="4" w:space="0" w:color="auto"/>
            </w:tcBorders>
            <w:shd w:val="clear" w:color="auto" w:fill="595959"/>
            <w:noWrap/>
            <w:vAlign w:val="bottom"/>
            <w:hideMark/>
          </w:tcPr>
          <w:p w14:paraId="748C707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390BED" w:rsidRPr="004F5BC1" w14:paraId="44A62BA5"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77FD720E"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510D86F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PM_D27</w:t>
            </w:r>
          </w:p>
        </w:tc>
        <w:tc>
          <w:tcPr>
            <w:tcW w:w="799" w:type="pct"/>
            <w:tcBorders>
              <w:top w:val="nil"/>
              <w:left w:val="nil"/>
              <w:bottom w:val="single" w:sz="4" w:space="0" w:color="auto"/>
              <w:right w:val="single" w:sz="4" w:space="0" w:color="auto"/>
            </w:tcBorders>
            <w:vAlign w:val="center"/>
            <w:hideMark/>
          </w:tcPr>
          <w:p w14:paraId="0EFF5939" w14:textId="4526E1B8"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Operating publicly accessible registr</w:t>
            </w:r>
            <w:r w:rsidR="00093B3B" w:rsidRPr="004F5BC1">
              <w:rPr>
                <w:rFonts w:ascii="Times New Roman" w:hAnsi="Times New Roman" w:cs="Times New Roman"/>
                <w:sz w:val="14"/>
                <w:szCs w:val="14"/>
                <w:lang w:val="en-GB"/>
              </w:rPr>
              <w:t>y</w:t>
            </w:r>
            <w:r w:rsidRPr="004F5BC1">
              <w:rPr>
                <w:rFonts w:ascii="Times New Roman" w:hAnsi="Times New Roman" w:cs="Times New Roman"/>
                <w:sz w:val="14"/>
                <w:szCs w:val="14"/>
                <w:lang w:val="en-GB"/>
              </w:rPr>
              <w:t xml:space="preserve"> for RES electricity producers </w:t>
            </w:r>
          </w:p>
        </w:tc>
        <w:tc>
          <w:tcPr>
            <w:tcW w:w="399" w:type="pct"/>
            <w:tcBorders>
              <w:top w:val="nil"/>
              <w:left w:val="nil"/>
              <w:bottom w:val="single" w:sz="4" w:space="0" w:color="auto"/>
              <w:right w:val="single" w:sz="4" w:space="0" w:color="auto"/>
            </w:tcBorders>
            <w:vAlign w:val="center"/>
            <w:hideMark/>
          </w:tcPr>
          <w:p w14:paraId="750E889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Reform </w:t>
            </w:r>
          </w:p>
        </w:tc>
        <w:tc>
          <w:tcPr>
            <w:tcW w:w="461" w:type="pct"/>
            <w:tcBorders>
              <w:top w:val="nil"/>
              <w:left w:val="nil"/>
              <w:bottom w:val="single" w:sz="4" w:space="0" w:color="auto"/>
              <w:right w:val="single" w:sz="4" w:space="0" w:color="auto"/>
            </w:tcBorders>
            <w:vAlign w:val="center"/>
            <w:hideMark/>
          </w:tcPr>
          <w:p w14:paraId="499BF5F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7F387D4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355" w:type="pct"/>
            <w:tcBorders>
              <w:top w:val="nil"/>
              <w:left w:val="nil"/>
              <w:bottom w:val="single" w:sz="4" w:space="0" w:color="auto"/>
              <w:right w:val="single" w:sz="4" w:space="0" w:color="auto"/>
            </w:tcBorders>
            <w:shd w:val="clear" w:color="auto" w:fill="E2EFDA"/>
            <w:vAlign w:val="center"/>
            <w:hideMark/>
          </w:tcPr>
          <w:p w14:paraId="352A86C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302" w:type="pct"/>
            <w:tcBorders>
              <w:top w:val="nil"/>
              <w:left w:val="nil"/>
              <w:bottom w:val="single" w:sz="4" w:space="0" w:color="auto"/>
              <w:right w:val="single" w:sz="4" w:space="0" w:color="auto"/>
            </w:tcBorders>
            <w:shd w:val="clear" w:color="auto" w:fill="E2EFDA"/>
            <w:vAlign w:val="center"/>
            <w:hideMark/>
          </w:tcPr>
          <w:p w14:paraId="3B822BE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2EFDA"/>
            <w:vAlign w:val="center"/>
            <w:hideMark/>
          </w:tcPr>
          <w:p w14:paraId="0BDC31E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 WAM (enhancement, adjustment)</w:t>
            </w:r>
          </w:p>
        </w:tc>
        <w:tc>
          <w:tcPr>
            <w:tcW w:w="439" w:type="pct"/>
            <w:tcBorders>
              <w:top w:val="nil"/>
              <w:left w:val="nil"/>
              <w:bottom w:val="single" w:sz="4" w:space="0" w:color="auto"/>
              <w:right w:val="single" w:sz="4" w:space="0" w:color="auto"/>
            </w:tcBorders>
            <w:shd w:val="clear" w:color="auto" w:fill="E2EFDA"/>
            <w:vAlign w:val="center"/>
            <w:hideMark/>
          </w:tcPr>
          <w:p w14:paraId="1973996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304" w:type="pct"/>
            <w:tcBorders>
              <w:top w:val="nil"/>
              <w:left w:val="nil"/>
              <w:bottom w:val="single" w:sz="4" w:space="0" w:color="auto"/>
              <w:right w:val="single" w:sz="4" w:space="0" w:color="auto"/>
            </w:tcBorders>
            <w:shd w:val="clear" w:color="auto" w:fill="E2EFDA"/>
            <w:vAlign w:val="center"/>
            <w:hideMark/>
          </w:tcPr>
          <w:p w14:paraId="02D1C60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390BED" w:rsidRPr="004F5BC1" w14:paraId="48447AAD"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35E52885"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33503D0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PM_D28</w:t>
            </w:r>
          </w:p>
        </w:tc>
        <w:tc>
          <w:tcPr>
            <w:tcW w:w="799" w:type="pct"/>
            <w:tcBorders>
              <w:top w:val="nil"/>
              <w:left w:val="nil"/>
              <w:bottom w:val="single" w:sz="4" w:space="0" w:color="auto"/>
              <w:right w:val="single" w:sz="4" w:space="0" w:color="auto"/>
            </w:tcBorders>
            <w:vAlign w:val="center"/>
            <w:hideMark/>
          </w:tcPr>
          <w:p w14:paraId="2842E12F" w14:textId="357CD7B0"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Adaptation</w:t>
            </w:r>
            <w:r w:rsidR="00093B3B" w:rsidRPr="004F5BC1">
              <w:rPr>
                <w:rFonts w:ascii="Times New Roman" w:hAnsi="Times New Roman" w:cs="Times New Roman"/>
                <w:sz w:val="14"/>
                <w:szCs w:val="14"/>
                <w:lang w:val="en-GB"/>
              </w:rPr>
              <w:t xml:space="preserve"> to changed climatic conditions</w:t>
            </w:r>
            <w:r w:rsidRPr="004F5BC1">
              <w:rPr>
                <w:rFonts w:ascii="Times New Roman" w:hAnsi="Times New Roman" w:cs="Times New Roman"/>
                <w:sz w:val="14"/>
                <w:szCs w:val="14"/>
                <w:lang w:val="en-GB"/>
              </w:rPr>
              <w:t>, enhancement and expansion of the grid networks for avoiding congestions and enabling the optimal penetration of RES</w:t>
            </w:r>
          </w:p>
        </w:tc>
        <w:tc>
          <w:tcPr>
            <w:tcW w:w="399" w:type="pct"/>
            <w:tcBorders>
              <w:top w:val="nil"/>
              <w:left w:val="nil"/>
              <w:bottom w:val="single" w:sz="4" w:space="0" w:color="auto"/>
              <w:right w:val="single" w:sz="4" w:space="0" w:color="auto"/>
            </w:tcBorders>
            <w:vAlign w:val="center"/>
            <w:hideMark/>
          </w:tcPr>
          <w:p w14:paraId="28C58A2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Reform </w:t>
            </w:r>
          </w:p>
        </w:tc>
        <w:tc>
          <w:tcPr>
            <w:tcW w:w="461" w:type="pct"/>
            <w:tcBorders>
              <w:top w:val="nil"/>
              <w:left w:val="nil"/>
              <w:bottom w:val="single" w:sz="4" w:space="0" w:color="auto"/>
              <w:right w:val="single" w:sz="4" w:space="0" w:color="auto"/>
            </w:tcBorders>
            <w:vAlign w:val="center"/>
            <w:hideMark/>
          </w:tcPr>
          <w:p w14:paraId="3D5228A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D7D31"/>
            <w:vAlign w:val="center"/>
            <w:hideMark/>
          </w:tcPr>
          <w:p w14:paraId="13EF504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under examination</w:t>
            </w:r>
          </w:p>
        </w:tc>
        <w:tc>
          <w:tcPr>
            <w:tcW w:w="355" w:type="pct"/>
            <w:tcBorders>
              <w:top w:val="nil"/>
              <w:left w:val="nil"/>
              <w:bottom w:val="single" w:sz="4" w:space="0" w:color="auto"/>
              <w:right w:val="single" w:sz="4" w:space="0" w:color="auto"/>
            </w:tcBorders>
            <w:shd w:val="clear" w:color="auto" w:fill="ED7D31"/>
            <w:vAlign w:val="center"/>
            <w:hideMark/>
          </w:tcPr>
          <w:p w14:paraId="5EE6E4E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02" w:type="pct"/>
            <w:tcBorders>
              <w:top w:val="nil"/>
              <w:left w:val="nil"/>
              <w:bottom w:val="single" w:sz="4" w:space="0" w:color="auto"/>
              <w:right w:val="single" w:sz="4" w:space="0" w:color="auto"/>
            </w:tcBorders>
            <w:shd w:val="clear" w:color="auto" w:fill="ED7D31"/>
            <w:vAlign w:val="center"/>
            <w:hideMark/>
          </w:tcPr>
          <w:p w14:paraId="5AE7F4C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13" w:type="pct"/>
            <w:tcBorders>
              <w:top w:val="nil"/>
              <w:left w:val="nil"/>
              <w:bottom w:val="single" w:sz="4" w:space="0" w:color="auto"/>
              <w:right w:val="single" w:sz="4" w:space="0" w:color="auto"/>
            </w:tcBorders>
            <w:shd w:val="clear" w:color="auto" w:fill="E2EFDA"/>
            <w:vAlign w:val="center"/>
            <w:hideMark/>
          </w:tcPr>
          <w:p w14:paraId="0FA5D94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439" w:type="pct"/>
            <w:tcBorders>
              <w:top w:val="nil"/>
              <w:left w:val="nil"/>
              <w:bottom w:val="single" w:sz="4" w:space="0" w:color="auto"/>
              <w:right w:val="single" w:sz="4" w:space="0" w:color="auto"/>
            </w:tcBorders>
            <w:shd w:val="clear" w:color="auto" w:fill="E2EFDA"/>
            <w:vAlign w:val="center"/>
            <w:hideMark/>
          </w:tcPr>
          <w:p w14:paraId="688E072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304" w:type="pct"/>
            <w:tcBorders>
              <w:top w:val="nil"/>
              <w:left w:val="nil"/>
              <w:bottom w:val="single" w:sz="4" w:space="0" w:color="auto"/>
              <w:right w:val="single" w:sz="4" w:space="0" w:color="auto"/>
            </w:tcBorders>
            <w:shd w:val="clear" w:color="auto" w:fill="ED7D31"/>
            <w:vAlign w:val="center"/>
            <w:hideMark/>
          </w:tcPr>
          <w:p w14:paraId="2BB48AF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390BED" w:rsidRPr="004F5BC1" w14:paraId="6BF6EB1C"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0623213B"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0CBE9AD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PM_D29</w:t>
            </w:r>
          </w:p>
        </w:tc>
        <w:tc>
          <w:tcPr>
            <w:tcW w:w="799" w:type="pct"/>
            <w:tcBorders>
              <w:top w:val="nil"/>
              <w:left w:val="nil"/>
              <w:bottom w:val="single" w:sz="4" w:space="0" w:color="auto"/>
              <w:right w:val="single" w:sz="4" w:space="0" w:color="auto"/>
            </w:tcBorders>
            <w:vAlign w:val="center"/>
            <w:hideMark/>
          </w:tcPr>
          <w:p w14:paraId="0748069A" w14:textId="62F069F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Promotion of RES for heating and cooling in new and </w:t>
            </w:r>
            <w:r w:rsidR="00093B3B" w:rsidRPr="004F5BC1">
              <w:rPr>
                <w:rFonts w:ascii="Times New Roman" w:hAnsi="Times New Roman" w:cs="Times New Roman"/>
                <w:sz w:val="14"/>
                <w:szCs w:val="14"/>
                <w:lang w:val="en-GB"/>
              </w:rPr>
              <w:t>energy-renovated buildings</w:t>
            </w:r>
          </w:p>
        </w:tc>
        <w:tc>
          <w:tcPr>
            <w:tcW w:w="399" w:type="pct"/>
            <w:tcBorders>
              <w:top w:val="nil"/>
              <w:left w:val="nil"/>
              <w:bottom w:val="single" w:sz="4" w:space="0" w:color="auto"/>
              <w:right w:val="single" w:sz="4" w:space="0" w:color="auto"/>
            </w:tcBorders>
            <w:vAlign w:val="center"/>
            <w:hideMark/>
          </w:tcPr>
          <w:p w14:paraId="7131EE26" w14:textId="3D30A713" w:rsidR="00614438" w:rsidRPr="004F5BC1" w:rsidRDefault="007B3B9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Regulatory</w:t>
            </w:r>
          </w:p>
        </w:tc>
        <w:tc>
          <w:tcPr>
            <w:tcW w:w="461" w:type="pct"/>
            <w:tcBorders>
              <w:top w:val="nil"/>
              <w:left w:val="nil"/>
              <w:bottom w:val="single" w:sz="4" w:space="0" w:color="auto"/>
              <w:right w:val="single" w:sz="4" w:space="0" w:color="auto"/>
            </w:tcBorders>
            <w:vAlign w:val="center"/>
            <w:hideMark/>
          </w:tcPr>
          <w:p w14:paraId="238A2E7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Budget incorporated into energy efficiency dimension measures (PM_EE1-PM_EE8)</w:t>
            </w:r>
          </w:p>
        </w:tc>
        <w:tc>
          <w:tcPr>
            <w:tcW w:w="502" w:type="pct"/>
            <w:tcBorders>
              <w:top w:val="nil"/>
              <w:left w:val="nil"/>
              <w:bottom w:val="single" w:sz="4" w:space="0" w:color="auto"/>
              <w:right w:val="single" w:sz="4" w:space="0" w:color="auto"/>
            </w:tcBorders>
            <w:shd w:val="clear" w:color="auto" w:fill="595959"/>
            <w:vAlign w:val="center"/>
            <w:hideMark/>
          </w:tcPr>
          <w:p w14:paraId="0724DB5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55" w:type="pct"/>
            <w:tcBorders>
              <w:top w:val="nil"/>
              <w:left w:val="nil"/>
              <w:bottom w:val="single" w:sz="4" w:space="0" w:color="auto"/>
              <w:right w:val="single" w:sz="4" w:space="0" w:color="auto"/>
            </w:tcBorders>
            <w:shd w:val="clear" w:color="auto" w:fill="595959"/>
            <w:vAlign w:val="center"/>
            <w:hideMark/>
          </w:tcPr>
          <w:p w14:paraId="2BFFE2E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02" w:type="pct"/>
            <w:tcBorders>
              <w:top w:val="nil"/>
              <w:left w:val="nil"/>
              <w:bottom w:val="single" w:sz="4" w:space="0" w:color="auto"/>
              <w:right w:val="single" w:sz="4" w:space="0" w:color="auto"/>
            </w:tcBorders>
            <w:shd w:val="clear" w:color="auto" w:fill="595959"/>
            <w:noWrap/>
            <w:vAlign w:val="bottom"/>
            <w:hideMark/>
          </w:tcPr>
          <w:p w14:paraId="12B0EEF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13" w:type="pct"/>
            <w:tcBorders>
              <w:top w:val="nil"/>
              <w:left w:val="nil"/>
              <w:bottom w:val="single" w:sz="4" w:space="0" w:color="auto"/>
              <w:right w:val="single" w:sz="4" w:space="0" w:color="auto"/>
            </w:tcBorders>
            <w:shd w:val="clear" w:color="auto" w:fill="E2EFDA"/>
            <w:vAlign w:val="center"/>
            <w:hideMark/>
          </w:tcPr>
          <w:p w14:paraId="28CC704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439" w:type="pct"/>
            <w:tcBorders>
              <w:top w:val="nil"/>
              <w:left w:val="nil"/>
              <w:bottom w:val="single" w:sz="4" w:space="0" w:color="auto"/>
              <w:right w:val="single" w:sz="4" w:space="0" w:color="auto"/>
            </w:tcBorders>
            <w:shd w:val="clear" w:color="auto" w:fill="595959"/>
            <w:vAlign w:val="center"/>
            <w:hideMark/>
          </w:tcPr>
          <w:p w14:paraId="45FBC82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04" w:type="pct"/>
            <w:tcBorders>
              <w:top w:val="nil"/>
              <w:left w:val="nil"/>
              <w:bottom w:val="single" w:sz="4" w:space="0" w:color="auto"/>
              <w:right w:val="single" w:sz="4" w:space="0" w:color="auto"/>
            </w:tcBorders>
            <w:shd w:val="clear" w:color="auto" w:fill="595959"/>
            <w:noWrap/>
            <w:vAlign w:val="bottom"/>
            <w:hideMark/>
          </w:tcPr>
          <w:p w14:paraId="673B60A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390BED" w:rsidRPr="004F5BC1" w14:paraId="5F72C271"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7AA67D37"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601EA47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PM_D30</w:t>
            </w:r>
          </w:p>
        </w:tc>
        <w:tc>
          <w:tcPr>
            <w:tcW w:w="799" w:type="pct"/>
            <w:tcBorders>
              <w:top w:val="nil"/>
              <w:left w:val="nil"/>
              <w:bottom w:val="single" w:sz="4" w:space="0" w:color="auto"/>
              <w:right w:val="single" w:sz="4" w:space="0" w:color="auto"/>
            </w:tcBorders>
            <w:vAlign w:val="center"/>
            <w:hideMark/>
          </w:tcPr>
          <w:p w14:paraId="12990C7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Provision of fiscal and economic incentives to foster RES in heating and cooling</w:t>
            </w:r>
          </w:p>
        </w:tc>
        <w:tc>
          <w:tcPr>
            <w:tcW w:w="399" w:type="pct"/>
            <w:tcBorders>
              <w:top w:val="nil"/>
              <w:left w:val="nil"/>
              <w:bottom w:val="single" w:sz="4" w:space="0" w:color="auto"/>
              <w:right w:val="single" w:sz="4" w:space="0" w:color="auto"/>
            </w:tcBorders>
            <w:vAlign w:val="center"/>
            <w:hideMark/>
          </w:tcPr>
          <w:p w14:paraId="14807F9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nil"/>
              <w:left w:val="nil"/>
              <w:bottom w:val="single" w:sz="4" w:space="0" w:color="auto"/>
              <w:right w:val="single" w:sz="4" w:space="0" w:color="auto"/>
            </w:tcBorders>
            <w:vAlign w:val="center"/>
            <w:hideMark/>
          </w:tcPr>
          <w:p w14:paraId="20AB5A1D" w14:textId="590442AB"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Budget incorporated into energy efficiency dimension measures (PM_EE1-, PM_EE8)</w:t>
            </w:r>
          </w:p>
        </w:tc>
        <w:tc>
          <w:tcPr>
            <w:tcW w:w="502" w:type="pct"/>
            <w:tcBorders>
              <w:top w:val="nil"/>
              <w:left w:val="nil"/>
              <w:bottom w:val="single" w:sz="4" w:space="0" w:color="auto"/>
              <w:right w:val="single" w:sz="4" w:space="0" w:color="auto"/>
            </w:tcBorders>
            <w:shd w:val="clear" w:color="auto" w:fill="595959"/>
            <w:vAlign w:val="center"/>
            <w:hideMark/>
          </w:tcPr>
          <w:p w14:paraId="68ACBBF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55" w:type="pct"/>
            <w:tcBorders>
              <w:top w:val="nil"/>
              <w:left w:val="nil"/>
              <w:bottom w:val="single" w:sz="4" w:space="0" w:color="auto"/>
              <w:right w:val="single" w:sz="4" w:space="0" w:color="auto"/>
            </w:tcBorders>
            <w:shd w:val="clear" w:color="auto" w:fill="595959"/>
            <w:vAlign w:val="center"/>
            <w:hideMark/>
          </w:tcPr>
          <w:p w14:paraId="45B4AE4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02" w:type="pct"/>
            <w:tcBorders>
              <w:top w:val="nil"/>
              <w:left w:val="nil"/>
              <w:bottom w:val="single" w:sz="4" w:space="0" w:color="auto"/>
              <w:right w:val="single" w:sz="4" w:space="0" w:color="auto"/>
            </w:tcBorders>
            <w:shd w:val="clear" w:color="auto" w:fill="595959"/>
            <w:noWrap/>
            <w:vAlign w:val="bottom"/>
            <w:hideMark/>
          </w:tcPr>
          <w:p w14:paraId="3F8DC92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13" w:type="pct"/>
            <w:tcBorders>
              <w:top w:val="nil"/>
              <w:left w:val="nil"/>
              <w:bottom w:val="single" w:sz="4" w:space="0" w:color="auto"/>
              <w:right w:val="single" w:sz="4" w:space="0" w:color="auto"/>
            </w:tcBorders>
            <w:shd w:val="clear" w:color="auto" w:fill="E2EFDA"/>
            <w:vAlign w:val="center"/>
            <w:hideMark/>
          </w:tcPr>
          <w:p w14:paraId="3D6BD42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439" w:type="pct"/>
            <w:tcBorders>
              <w:top w:val="nil"/>
              <w:left w:val="nil"/>
              <w:bottom w:val="single" w:sz="4" w:space="0" w:color="auto"/>
              <w:right w:val="single" w:sz="4" w:space="0" w:color="auto"/>
            </w:tcBorders>
            <w:shd w:val="clear" w:color="auto" w:fill="595959"/>
            <w:vAlign w:val="center"/>
            <w:hideMark/>
          </w:tcPr>
          <w:p w14:paraId="6CB7ED2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04" w:type="pct"/>
            <w:tcBorders>
              <w:top w:val="nil"/>
              <w:left w:val="nil"/>
              <w:bottom w:val="single" w:sz="4" w:space="0" w:color="auto"/>
              <w:right w:val="single" w:sz="4" w:space="0" w:color="auto"/>
            </w:tcBorders>
            <w:shd w:val="clear" w:color="auto" w:fill="595959"/>
            <w:noWrap/>
            <w:vAlign w:val="bottom"/>
            <w:hideMark/>
          </w:tcPr>
          <w:p w14:paraId="6713034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390BED" w:rsidRPr="004F5BC1" w14:paraId="53A6D757"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509A5399"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4B85F9A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PM_D31</w:t>
            </w:r>
          </w:p>
        </w:tc>
        <w:tc>
          <w:tcPr>
            <w:tcW w:w="799" w:type="pct"/>
            <w:tcBorders>
              <w:top w:val="nil"/>
              <w:left w:val="nil"/>
              <w:bottom w:val="single" w:sz="4" w:space="0" w:color="auto"/>
              <w:right w:val="single" w:sz="4" w:space="0" w:color="auto"/>
            </w:tcBorders>
            <w:vAlign w:val="center"/>
            <w:hideMark/>
          </w:tcPr>
          <w:p w14:paraId="6DC7A38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Facilitating the penetration of RES into district heating networks</w:t>
            </w:r>
          </w:p>
        </w:tc>
        <w:tc>
          <w:tcPr>
            <w:tcW w:w="399" w:type="pct"/>
            <w:tcBorders>
              <w:top w:val="nil"/>
              <w:left w:val="nil"/>
              <w:bottom w:val="single" w:sz="4" w:space="0" w:color="auto"/>
              <w:right w:val="single" w:sz="4" w:space="0" w:color="auto"/>
            </w:tcBorders>
            <w:vAlign w:val="center"/>
            <w:hideMark/>
          </w:tcPr>
          <w:p w14:paraId="1ED8874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nil"/>
              <w:left w:val="nil"/>
              <w:bottom w:val="single" w:sz="4" w:space="0" w:color="auto"/>
              <w:right w:val="single" w:sz="4" w:space="0" w:color="auto"/>
            </w:tcBorders>
            <w:vAlign w:val="center"/>
            <w:hideMark/>
          </w:tcPr>
          <w:p w14:paraId="73CA423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8 M€ for biomass</w:t>
            </w:r>
          </w:p>
          <w:p w14:paraId="315A7A1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443 M€ for solar energy</w:t>
            </w:r>
          </w:p>
        </w:tc>
        <w:tc>
          <w:tcPr>
            <w:tcW w:w="502" w:type="pct"/>
            <w:tcBorders>
              <w:top w:val="nil"/>
              <w:left w:val="nil"/>
              <w:bottom w:val="single" w:sz="4" w:space="0" w:color="auto"/>
              <w:right w:val="single" w:sz="4" w:space="0" w:color="auto"/>
            </w:tcBorders>
            <w:shd w:val="clear" w:color="auto" w:fill="E2EFDA"/>
            <w:vAlign w:val="center"/>
            <w:hideMark/>
          </w:tcPr>
          <w:p w14:paraId="770A9CFE" w14:textId="362E60D9"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451</w:t>
            </w:r>
            <w:r w:rsidR="007B3B98" w:rsidRPr="004F5BC1">
              <w:rPr>
                <w:rFonts w:ascii="Times New Roman" w:hAnsi="Times New Roman" w:cs="Times New Roman"/>
                <w:sz w:val="14"/>
                <w:szCs w:val="14"/>
                <w:lang w:val="en-GB"/>
              </w:rPr>
              <w:t>.00</w:t>
            </w:r>
          </w:p>
        </w:tc>
        <w:tc>
          <w:tcPr>
            <w:tcW w:w="355" w:type="pct"/>
            <w:tcBorders>
              <w:top w:val="nil"/>
              <w:left w:val="nil"/>
              <w:bottom w:val="single" w:sz="4" w:space="0" w:color="auto"/>
              <w:right w:val="single" w:sz="4" w:space="0" w:color="auto"/>
            </w:tcBorders>
            <w:shd w:val="clear" w:color="auto" w:fill="E2EFD9" w:themeFill="accent6" w:themeFillTint="33"/>
            <w:vAlign w:val="center"/>
            <w:hideMark/>
          </w:tcPr>
          <w:p w14:paraId="6D35B7E7" w14:textId="2C462772"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225.5</w:t>
            </w:r>
            <w:r w:rsidR="007B3B98" w:rsidRPr="004F5BC1">
              <w:rPr>
                <w:rFonts w:ascii="Times New Roman" w:hAnsi="Times New Roman" w:cs="Times New Roman"/>
                <w:sz w:val="14"/>
                <w:szCs w:val="14"/>
                <w:lang w:val="en-GB"/>
              </w:rPr>
              <w:t>0</w:t>
            </w:r>
          </w:p>
        </w:tc>
        <w:tc>
          <w:tcPr>
            <w:tcW w:w="302" w:type="pct"/>
            <w:tcBorders>
              <w:top w:val="nil"/>
              <w:left w:val="nil"/>
              <w:bottom w:val="single" w:sz="4" w:space="0" w:color="auto"/>
              <w:right w:val="single" w:sz="4" w:space="0" w:color="auto"/>
            </w:tcBorders>
            <w:shd w:val="clear" w:color="auto" w:fill="E2EFD9" w:themeFill="accent6" w:themeFillTint="33"/>
            <w:vAlign w:val="center"/>
            <w:hideMark/>
          </w:tcPr>
          <w:p w14:paraId="40DD0E08" w14:textId="1A640640"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225.5</w:t>
            </w:r>
            <w:r w:rsidR="007B3B98" w:rsidRPr="004F5BC1">
              <w:rPr>
                <w:rFonts w:ascii="Times New Roman" w:hAnsi="Times New Roman" w:cs="Times New Roman"/>
                <w:sz w:val="14"/>
                <w:szCs w:val="14"/>
                <w:lang w:val="en-GB"/>
              </w:rPr>
              <w:t>0</w:t>
            </w:r>
          </w:p>
        </w:tc>
        <w:tc>
          <w:tcPr>
            <w:tcW w:w="513" w:type="pct"/>
            <w:tcBorders>
              <w:top w:val="nil"/>
              <w:left w:val="nil"/>
              <w:bottom w:val="single" w:sz="4" w:space="0" w:color="auto"/>
              <w:right w:val="single" w:sz="4" w:space="0" w:color="auto"/>
            </w:tcBorders>
            <w:shd w:val="clear" w:color="auto" w:fill="E2EFD9" w:themeFill="accent6" w:themeFillTint="33"/>
            <w:vAlign w:val="center"/>
            <w:hideMark/>
          </w:tcPr>
          <w:p w14:paraId="7B701F2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439" w:type="pct"/>
            <w:tcBorders>
              <w:top w:val="nil"/>
              <w:left w:val="nil"/>
              <w:bottom w:val="single" w:sz="4" w:space="0" w:color="auto"/>
              <w:right w:val="single" w:sz="4" w:space="0" w:color="auto"/>
            </w:tcBorders>
            <w:shd w:val="clear" w:color="auto" w:fill="E2EFD9" w:themeFill="accent6" w:themeFillTint="33"/>
            <w:vAlign w:val="center"/>
            <w:hideMark/>
          </w:tcPr>
          <w:p w14:paraId="1767D14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304" w:type="pct"/>
            <w:tcBorders>
              <w:top w:val="nil"/>
              <w:left w:val="nil"/>
              <w:bottom w:val="single" w:sz="4" w:space="0" w:color="auto"/>
              <w:right w:val="single" w:sz="4" w:space="0" w:color="auto"/>
            </w:tcBorders>
            <w:shd w:val="clear" w:color="auto" w:fill="E2EFD9" w:themeFill="accent6" w:themeFillTint="33"/>
            <w:vAlign w:val="center"/>
            <w:hideMark/>
          </w:tcPr>
          <w:p w14:paraId="04D3FD3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451.00</w:t>
            </w:r>
          </w:p>
        </w:tc>
      </w:tr>
      <w:tr w:rsidR="00390BED" w:rsidRPr="004F5BC1" w14:paraId="3BE200D8"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429FF7B3"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0DEE78B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PM_D32</w:t>
            </w:r>
          </w:p>
        </w:tc>
        <w:tc>
          <w:tcPr>
            <w:tcW w:w="799" w:type="pct"/>
            <w:tcBorders>
              <w:top w:val="nil"/>
              <w:left w:val="nil"/>
              <w:bottom w:val="single" w:sz="4" w:space="0" w:color="auto"/>
              <w:right w:val="single" w:sz="4" w:space="0" w:color="auto"/>
            </w:tcBorders>
            <w:vAlign w:val="center"/>
            <w:hideMark/>
          </w:tcPr>
          <w:p w14:paraId="109A443A" w14:textId="097D453F"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Fostering the production of advanced biofuels for use in</w:t>
            </w:r>
            <w:r w:rsidR="007B3B98" w:rsidRPr="004F5BC1">
              <w:rPr>
                <w:rFonts w:ascii="Times New Roman" w:hAnsi="Times New Roman" w:cs="Times New Roman"/>
                <w:sz w:val="14"/>
                <w:szCs w:val="14"/>
                <w:lang w:val="en-GB"/>
              </w:rPr>
              <w:t xml:space="preserve"> the</w:t>
            </w:r>
            <w:r w:rsidRPr="004F5BC1">
              <w:rPr>
                <w:rFonts w:ascii="Times New Roman" w:hAnsi="Times New Roman" w:cs="Times New Roman"/>
                <w:sz w:val="14"/>
                <w:szCs w:val="14"/>
                <w:lang w:val="en-GB"/>
              </w:rPr>
              <w:t xml:space="preserve"> transport sector</w:t>
            </w:r>
          </w:p>
        </w:tc>
        <w:tc>
          <w:tcPr>
            <w:tcW w:w="399" w:type="pct"/>
            <w:tcBorders>
              <w:top w:val="nil"/>
              <w:left w:val="nil"/>
              <w:bottom w:val="single" w:sz="4" w:space="0" w:color="auto"/>
              <w:right w:val="single" w:sz="4" w:space="0" w:color="auto"/>
            </w:tcBorders>
            <w:vAlign w:val="center"/>
            <w:hideMark/>
          </w:tcPr>
          <w:p w14:paraId="0938119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single" w:sz="4" w:space="0" w:color="auto"/>
              <w:left w:val="nil"/>
              <w:bottom w:val="single" w:sz="4" w:space="0" w:color="auto"/>
              <w:right w:val="single" w:sz="4" w:space="0" w:color="auto"/>
            </w:tcBorders>
            <w:noWrap/>
            <w:vAlign w:val="bottom"/>
            <w:hideMark/>
          </w:tcPr>
          <w:p w14:paraId="4707308F" w14:textId="77777777" w:rsidR="00614438" w:rsidRPr="004F5BC1" w:rsidRDefault="00614438" w:rsidP="00614438">
            <w:pPr>
              <w:jc w:val="both"/>
              <w:rPr>
                <w:rFonts w:ascii="Times New Roman" w:hAnsi="Times New Roman" w:cs="Times New Roman"/>
                <w:sz w:val="14"/>
                <w:szCs w:val="14"/>
                <w:lang w:val="en-GB"/>
              </w:rPr>
            </w:pPr>
          </w:p>
        </w:tc>
        <w:tc>
          <w:tcPr>
            <w:tcW w:w="502" w:type="pct"/>
            <w:tcBorders>
              <w:top w:val="nil"/>
              <w:left w:val="single" w:sz="4" w:space="0" w:color="auto"/>
              <w:bottom w:val="single" w:sz="4" w:space="0" w:color="auto"/>
              <w:right w:val="single" w:sz="4" w:space="0" w:color="auto"/>
            </w:tcBorders>
            <w:shd w:val="clear" w:color="auto" w:fill="E2EFDA"/>
            <w:vAlign w:val="center"/>
            <w:hideMark/>
          </w:tcPr>
          <w:p w14:paraId="79DEB6F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100.00</w:t>
            </w:r>
          </w:p>
        </w:tc>
        <w:tc>
          <w:tcPr>
            <w:tcW w:w="355" w:type="pct"/>
            <w:tcBorders>
              <w:top w:val="nil"/>
              <w:left w:val="nil"/>
              <w:bottom w:val="single" w:sz="4" w:space="0" w:color="auto"/>
              <w:right w:val="single" w:sz="4" w:space="0" w:color="auto"/>
            </w:tcBorders>
            <w:shd w:val="clear" w:color="auto" w:fill="E2EFD9" w:themeFill="accent6" w:themeFillTint="33"/>
            <w:vAlign w:val="center"/>
            <w:hideMark/>
          </w:tcPr>
          <w:p w14:paraId="701DF37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50.00</w:t>
            </w:r>
          </w:p>
        </w:tc>
        <w:tc>
          <w:tcPr>
            <w:tcW w:w="302" w:type="pct"/>
            <w:tcBorders>
              <w:top w:val="nil"/>
              <w:left w:val="nil"/>
              <w:bottom w:val="single" w:sz="4" w:space="0" w:color="auto"/>
              <w:right w:val="single" w:sz="4" w:space="0" w:color="auto"/>
            </w:tcBorders>
            <w:shd w:val="clear" w:color="auto" w:fill="E2EFD9" w:themeFill="accent6" w:themeFillTint="33"/>
            <w:vAlign w:val="center"/>
            <w:hideMark/>
          </w:tcPr>
          <w:p w14:paraId="48126FC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50.00</w:t>
            </w:r>
          </w:p>
        </w:tc>
        <w:tc>
          <w:tcPr>
            <w:tcW w:w="513" w:type="pct"/>
            <w:tcBorders>
              <w:top w:val="nil"/>
              <w:left w:val="nil"/>
              <w:bottom w:val="single" w:sz="4" w:space="0" w:color="auto"/>
              <w:right w:val="single" w:sz="4" w:space="0" w:color="auto"/>
            </w:tcBorders>
            <w:shd w:val="clear" w:color="auto" w:fill="E2EFD9" w:themeFill="accent6" w:themeFillTint="33"/>
            <w:vAlign w:val="center"/>
            <w:hideMark/>
          </w:tcPr>
          <w:p w14:paraId="0656104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439" w:type="pct"/>
            <w:tcBorders>
              <w:top w:val="nil"/>
              <w:left w:val="nil"/>
              <w:bottom w:val="single" w:sz="4" w:space="0" w:color="auto"/>
              <w:right w:val="single" w:sz="4" w:space="0" w:color="auto"/>
            </w:tcBorders>
            <w:shd w:val="clear" w:color="auto" w:fill="E2EFD9" w:themeFill="accent6" w:themeFillTint="33"/>
            <w:vAlign w:val="center"/>
            <w:hideMark/>
          </w:tcPr>
          <w:p w14:paraId="2EBAA95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304" w:type="pct"/>
            <w:tcBorders>
              <w:top w:val="nil"/>
              <w:left w:val="nil"/>
              <w:bottom w:val="single" w:sz="4" w:space="0" w:color="auto"/>
              <w:right w:val="single" w:sz="4" w:space="0" w:color="auto"/>
            </w:tcBorders>
            <w:shd w:val="clear" w:color="auto" w:fill="E2EFD9" w:themeFill="accent6" w:themeFillTint="33"/>
            <w:vAlign w:val="center"/>
            <w:hideMark/>
          </w:tcPr>
          <w:p w14:paraId="49FE4D2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100.00</w:t>
            </w:r>
          </w:p>
        </w:tc>
      </w:tr>
      <w:tr w:rsidR="00390BED" w:rsidRPr="004F5BC1" w14:paraId="4016417B"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68474318"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10E5EDC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PM_D33</w:t>
            </w:r>
          </w:p>
        </w:tc>
        <w:tc>
          <w:tcPr>
            <w:tcW w:w="799" w:type="pct"/>
            <w:tcBorders>
              <w:top w:val="nil"/>
              <w:left w:val="nil"/>
              <w:bottom w:val="single" w:sz="4" w:space="0" w:color="auto"/>
              <w:right w:val="single" w:sz="4" w:space="0" w:color="auto"/>
            </w:tcBorders>
            <w:vAlign w:val="center"/>
            <w:hideMark/>
          </w:tcPr>
          <w:p w14:paraId="5FDEA62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Fostering the consumption of biofuels in transport sector</w:t>
            </w:r>
          </w:p>
        </w:tc>
        <w:tc>
          <w:tcPr>
            <w:tcW w:w="399" w:type="pct"/>
            <w:tcBorders>
              <w:top w:val="nil"/>
              <w:left w:val="nil"/>
              <w:bottom w:val="single" w:sz="4" w:space="0" w:color="auto"/>
              <w:right w:val="single" w:sz="4" w:space="0" w:color="auto"/>
            </w:tcBorders>
            <w:vAlign w:val="center"/>
            <w:hideMark/>
          </w:tcPr>
          <w:p w14:paraId="7B992A5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Reform </w:t>
            </w:r>
          </w:p>
        </w:tc>
        <w:tc>
          <w:tcPr>
            <w:tcW w:w="461" w:type="pct"/>
            <w:tcBorders>
              <w:top w:val="single" w:sz="4" w:space="0" w:color="auto"/>
              <w:left w:val="nil"/>
              <w:bottom w:val="single" w:sz="4" w:space="0" w:color="auto"/>
              <w:right w:val="single" w:sz="4" w:space="0" w:color="auto"/>
            </w:tcBorders>
            <w:vAlign w:val="center"/>
            <w:hideMark/>
          </w:tcPr>
          <w:p w14:paraId="3DFA355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42DCBCB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355" w:type="pct"/>
            <w:tcBorders>
              <w:top w:val="nil"/>
              <w:left w:val="nil"/>
              <w:bottom w:val="single" w:sz="4" w:space="0" w:color="auto"/>
              <w:right w:val="single" w:sz="4" w:space="0" w:color="auto"/>
            </w:tcBorders>
            <w:shd w:val="clear" w:color="auto" w:fill="E2EFDA"/>
            <w:vAlign w:val="center"/>
            <w:hideMark/>
          </w:tcPr>
          <w:p w14:paraId="2941AE1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302" w:type="pct"/>
            <w:tcBorders>
              <w:top w:val="nil"/>
              <w:left w:val="nil"/>
              <w:bottom w:val="single" w:sz="4" w:space="0" w:color="auto"/>
              <w:right w:val="single" w:sz="4" w:space="0" w:color="auto"/>
            </w:tcBorders>
            <w:shd w:val="clear" w:color="auto" w:fill="E2EFDA"/>
            <w:vAlign w:val="center"/>
            <w:hideMark/>
          </w:tcPr>
          <w:p w14:paraId="57BFDBB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2EFDA"/>
            <w:vAlign w:val="center"/>
            <w:hideMark/>
          </w:tcPr>
          <w:p w14:paraId="765C693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439" w:type="pct"/>
            <w:tcBorders>
              <w:top w:val="nil"/>
              <w:left w:val="nil"/>
              <w:bottom w:val="single" w:sz="4" w:space="0" w:color="auto"/>
              <w:right w:val="single" w:sz="4" w:space="0" w:color="auto"/>
            </w:tcBorders>
            <w:shd w:val="clear" w:color="auto" w:fill="E2EFDA"/>
            <w:vAlign w:val="center"/>
            <w:hideMark/>
          </w:tcPr>
          <w:p w14:paraId="523C971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304" w:type="pct"/>
            <w:tcBorders>
              <w:top w:val="nil"/>
              <w:left w:val="nil"/>
              <w:bottom w:val="single" w:sz="4" w:space="0" w:color="auto"/>
              <w:right w:val="single" w:sz="4" w:space="0" w:color="auto"/>
            </w:tcBorders>
            <w:shd w:val="clear" w:color="auto" w:fill="E2EFDA"/>
            <w:vAlign w:val="center"/>
            <w:hideMark/>
          </w:tcPr>
          <w:p w14:paraId="797CB41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r>
      <w:tr w:rsidR="00390BED" w:rsidRPr="004F5BC1" w14:paraId="26973C27"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30DAE539"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589897D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PM_D34</w:t>
            </w:r>
          </w:p>
        </w:tc>
        <w:tc>
          <w:tcPr>
            <w:tcW w:w="799" w:type="pct"/>
            <w:tcBorders>
              <w:top w:val="nil"/>
              <w:left w:val="nil"/>
              <w:bottom w:val="single" w:sz="4" w:space="0" w:color="auto"/>
              <w:right w:val="single" w:sz="4" w:space="0" w:color="auto"/>
            </w:tcBorders>
            <w:vAlign w:val="center"/>
            <w:hideMark/>
          </w:tcPr>
          <w:p w14:paraId="7107098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Development of the required infrastructure for recharging electric vehicles</w:t>
            </w:r>
          </w:p>
        </w:tc>
        <w:tc>
          <w:tcPr>
            <w:tcW w:w="399" w:type="pct"/>
            <w:tcBorders>
              <w:top w:val="nil"/>
              <w:left w:val="nil"/>
              <w:bottom w:val="single" w:sz="4" w:space="0" w:color="auto"/>
              <w:right w:val="single" w:sz="4" w:space="0" w:color="auto"/>
            </w:tcBorders>
            <w:vAlign w:val="center"/>
            <w:hideMark/>
          </w:tcPr>
          <w:p w14:paraId="3605266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nil"/>
              <w:left w:val="nil"/>
              <w:bottom w:val="single" w:sz="4" w:space="0" w:color="auto"/>
              <w:right w:val="single" w:sz="4" w:space="0" w:color="auto"/>
            </w:tcBorders>
            <w:vAlign w:val="center"/>
            <w:hideMark/>
          </w:tcPr>
          <w:p w14:paraId="7E9F3D9E" w14:textId="28670945" w:rsidR="00614438" w:rsidRPr="004F5BC1" w:rsidRDefault="007B3B9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w:t>
            </w:r>
            <w:r w:rsidR="00614438" w:rsidRPr="004F5BC1">
              <w:rPr>
                <w:rFonts w:ascii="Times New Roman" w:hAnsi="Times New Roman" w:cs="Times New Roman"/>
                <w:sz w:val="14"/>
                <w:szCs w:val="14"/>
                <w:lang w:val="en-GB"/>
              </w:rPr>
              <w:t>ntegrated into energy efficiency dimension</w:t>
            </w:r>
          </w:p>
        </w:tc>
        <w:tc>
          <w:tcPr>
            <w:tcW w:w="502" w:type="pct"/>
            <w:tcBorders>
              <w:top w:val="nil"/>
              <w:left w:val="nil"/>
              <w:bottom w:val="single" w:sz="4" w:space="0" w:color="auto"/>
              <w:right w:val="single" w:sz="4" w:space="0" w:color="auto"/>
            </w:tcBorders>
            <w:shd w:val="clear" w:color="auto" w:fill="E2EFDA"/>
            <w:vAlign w:val="center"/>
            <w:hideMark/>
          </w:tcPr>
          <w:p w14:paraId="3E0BCE6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85.00</w:t>
            </w:r>
          </w:p>
        </w:tc>
        <w:tc>
          <w:tcPr>
            <w:tcW w:w="355" w:type="pct"/>
            <w:tcBorders>
              <w:top w:val="nil"/>
              <w:left w:val="nil"/>
              <w:bottom w:val="single" w:sz="4" w:space="0" w:color="auto"/>
              <w:right w:val="single" w:sz="4" w:space="0" w:color="auto"/>
            </w:tcBorders>
            <w:shd w:val="clear" w:color="auto" w:fill="E2EFDA"/>
            <w:vAlign w:val="center"/>
            <w:hideMark/>
          </w:tcPr>
          <w:p w14:paraId="65FB51D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85.00</w:t>
            </w:r>
          </w:p>
        </w:tc>
        <w:tc>
          <w:tcPr>
            <w:tcW w:w="302" w:type="pct"/>
            <w:tcBorders>
              <w:top w:val="nil"/>
              <w:left w:val="nil"/>
              <w:bottom w:val="single" w:sz="4" w:space="0" w:color="auto"/>
              <w:right w:val="single" w:sz="4" w:space="0" w:color="auto"/>
            </w:tcBorders>
            <w:shd w:val="clear" w:color="auto" w:fill="E2EFDA"/>
            <w:vAlign w:val="center"/>
            <w:hideMark/>
          </w:tcPr>
          <w:p w14:paraId="7580677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2EFDA"/>
            <w:vAlign w:val="center"/>
            <w:hideMark/>
          </w:tcPr>
          <w:p w14:paraId="5A0D6A4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439" w:type="pct"/>
            <w:tcBorders>
              <w:top w:val="nil"/>
              <w:left w:val="nil"/>
              <w:bottom w:val="single" w:sz="4" w:space="0" w:color="auto"/>
              <w:right w:val="single" w:sz="4" w:space="0" w:color="auto"/>
            </w:tcBorders>
            <w:shd w:val="clear" w:color="auto" w:fill="E2EFDA"/>
            <w:vAlign w:val="center"/>
            <w:hideMark/>
          </w:tcPr>
          <w:p w14:paraId="4FB365A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304" w:type="pct"/>
            <w:tcBorders>
              <w:top w:val="nil"/>
              <w:left w:val="nil"/>
              <w:bottom w:val="single" w:sz="4" w:space="0" w:color="auto"/>
              <w:right w:val="single" w:sz="4" w:space="0" w:color="auto"/>
            </w:tcBorders>
            <w:shd w:val="clear" w:color="auto" w:fill="E2EFDA"/>
            <w:vAlign w:val="center"/>
            <w:hideMark/>
          </w:tcPr>
          <w:p w14:paraId="3050CB6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85.00</w:t>
            </w:r>
          </w:p>
        </w:tc>
      </w:tr>
      <w:tr w:rsidR="00390BED" w:rsidRPr="004F5BC1" w14:paraId="0DD68E58"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12EB7DEF"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6F4B048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PM_D35</w:t>
            </w:r>
          </w:p>
        </w:tc>
        <w:tc>
          <w:tcPr>
            <w:tcW w:w="799" w:type="pct"/>
            <w:tcBorders>
              <w:top w:val="nil"/>
              <w:left w:val="nil"/>
              <w:bottom w:val="single" w:sz="4" w:space="0" w:color="auto"/>
              <w:right w:val="single" w:sz="4" w:space="0" w:color="auto"/>
            </w:tcBorders>
            <w:vAlign w:val="center"/>
            <w:hideMark/>
          </w:tcPr>
          <w:p w14:paraId="2BF98C8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Provision of fiscal and economic incentives to foster the further deployment of electric vehicles</w:t>
            </w:r>
          </w:p>
        </w:tc>
        <w:tc>
          <w:tcPr>
            <w:tcW w:w="399" w:type="pct"/>
            <w:tcBorders>
              <w:top w:val="nil"/>
              <w:left w:val="nil"/>
              <w:bottom w:val="single" w:sz="4" w:space="0" w:color="auto"/>
              <w:right w:val="single" w:sz="4" w:space="0" w:color="auto"/>
            </w:tcBorders>
            <w:vAlign w:val="center"/>
            <w:hideMark/>
          </w:tcPr>
          <w:p w14:paraId="1F91F17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Reform </w:t>
            </w:r>
          </w:p>
        </w:tc>
        <w:tc>
          <w:tcPr>
            <w:tcW w:w="461" w:type="pct"/>
            <w:tcBorders>
              <w:top w:val="nil"/>
              <w:left w:val="nil"/>
              <w:bottom w:val="single" w:sz="4" w:space="0" w:color="auto"/>
              <w:right w:val="single" w:sz="4" w:space="0" w:color="auto"/>
            </w:tcBorders>
            <w:vAlign w:val="center"/>
            <w:hideMark/>
          </w:tcPr>
          <w:p w14:paraId="3CE824F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Budget incorporated into energy efficiency dimension measures (PM_EE12, PM_EE14, PM_EE18) - 570 M€ for electric vehicles, 1596 M€ for electric LDV and 505 M€ for electric buses</w:t>
            </w:r>
          </w:p>
        </w:tc>
        <w:tc>
          <w:tcPr>
            <w:tcW w:w="502" w:type="pct"/>
            <w:tcBorders>
              <w:top w:val="nil"/>
              <w:left w:val="nil"/>
              <w:bottom w:val="single" w:sz="4" w:space="0" w:color="auto"/>
              <w:right w:val="single" w:sz="4" w:space="0" w:color="auto"/>
            </w:tcBorders>
            <w:shd w:val="clear" w:color="auto" w:fill="595959"/>
            <w:vAlign w:val="center"/>
            <w:hideMark/>
          </w:tcPr>
          <w:p w14:paraId="30DED1F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55" w:type="pct"/>
            <w:tcBorders>
              <w:top w:val="nil"/>
              <w:left w:val="nil"/>
              <w:bottom w:val="single" w:sz="4" w:space="0" w:color="auto"/>
              <w:right w:val="single" w:sz="4" w:space="0" w:color="auto"/>
            </w:tcBorders>
            <w:shd w:val="clear" w:color="auto" w:fill="595959"/>
            <w:vAlign w:val="center"/>
            <w:hideMark/>
          </w:tcPr>
          <w:p w14:paraId="6F29364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02" w:type="pct"/>
            <w:tcBorders>
              <w:top w:val="nil"/>
              <w:left w:val="nil"/>
              <w:bottom w:val="single" w:sz="4" w:space="0" w:color="auto"/>
              <w:right w:val="single" w:sz="4" w:space="0" w:color="auto"/>
            </w:tcBorders>
            <w:shd w:val="clear" w:color="auto" w:fill="595959"/>
            <w:noWrap/>
            <w:vAlign w:val="bottom"/>
            <w:hideMark/>
          </w:tcPr>
          <w:p w14:paraId="1B1474A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13" w:type="pct"/>
            <w:tcBorders>
              <w:top w:val="nil"/>
              <w:left w:val="nil"/>
              <w:bottom w:val="single" w:sz="4" w:space="0" w:color="auto"/>
              <w:right w:val="single" w:sz="4" w:space="0" w:color="auto"/>
            </w:tcBorders>
            <w:shd w:val="clear" w:color="auto" w:fill="E2EFDA"/>
            <w:vAlign w:val="center"/>
            <w:hideMark/>
          </w:tcPr>
          <w:p w14:paraId="7ACBCDF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 WAM (enhancement, adjustment)</w:t>
            </w:r>
          </w:p>
        </w:tc>
        <w:tc>
          <w:tcPr>
            <w:tcW w:w="439" w:type="pct"/>
            <w:tcBorders>
              <w:top w:val="nil"/>
              <w:left w:val="nil"/>
              <w:bottom w:val="single" w:sz="4" w:space="0" w:color="auto"/>
              <w:right w:val="single" w:sz="4" w:space="0" w:color="auto"/>
            </w:tcBorders>
            <w:shd w:val="clear" w:color="auto" w:fill="595959"/>
            <w:vAlign w:val="center"/>
            <w:hideMark/>
          </w:tcPr>
          <w:p w14:paraId="77A91F0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04" w:type="pct"/>
            <w:tcBorders>
              <w:top w:val="nil"/>
              <w:left w:val="nil"/>
              <w:bottom w:val="single" w:sz="4" w:space="0" w:color="auto"/>
              <w:right w:val="single" w:sz="4" w:space="0" w:color="auto"/>
            </w:tcBorders>
            <w:shd w:val="clear" w:color="auto" w:fill="595959"/>
            <w:noWrap/>
            <w:vAlign w:val="bottom"/>
            <w:hideMark/>
          </w:tcPr>
          <w:p w14:paraId="2E18F0B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390BED" w:rsidRPr="004F5BC1" w14:paraId="665A770C"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7B1F89DA"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03F85FC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PM_D36</w:t>
            </w:r>
          </w:p>
        </w:tc>
        <w:tc>
          <w:tcPr>
            <w:tcW w:w="799" w:type="pct"/>
            <w:tcBorders>
              <w:top w:val="nil"/>
              <w:left w:val="nil"/>
              <w:bottom w:val="single" w:sz="4" w:space="0" w:color="auto"/>
              <w:right w:val="single" w:sz="4" w:space="0" w:color="auto"/>
            </w:tcBorders>
            <w:vAlign w:val="center"/>
            <w:hideMark/>
          </w:tcPr>
          <w:p w14:paraId="6A7EA78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Promotion of renewable energy communities</w:t>
            </w:r>
          </w:p>
        </w:tc>
        <w:tc>
          <w:tcPr>
            <w:tcW w:w="399" w:type="pct"/>
            <w:tcBorders>
              <w:top w:val="nil"/>
              <w:left w:val="nil"/>
              <w:bottom w:val="single" w:sz="4" w:space="0" w:color="auto"/>
              <w:right w:val="single" w:sz="4" w:space="0" w:color="auto"/>
            </w:tcBorders>
            <w:vAlign w:val="center"/>
            <w:hideMark/>
          </w:tcPr>
          <w:p w14:paraId="17ED271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nil"/>
              <w:left w:val="nil"/>
              <w:bottom w:val="single" w:sz="4" w:space="0" w:color="auto"/>
              <w:right w:val="single" w:sz="4" w:space="0" w:color="auto"/>
            </w:tcBorders>
            <w:vAlign w:val="center"/>
            <w:hideMark/>
          </w:tcPr>
          <w:p w14:paraId="0001FA79" w14:textId="25493A07" w:rsidR="00614438" w:rsidRPr="004F5BC1" w:rsidRDefault="007B3B9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w:t>
            </w:r>
            <w:r w:rsidR="00614438" w:rsidRPr="004F5BC1">
              <w:rPr>
                <w:rFonts w:ascii="Times New Roman" w:hAnsi="Times New Roman" w:cs="Times New Roman"/>
                <w:sz w:val="14"/>
                <w:szCs w:val="14"/>
                <w:lang w:val="en-GB"/>
              </w:rPr>
              <w:t>ntegrated into PM_D21</w:t>
            </w:r>
          </w:p>
        </w:tc>
        <w:tc>
          <w:tcPr>
            <w:tcW w:w="502" w:type="pct"/>
            <w:tcBorders>
              <w:top w:val="nil"/>
              <w:left w:val="nil"/>
              <w:bottom w:val="single" w:sz="4" w:space="0" w:color="auto"/>
              <w:right w:val="single" w:sz="4" w:space="0" w:color="auto"/>
            </w:tcBorders>
            <w:shd w:val="clear" w:color="auto" w:fill="595959"/>
            <w:vAlign w:val="center"/>
            <w:hideMark/>
          </w:tcPr>
          <w:p w14:paraId="66F2A84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55" w:type="pct"/>
            <w:tcBorders>
              <w:top w:val="nil"/>
              <w:left w:val="nil"/>
              <w:bottom w:val="single" w:sz="4" w:space="0" w:color="auto"/>
              <w:right w:val="single" w:sz="4" w:space="0" w:color="auto"/>
            </w:tcBorders>
            <w:shd w:val="clear" w:color="auto" w:fill="595959"/>
            <w:vAlign w:val="center"/>
            <w:hideMark/>
          </w:tcPr>
          <w:p w14:paraId="062DBD9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02" w:type="pct"/>
            <w:tcBorders>
              <w:top w:val="nil"/>
              <w:left w:val="nil"/>
              <w:bottom w:val="single" w:sz="4" w:space="0" w:color="auto"/>
              <w:right w:val="single" w:sz="4" w:space="0" w:color="auto"/>
            </w:tcBorders>
            <w:shd w:val="clear" w:color="auto" w:fill="595959"/>
            <w:noWrap/>
            <w:vAlign w:val="bottom"/>
            <w:hideMark/>
          </w:tcPr>
          <w:p w14:paraId="23CE90B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13" w:type="pct"/>
            <w:tcBorders>
              <w:top w:val="nil"/>
              <w:left w:val="nil"/>
              <w:bottom w:val="single" w:sz="4" w:space="0" w:color="auto"/>
              <w:right w:val="single" w:sz="4" w:space="0" w:color="auto"/>
            </w:tcBorders>
            <w:shd w:val="clear" w:color="auto" w:fill="E2EFDA"/>
            <w:vAlign w:val="center"/>
            <w:hideMark/>
          </w:tcPr>
          <w:p w14:paraId="4691731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439" w:type="pct"/>
            <w:tcBorders>
              <w:top w:val="nil"/>
              <w:left w:val="nil"/>
              <w:bottom w:val="single" w:sz="4" w:space="0" w:color="auto"/>
              <w:right w:val="single" w:sz="4" w:space="0" w:color="auto"/>
            </w:tcBorders>
            <w:shd w:val="clear" w:color="auto" w:fill="595959"/>
            <w:vAlign w:val="center"/>
            <w:hideMark/>
          </w:tcPr>
          <w:p w14:paraId="54F8702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04" w:type="pct"/>
            <w:tcBorders>
              <w:top w:val="nil"/>
              <w:left w:val="nil"/>
              <w:bottom w:val="single" w:sz="4" w:space="0" w:color="auto"/>
              <w:right w:val="single" w:sz="4" w:space="0" w:color="auto"/>
            </w:tcBorders>
            <w:shd w:val="clear" w:color="auto" w:fill="595959"/>
            <w:noWrap/>
            <w:vAlign w:val="bottom"/>
            <w:hideMark/>
          </w:tcPr>
          <w:p w14:paraId="59F3503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390BED" w:rsidRPr="004F5BC1" w14:paraId="4370F660"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3795F25C"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0E7F759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PM_D37</w:t>
            </w:r>
          </w:p>
        </w:tc>
        <w:tc>
          <w:tcPr>
            <w:tcW w:w="799" w:type="pct"/>
            <w:tcBorders>
              <w:top w:val="nil"/>
              <w:left w:val="nil"/>
              <w:bottom w:val="single" w:sz="4" w:space="0" w:color="auto"/>
              <w:right w:val="single" w:sz="4" w:space="0" w:color="auto"/>
            </w:tcBorders>
            <w:vAlign w:val="center"/>
            <w:hideMark/>
          </w:tcPr>
          <w:p w14:paraId="4ACEBDE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Development of the legislative framework for the promotion of energy storage technologies</w:t>
            </w:r>
          </w:p>
        </w:tc>
        <w:tc>
          <w:tcPr>
            <w:tcW w:w="399" w:type="pct"/>
            <w:tcBorders>
              <w:top w:val="nil"/>
              <w:left w:val="nil"/>
              <w:bottom w:val="single" w:sz="4" w:space="0" w:color="auto"/>
              <w:right w:val="single" w:sz="4" w:space="0" w:color="auto"/>
            </w:tcBorders>
            <w:vAlign w:val="center"/>
            <w:hideMark/>
          </w:tcPr>
          <w:p w14:paraId="7857380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Reform </w:t>
            </w:r>
          </w:p>
        </w:tc>
        <w:tc>
          <w:tcPr>
            <w:tcW w:w="461" w:type="pct"/>
            <w:tcBorders>
              <w:top w:val="nil"/>
              <w:left w:val="nil"/>
              <w:bottom w:val="single" w:sz="4" w:space="0" w:color="auto"/>
              <w:right w:val="single" w:sz="4" w:space="0" w:color="auto"/>
            </w:tcBorders>
            <w:vAlign w:val="center"/>
            <w:hideMark/>
          </w:tcPr>
          <w:p w14:paraId="450D55D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2BA2BEC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1.00</w:t>
            </w:r>
          </w:p>
        </w:tc>
        <w:tc>
          <w:tcPr>
            <w:tcW w:w="355" w:type="pct"/>
            <w:tcBorders>
              <w:top w:val="nil"/>
              <w:left w:val="nil"/>
              <w:bottom w:val="single" w:sz="4" w:space="0" w:color="auto"/>
              <w:right w:val="single" w:sz="4" w:space="0" w:color="auto"/>
            </w:tcBorders>
            <w:shd w:val="clear" w:color="auto" w:fill="E2EFDA"/>
            <w:vAlign w:val="center"/>
            <w:hideMark/>
          </w:tcPr>
          <w:p w14:paraId="1D7E599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302" w:type="pct"/>
            <w:tcBorders>
              <w:top w:val="nil"/>
              <w:left w:val="nil"/>
              <w:bottom w:val="single" w:sz="4" w:space="0" w:color="auto"/>
              <w:right w:val="single" w:sz="4" w:space="0" w:color="auto"/>
            </w:tcBorders>
            <w:shd w:val="clear" w:color="auto" w:fill="E2EFDA"/>
            <w:vAlign w:val="center"/>
            <w:hideMark/>
          </w:tcPr>
          <w:p w14:paraId="134012F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1.00</w:t>
            </w:r>
          </w:p>
        </w:tc>
        <w:tc>
          <w:tcPr>
            <w:tcW w:w="513" w:type="pct"/>
            <w:tcBorders>
              <w:top w:val="nil"/>
              <w:left w:val="nil"/>
              <w:bottom w:val="single" w:sz="4" w:space="0" w:color="auto"/>
              <w:right w:val="single" w:sz="4" w:space="0" w:color="auto"/>
            </w:tcBorders>
            <w:shd w:val="clear" w:color="auto" w:fill="E2EFDA"/>
            <w:vAlign w:val="center"/>
            <w:hideMark/>
          </w:tcPr>
          <w:p w14:paraId="1C24FD3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439" w:type="pct"/>
            <w:tcBorders>
              <w:top w:val="nil"/>
              <w:left w:val="nil"/>
              <w:bottom w:val="single" w:sz="4" w:space="0" w:color="auto"/>
              <w:right w:val="single" w:sz="4" w:space="0" w:color="auto"/>
            </w:tcBorders>
            <w:shd w:val="clear" w:color="auto" w:fill="E2EFDA"/>
            <w:vAlign w:val="center"/>
            <w:hideMark/>
          </w:tcPr>
          <w:p w14:paraId="52127B7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304" w:type="pct"/>
            <w:tcBorders>
              <w:top w:val="nil"/>
              <w:left w:val="nil"/>
              <w:bottom w:val="single" w:sz="4" w:space="0" w:color="auto"/>
              <w:right w:val="single" w:sz="4" w:space="0" w:color="auto"/>
            </w:tcBorders>
            <w:shd w:val="clear" w:color="auto" w:fill="E2EFDA"/>
            <w:vAlign w:val="center"/>
            <w:hideMark/>
          </w:tcPr>
          <w:p w14:paraId="2A16B02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1.00</w:t>
            </w:r>
          </w:p>
        </w:tc>
      </w:tr>
      <w:tr w:rsidR="00390BED" w:rsidRPr="004F5BC1" w14:paraId="313FB908"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5FA8A6C7"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6412FB5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PM_D38</w:t>
            </w:r>
          </w:p>
        </w:tc>
        <w:tc>
          <w:tcPr>
            <w:tcW w:w="799" w:type="pct"/>
            <w:tcBorders>
              <w:top w:val="nil"/>
              <w:left w:val="nil"/>
              <w:bottom w:val="single" w:sz="4" w:space="0" w:color="auto"/>
              <w:right w:val="single" w:sz="4" w:space="0" w:color="auto"/>
            </w:tcBorders>
            <w:vAlign w:val="center"/>
            <w:hideMark/>
          </w:tcPr>
          <w:p w14:paraId="4740B9F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Supporting demonstration projects for the promotion of biomethane and renewable hydrogen</w:t>
            </w:r>
          </w:p>
        </w:tc>
        <w:tc>
          <w:tcPr>
            <w:tcW w:w="399" w:type="pct"/>
            <w:tcBorders>
              <w:top w:val="nil"/>
              <w:left w:val="nil"/>
              <w:bottom w:val="single" w:sz="4" w:space="0" w:color="auto"/>
              <w:right w:val="single" w:sz="4" w:space="0" w:color="auto"/>
            </w:tcBorders>
            <w:vAlign w:val="center"/>
            <w:hideMark/>
          </w:tcPr>
          <w:p w14:paraId="192AA9D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nil"/>
              <w:left w:val="nil"/>
              <w:bottom w:val="single" w:sz="4" w:space="0" w:color="auto"/>
              <w:right w:val="single" w:sz="4" w:space="0" w:color="auto"/>
            </w:tcBorders>
            <w:vAlign w:val="center"/>
            <w:hideMark/>
          </w:tcPr>
          <w:p w14:paraId="14C1B18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65C3A85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35.00</w:t>
            </w:r>
          </w:p>
        </w:tc>
        <w:tc>
          <w:tcPr>
            <w:tcW w:w="355" w:type="pct"/>
            <w:tcBorders>
              <w:top w:val="nil"/>
              <w:left w:val="nil"/>
              <w:bottom w:val="single" w:sz="4" w:space="0" w:color="auto"/>
              <w:right w:val="single" w:sz="4" w:space="0" w:color="auto"/>
            </w:tcBorders>
            <w:shd w:val="clear" w:color="auto" w:fill="E2EFD9" w:themeFill="accent6" w:themeFillTint="33"/>
            <w:vAlign w:val="center"/>
            <w:hideMark/>
          </w:tcPr>
          <w:p w14:paraId="1E1EACF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17.50</w:t>
            </w:r>
          </w:p>
        </w:tc>
        <w:tc>
          <w:tcPr>
            <w:tcW w:w="302" w:type="pct"/>
            <w:tcBorders>
              <w:top w:val="nil"/>
              <w:left w:val="nil"/>
              <w:bottom w:val="single" w:sz="4" w:space="0" w:color="auto"/>
              <w:right w:val="single" w:sz="4" w:space="0" w:color="auto"/>
            </w:tcBorders>
            <w:shd w:val="clear" w:color="auto" w:fill="E2EFD9" w:themeFill="accent6" w:themeFillTint="33"/>
            <w:vAlign w:val="center"/>
            <w:hideMark/>
          </w:tcPr>
          <w:p w14:paraId="19DF180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17.50</w:t>
            </w:r>
          </w:p>
        </w:tc>
        <w:tc>
          <w:tcPr>
            <w:tcW w:w="513" w:type="pct"/>
            <w:tcBorders>
              <w:top w:val="nil"/>
              <w:left w:val="nil"/>
              <w:bottom w:val="single" w:sz="4" w:space="0" w:color="auto"/>
              <w:right w:val="single" w:sz="4" w:space="0" w:color="auto"/>
            </w:tcBorders>
            <w:shd w:val="clear" w:color="auto" w:fill="E2EFDA"/>
            <w:vAlign w:val="center"/>
            <w:hideMark/>
          </w:tcPr>
          <w:p w14:paraId="1EA9FEF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439" w:type="pct"/>
            <w:tcBorders>
              <w:top w:val="nil"/>
              <w:left w:val="nil"/>
              <w:bottom w:val="single" w:sz="4" w:space="0" w:color="auto"/>
              <w:right w:val="single" w:sz="4" w:space="0" w:color="auto"/>
            </w:tcBorders>
            <w:shd w:val="clear" w:color="auto" w:fill="E2EFDA"/>
            <w:vAlign w:val="center"/>
            <w:hideMark/>
          </w:tcPr>
          <w:p w14:paraId="7AA7209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304" w:type="pct"/>
            <w:tcBorders>
              <w:top w:val="nil"/>
              <w:left w:val="nil"/>
              <w:bottom w:val="single" w:sz="4" w:space="0" w:color="auto"/>
              <w:right w:val="single" w:sz="4" w:space="0" w:color="auto"/>
            </w:tcBorders>
            <w:shd w:val="clear" w:color="auto" w:fill="E2EFDA"/>
            <w:vAlign w:val="center"/>
            <w:hideMark/>
          </w:tcPr>
          <w:p w14:paraId="78996EE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35.00</w:t>
            </w:r>
          </w:p>
        </w:tc>
      </w:tr>
      <w:tr w:rsidR="00390BED" w:rsidRPr="004F5BC1" w14:paraId="01F9CCAF"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74AA3528"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40C623C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PM_D39</w:t>
            </w:r>
          </w:p>
        </w:tc>
        <w:tc>
          <w:tcPr>
            <w:tcW w:w="799" w:type="pct"/>
            <w:tcBorders>
              <w:top w:val="nil"/>
              <w:left w:val="nil"/>
              <w:bottom w:val="single" w:sz="4" w:space="0" w:color="auto"/>
              <w:right w:val="single" w:sz="4" w:space="0" w:color="auto"/>
            </w:tcBorders>
            <w:vAlign w:val="center"/>
            <w:hideMark/>
          </w:tcPr>
          <w:p w14:paraId="0C57B15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Development of the required legislative framework and the required infrastructure for the deployment of biomethane and renewable hydrogen</w:t>
            </w:r>
          </w:p>
        </w:tc>
        <w:tc>
          <w:tcPr>
            <w:tcW w:w="399" w:type="pct"/>
            <w:tcBorders>
              <w:top w:val="nil"/>
              <w:left w:val="nil"/>
              <w:bottom w:val="single" w:sz="4" w:space="0" w:color="auto"/>
              <w:right w:val="single" w:sz="4" w:space="0" w:color="auto"/>
            </w:tcBorders>
            <w:vAlign w:val="center"/>
            <w:hideMark/>
          </w:tcPr>
          <w:p w14:paraId="1B3BDA0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Reform </w:t>
            </w:r>
          </w:p>
        </w:tc>
        <w:tc>
          <w:tcPr>
            <w:tcW w:w="461" w:type="pct"/>
            <w:tcBorders>
              <w:top w:val="nil"/>
              <w:left w:val="nil"/>
              <w:bottom w:val="single" w:sz="4" w:space="0" w:color="auto"/>
              <w:right w:val="single" w:sz="4" w:space="0" w:color="auto"/>
            </w:tcBorders>
            <w:vAlign w:val="center"/>
            <w:hideMark/>
          </w:tcPr>
          <w:p w14:paraId="6227526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1991CEF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0.80</w:t>
            </w:r>
          </w:p>
        </w:tc>
        <w:tc>
          <w:tcPr>
            <w:tcW w:w="355" w:type="pct"/>
            <w:tcBorders>
              <w:top w:val="nil"/>
              <w:left w:val="nil"/>
              <w:bottom w:val="single" w:sz="4" w:space="0" w:color="auto"/>
              <w:right w:val="single" w:sz="4" w:space="0" w:color="auto"/>
            </w:tcBorders>
            <w:shd w:val="clear" w:color="auto" w:fill="E2EFDA"/>
            <w:vAlign w:val="center"/>
            <w:hideMark/>
          </w:tcPr>
          <w:p w14:paraId="09BD38B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0.80</w:t>
            </w:r>
          </w:p>
        </w:tc>
        <w:tc>
          <w:tcPr>
            <w:tcW w:w="302" w:type="pct"/>
            <w:tcBorders>
              <w:top w:val="nil"/>
              <w:left w:val="nil"/>
              <w:bottom w:val="single" w:sz="4" w:space="0" w:color="auto"/>
              <w:right w:val="single" w:sz="4" w:space="0" w:color="auto"/>
            </w:tcBorders>
            <w:shd w:val="clear" w:color="auto" w:fill="E2EFDA"/>
            <w:vAlign w:val="center"/>
            <w:hideMark/>
          </w:tcPr>
          <w:p w14:paraId="3B348DC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2EFDA"/>
            <w:vAlign w:val="center"/>
            <w:hideMark/>
          </w:tcPr>
          <w:p w14:paraId="6A30F7D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439" w:type="pct"/>
            <w:tcBorders>
              <w:top w:val="nil"/>
              <w:left w:val="nil"/>
              <w:bottom w:val="single" w:sz="4" w:space="0" w:color="auto"/>
              <w:right w:val="single" w:sz="4" w:space="0" w:color="auto"/>
            </w:tcBorders>
            <w:shd w:val="clear" w:color="auto" w:fill="E2EFDA"/>
            <w:vAlign w:val="center"/>
            <w:hideMark/>
          </w:tcPr>
          <w:p w14:paraId="73A000E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304" w:type="pct"/>
            <w:tcBorders>
              <w:top w:val="nil"/>
              <w:left w:val="nil"/>
              <w:bottom w:val="single" w:sz="4" w:space="0" w:color="auto"/>
              <w:right w:val="single" w:sz="4" w:space="0" w:color="auto"/>
            </w:tcBorders>
            <w:shd w:val="clear" w:color="auto" w:fill="E2EFDA"/>
            <w:vAlign w:val="center"/>
            <w:hideMark/>
          </w:tcPr>
          <w:p w14:paraId="5C4FF1B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0.80</w:t>
            </w:r>
          </w:p>
        </w:tc>
      </w:tr>
      <w:tr w:rsidR="00390BED" w:rsidRPr="004F5BC1" w14:paraId="5874D69E"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672E1410"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6DC4966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PM_D40</w:t>
            </w:r>
          </w:p>
        </w:tc>
        <w:tc>
          <w:tcPr>
            <w:tcW w:w="799" w:type="pct"/>
            <w:tcBorders>
              <w:top w:val="nil"/>
              <w:left w:val="nil"/>
              <w:bottom w:val="single" w:sz="4" w:space="0" w:color="auto"/>
              <w:right w:val="single" w:sz="4" w:space="0" w:color="auto"/>
            </w:tcBorders>
            <w:vAlign w:val="center"/>
            <w:hideMark/>
          </w:tcPr>
          <w:p w14:paraId="29CA260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Development of effective supply chains for the exploitation of the available potential of biofuels, bioliquids and biomass</w:t>
            </w:r>
          </w:p>
        </w:tc>
        <w:tc>
          <w:tcPr>
            <w:tcW w:w="399" w:type="pct"/>
            <w:tcBorders>
              <w:top w:val="nil"/>
              <w:left w:val="nil"/>
              <w:bottom w:val="single" w:sz="4" w:space="0" w:color="auto"/>
              <w:right w:val="single" w:sz="4" w:space="0" w:color="auto"/>
            </w:tcBorders>
            <w:vAlign w:val="center"/>
            <w:hideMark/>
          </w:tcPr>
          <w:p w14:paraId="4B21170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nil"/>
              <w:left w:val="nil"/>
              <w:bottom w:val="nil"/>
              <w:right w:val="single" w:sz="4" w:space="0" w:color="auto"/>
            </w:tcBorders>
            <w:vAlign w:val="center"/>
            <w:hideMark/>
          </w:tcPr>
          <w:p w14:paraId="4F7D74DB" w14:textId="70192E3A" w:rsidR="00614438" w:rsidRPr="004F5BC1" w:rsidRDefault="007B3B9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w:t>
            </w:r>
            <w:r w:rsidR="00614438" w:rsidRPr="004F5BC1">
              <w:rPr>
                <w:rFonts w:ascii="Times New Roman" w:hAnsi="Times New Roman" w:cs="Times New Roman"/>
                <w:sz w:val="14"/>
                <w:szCs w:val="14"/>
                <w:lang w:val="en-GB"/>
              </w:rPr>
              <w:t>ntegrated into PM_D29 and PM_D33</w:t>
            </w:r>
          </w:p>
        </w:tc>
        <w:tc>
          <w:tcPr>
            <w:tcW w:w="502" w:type="pct"/>
            <w:tcBorders>
              <w:top w:val="nil"/>
              <w:left w:val="nil"/>
              <w:bottom w:val="single" w:sz="4" w:space="0" w:color="auto"/>
              <w:right w:val="single" w:sz="4" w:space="0" w:color="auto"/>
            </w:tcBorders>
            <w:shd w:val="clear" w:color="auto" w:fill="595959"/>
            <w:vAlign w:val="center"/>
            <w:hideMark/>
          </w:tcPr>
          <w:p w14:paraId="1AF8E56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55" w:type="pct"/>
            <w:tcBorders>
              <w:top w:val="nil"/>
              <w:left w:val="nil"/>
              <w:bottom w:val="single" w:sz="4" w:space="0" w:color="auto"/>
              <w:right w:val="single" w:sz="4" w:space="0" w:color="auto"/>
            </w:tcBorders>
            <w:shd w:val="clear" w:color="auto" w:fill="595959"/>
            <w:vAlign w:val="center"/>
            <w:hideMark/>
          </w:tcPr>
          <w:p w14:paraId="598667B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02" w:type="pct"/>
            <w:tcBorders>
              <w:top w:val="nil"/>
              <w:left w:val="nil"/>
              <w:bottom w:val="single" w:sz="4" w:space="0" w:color="auto"/>
              <w:right w:val="single" w:sz="4" w:space="0" w:color="auto"/>
            </w:tcBorders>
            <w:shd w:val="clear" w:color="auto" w:fill="595959"/>
            <w:noWrap/>
            <w:vAlign w:val="bottom"/>
            <w:hideMark/>
          </w:tcPr>
          <w:p w14:paraId="14454DD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13" w:type="pct"/>
            <w:tcBorders>
              <w:top w:val="nil"/>
              <w:left w:val="nil"/>
              <w:bottom w:val="single" w:sz="4" w:space="0" w:color="auto"/>
              <w:right w:val="single" w:sz="4" w:space="0" w:color="auto"/>
            </w:tcBorders>
            <w:shd w:val="clear" w:color="auto" w:fill="E2EFDA"/>
            <w:vAlign w:val="center"/>
            <w:hideMark/>
          </w:tcPr>
          <w:p w14:paraId="41C7143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439" w:type="pct"/>
            <w:tcBorders>
              <w:top w:val="nil"/>
              <w:left w:val="nil"/>
              <w:bottom w:val="single" w:sz="4" w:space="0" w:color="auto"/>
              <w:right w:val="single" w:sz="4" w:space="0" w:color="auto"/>
            </w:tcBorders>
            <w:shd w:val="clear" w:color="auto" w:fill="595959"/>
            <w:vAlign w:val="center"/>
            <w:hideMark/>
          </w:tcPr>
          <w:p w14:paraId="0D5F017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04" w:type="pct"/>
            <w:tcBorders>
              <w:top w:val="nil"/>
              <w:left w:val="nil"/>
              <w:bottom w:val="single" w:sz="4" w:space="0" w:color="auto"/>
              <w:right w:val="single" w:sz="4" w:space="0" w:color="auto"/>
            </w:tcBorders>
            <w:shd w:val="clear" w:color="auto" w:fill="595959"/>
            <w:noWrap/>
            <w:vAlign w:val="bottom"/>
            <w:hideMark/>
          </w:tcPr>
          <w:p w14:paraId="10C7B4E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390BED" w:rsidRPr="004F5BC1" w14:paraId="0253F316"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155A422B"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42A92C2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PM_D41</w:t>
            </w:r>
          </w:p>
        </w:tc>
        <w:tc>
          <w:tcPr>
            <w:tcW w:w="799" w:type="pct"/>
            <w:tcBorders>
              <w:top w:val="nil"/>
              <w:left w:val="nil"/>
              <w:bottom w:val="single" w:sz="4" w:space="0" w:color="auto"/>
              <w:right w:val="single" w:sz="4" w:space="0" w:color="auto"/>
            </w:tcBorders>
            <w:vAlign w:val="center"/>
            <w:hideMark/>
          </w:tcPr>
          <w:p w14:paraId="6F0EFD40" w14:textId="110F51FF"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Specification of the sustainability and greenhouse gas emissions saving criteria for biofuels, bioliquids and biomass fuels</w:t>
            </w:r>
            <w:r w:rsidR="007B3B98" w:rsidRPr="004F5BC1">
              <w:rPr>
                <w:rFonts w:ascii="Times New Roman" w:hAnsi="Times New Roman" w:cs="Times New Roman"/>
                <w:sz w:val="14"/>
                <w:szCs w:val="14"/>
                <w:lang w:val="en-GB"/>
              </w:rPr>
              <w:t>,</w:t>
            </w:r>
            <w:r w:rsidRPr="004F5BC1">
              <w:rPr>
                <w:rFonts w:ascii="Times New Roman" w:hAnsi="Times New Roman" w:cs="Times New Roman"/>
                <w:sz w:val="14"/>
                <w:szCs w:val="14"/>
                <w:lang w:val="en-GB"/>
              </w:rPr>
              <w:t xml:space="preserve"> including the required monitoring and verification activities</w:t>
            </w:r>
          </w:p>
        </w:tc>
        <w:tc>
          <w:tcPr>
            <w:tcW w:w="399" w:type="pct"/>
            <w:tcBorders>
              <w:top w:val="nil"/>
              <w:left w:val="nil"/>
              <w:bottom w:val="single" w:sz="4" w:space="0" w:color="auto"/>
              <w:right w:val="single" w:sz="4" w:space="0" w:color="auto"/>
            </w:tcBorders>
            <w:vAlign w:val="center"/>
            <w:hideMark/>
          </w:tcPr>
          <w:p w14:paraId="2D16657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Reform </w:t>
            </w:r>
          </w:p>
        </w:tc>
        <w:tc>
          <w:tcPr>
            <w:tcW w:w="461" w:type="pct"/>
            <w:tcBorders>
              <w:top w:val="single" w:sz="4" w:space="0" w:color="auto"/>
              <w:left w:val="nil"/>
              <w:bottom w:val="single" w:sz="4" w:space="0" w:color="auto"/>
              <w:right w:val="single" w:sz="4" w:space="0" w:color="auto"/>
            </w:tcBorders>
            <w:vAlign w:val="center"/>
            <w:hideMark/>
          </w:tcPr>
          <w:p w14:paraId="4F3FE27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60DF032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355" w:type="pct"/>
            <w:tcBorders>
              <w:top w:val="nil"/>
              <w:left w:val="nil"/>
              <w:bottom w:val="single" w:sz="4" w:space="0" w:color="auto"/>
              <w:right w:val="single" w:sz="4" w:space="0" w:color="auto"/>
            </w:tcBorders>
            <w:shd w:val="clear" w:color="auto" w:fill="E2EFDA"/>
            <w:vAlign w:val="center"/>
            <w:hideMark/>
          </w:tcPr>
          <w:p w14:paraId="6689FEC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302" w:type="pct"/>
            <w:tcBorders>
              <w:top w:val="nil"/>
              <w:left w:val="nil"/>
              <w:bottom w:val="single" w:sz="4" w:space="0" w:color="auto"/>
              <w:right w:val="single" w:sz="4" w:space="0" w:color="auto"/>
            </w:tcBorders>
            <w:shd w:val="clear" w:color="auto" w:fill="E2EFDA"/>
            <w:vAlign w:val="center"/>
            <w:hideMark/>
          </w:tcPr>
          <w:p w14:paraId="56FF4CC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2EFDA"/>
            <w:vAlign w:val="center"/>
            <w:hideMark/>
          </w:tcPr>
          <w:p w14:paraId="1B30D17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 WAM (enhancement, adjustment)</w:t>
            </w:r>
          </w:p>
        </w:tc>
        <w:tc>
          <w:tcPr>
            <w:tcW w:w="439" w:type="pct"/>
            <w:tcBorders>
              <w:top w:val="nil"/>
              <w:left w:val="nil"/>
              <w:bottom w:val="single" w:sz="4" w:space="0" w:color="auto"/>
              <w:right w:val="single" w:sz="4" w:space="0" w:color="auto"/>
            </w:tcBorders>
            <w:shd w:val="clear" w:color="auto" w:fill="E2EFDA"/>
            <w:vAlign w:val="center"/>
            <w:hideMark/>
          </w:tcPr>
          <w:p w14:paraId="3ADFDEE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304" w:type="pct"/>
            <w:tcBorders>
              <w:top w:val="nil"/>
              <w:left w:val="nil"/>
              <w:bottom w:val="single" w:sz="4" w:space="0" w:color="auto"/>
              <w:right w:val="single" w:sz="4" w:space="0" w:color="auto"/>
            </w:tcBorders>
            <w:shd w:val="clear" w:color="auto" w:fill="E2EFDA"/>
            <w:vAlign w:val="center"/>
            <w:hideMark/>
          </w:tcPr>
          <w:p w14:paraId="397616C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390BED" w:rsidRPr="004F5BC1" w14:paraId="1582AEB8"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69A147F7"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6B52B8A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PM_D42</w:t>
            </w:r>
          </w:p>
        </w:tc>
        <w:tc>
          <w:tcPr>
            <w:tcW w:w="799" w:type="pct"/>
            <w:tcBorders>
              <w:top w:val="nil"/>
              <w:left w:val="nil"/>
              <w:bottom w:val="single" w:sz="4" w:space="0" w:color="auto"/>
              <w:right w:val="single" w:sz="4" w:space="0" w:color="auto"/>
            </w:tcBorders>
            <w:vAlign w:val="center"/>
            <w:hideMark/>
          </w:tcPr>
          <w:p w14:paraId="5F83D5E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Conduction of information and training activities to all relevant actors for the use of RES</w:t>
            </w:r>
          </w:p>
        </w:tc>
        <w:tc>
          <w:tcPr>
            <w:tcW w:w="399" w:type="pct"/>
            <w:tcBorders>
              <w:top w:val="nil"/>
              <w:left w:val="nil"/>
              <w:bottom w:val="single" w:sz="4" w:space="0" w:color="auto"/>
              <w:right w:val="single" w:sz="4" w:space="0" w:color="auto"/>
            </w:tcBorders>
            <w:vAlign w:val="center"/>
            <w:hideMark/>
          </w:tcPr>
          <w:p w14:paraId="5FB2184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461" w:type="pct"/>
            <w:tcBorders>
              <w:top w:val="nil"/>
              <w:left w:val="nil"/>
              <w:bottom w:val="single" w:sz="4" w:space="0" w:color="auto"/>
              <w:right w:val="single" w:sz="4" w:space="0" w:color="auto"/>
            </w:tcBorders>
            <w:vAlign w:val="center"/>
            <w:hideMark/>
          </w:tcPr>
          <w:p w14:paraId="4E5AEE7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contribution to all implemented measures</w:t>
            </w:r>
          </w:p>
        </w:tc>
        <w:tc>
          <w:tcPr>
            <w:tcW w:w="502" w:type="pct"/>
            <w:tcBorders>
              <w:top w:val="nil"/>
              <w:left w:val="nil"/>
              <w:bottom w:val="single" w:sz="4" w:space="0" w:color="auto"/>
              <w:right w:val="single" w:sz="4" w:space="0" w:color="auto"/>
            </w:tcBorders>
            <w:shd w:val="clear" w:color="auto" w:fill="E2EFDA"/>
            <w:vAlign w:val="center"/>
            <w:hideMark/>
          </w:tcPr>
          <w:p w14:paraId="117BBA7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355" w:type="pct"/>
            <w:tcBorders>
              <w:top w:val="nil"/>
              <w:left w:val="nil"/>
              <w:bottom w:val="single" w:sz="4" w:space="0" w:color="auto"/>
              <w:right w:val="single" w:sz="4" w:space="0" w:color="auto"/>
            </w:tcBorders>
            <w:shd w:val="clear" w:color="auto" w:fill="E2EFDA"/>
            <w:vAlign w:val="center"/>
            <w:hideMark/>
          </w:tcPr>
          <w:p w14:paraId="52ADB35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302" w:type="pct"/>
            <w:tcBorders>
              <w:top w:val="nil"/>
              <w:left w:val="nil"/>
              <w:bottom w:val="single" w:sz="4" w:space="0" w:color="auto"/>
              <w:right w:val="single" w:sz="4" w:space="0" w:color="auto"/>
            </w:tcBorders>
            <w:shd w:val="clear" w:color="auto" w:fill="E2EFDA"/>
            <w:vAlign w:val="center"/>
            <w:hideMark/>
          </w:tcPr>
          <w:p w14:paraId="6CC5BBF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2EFDA"/>
            <w:vAlign w:val="center"/>
            <w:hideMark/>
          </w:tcPr>
          <w:p w14:paraId="78C9B94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439" w:type="pct"/>
            <w:tcBorders>
              <w:top w:val="nil"/>
              <w:left w:val="nil"/>
              <w:bottom w:val="single" w:sz="4" w:space="0" w:color="auto"/>
              <w:right w:val="single" w:sz="4" w:space="0" w:color="auto"/>
            </w:tcBorders>
            <w:shd w:val="clear" w:color="auto" w:fill="E2EFDA"/>
            <w:vAlign w:val="center"/>
            <w:hideMark/>
          </w:tcPr>
          <w:p w14:paraId="6DD5565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304" w:type="pct"/>
            <w:tcBorders>
              <w:top w:val="nil"/>
              <w:left w:val="nil"/>
              <w:bottom w:val="single" w:sz="4" w:space="0" w:color="auto"/>
              <w:right w:val="single" w:sz="4" w:space="0" w:color="auto"/>
            </w:tcBorders>
            <w:shd w:val="clear" w:color="auto" w:fill="E2EFDA"/>
            <w:vAlign w:val="center"/>
            <w:hideMark/>
          </w:tcPr>
          <w:p w14:paraId="2C5D61E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r>
      <w:tr w:rsidR="00390BED" w:rsidRPr="004F5BC1" w14:paraId="3EF4FB73"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517598B7"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2770967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PM_D43</w:t>
            </w:r>
          </w:p>
        </w:tc>
        <w:tc>
          <w:tcPr>
            <w:tcW w:w="799" w:type="pct"/>
            <w:tcBorders>
              <w:top w:val="nil"/>
              <w:left w:val="nil"/>
              <w:bottom w:val="single" w:sz="4" w:space="0" w:color="auto"/>
              <w:right w:val="single" w:sz="4" w:space="0" w:color="auto"/>
            </w:tcBorders>
            <w:vAlign w:val="center"/>
            <w:hideMark/>
          </w:tcPr>
          <w:p w14:paraId="254877D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Promotion of RES through public procurement procedures</w:t>
            </w:r>
          </w:p>
        </w:tc>
        <w:tc>
          <w:tcPr>
            <w:tcW w:w="399" w:type="pct"/>
            <w:tcBorders>
              <w:top w:val="nil"/>
              <w:left w:val="nil"/>
              <w:bottom w:val="single" w:sz="4" w:space="0" w:color="auto"/>
              <w:right w:val="single" w:sz="4" w:space="0" w:color="auto"/>
            </w:tcBorders>
            <w:vAlign w:val="center"/>
            <w:hideMark/>
          </w:tcPr>
          <w:p w14:paraId="6829760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461" w:type="pct"/>
            <w:tcBorders>
              <w:top w:val="nil"/>
              <w:left w:val="nil"/>
              <w:bottom w:val="single" w:sz="4" w:space="0" w:color="auto"/>
              <w:right w:val="single" w:sz="4" w:space="0" w:color="auto"/>
            </w:tcBorders>
            <w:vAlign w:val="center"/>
            <w:hideMark/>
          </w:tcPr>
          <w:p w14:paraId="19A2A47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Budget incorporated into energy efficiency dimension measures (PM_EE33)</w:t>
            </w:r>
          </w:p>
        </w:tc>
        <w:tc>
          <w:tcPr>
            <w:tcW w:w="502" w:type="pct"/>
            <w:tcBorders>
              <w:top w:val="nil"/>
              <w:left w:val="nil"/>
              <w:bottom w:val="single" w:sz="4" w:space="0" w:color="auto"/>
              <w:right w:val="single" w:sz="4" w:space="0" w:color="auto"/>
            </w:tcBorders>
            <w:shd w:val="clear" w:color="auto" w:fill="595959"/>
            <w:vAlign w:val="center"/>
            <w:hideMark/>
          </w:tcPr>
          <w:p w14:paraId="0F8D527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55" w:type="pct"/>
            <w:tcBorders>
              <w:top w:val="nil"/>
              <w:left w:val="nil"/>
              <w:bottom w:val="single" w:sz="4" w:space="0" w:color="auto"/>
              <w:right w:val="single" w:sz="4" w:space="0" w:color="auto"/>
            </w:tcBorders>
            <w:shd w:val="clear" w:color="auto" w:fill="595959"/>
            <w:vAlign w:val="center"/>
            <w:hideMark/>
          </w:tcPr>
          <w:p w14:paraId="3BA146C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02" w:type="pct"/>
            <w:tcBorders>
              <w:top w:val="nil"/>
              <w:left w:val="nil"/>
              <w:bottom w:val="single" w:sz="4" w:space="0" w:color="auto"/>
              <w:right w:val="single" w:sz="4" w:space="0" w:color="auto"/>
            </w:tcBorders>
            <w:shd w:val="clear" w:color="auto" w:fill="595959"/>
            <w:noWrap/>
            <w:vAlign w:val="bottom"/>
            <w:hideMark/>
          </w:tcPr>
          <w:p w14:paraId="3525AFF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13" w:type="pct"/>
            <w:tcBorders>
              <w:top w:val="nil"/>
              <w:left w:val="nil"/>
              <w:bottom w:val="single" w:sz="4" w:space="0" w:color="auto"/>
              <w:right w:val="single" w:sz="4" w:space="0" w:color="auto"/>
            </w:tcBorders>
            <w:shd w:val="clear" w:color="auto" w:fill="E2EFDA"/>
            <w:vAlign w:val="center"/>
            <w:hideMark/>
          </w:tcPr>
          <w:p w14:paraId="01DD596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439" w:type="pct"/>
            <w:tcBorders>
              <w:top w:val="nil"/>
              <w:left w:val="nil"/>
              <w:bottom w:val="single" w:sz="4" w:space="0" w:color="auto"/>
              <w:right w:val="single" w:sz="4" w:space="0" w:color="auto"/>
            </w:tcBorders>
            <w:shd w:val="clear" w:color="auto" w:fill="595959"/>
            <w:vAlign w:val="center"/>
            <w:hideMark/>
          </w:tcPr>
          <w:p w14:paraId="23BA70E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04" w:type="pct"/>
            <w:tcBorders>
              <w:top w:val="nil"/>
              <w:left w:val="nil"/>
              <w:bottom w:val="single" w:sz="4" w:space="0" w:color="auto"/>
              <w:right w:val="single" w:sz="4" w:space="0" w:color="auto"/>
            </w:tcBorders>
            <w:shd w:val="clear" w:color="auto" w:fill="595959"/>
            <w:noWrap/>
            <w:vAlign w:val="bottom"/>
            <w:hideMark/>
          </w:tcPr>
          <w:p w14:paraId="4289E3C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390BED" w:rsidRPr="004F5BC1" w14:paraId="68A8F415"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575F4BA9"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7DE666E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PM_D44</w:t>
            </w:r>
          </w:p>
        </w:tc>
        <w:tc>
          <w:tcPr>
            <w:tcW w:w="799" w:type="pct"/>
            <w:tcBorders>
              <w:top w:val="nil"/>
              <w:left w:val="nil"/>
              <w:bottom w:val="single" w:sz="4" w:space="0" w:color="auto"/>
              <w:right w:val="single" w:sz="4" w:space="0" w:color="auto"/>
            </w:tcBorders>
            <w:vAlign w:val="center"/>
            <w:hideMark/>
          </w:tcPr>
          <w:p w14:paraId="0B06F4A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Development of a scheme for the qualification, accreditation and certification of RES professionals</w:t>
            </w:r>
          </w:p>
        </w:tc>
        <w:tc>
          <w:tcPr>
            <w:tcW w:w="399" w:type="pct"/>
            <w:tcBorders>
              <w:top w:val="nil"/>
              <w:left w:val="nil"/>
              <w:bottom w:val="single" w:sz="4" w:space="0" w:color="auto"/>
              <w:right w:val="single" w:sz="4" w:space="0" w:color="auto"/>
            </w:tcBorders>
            <w:vAlign w:val="center"/>
            <w:hideMark/>
          </w:tcPr>
          <w:p w14:paraId="24E475D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461" w:type="pct"/>
            <w:tcBorders>
              <w:top w:val="nil"/>
              <w:left w:val="nil"/>
              <w:bottom w:val="single" w:sz="4" w:space="0" w:color="auto"/>
              <w:right w:val="single" w:sz="4" w:space="0" w:color="auto"/>
            </w:tcBorders>
            <w:vAlign w:val="center"/>
            <w:hideMark/>
          </w:tcPr>
          <w:p w14:paraId="6B88DA3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7C297E5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355" w:type="pct"/>
            <w:tcBorders>
              <w:top w:val="nil"/>
              <w:left w:val="nil"/>
              <w:bottom w:val="single" w:sz="4" w:space="0" w:color="auto"/>
              <w:right w:val="single" w:sz="4" w:space="0" w:color="auto"/>
            </w:tcBorders>
            <w:shd w:val="clear" w:color="auto" w:fill="E2EFDA"/>
            <w:vAlign w:val="center"/>
            <w:hideMark/>
          </w:tcPr>
          <w:p w14:paraId="5EE1FA7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302" w:type="pct"/>
            <w:tcBorders>
              <w:top w:val="nil"/>
              <w:left w:val="nil"/>
              <w:bottom w:val="single" w:sz="4" w:space="0" w:color="auto"/>
              <w:right w:val="single" w:sz="4" w:space="0" w:color="auto"/>
            </w:tcBorders>
            <w:shd w:val="clear" w:color="auto" w:fill="E2EFDA"/>
            <w:vAlign w:val="center"/>
            <w:hideMark/>
          </w:tcPr>
          <w:p w14:paraId="1E52C67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2EFDA"/>
            <w:vAlign w:val="center"/>
            <w:hideMark/>
          </w:tcPr>
          <w:p w14:paraId="6894297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439" w:type="pct"/>
            <w:tcBorders>
              <w:top w:val="nil"/>
              <w:left w:val="nil"/>
              <w:bottom w:val="single" w:sz="4" w:space="0" w:color="auto"/>
              <w:right w:val="single" w:sz="4" w:space="0" w:color="auto"/>
            </w:tcBorders>
            <w:shd w:val="clear" w:color="auto" w:fill="E2EFDA"/>
            <w:vAlign w:val="center"/>
            <w:hideMark/>
          </w:tcPr>
          <w:p w14:paraId="170734C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304" w:type="pct"/>
            <w:tcBorders>
              <w:top w:val="nil"/>
              <w:left w:val="nil"/>
              <w:bottom w:val="single" w:sz="4" w:space="0" w:color="auto"/>
              <w:right w:val="single" w:sz="4" w:space="0" w:color="auto"/>
            </w:tcBorders>
            <w:shd w:val="clear" w:color="auto" w:fill="E2EFDA"/>
            <w:vAlign w:val="center"/>
            <w:hideMark/>
          </w:tcPr>
          <w:p w14:paraId="0A7FECB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r>
      <w:tr w:rsidR="00390BED" w:rsidRPr="004F5BC1" w14:paraId="38B05DBA"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34A8AE09"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4629520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PM_D45</w:t>
            </w:r>
          </w:p>
        </w:tc>
        <w:tc>
          <w:tcPr>
            <w:tcW w:w="799" w:type="pct"/>
            <w:tcBorders>
              <w:top w:val="nil"/>
              <w:left w:val="nil"/>
              <w:bottom w:val="single" w:sz="4" w:space="0" w:color="auto"/>
              <w:right w:val="single" w:sz="4" w:space="0" w:color="auto"/>
            </w:tcBorders>
            <w:vAlign w:val="center"/>
            <w:hideMark/>
          </w:tcPr>
          <w:p w14:paraId="3A3CD0A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Updating and optimizing the spatial planning framework</w:t>
            </w:r>
          </w:p>
        </w:tc>
        <w:tc>
          <w:tcPr>
            <w:tcW w:w="399" w:type="pct"/>
            <w:tcBorders>
              <w:top w:val="nil"/>
              <w:left w:val="nil"/>
              <w:bottom w:val="single" w:sz="4" w:space="0" w:color="auto"/>
              <w:right w:val="single" w:sz="4" w:space="0" w:color="auto"/>
            </w:tcBorders>
            <w:vAlign w:val="center"/>
            <w:hideMark/>
          </w:tcPr>
          <w:p w14:paraId="4A1E598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Reform </w:t>
            </w:r>
          </w:p>
        </w:tc>
        <w:tc>
          <w:tcPr>
            <w:tcW w:w="461" w:type="pct"/>
            <w:tcBorders>
              <w:top w:val="nil"/>
              <w:left w:val="nil"/>
              <w:bottom w:val="single" w:sz="4" w:space="0" w:color="auto"/>
              <w:right w:val="single" w:sz="4" w:space="0" w:color="auto"/>
            </w:tcBorders>
            <w:vAlign w:val="center"/>
            <w:hideMark/>
          </w:tcPr>
          <w:p w14:paraId="095DAAB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696A44E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0.10</w:t>
            </w:r>
          </w:p>
        </w:tc>
        <w:tc>
          <w:tcPr>
            <w:tcW w:w="355" w:type="pct"/>
            <w:tcBorders>
              <w:top w:val="nil"/>
              <w:left w:val="nil"/>
              <w:bottom w:val="single" w:sz="4" w:space="0" w:color="auto"/>
              <w:right w:val="single" w:sz="4" w:space="0" w:color="auto"/>
            </w:tcBorders>
            <w:shd w:val="clear" w:color="auto" w:fill="E2EFDA"/>
            <w:vAlign w:val="center"/>
            <w:hideMark/>
          </w:tcPr>
          <w:p w14:paraId="2CE254B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0.10</w:t>
            </w:r>
          </w:p>
        </w:tc>
        <w:tc>
          <w:tcPr>
            <w:tcW w:w="302" w:type="pct"/>
            <w:tcBorders>
              <w:top w:val="nil"/>
              <w:left w:val="nil"/>
              <w:bottom w:val="single" w:sz="4" w:space="0" w:color="auto"/>
              <w:right w:val="single" w:sz="4" w:space="0" w:color="auto"/>
            </w:tcBorders>
            <w:shd w:val="clear" w:color="auto" w:fill="E2EFDA"/>
            <w:vAlign w:val="center"/>
            <w:hideMark/>
          </w:tcPr>
          <w:p w14:paraId="01D9DC6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513" w:type="pct"/>
            <w:tcBorders>
              <w:top w:val="nil"/>
              <w:left w:val="nil"/>
              <w:bottom w:val="single" w:sz="4" w:space="0" w:color="auto"/>
              <w:right w:val="single" w:sz="4" w:space="0" w:color="auto"/>
            </w:tcBorders>
            <w:shd w:val="clear" w:color="auto" w:fill="E2EFDA"/>
            <w:vAlign w:val="center"/>
            <w:hideMark/>
          </w:tcPr>
          <w:p w14:paraId="1DE9646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439" w:type="pct"/>
            <w:tcBorders>
              <w:top w:val="nil"/>
              <w:left w:val="nil"/>
              <w:bottom w:val="single" w:sz="4" w:space="0" w:color="auto"/>
              <w:right w:val="single" w:sz="4" w:space="0" w:color="auto"/>
            </w:tcBorders>
            <w:shd w:val="clear" w:color="auto" w:fill="E2EFDA"/>
            <w:vAlign w:val="center"/>
            <w:hideMark/>
          </w:tcPr>
          <w:p w14:paraId="1DBD054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304" w:type="pct"/>
            <w:tcBorders>
              <w:top w:val="nil"/>
              <w:left w:val="nil"/>
              <w:bottom w:val="single" w:sz="4" w:space="0" w:color="auto"/>
              <w:right w:val="single" w:sz="4" w:space="0" w:color="auto"/>
            </w:tcBorders>
            <w:shd w:val="clear" w:color="auto" w:fill="E2EFDA"/>
            <w:vAlign w:val="center"/>
            <w:hideMark/>
          </w:tcPr>
          <w:p w14:paraId="77815BE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0.10</w:t>
            </w:r>
          </w:p>
        </w:tc>
      </w:tr>
      <w:tr w:rsidR="00390BED" w:rsidRPr="004F5BC1" w14:paraId="3CF67361" w14:textId="77777777" w:rsidTr="00390BED">
        <w:trPr>
          <w:cantSplit/>
          <w:trHeight w:val="20"/>
        </w:trPr>
        <w:tc>
          <w:tcPr>
            <w:tcW w:w="0" w:type="auto"/>
            <w:vMerge/>
            <w:tcBorders>
              <w:top w:val="nil"/>
              <w:left w:val="single" w:sz="4" w:space="0" w:color="auto"/>
              <w:bottom w:val="single" w:sz="4" w:space="0" w:color="auto"/>
              <w:right w:val="single" w:sz="4" w:space="0" w:color="auto"/>
            </w:tcBorders>
            <w:vAlign w:val="center"/>
            <w:hideMark/>
          </w:tcPr>
          <w:p w14:paraId="61087F1C" w14:textId="77777777" w:rsidR="00614438" w:rsidRPr="004F5BC1" w:rsidRDefault="00614438" w:rsidP="00614438">
            <w:pPr>
              <w:jc w:val="both"/>
              <w:rPr>
                <w:rFonts w:ascii="Times New Roman" w:hAnsi="Times New Roman" w:cs="Times New Roman"/>
                <w:sz w:val="14"/>
                <w:szCs w:val="14"/>
                <w:lang w:val="en-GB"/>
              </w:rPr>
            </w:pPr>
          </w:p>
        </w:tc>
        <w:tc>
          <w:tcPr>
            <w:tcW w:w="356" w:type="pct"/>
            <w:tcBorders>
              <w:top w:val="nil"/>
              <w:left w:val="nil"/>
              <w:bottom w:val="single" w:sz="4" w:space="0" w:color="auto"/>
              <w:right w:val="single" w:sz="4" w:space="0" w:color="auto"/>
            </w:tcBorders>
            <w:vAlign w:val="center"/>
            <w:hideMark/>
          </w:tcPr>
          <w:p w14:paraId="1E014D8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799" w:type="pct"/>
            <w:tcBorders>
              <w:top w:val="nil"/>
              <w:left w:val="nil"/>
              <w:bottom w:val="single" w:sz="4" w:space="0" w:color="auto"/>
              <w:right w:val="single" w:sz="4" w:space="0" w:color="auto"/>
            </w:tcBorders>
            <w:vAlign w:val="center"/>
            <w:hideMark/>
          </w:tcPr>
          <w:p w14:paraId="3307432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TOTAL FOR DECARBONISATION (INCLUDING RES)</w:t>
            </w:r>
          </w:p>
        </w:tc>
        <w:tc>
          <w:tcPr>
            <w:tcW w:w="399" w:type="pct"/>
            <w:tcBorders>
              <w:top w:val="nil"/>
              <w:left w:val="nil"/>
              <w:bottom w:val="single" w:sz="4" w:space="0" w:color="auto"/>
              <w:right w:val="single" w:sz="4" w:space="0" w:color="auto"/>
            </w:tcBorders>
            <w:vAlign w:val="center"/>
            <w:hideMark/>
          </w:tcPr>
          <w:p w14:paraId="38A706B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461" w:type="pct"/>
            <w:tcBorders>
              <w:top w:val="nil"/>
              <w:left w:val="nil"/>
              <w:bottom w:val="single" w:sz="4" w:space="0" w:color="auto"/>
              <w:right w:val="single" w:sz="4" w:space="0" w:color="auto"/>
            </w:tcBorders>
            <w:vAlign w:val="center"/>
            <w:hideMark/>
          </w:tcPr>
          <w:p w14:paraId="7ABA012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502" w:type="pct"/>
            <w:tcBorders>
              <w:top w:val="nil"/>
              <w:left w:val="nil"/>
              <w:bottom w:val="single" w:sz="4" w:space="0" w:color="auto"/>
              <w:right w:val="single" w:sz="4" w:space="0" w:color="auto"/>
            </w:tcBorders>
            <w:shd w:val="clear" w:color="auto" w:fill="E2EFDA"/>
            <w:vAlign w:val="center"/>
            <w:hideMark/>
          </w:tcPr>
          <w:p w14:paraId="4CCC4C5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5.19</w:t>
            </w:r>
          </w:p>
        </w:tc>
        <w:tc>
          <w:tcPr>
            <w:tcW w:w="355" w:type="pct"/>
            <w:tcBorders>
              <w:top w:val="nil"/>
              <w:left w:val="nil"/>
              <w:bottom w:val="single" w:sz="4" w:space="0" w:color="auto"/>
              <w:right w:val="single" w:sz="4" w:space="0" w:color="auto"/>
            </w:tcBorders>
            <w:shd w:val="clear" w:color="auto" w:fill="E2EFDA"/>
            <w:vAlign w:val="center"/>
            <w:hideMark/>
          </w:tcPr>
          <w:p w14:paraId="54990DD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1.19</w:t>
            </w:r>
          </w:p>
        </w:tc>
        <w:tc>
          <w:tcPr>
            <w:tcW w:w="302" w:type="pct"/>
            <w:tcBorders>
              <w:top w:val="nil"/>
              <w:left w:val="nil"/>
              <w:bottom w:val="single" w:sz="4" w:space="0" w:color="auto"/>
              <w:right w:val="single" w:sz="4" w:space="0" w:color="auto"/>
            </w:tcBorders>
            <w:shd w:val="clear" w:color="auto" w:fill="E2EFDA"/>
            <w:vAlign w:val="center"/>
            <w:hideMark/>
          </w:tcPr>
          <w:p w14:paraId="0EB54E2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4.00</w:t>
            </w:r>
          </w:p>
        </w:tc>
        <w:tc>
          <w:tcPr>
            <w:tcW w:w="513" w:type="pct"/>
            <w:tcBorders>
              <w:top w:val="nil"/>
              <w:left w:val="nil"/>
              <w:bottom w:val="single" w:sz="4" w:space="0" w:color="auto"/>
              <w:right w:val="single" w:sz="4" w:space="0" w:color="auto"/>
            </w:tcBorders>
            <w:shd w:val="clear" w:color="auto" w:fill="E2EFDA"/>
            <w:vAlign w:val="center"/>
            <w:hideMark/>
          </w:tcPr>
          <w:p w14:paraId="5C83B52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439" w:type="pct"/>
            <w:tcBorders>
              <w:top w:val="nil"/>
              <w:left w:val="nil"/>
              <w:bottom w:val="single" w:sz="4" w:space="0" w:color="auto"/>
              <w:right w:val="single" w:sz="4" w:space="0" w:color="auto"/>
            </w:tcBorders>
            <w:shd w:val="clear" w:color="auto" w:fill="E2EFDA"/>
            <w:vAlign w:val="center"/>
            <w:hideMark/>
          </w:tcPr>
          <w:p w14:paraId="43C8D56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1.16</w:t>
            </w:r>
          </w:p>
        </w:tc>
        <w:tc>
          <w:tcPr>
            <w:tcW w:w="304" w:type="pct"/>
            <w:tcBorders>
              <w:top w:val="nil"/>
              <w:left w:val="nil"/>
              <w:bottom w:val="single" w:sz="4" w:space="0" w:color="auto"/>
              <w:right w:val="single" w:sz="4" w:space="0" w:color="auto"/>
            </w:tcBorders>
            <w:shd w:val="clear" w:color="auto" w:fill="E2EFDA"/>
            <w:vAlign w:val="center"/>
            <w:hideMark/>
          </w:tcPr>
          <w:p w14:paraId="0AB0D56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4.03</w:t>
            </w:r>
          </w:p>
        </w:tc>
      </w:tr>
    </w:tbl>
    <w:p w14:paraId="55B53038" w14:textId="77777777" w:rsidR="00614438" w:rsidRPr="004F5BC1" w:rsidRDefault="00614438" w:rsidP="00614438">
      <w:pPr>
        <w:jc w:val="both"/>
        <w:rPr>
          <w:rFonts w:ascii="Times New Roman" w:hAnsi="Times New Roman" w:cs="Times New Roman"/>
          <w:sz w:val="14"/>
          <w:szCs w:val="14"/>
          <w:lang w:val="en-GB"/>
        </w:rPr>
      </w:pPr>
    </w:p>
    <w:p w14:paraId="2307C856" w14:textId="77777777" w:rsidR="00614438" w:rsidRPr="004F5BC1" w:rsidRDefault="00614438" w:rsidP="00614438">
      <w:pPr>
        <w:jc w:val="both"/>
        <w:rPr>
          <w:rFonts w:ascii="Times New Roman" w:hAnsi="Times New Roman" w:cs="Times New Roman"/>
          <w:sz w:val="14"/>
          <w:szCs w:val="14"/>
        </w:rPr>
      </w:pPr>
      <w:bookmarkStart w:id="663" w:name="_Toc153545081"/>
      <w:r w:rsidRPr="004F5BC1">
        <w:rPr>
          <w:rFonts w:ascii="Times New Roman" w:hAnsi="Times New Roman" w:cs="Times New Roman"/>
          <w:sz w:val="14"/>
          <w:szCs w:val="14"/>
        </w:rPr>
        <w:t xml:space="preserve">Table </w:t>
      </w:r>
      <w:r w:rsidR="00C83251" w:rsidRPr="004F5BC1">
        <w:rPr>
          <w:rFonts w:ascii="Times New Roman" w:hAnsi="Times New Roman" w:cs="Times New Roman"/>
          <w:sz w:val="14"/>
          <w:szCs w:val="14"/>
        </w:rPr>
        <w:fldChar w:fldCharType="begin"/>
      </w:r>
      <w:r w:rsidRPr="004F5BC1">
        <w:rPr>
          <w:rFonts w:ascii="Times New Roman" w:hAnsi="Times New Roman" w:cs="Times New Roman"/>
          <w:sz w:val="14"/>
          <w:szCs w:val="14"/>
        </w:rPr>
        <w:instrText xml:space="preserve"> STYLEREF 1 \s </w:instrText>
      </w:r>
      <w:r w:rsidR="00C83251" w:rsidRPr="004F5BC1">
        <w:rPr>
          <w:rFonts w:ascii="Times New Roman" w:hAnsi="Times New Roman" w:cs="Times New Roman"/>
          <w:sz w:val="14"/>
          <w:szCs w:val="14"/>
        </w:rPr>
        <w:fldChar w:fldCharType="separate"/>
      </w:r>
      <w:r w:rsidRPr="004F5BC1">
        <w:rPr>
          <w:rFonts w:ascii="Times New Roman" w:hAnsi="Times New Roman" w:cs="Times New Roman"/>
          <w:sz w:val="14"/>
          <w:szCs w:val="14"/>
        </w:rPr>
        <w:t>I</w:t>
      </w:r>
      <w:r w:rsidR="00C83251" w:rsidRPr="004F5BC1">
        <w:rPr>
          <w:rFonts w:ascii="Times New Roman" w:hAnsi="Times New Roman" w:cs="Times New Roman"/>
          <w:sz w:val="14"/>
          <w:szCs w:val="14"/>
        </w:rPr>
        <w:fldChar w:fldCharType="end"/>
      </w:r>
      <w:r w:rsidRPr="004F5BC1">
        <w:rPr>
          <w:rFonts w:ascii="Times New Roman" w:hAnsi="Times New Roman" w:cs="Times New Roman"/>
          <w:sz w:val="14"/>
          <w:szCs w:val="14"/>
        </w:rPr>
        <w:t>.</w:t>
      </w:r>
      <w:r w:rsidR="00C83251" w:rsidRPr="004F5BC1">
        <w:rPr>
          <w:rFonts w:ascii="Times New Roman" w:hAnsi="Times New Roman" w:cs="Times New Roman"/>
          <w:sz w:val="14"/>
          <w:szCs w:val="14"/>
        </w:rPr>
        <w:fldChar w:fldCharType="begin"/>
      </w:r>
      <w:r w:rsidRPr="004F5BC1">
        <w:rPr>
          <w:rFonts w:ascii="Times New Roman" w:hAnsi="Times New Roman" w:cs="Times New Roman"/>
          <w:sz w:val="14"/>
          <w:szCs w:val="14"/>
        </w:rPr>
        <w:instrText xml:space="preserve"> SEQ Table \* ARABIC \s 1 </w:instrText>
      </w:r>
      <w:r w:rsidR="00C83251" w:rsidRPr="004F5BC1">
        <w:rPr>
          <w:rFonts w:ascii="Times New Roman" w:hAnsi="Times New Roman" w:cs="Times New Roman"/>
          <w:sz w:val="14"/>
          <w:szCs w:val="14"/>
        </w:rPr>
        <w:fldChar w:fldCharType="separate"/>
      </w:r>
      <w:r w:rsidRPr="004F5BC1">
        <w:rPr>
          <w:rFonts w:ascii="Times New Roman" w:hAnsi="Times New Roman" w:cs="Times New Roman"/>
          <w:sz w:val="14"/>
          <w:szCs w:val="14"/>
        </w:rPr>
        <w:t>2</w:t>
      </w:r>
      <w:r w:rsidR="00C83251" w:rsidRPr="004F5BC1">
        <w:rPr>
          <w:rFonts w:ascii="Times New Roman" w:hAnsi="Times New Roman" w:cs="Times New Roman"/>
          <w:sz w:val="14"/>
          <w:szCs w:val="14"/>
        </w:rPr>
        <w:fldChar w:fldCharType="end"/>
      </w:r>
      <w:r w:rsidRPr="004F5BC1">
        <w:rPr>
          <w:rFonts w:ascii="Times New Roman" w:hAnsi="Times New Roman" w:cs="Times New Roman"/>
          <w:sz w:val="14"/>
          <w:szCs w:val="14"/>
        </w:rPr>
        <w:t>: Energy Efficiency policy measures</w:t>
      </w:r>
      <w:bookmarkEnd w:id="663"/>
    </w:p>
    <w:tbl>
      <w:tblPr>
        <w:tblW w:w="14595" w:type="dxa"/>
        <w:tblLayout w:type="fixed"/>
        <w:tblLook w:val="04A0" w:firstRow="1" w:lastRow="0" w:firstColumn="1" w:lastColumn="0" w:noHBand="0" w:noVBand="1"/>
      </w:tblPr>
      <w:tblGrid>
        <w:gridCol w:w="923"/>
        <w:gridCol w:w="845"/>
        <w:gridCol w:w="3620"/>
        <w:gridCol w:w="1079"/>
        <w:gridCol w:w="1072"/>
        <w:gridCol w:w="1227"/>
        <w:gridCol w:w="1140"/>
        <w:gridCol w:w="1145"/>
        <w:gridCol w:w="1322"/>
        <w:gridCol w:w="1145"/>
        <w:gridCol w:w="1077"/>
      </w:tblGrid>
      <w:tr w:rsidR="00614438" w:rsidRPr="004F5BC1" w14:paraId="5B7F47F9" w14:textId="77777777" w:rsidTr="00614438">
        <w:trPr>
          <w:trHeight w:val="19"/>
          <w:tblHeader/>
        </w:trPr>
        <w:tc>
          <w:tcPr>
            <w:tcW w:w="924"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7C9D459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Dimension</w:t>
            </w:r>
          </w:p>
        </w:tc>
        <w:tc>
          <w:tcPr>
            <w:tcW w:w="845" w:type="dxa"/>
            <w:tcBorders>
              <w:top w:val="single" w:sz="4" w:space="0" w:color="auto"/>
              <w:left w:val="nil"/>
              <w:bottom w:val="single" w:sz="4" w:space="0" w:color="auto"/>
              <w:right w:val="single" w:sz="4" w:space="0" w:color="auto"/>
            </w:tcBorders>
            <w:shd w:val="clear" w:color="auto" w:fill="BFBFBF"/>
            <w:vAlign w:val="center"/>
            <w:hideMark/>
          </w:tcPr>
          <w:p w14:paraId="38845E9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PAM number</w:t>
            </w:r>
          </w:p>
        </w:tc>
        <w:tc>
          <w:tcPr>
            <w:tcW w:w="3620" w:type="dxa"/>
            <w:tcBorders>
              <w:top w:val="single" w:sz="4" w:space="0" w:color="auto"/>
              <w:left w:val="nil"/>
              <w:bottom w:val="single" w:sz="4" w:space="0" w:color="auto"/>
              <w:right w:val="single" w:sz="4" w:space="0" w:color="auto"/>
            </w:tcBorders>
            <w:shd w:val="clear" w:color="auto" w:fill="BFBFBF"/>
            <w:vAlign w:val="center"/>
            <w:hideMark/>
          </w:tcPr>
          <w:p w14:paraId="492EB16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Name of policy or measure</w:t>
            </w:r>
          </w:p>
        </w:tc>
        <w:tc>
          <w:tcPr>
            <w:tcW w:w="1079" w:type="dxa"/>
            <w:tcBorders>
              <w:top w:val="single" w:sz="4" w:space="0" w:color="auto"/>
              <w:left w:val="nil"/>
              <w:bottom w:val="single" w:sz="4" w:space="0" w:color="auto"/>
              <w:right w:val="single" w:sz="4" w:space="0" w:color="auto"/>
            </w:tcBorders>
            <w:shd w:val="clear" w:color="auto" w:fill="BFBFBF"/>
            <w:vAlign w:val="center"/>
            <w:hideMark/>
          </w:tcPr>
          <w:p w14:paraId="1F59C79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Type of measure</w:t>
            </w:r>
          </w:p>
        </w:tc>
        <w:tc>
          <w:tcPr>
            <w:tcW w:w="1072" w:type="dxa"/>
            <w:tcBorders>
              <w:top w:val="single" w:sz="4" w:space="0" w:color="auto"/>
              <w:left w:val="nil"/>
              <w:bottom w:val="single" w:sz="4" w:space="0" w:color="auto"/>
              <w:right w:val="single" w:sz="4" w:space="0" w:color="auto"/>
            </w:tcBorders>
            <w:shd w:val="clear" w:color="auto" w:fill="BFBFBF"/>
            <w:vAlign w:val="center"/>
            <w:hideMark/>
          </w:tcPr>
          <w:p w14:paraId="524AC4A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Synergetic effects</w:t>
            </w:r>
          </w:p>
        </w:tc>
        <w:tc>
          <w:tcPr>
            <w:tcW w:w="1227" w:type="dxa"/>
            <w:tcBorders>
              <w:top w:val="single" w:sz="4" w:space="0" w:color="auto"/>
              <w:left w:val="nil"/>
              <w:bottom w:val="single" w:sz="4" w:space="0" w:color="auto"/>
              <w:right w:val="single" w:sz="4" w:space="0" w:color="auto"/>
            </w:tcBorders>
            <w:shd w:val="clear" w:color="auto" w:fill="BFBFBF"/>
            <w:vAlign w:val="center"/>
            <w:hideMark/>
          </w:tcPr>
          <w:p w14:paraId="1966D12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Implementation Cost (million €)</w:t>
            </w:r>
          </w:p>
        </w:tc>
        <w:tc>
          <w:tcPr>
            <w:tcW w:w="1140" w:type="dxa"/>
            <w:tcBorders>
              <w:top w:val="single" w:sz="4" w:space="0" w:color="auto"/>
              <w:left w:val="nil"/>
              <w:bottom w:val="single" w:sz="4" w:space="0" w:color="auto"/>
              <w:right w:val="single" w:sz="4" w:space="0" w:color="auto"/>
            </w:tcBorders>
            <w:shd w:val="clear" w:color="auto" w:fill="BFBFBF"/>
            <w:vAlign w:val="center"/>
            <w:hideMark/>
          </w:tcPr>
          <w:p w14:paraId="1872652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Planned public aid (million €)</w:t>
            </w:r>
          </w:p>
        </w:tc>
        <w:tc>
          <w:tcPr>
            <w:tcW w:w="1145" w:type="dxa"/>
            <w:tcBorders>
              <w:top w:val="single" w:sz="4" w:space="0" w:color="auto"/>
              <w:left w:val="nil"/>
              <w:bottom w:val="single" w:sz="4" w:space="0" w:color="auto"/>
              <w:right w:val="single" w:sz="4" w:space="0" w:color="auto"/>
            </w:tcBorders>
            <w:shd w:val="clear" w:color="auto" w:fill="BFBFBF"/>
            <w:vAlign w:val="center"/>
            <w:hideMark/>
          </w:tcPr>
          <w:p w14:paraId="779FC53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own Funds (million €)</w:t>
            </w:r>
          </w:p>
        </w:tc>
        <w:tc>
          <w:tcPr>
            <w:tcW w:w="1322" w:type="dxa"/>
            <w:tcBorders>
              <w:top w:val="single" w:sz="4" w:space="0" w:color="auto"/>
              <w:left w:val="nil"/>
              <w:bottom w:val="single" w:sz="4" w:space="0" w:color="auto"/>
              <w:right w:val="single" w:sz="4" w:space="0" w:color="auto"/>
            </w:tcBorders>
            <w:shd w:val="clear" w:color="auto" w:fill="BFBFBF"/>
            <w:vAlign w:val="center"/>
            <w:hideMark/>
          </w:tcPr>
          <w:p w14:paraId="475E8BD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Projections scenario in which the PAM is included</w:t>
            </w:r>
          </w:p>
        </w:tc>
        <w:tc>
          <w:tcPr>
            <w:tcW w:w="1145" w:type="dxa"/>
            <w:tcBorders>
              <w:top w:val="single" w:sz="4" w:space="0" w:color="auto"/>
              <w:left w:val="nil"/>
              <w:bottom w:val="single" w:sz="4" w:space="0" w:color="auto"/>
              <w:right w:val="single" w:sz="4" w:space="0" w:color="auto"/>
            </w:tcBorders>
            <w:shd w:val="clear" w:color="auto" w:fill="BFBFBF"/>
            <w:vAlign w:val="center"/>
            <w:hideMark/>
          </w:tcPr>
          <w:p w14:paraId="11280A2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CAPEX WEM (million €)</w:t>
            </w:r>
          </w:p>
        </w:tc>
        <w:tc>
          <w:tcPr>
            <w:tcW w:w="1077" w:type="dxa"/>
            <w:tcBorders>
              <w:top w:val="single" w:sz="4" w:space="0" w:color="auto"/>
              <w:left w:val="nil"/>
              <w:bottom w:val="single" w:sz="4" w:space="0" w:color="auto"/>
              <w:right w:val="single" w:sz="4" w:space="0" w:color="auto"/>
            </w:tcBorders>
            <w:shd w:val="clear" w:color="auto" w:fill="BFBFBF"/>
            <w:vAlign w:val="center"/>
            <w:hideMark/>
          </w:tcPr>
          <w:p w14:paraId="481B545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CAPEX WAM (million €)</w:t>
            </w:r>
          </w:p>
        </w:tc>
      </w:tr>
      <w:tr w:rsidR="00614438" w:rsidRPr="004F5BC1" w14:paraId="1BA92DEB" w14:textId="77777777" w:rsidTr="00614438">
        <w:trPr>
          <w:trHeight w:val="19"/>
        </w:trPr>
        <w:tc>
          <w:tcPr>
            <w:tcW w:w="924" w:type="dxa"/>
            <w:vMerge w:val="restart"/>
            <w:tcBorders>
              <w:top w:val="nil"/>
              <w:left w:val="single" w:sz="4" w:space="0" w:color="auto"/>
              <w:bottom w:val="nil"/>
              <w:right w:val="single" w:sz="4" w:space="0" w:color="auto"/>
            </w:tcBorders>
            <w:shd w:val="clear" w:color="auto" w:fill="BFBFBF"/>
            <w:vAlign w:val="center"/>
            <w:hideMark/>
          </w:tcPr>
          <w:p w14:paraId="3CF9086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Energy Efficiency</w:t>
            </w:r>
          </w:p>
          <w:p w14:paraId="38C4354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845" w:type="dxa"/>
            <w:tcBorders>
              <w:top w:val="nil"/>
              <w:left w:val="nil"/>
              <w:bottom w:val="single" w:sz="4" w:space="0" w:color="auto"/>
              <w:right w:val="single" w:sz="4" w:space="0" w:color="auto"/>
            </w:tcBorders>
            <w:vAlign w:val="center"/>
            <w:hideMark/>
          </w:tcPr>
          <w:p w14:paraId="5A3DBBA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PM_EE1</w:t>
            </w:r>
          </w:p>
        </w:tc>
        <w:tc>
          <w:tcPr>
            <w:tcW w:w="3620" w:type="dxa"/>
            <w:tcBorders>
              <w:top w:val="nil"/>
              <w:left w:val="nil"/>
              <w:bottom w:val="single" w:sz="4" w:space="0" w:color="auto"/>
              <w:right w:val="single" w:sz="4" w:space="0" w:color="auto"/>
            </w:tcBorders>
            <w:shd w:val="clear" w:color="auto" w:fill="FFFFFF"/>
            <w:vAlign w:val="center"/>
            <w:hideMark/>
          </w:tcPr>
          <w:p w14:paraId="0D5549CB" w14:textId="1B2A6B2C" w:rsidR="00614438" w:rsidRPr="004F5BC1" w:rsidRDefault="00FC0FC3"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Financial s</w:t>
            </w:r>
            <w:r w:rsidR="00614438" w:rsidRPr="004F5BC1">
              <w:rPr>
                <w:rFonts w:ascii="Times New Roman" w:hAnsi="Times New Roman" w:cs="Times New Roman"/>
                <w:sz w:val="14"/>
                <w:szCs w:val="14"/>
                <w:lang w:val="en-GB"/>
              </w:rPr>
              <w:t>upport</w:t>
            </w:r>
            <w:r w:rsidRPr="004F5BC1">
              <w:rPr>
                <w:rFonts w:ascii="Times New Roman" w:hAnsi="Times New Roman" w:cs="Times New Roman"/>
                <w:sz w:val="14"/>
                <w:szCs w:val="14"/>
                <w:lang w:val="en-GB"/>
              </w:rPr>
              <w:t xml:space="preserve"> for </w:t>
            </w:r>
            <w:r w:rsidR="00614438" w:rsidRPr="004F5BC1">
              <w:rPr>
                <w:rFonts w:ascii="Times New Roman" w:hAnsi="Times New Roman" w:cs="Times New Roman"/>
                <w:sz w:val="14"/>
                <w:szCs w:val="14"/>
                <w:lang w:val="en-GB"/>
              </w:rPr>
              <w:t>energy renovation of residential buildings</w:t>
            </w:r>
          </w:p>
        </w:tc>
        <w:tc>
          <w:tcPr>
            <w:tcW w:w="1079" w:type="dxa"/>
            <w:tcBorders>
              <w:top w:val="nil"/>
              <w:left w:val="nil"/>
              <w:bottom w:val="single" w:sz="4" w:space="0" w:color="auto"/>
              <w:right w:val="single" w:sz="4" w:space="0" w:color="auto"/>
            </w:tcBorders>
            <w:shd w:val="clear" w:color="auto" w:fill="FFFFFF"/>
            <w:vAlign w:val="center"/>
            <w:hideMark/>
          </w:tcPr>
          <w:p w14:paraId="1BFCACD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1072" w:type="dxa"/>
            <w:tcBorders>
              <w:top w:val="nil"/>
              <w:left w:val="nil"/>
              <w:bottom w:val="single" w:sz="4" w:space="0" w:color="auto"/>
              <w:right w:val="single" w:sz="4" w:space="0" w:color="auto"/>
            </w:tcBorders>
            <w:shd w:val="clear" w:color="auto" w:fill="FFFFFF"/>
            <w:vAlign w:val="center"/>
            <w:hideMark/>
          </w:tcPr>
          <w:p w14:paraId="477F818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227" w:type="dxa"/>
            <w:tcBorders>
              <w:top w:val="nil"/>
              <w:left w:val="nil"/>
              <w:bottom w:val="single" w:sz="4" w:space="0" w:color="auto"/>
              <w:right w:val="single" w:sz="4" w:space="0" w:color="auto"/>
            </w:tcBorders>
            <w:shd w:val="clear" w:color="auto" w:fill="E2EFDA"/>
            <w:vAlign w:val="center"/>
            <w:hideMark/>
          </w:tcPr>
          <w:p w14:paraId="0198240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1711.00</w:t>
            </w:r>
          </w:p>
        </w:tc>
        <w:tc>
          <w:tcPr>
            <w:tcW w:w="1140" w:type="dxa"/>
            <w:tcBorders>
              <w:top w:val="nil"/>
              <w:left w:val="nil"/>
              <w:bottom w:val="single" w:sz="4" w:space="0" w:color="auto"/>
              <w:right w:val="single" w:sz="4" w:space="0" w:color="auto"/>
            </w:tcBorders>
            <w:shd w:val="clear" w:color="auto" w:fill="E2EFDA"/>
            <w:vAlign w:val="center"/>
            <w:hideMark/>
          </w:tcPr>
          <w:p w14:paraId="44AC000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855.50</w:t>
            </w:r>
          </w:p>
        </w:tc>
        <w:tc>
          <w:tcPr>
            <w:tcW w:w="1145" w:type="dxa"/>
            <w:tcBorders>
              <w:top w:val="nil"/>
              <w:left w:val="nil"/>
              <w:bottom w:val="single" w:sz="4" w:space="0" w:color="auto"/>
              <w:right w:val="single" w:sz="4" w:space="0" w:color="auto"/>
            </w:tcBorders>
            <w:shd w:val="clear" w:color="auto" w:fill="E2EFDA"/>
            <w:vAlign w:val="center"/>
            <w:hideMark/>
          </w:tcPr>
          <w:p w14:paraId="158A0FA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855.50</w:t>
            </w:r>
          </w:p>
        </w:tc>
        <w:tc>
          <w:tcPr>
            <w:tcW w:w="1322" w:type="dxa"/>
            <w:tcBorders>
              <w:top w:val="nil"/>
              <w:left w:val="nil"/>
              <w:bottom w:val="single" w:sz="4" w:space="0" w:color="auto"/>
              <w:right w:val="single" w:sz="4" w:space="0" w:color="auto"/>
            </w:tcBorders>
            <w:shd w:val="clear" w:color="auto" w:fill="E2EFDA"/>
            <w:vAlign w:val="center"/>
            <w:hideMark/>
          </w:tcPr>
          <w:p w14:paraId="6C87F37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 WAM (enhancement, adjustment)</w:t>
            </w:r>
          </w:p>
        </w:tc>
        <w:tc>
          <w:tcPr>
            <w:tcW w:w="1145" w:type="dxa"/>
            <w:tcBorders>
              <w:top w:val="nil"/>
              <w:left w:val="nil"/>
              <w:bottom w:val="single" w:sz="4" w:space="0" w:color="auto"/>
              <w:right w:val="single" w:sz="4" w:space="0" w:color="auto"/>
            </w:tcBorders>
            <w:shd w:val="clear" w:color="auto" w:fill="E2EFDA"/>
            <w:vAlign w:val="center"/>
            <w:hideMark/>
          </w:tcPr>
          <w:p w14:paraId="36947FC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1063.32</w:t>
            </w:r>
          </w:p>
        </w:tc>
        <w:tc>
          <w:tcPr>
            <w:tcW w:w="1077" w:type="dxa"/>
            <w:tcBorders>
              <w:top w:val="nil"/>
              <w:left w:val="nil"/>
              <w:bottom w:val="single" w:sz="4" w:space="0" w:color="auto"/>
              <w:right w:val="single" w:sz="4" w:space="0" w:color="auto"/>
            </w:tcBorders>
            <w:shd w:val="clear" w:color="auto" w:fill="E2EFDA"/>
            <w:vAlign w:val="center"/>
            <w:hideMark/>
          </w:tcPr>
          <w:p w14:paraId="79F7349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647.77</w:t>
            </w:r>
          </w:p>
        </w:tc>
      </w:tr>
      <w:tr w:rsidR="00614438" w:rsidRPr="004F5BC1" w14:paraId="1B11D848"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44535887"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4C7809C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PM_EE2</w:t>
            </w:r>
          </w:p>
        </w:tc>
        <w:tc>
          <w:tcPr>
            <w:tcW w:w="3620" w:type="dxa"/>
            <w:tcBorders>
              <w:top w:val="nil"/>
              <w:left w:val="nil"/>
              <w:bottom w:val="single" w:sz="4" w:space="0" w:color="auto"/>
              <w:right w:val="single" w:sz="4" w:space="0" w:color="auto"/>
            </w:tcBorders>
            <w:vAlign w:val="center"/>
            <w:hideMark/>
          </w:tcPr>
          <w:p w14:paraId="341D3114" w14:textId="457057B3" w:rsidR="00614438" w:rsidRPr="004F5BC1" w:rsidRDefault="00FC0FC3"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Financial s</w:t>
            </w:r>
            <w:r w:rsidR="00614438" w:rsidRPr="004F5BC1">
              <w:rPr>
                <w:rFonts w:ascii="Times New Roman" w:hAnsi="Times New Roman" w:cs="Times New Roman"/>
                <w:sz w:val="14"/>
                <w:szCs w:val="14"/>
                <w:lang w:val="en-GB"/>
              </w:rPr>
              <w:t>upport f</w:t>
            </w:r>
            <w:r w:rsidRPr="004F5BC1">
              <w:rPr>
                <w:rFonts w:ascii="Times New Roman" w:hAnsi="Times New Roman" w:cs="Times New Roman"/>
                <w:sz w:val="14"/>
                <w:szCs w:val="14"/>
                <w:lang w:val="en-GB"/>
              </w:rPr>
              <w:t>or</w:t>
            </w:r>
            <w:r w:rsidR="00614438" w:rsidRPr="004F5BC1">
              <w:rPr>
                <w:rFonts w:ascii="Times New Roman" w:hAnsi="Times New Roman" w:cs="Times New Roman"/>
                <w:sz w:val="14"/>
                <w:szCs w:val="14"/>
                <w:lang w:val="en-GB"/>
              </w:rPr>
              <w:t xml:space="preserve"> energy renovation of public buildings</w:t>
            </w:r>
          </w:p>
        </w:tc>
        <w:tc>
          <w:tcPr>
            <w:tcW w:w="1079" w:type="dxa"/>
            <w:tcBorders>
              <w:top w:val="nil"/>
              <w:left w:val="nil"/>
              <w:bottom w:val="single" w:sz="4" w:space="0" w:color="auto"/>
              <w:right w:val="single" w:sz="4" w:space="0" w:color="auto"/>
            </w:tcBorders>
            <w:vAlign w:val="center"/>
            <w:hideMark/>
          </w:tcPr>
          <w:p w14:paraId="5EF08EC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1072" w:type="dxa"/>
            <w:tcBorders>
              <w:top w:val="nil"/>
              <w:left w:val="nil"/>
              <w:bottom w:val="single" w:sz="4" w:space="0" w:color="auto"/>
              <w:right w:val="single" w:sz="4" w:space="0" w:color="auto"/>
            </w:tcBorders>
            <w:vAlign w:val="center"/>
            <w:hideMark/>
          </w:tcPr>
          <w:p w14:paraId="4DA333B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227" w:type="dxa"/>
            <w:tcBorders>
              <w:top w:val="nil"/>
              <w:left w:val="nil"/>
              <w:bottom w:val="single" w:sz="4" w:space="0" w:color="auto"/>
              <w:right w:val="single" w:sz="4" w:space="0" w:color="auto"/>
            </w:tcBorders>
            <w:shd w:val="clear" w:color="auto" w:fill="E2EFDA"/>
            <w:vAlign w:val="center"/>
            <w:hideMark/>
          </w:tcPr>
          <w:p w14:paraId="0903431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1016.29</w:t>
            </w:r>
          </w:p>
        </w:tc>
        <w:tc>
          <w:tcPr>
            <w:tcW w:w="1140" w:type="dxa"/>
            <w:tcBorders>
              <w:top w:val="nil"/>
              <w:left w:val="nil"/>
              <w:bottom w:val="single" w:sz="4" w:space="0" w:color="auto"/>
              <w:right w:val="single" w:sz="4" w:space="0" w:color="auto"/>
            </w:tcBorders>
            <w:shd w:val="clear" w:color="auto" w:fill="E2EFDA"/>
            <w:vAlign w:val="center"/>
            <w:hideMark/>
          </w:tcPr>
          <w:p w14:paraId="5D31231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1016.29</w:t>
            </w:r>
          </w:p>
        </w:tc>
        <w:tc>
          <w:tcPr>
            <w:tcW w:w="1145" w:type="dxa"/>
            <w:tcBorders>
              <w:top w:val="nil"/>
              <w:left w:val="nil"/>
              <w:bottom w:val="single" w:sz="4" w:space="0" w:color="auto"/>
              <w:right w:val="single" w:sz="4" w:space="0" w:color="auto"/>
            </w:tcBorders>
            <w:shd w:val="clear" w:color="auto" w:fill="E2EFDA"/>
            <w:vAlign w:val="center"/>
            <w:hideMark/>
          </w:tcPr>
          <w:p w14:paraId="411B23F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1322" w:type="dxa"/>
            <w:tcBorders>
              <w:top w:val="nil"/>
              <w:left w:val="nil"/>
              <w:bottom w:val="single" w:sz="4" w:space="0" w:color="auto"/>
              <w:right w:val="single" w:sz="4" w:space="0" w:color="auto"/>
            </w:tcBorders>
            <w:shd w:val="clear" w:color="auto" w:fill="E2EFDA"/>
            <w:vAlign w:val="center"/>
            <w:hideMark/>
          </w:tcPr>
          <w:p w14:paraId="4940481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 WAM (enhancement, adjustment)</w:t>
            </w:r>
          </w:p>
        </w:tc>
        <w:tc>
          <w:tcPr>
            <w:tcW w:w="1145" w:type="dxa"/>
            <w:tcBorders>
              <w:top w:val="nil"/>
              <w:left w:val="nil"/>
              <w:bottom w:val="single" w:sz="4" w:space="0" w:color="auto"/>
              <w:right w:val="single" w:sz="4" w:space="0" w:color="auto"/>
            </w:tcBorders>
            <w:shd w:val="clear" w:color="auto" w:fill="E2EFDA"/>
            <w:vAlign w:val="center"/>
            <w:hideMark/>
          </w:tcPr>
          <w:p w14:paraId="421AC0D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633.57</w:t>
            </w:r>
          </w:p>
        </w:tc>
        <w:tc>
          <w:tcPr>
            <w:tcW w:w="1077" w:type="dxa"/>
            <w:tcBorders>
              <w:top w:val="nil"/>
              <w:left w:val="nil"/>
              <w:bottom w:val="single" w:sz="4" w:space="0" w:color="auto"/>
              <w:right w:val="single" w:sz="4" w:space="0" w:color="auto"/>
            </w:tcBorders>
            <w:shd w:val="clear" w:color="auto" w:fill="E2EFDA"/>
            <w:vAlign w:val="center"/>
            <w:hideMark/>
          </w:tcPr>
          <w:p w14:paraId="17650F8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382.72</w:t>
            </w:r>
          </w:p>
        </w:tc>
      </w:tr>
      <w:tr w:rsidR="00614438" w:rsidRPr="004F5BC1" w14:paraId="3447F926"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16A31002"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08A9EC0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PM_EE3</w:t>
            </w:r>
          </w:p>
        </w:tc>
        <w:tc>
          <w:tcPr>
            <w:tcW w:w="3620" w:type="dxa"/>
            <w:tcBorders>
              <w:top w:val="nil"/>
              <w:left w:val="nil"/>
              <w:bottom w:val="single" w:sz="4" w:space="0" w:color="auto"/>
              <w:right w:val="single" w:sz="4" w:space="0" w:color="auto"/>
            </w:tcBorders>
            <w:shd w:val="clear" w:color="auto" w:fill="FFFFFF"/>
            <w:vAlign w:val="center"/>
            <w:hideMark/>
          </w:tcPr>
          <w:p w14:paraId="79CF9C94" w14:textId="2C4AA89D" w:rsidR="00614438" w:rsidRPr="004F5BC1" w:rsidRDefault="00FC0FC3"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Financial s</w:t>
            </w:r>
            <w:r w:rsidR="00614438" w:rsidRPr="004F5BC1">
              <w:rPr>
                <w:rFonts w:ascii="Times New Roman" w:hAnsi="Times New Roman" w:cs="Times New Roman"/>
                <w:sz w:val="14"/>
                <w:szCs w:val="14"/>
                <w:lang w:val="en-GB"/>
              </w:rPr>
              <w:t xml:space="preserve">upport </w:t>
            </w:r>
            <w:r w:rsidRPr="004F5BC1">
              <w:rPr>
                <w:rFonts w:ascii="Times New Roman" w:hAnsi="Times New Roman" w:cs="Times New Roman"/>
                <w:sz w:val="14"/>
                <w:szCs w:val="14"/>
                <w:lang w:val="en-GB"/>
              </w:rPr>
              <w:t>for</w:t>
            </w:r>
            <w:r w:rsidR="00614438" w:rsidRPr="004F5BC1">
              <w:rPr>
                <w:rFonts w:ascii="Times New Roman" w:hAnsi="Times New Roman" w:cs="Times New Roman"/>
                <w:sz w:val="14"/>
                <w:szCs w:val="14"/>
                <w:lang w:val="en-GB"/>
              </w:rPr>
              <w:t xml:space="preserve"> energy renovation of non-residential buildings (not public)</w:t>
            </w:r>
          </w:p>
        </w:tc>
        <w:tc>
          <w:tcPr>
            <w:tcW w:w="1079" w:type="dxa"/>
            <w:tcBorders>
              <w:top w:val="nil"/>
              <w:left w:val="nil"/>
              <w:bottom w:val="single" w:sz="4" w:space="0" w:color="auto"/>
              <w:right w:val="single" w:sz="4" w:space="0" w:color="auto"/>
            </w:tcBorders>
            <w:shd w:val="clear" w:color="auto" w:fill="FFFFFF"/>
            <w:vAlign w:val="center"/>
            <w:hideMark/>
          </w:tcPr>
          <w:p w14:paraId="2CB6DF2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1072" w:type="dxa"/>
            <w:tcBorders>
              <w:top w:val="nil"/>
              <w:left w:val="nil"/>
              <w:bottom w:val="single" w:sz="4" w:space="0" w:color="auto"/>
              <w:right w:val="single" w:sz="4" w:space="0" w:color="auto"/>
            </w:tcBorders>
            <w:shd w:val="clear" w:color="auto" w:fill="FFFFFF"/>
            <w:vAlign w:val="center"/>
            <w:hideMark/>
          </w:tcPr>
          <w:p w14:paraId="7E9B27D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227" w:type="dxa"/>
            <w:tcBorders>
              <w:top w:val="nil"/>
              <w:left w:val="nil"/>
              <w:bottom w:val="single" w:sz="4" w:space="0" w:color="auto"/>
              <w:right w:val="single" w:sz="4" w:space="0" w:color="auto"/>
            </w:tcBorders>
            <w:shd w:val="clear" w:color="auto" w:fill="E2EFDA"/>
            <w:vAlign w:val="center"/>
            <w:hideMark/>
          </w:tcPr>
          <w:p w14:paraId="2154530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1601.52</w:t>
            </w:r>
          </w:p>
        </w:tc>
        <w:tc>
          <w:tcPr>
            <w:tcW w:w="1140" w:type="dxa"/>
            <w:tcBorders>
              <w:top w:val="nil"/>
              <w:left w:val="nil"/>
              <w:bottom w:val="single" w:sz="4" w:space="0" w:color="auto"/>
              <w:right w:val="single" w:sz="4" w:space="0" w:color="auto"/>
            </w:tcBorders>
            <w:shd w:val="clear" w:color="auto" w:fill="E2EFDA"/>
            <w:vAlign w:val="center"/>
            <w:hideMark/>
          </w:tcPr>
          <w:p w14:paraId="3B02DB9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800.76</w:t>
            </w:r>
          </w:p>
        </w:tc>
        <w:tc>
          <w:tcPr>
            <w:tcW w:w="1145" w:type="dxa"/>
            <w:tcBorders>
              <w:top w:val="nil"/>
              <w:left w:val="nil"/>
              <w:bottom w:val="single" w:sz="4" w:space="0" w:color="auto"/>
              <w:right w:val="single" w:sz="4" w:space="0" w:color="auto"/>
            </w:tcBorders>
            <w:shd w:val="clear" w:color="auto" w:fill="E2EFDA"/>
            <w:vAlign w:val="center"/>
            <w:hideMark/>
          </w:tcPr>
          <w:p w14:paraId="77AED65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800.76</w:t>
            </w:r>
          </w:p>
        </w:tc>
        <w:tc>
          <w:tcPr>
            <w:tcW w:w="1322" w:type="dxa"/>
            <w:tcBorders>
              <w:top w:val="nil"/>
              <w:left w:val="nil"/>
              <w:bottom w:val="single" w:sz="4" w:space="0" w:color="auto"/>
              <w:right w:val="single" w:sz="4" w:space="0" w:color="auto"/>
            </w:tcBorders>
            <w:shd w:val="clear" w:color="auto" w:fill="E2EFDA"/>
            <w:vAlign w:val="center"/>
            <w:hideMark/>
          </w:tcPr>
          <w:p w14:paraId="0962BBE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 WAM (enhancement, adjustment)</w:t>
            </w:r>
          </w:p>
        </w:tc>
        <w:tc>
          <w:tcPr>
            <w:tcW w:w="1145" w:type="dxa"/>
            <w:tcBorders>
              <w:top w:val="nil"/>
              <w:left w:val="nil"/>
              <w:bottom w:val="single" w:sz="4" w:space="0" w:color="auto"/>
              <w:right w:val="single" w:sz="4" w:space="0" w:color="auto"/>
            </w:tcBorders>
            <w:shd w:val="clear" w:color="auto" w:fill="E2EFDA"/>
            <w:vAlign w:val="center"/>
            <w:hideMark/>
          </w:tcPr>
          <w:p w14:paraId="2BD03C9B" w14:textId="199BD2F0"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7</w:t>
            </w:r>
            <w:r w:rsidR="00FC0FC3" w:rsidRPr="004F5BC1">
              <w:rPr>
                <w:rFonts w:ascii="Times New Roman" w:hAnsi="Times New Roman" w:cs="Times New Roman"/>
                <w:sz w:val="14"/>
                <w:szCs w:val="14"/>
                <w:lang w:val="en-GB"/>
              </w:rPr>
              <w:t>9</w:t>
            </w:r>
            <w:r w:rsidRPr="004F5BC1">
              <w:rPr>
                <w:rFonts w:ascii="Times New Roman" w:hAnsi="Times New Roman" w:cs="Times New Roman"/>
                <w:sz w:val="14"/>
                <w:szCs w:val="14"/>
                <w:lang w:val="en-GB"/>
              </w:rPr>
              <w:t>4.15</w:t>
            </w:r>
          </w:p>
        </w:tc>
        <w:tc>
          <w:tcPr>
            <w:tcW w:w="1077" w:type="dxa"/>
            <w:tcBorders>
              <w:top w:val="nil"/>
              <w:left w:val="nil"/>
              <w:bottom w:val="single" w:sz="4" w:space="0" w:color="auto"/>
              <w:right w:val="single" w:sz="4" w:space="0" w:color="auto"/>
            </w:tcBorders>
            <w:shd w:val="clear" w:color="auto" w:fill="E2EFDA"/>
            <w:vAlign w:val="center"/>
            <w:hideMark/>
          </w:tcPr>
          <w:p w14:paraId="6EB1C10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806.37</w:t>
            </w:r>
          </w:p>
        </w:tc>
      </w:tr>
      <w:tr w:rsidR="00614438" w:rsidRPr="004F5BC1" w14:paraId="5A73F866"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482DF029"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2563281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PM_EE4</w:t>
            </w:r>
          </w:p>
        </w:tc>
        <w:tc>
          <w:tcPr>
            <w:tcW w:w="3620" w:type="dxa"/>
            <w:tcBorders>
              <w:top w:val="nil"/>
              <w:left w:val="nil"/>
              <w:bottom w:val="single" w:sz="4" w:space="0" w:color="auto"/>
              <w:right w:val="single" w:sz="4" w:space="0" w:color="auto"/>
            </w:tcBorders>
            <w:vAlign w:val="center"/>
            <w:hideMark/>
          </w:tcPr>
          <w:p w14:paraId="6804DF7A" w14:textId="6B0F7913"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Completion of legislative framework in alignment with Directive </w:t>
            </w:r>
            <w:r w:rsidR="00FC0FC3" w:rsidRPr="004F5BC1">
              <w:rPr>
                <w:rFonts w:ascii="Times New Roman" w:hAnsi="Times New Roman" w:cs="Times New Roman"/>
                <w:sz w:val="14"/>
                <w:szCs w:val="14"/>
                <w:lang w:val="en-GB"/>
              </w:rPr>
              <w:t xml:space="preserve">(EU) </w:t>
            </w:r>
            <w:r w:rsidRPr="004F5BC1">
              <w:rPr>
                <w:rFonts w:ascii="Times New Roman" w:hAnsi="Times New Roman" w:cs="Times New Roman"/>
                <w:sz w:val="14"/>
                <w:szCs w:val="14"/>
                <w:lang w:val="en-GB"/>
              </w:rPr>
              <w:t>2018/844/EU and regulatory measures to promote near-zero energy buildings (nZEBs)</w:t>
            </w:r>
          </w:p>
        </w:tc>
        <w:tc>
          <w:tcPr>
            <w:tcW w:w="1079" w:type="dxa"/>
            <w:tcBorders>
              <w:top w:val="nil"/>
              <w:left w:val="nil"/>
              <w:bottom w:val="single" w:sz="4" w:space="0" w:color="auto"/>
              <w:right w:val="single" w:sz="4" w:space="0" w:color="auto"/>
            </w:tcBorders>
            <w:vAlign w:val="center"/>
            <w:hideMark/>
          </w:tcPr>
          <w:p w14:paraId="1DFE3A3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1072" w:type="dxa"/>
            <w:tcBorders>
              <w:top w:val="nil"/>
              <w:left w:val="nil"/>
              <w:bottom w:val="single" w:sz="4" w:space="0" w:color="auto"/>
              <w:right w:val="single" w:sz="4" w:space="0" w:color="auto"/>
            </w:tcBorders>
            <w:vAlign w:val="center"/>
            <w:hideMark/>
          </w:tcPr>
          <w:p w14:paraId="3D0C233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Contribution to PM_EE1-PM_EE2-PM_EE3</w:t>
            </w:r>
          </w:p>
        </w:tc>
        <w:tc>
          <w:tcPr>
            <w:tcW w:w="1227" w:type="dxa"/>
            <w:tcBorders>
              <w:top w:val="nil"/>
              <w:left w:val="nil"/>
              <w:bottom w:val="single" w:sz="4" w:space="0" w:color="auto"/>
              <w:right w:val="single" w:sz="4" w:space="0" w:color="auto"/>
            </w:tcBorders>
            <w:shd w:val="clear" w:color="auto" w:fill="595959"/>
            <w:vAlign w:val="center"/>
            <w:hideMark/>
          </w:tcPr>
          <w:p w14:paraId="15B03A5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0" w:type="dxa"/>
            <w:tcBorders>
              <w:top w:val="nil"/>
              <w:left w:val="nil"/>
              <w:bottom w:val="single" w:sz="4" w:space="0" w:color="auto"/>
              <w:right w:val="single" w:sz="4" w:space="0" w:color="auto"/>
            </w:tcBorders>
            <w:shd w:val="clear" w:color="auto" w:fill="595959"/>
            <w:vAlign w:val="center"/>
            <w:hideMark/>
          </w:tcPr>
          <w:p w14:paraId="24BB066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595959"/>
            <w:noWrap/>
            <w:vAlign w:val="bottom"/>
            <w:hideMark/>
          </w:tcPr>
          <w:p w14:paraId="35F08AD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680BE8A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1145" w:type="dxa"/>
            <w:tcBorders>
              <w:top w:val="nil"/>
              <w:left w:val="nil"/>
              <w:bottom w:val="single" w:sz="4" w:space="0" w:color="auto"/>
              <w:right w:val="single" w:sz="4" w:space="0" w:color="auto"/>
            </w:tcBorders>
            <w:shd w:val="clear" w:color="auto" w:fill="595959"/>
            <w:vAlign w:val="center"/>
            <w:hideMark/>
          </w:tcPr>
          <w:p w14:paraId="2BE9E4A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077" w:type="dxa"/>
            <w:tcBorders>
              <w:top w:val="nil"/>
              <w:left w:val="nil"/>
              <w:bottom w:val="single" w:sz="4" w:space="0" w:color="auto"/>
              <w:right w:val="single" w:sz="4" w:space="0" w:color="auto"/>
            </w:tcBorders>
            <w:shd w:val="clear" w:color="auto" w:fill="595959"/>
            <w:noWrap/>
            <w:vAlign w:val="bottom"/>
            <w:hideMark/>
          </w:tcPr>
          <w:p w14:paraId="46F5B02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614438" w:rsidRPr="004F5BC1" w14:paraId="214458BA"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2E0D4349"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4DDB266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PM_EE5</w:t>
            </w:r>
          </w:p>
        </w:tc>
        <w:tc>
          <w:tcPr>
            <w:tcW w:w="3620" w:type="dxa"/>
            <w:tcBorders>
              <w:top w:val="nil"/>
              <w:left w:val="nil"/>
              <w:bottom w:val="single" w:sz="4" w:space="0" w:color="auto"/>
              <w:right w:val="single" w:sz="4" w:space="0" w:color="auto"/>
            </w:tcBorders>
            <w:vAlign w:val="center"/>
            <w:hideMark/>
          </w:tcPr>
          <w:p w14:paraId="6B5C2F6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Financial support for the construction and energy renovation of buildings exceeding minimum energy requirements</w:t>
            </w:r>
          </w:p>
        </w:tc>
        <w:tc>
          <w:tcPr>
            <w:tcW w:w="1079" w:type="dxa"/>
            <w:tcBorders>
              <w:top w:val="nil"/>
              <w:left w:val="nil"/>
              <w:bottom w:val="single" w:sz="4" w:space="0" w:color="auto"/>
              <w:right w:val="single" w:sz="4" w:space="0" w:color="auto"/>
            </w:tcBorders>
            <w:vAlign w:val="center"/>
            <w:hideMark/>
          </w:tcPr>
          <w:p w14:paraId="4A9460C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1072" w:type="dxa"/>
            <w:tcBorders>
              <w:top w:val="nil"/>
              <w:left w:val="nil"/>
              <w:bottom w:val="single" w:sz="4" w:space="0" w:color="auto"/>
              <w:right w:val="single" w:sz="4" w:space="0" w:color="auto"/>
            </w:tcBorders>
            <w:vAlign w:val="center"/>
            <w:hideMark/>
          </w:tcPr>
          <w:p w14:paraId="3951BFF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Contribution to PM_EE1-PM_EE2-PM_EE3</w:t>
            </w:r>
          </w:p>
        </w:tc>
        <w:tc>
          <w:tcPr>
            <w:tcW w:w="1227" w:type="dxa"/>
            <w:tcBorders>
              <w:top w:val="nil"/>
              <w:left w:val="nil"/>
              <w:bottom w:val="single" w:sz="4" w:space="0" w:color="auto"/>
              <w:right w:val="single" w:sz="4" w:space="0" w:color="auto"/>
            </w:tcBorders>
            <w:shd w:val="clear" w:color="auto" w:fill="595959"/>
            <w:vAlign w:val="center"/>
            <w:hideMark/>
          </w:tcPr>
          <w:p w14:paraId="103EEC8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0" w:type="dxa"/>
            <w:tcBorders>
              <w:top w:val="nil"/>
              <w:left w:val="nil"/>
              <w:bottom w:val="single" w:sz="4" w:space="0" w:color="auto"/>
              <w:right w:val="single" w:sz="4" w:space="0" w:color="auto"/>
            </w:tcBorders>
            <w:shd w:val="clear" w:color="auto" w:fill="595959"/>
            <w:vAlign w:val="center"/>
            <w:hideMark/>
          </w:tcPr>
          <w:p w14:paraId="5904E9E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595959"/>
            <w:noWrap/>
            <w:vAlign w:val="bottom"/>
            <w:hideMark/>
          </w:tcPr>
          <w:p w14:paraId="2C8E549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6B4F8FC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1145" w:type="dxa"/>
            <w:tcBorders>
              <w:top w:val="nil"/>
              <w:left w:val="nil"/>
              <w:bottom w:val="single" w:sz="4" w:space="0" w:color="auto"/>
              <w:right w:val="single" w:sz="4" w:space="0" w:color="auto"/>
            </w:tcBorders>
            <w:shd w:val="clear" w:color="auto" w:fill="595959"/>
            <w:vAlign w:val="center"/>
            <w:hideMark/>
          </w:tcPr>
          <w:p w14:paraId="664C83B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077" w:type="dxa"/>
            <w:tcBorders>
              <w:top w:val="nil"/>
              <w:left w:val="nil"/>
              <w:bottom w:val="single" w:sz="4" w:space="0" w:color="auto"/>
              <w:right w:val="single" w:sz="4" w:space="0" w:color="auto"/>
            </w:tcBorders>
            <w:shd w:val="clear" w:color="auto" w:fill="595959"/>
            <w:noWrap/>
            <w:vAlign w:val="bottom"/>
            <w:hideMark/>
          </w:tcPr>
          <w:p w14:paraId="2066C29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614438" w:rsidRPr="004F5BC1" w14:paraId="14CE6261"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560C95AF"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3BD74AA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PM_EE6</w:t>
            </w:r>
          </w:p>
        </w:tc>
        <w:tc>
          <w:tcPr>
            <w:tcW w:w="3620" w:type="dxa"/>
            <w:tcBorders>
              <w:top w:val="nil"/>
              <w:left w:val="nil"/>
              <w:bottom w:val="single" w:sz="4" w:space="0" w:color="auto"/>
              <w:right w:val="single" w:sz="4" w:space="0" w:color="auto"/>
            </w:tcBorders>
            <w:vAlign w:val="center"/>
            <w:hideMark/>
          </w:tcPr>
          <w:p w14:paraId="4D5851C5" w14:textId="6CD077FC" w:rsidR="00614438" w:rsidRPr="004F5BC1" w:rsidRDefault="00FC0FC3"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w:t>
            </w:r>
            <w:r w:rsidR="00614438" w:rsidRPr="004F5BC1">
              <w:rPr>
                <w:rFonts w:ascii="Times New Roman" w:hAnsi="Times New Roman" w:cs="Times New Roman"/>
                <w:sz w:val="14"/>
                <w:szCs w:val="14"/>
                <w:lang w:val="en-GB"/>
              </w:rPr>
              <w:t>nstallation of solar thermal systems in new buildings and in buildings undergoing major renovation</w:t>
            </w:r>
          </w:p>
        </w:tc>
        <w:tc>
          <w:tcPr>
            <w:tcW w:w="1079" w:type="dxa"/>
            <w:tcBorders>
              <w:top w:val="nil"/>
              <w:left w:val="nil"/>
              <w:bottom w:val="single" w:sz="4" w:space="0" w:color="auto"/>
              <w:right w:val="single" w:sz="4" w:space="0" w:color="auto"/>
            </w:tcBorders>
            <w:vAlign w:val="center"/>
            <w:hideMark/>
          </w:tcPr>
          <w:p w14:paraId="5045CFA0" w14:textId="15184265" w:rsidR="00614438" w:rsidRPr="004F5BC1" w:rsidRDefault="00FC0FC3"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1072" w:type="dxa"/>
            <w:tcBorders>
              <w:top w:val="nil"/>
              <w:left w:val="nil"/>
              <w:bottom w:val="single" w:sz="4" w:space="0" w:color="auto"/>
              <w:right w:val="single" w:sz="4" w:space="0" w:color="auto"/>
            </w:tcBorders>
            <w:vAlign w:val="center"/>
            <w:hideMark/>
          </w:tcPr>
          <w:p w14:paraId="213B1DE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227" w:type="dxa"/>
            <w:tcBorders>
              <w:top w:val="nil"/>
              <w:left w:val="nil"/>
              <w:bottom w:val="single" w:sz="4" w:space="0" w:color="auto"/>
              <w:right w:val="single" w:sz="4" w:space="0" w:color="auto"/>
            </w:tcBorders>
            <w:shd w:val="clear" w:color="auto" w:fill="E2EFDA"/>
            <w:vAlign w:val="center"/>
            <w:hideMark/>
          </w:tcPr>
          <w:p w14:paraId="73F69BD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636.74</w:t>
            </w:r>
          </w:p>
        </w:tc>
        <w:tc>
          <w:tcPr>
            <w:tcW w:w="1140" w:type="dxa"/>
            <w:tcBorders>
              <w:top w:val="nil"/>
              <w:left w:val="nil"/>
              <w:bottom w:val="single" w:sz="4" w:space="0" w:color="auto"/>
              <w:right w:val="single" w:sz="4" w:space="0" w:color="auto"/>
            </w:tcBorders>
            <w:shd w:val="clear" w:color="auto" w:fill="E2EFDA"/>
            <w:vAlign w:val="center"/>
            <w:hideMark/>
          </w:tcPr>
          <w:p w14:paraId="56C4F25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318.37</w:t>
            </w:r>
          </w:p>
        </w:tc>
        <w:tc>
          <w:tcPr>
            <w:tcW w:w="1145" w:type="dxa"/>
            <w:tcBorders>
              <w:top w:val="nil"/>
              <w:left w:val="nil"/>
              <w:bottom w:val="single" w:sz="4" w:space="0" w:color="auto"/>
              <w:right w:val="single" w:sz="4" w:space="0" w:color="auto"/>
            </w:tcBorders>
            <w:shd w:val="clear" w:color="auto" w:fill="E2EFDA"/>
            <w:vAlign w:val="center"/>
            <w:hideMark/>
          </w:tcPr>
          <w:p w14:paraId="5C92348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318.37</w:t>
            </w:r>
          </w:p>
        </w:tc>
        <w:tc>
          <w:tcPr>
            <w:tcW w:w="1322" w:type="dxa"/>
            <w:tcBorders>
              <w:top w:val="nil"/>
              <w:left w:val="nil"/>
              <w:bottom w:val="single" w:sz="4" w:space="0" w:color="auto"/>
              <w:right w:val="single" w:sz="4" w:space="0" w:color="auto"/>
            </w:tcBorders>
            <w:shd w:val="clear" w:color="auto" w:fill="E2EFDA"/>
            <w:vAlign w:val="center"/>
            <w:hideMark/>
          </w:tcPr>
          <w:p w14:paraId="6FF6AE2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1145" w:type="dxa"/>
            <w:tcBorders>
              <w:top w:val="nil"/>
              <w:left w:val="nil"/>
              <w:bottom w:val="single" w:sz="4" w:space="0" w:color="auto"/>
              <w:right w:val="single" w:sz="4" w:space="0" w:color="auto"/>
            </w:tcBorders>
            <w:shd w:val="clear" w:color="auto" w:fill="E2EFDA"/>
            <w:vAlign w:val="center"/>
            <w:hideMark/>
          </w:tcPr>
          <w:p w14:paraId="65832EE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1077" w:type="dxa"/>
            <w:tcBorders>
              <w:top w:val="nil"/>
              <w:left w:val="nil"/>
              <w:bottom w:val="single" w:sz="4" w:space="0" w:color="auto"/>
              <w:right w:val="single" w:sz="4" w:space="0" w:color="auto"/>
            </w:tcBorders>
            <w:shd w:val="clear" w:color="auto" w:fill="E2EFDA"/>
            <w:vAlign w:val="center"/>
            <w:hideMark/>
          </w:tcPr>
          <w:p w14:paraId="74AC65E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636.74</w:t>
            </w:r>
          </w:p>
        </w:tc>
      </w:tr>
      <w:tr w:rsidR="00614438" w:rsidRPr="004F5BC1" w14:paraId="4B00C2C2"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4CA0E8B2"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540BDD1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PM_EE7</w:t>
            </w:r>
          </w:p>
        </w:tc>
        <w:tc>
          <w:tcPr>
            <w:tcW w:w="3620" w:type="dxa"/>
            <w:tcBorders>
              <w:top w:val="nil"/>
              <w:left w:val="nil"/>
              <w:bottom w:val="single" w:sz="4" w:space="0" w:color="auto"/>
              <w:right w:val="single" w:sz="4" w:space="0" w:color="auto"/>
            </w:tcBorders>
            <w:vAlign w:val="center"/>
            <w:hideMark/>
          </w:tcPr>
          <w:p w14:paraId="662E8351" w14:textId="1B4D4856"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Enhancing the role of the energy performance certificates</w:t>
            </w:r>
            <w:r w:rsidR="00FC0FC3" w:rsidRPr="004F5BC1">
              <w:rPr>
                <w:rFonts w:ascii="Times New Roman" w:hAnsi="Times New Roman" w:cs="Times New Roman"/>
                <w:sz w:val="14"/>
                <w:szCs w:val="14"/>
                <w:lang w:val="en-GB"/>
              </w:rPr>
              <w:t xml:space="preserve"> for buildings</w:t>
            </w:r>
          </w:p>
        </w:tc>
        <w:tc>
          <w:tcPr>
            <w:tcW w:w="1079" w:type="dxa"/>
            <w:tcBorders>
              <w:top w:val="nil"/>
              <w:left w:val="nil"/>
              <w:bottom w:val="single" w:sz="4" w:space="0" w:color="auto"/>
              <w:right w:val="single" w:sz="4" w:space="0" w:color="auto"/>
            </w:tcBorders>
            <w:vAlign w:val="center"/>
            <w:hideMark/>
          </w:tcPr>
          <w:p w14:paraId="217095D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1072" w:type="dxa"/>
            <w:tcBorders>
              <w:top w:val="nil"/>
              <w:left w:val="nil"/>
              <w:bottom w:val="single" w:sz="4" w:space="0" w:color="auto"/>
              <w:right w:val="single" w:sz="4" w:space="0" w:color="auto"/>
            </w:tcBorders>
            <w:vAlign w:val="center"/>
            <w:hideMark/>
          </w:tcPr>
          <w:p w14:paraId="773123A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Contribution to PM_EE1-PM_EE2-PM_EE3</w:t>
            </w:r>
          </w:p>
        </w:tc>
        <w:tc>
          <w:tcPr>
            <w:tcW w:w="1227" w:type="dxa"/>
            <w:tcBorders>
              <w:top w:val="nil"/>
              <w:left w:val="nil"/>
              <w:bottom w:val="single" w:sz="4" w:space="0" w:color="auto"/>
              <w:right w:val="single" w:sz="4" w:space="0" w:color="auto"/>
            </w:tcBorders>
            <w:shd w:val="clear" w:color="auto" w:fill="595959"/>
            <w:vAlign w:val="center"/>
            <w:hideMark/>
          </w:tcPr>
          <w:p w14:paraId="3331D9F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0" w:type="dxa"/>
            <w:tcBorders>
              <w:top w:val="nil"/>
              <w:left w:val="nil"/>
              <w:bottom w:val="single" w:sz="4" w:space="0" w:color="auto"/>
              <w:right w:val="single" w:sz="4" w:space="0" w:color="auto"/>
            </w:tcBorders>
            <w:shd w:val="clear" w:color="auto" w:fill="595959"/>
            <w:vAlign w:val="center"/>
            <w:hideMark/>
          </w:tcPr>
          <w:p w14:paraId="1A83D55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595959"/>
            <w:noWrap/>
            <w:vAlign w:val="bottom"/>
            <w:hideMark/>
          </w:tcPr>
          <w:p w14:paraId="4E9C20B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569F78C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1145" w:type="dxa"/>
            <w:tcBorders>
              <w:top w:val="nil"/>
              <w:left w:val="nil"/>
              <w:bottom w:val="single" w:sz="4" w:space="0" w:color="auto"/>
              <w:right w:val="single" w:sz="4" w:space="0" w:color="auto"/>
            </w:tcBorders>
            <w:shd w:val="clear" w:color="auto" w:fill="595959"/>
            <w:vAlign w:val="center"/>
            <w:hideMark/>
          </w:tcPr>
          <w:p w14:paraId="3EE9268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077" w:type="dxa"/>
            <w:tcBorders>
              <w:top w:val="nil"/>
              <w:left w:val="nil"/>
              <w:bottom w:val="single" w:sz="4" w:space="0" w:color="auto"/>
              <w:right w:val="single" w:sz="4" w:space="0" w:color="auto"/>
            </w:tcBorders>
            <w:shd w:val="clear" w:color="auto" w:fill="595959"/>
            <w:noWrap/>
            <w:vAlign w:val="bottom"/>
            <w:hideMark/>
          </w:tcPr>
          <w:p w14:paraId="1178311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614438" w:rsidRPr="004F5BC1" w14:paraId="16D9A425"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773C602B"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62424DB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PM_EE8</w:t>
            </w:r>
          </w:p>
        </w:tc>
        <w:tc>
          <w:tcPr>
            <w:tcW w:w="3620" w:type="dxa"/>
            <w:tcBorders>
              <w:top w:val="nil"/>
              <w:left w:val="nil"/>
              <w:bottom w:val="single" w:sz="4" w:space="0" w:color="auto"/>
              <w:right w:val="single" w:sz="4" w:space="0" w:color="auto"/>
            </w:tcBorders>
            <w:vAlign w:val="center"/>
            <w:hideMark/>
          </w:tcPr>
          <w:p w14:paraId="24ABC47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Overcoming split incentive barrier</w:t>
            </w:r>
          </w:p>
        </w:tc>
        <w:tc>
          <w:tcPr>
            <w:tcW w:w="1079" w:type="dxa"/>
            <w:tcBorders>
              <w:top w:val="nil"/>
              <w:left w:val="nil"/>
              <w:bottom w:val="single" w:sz="4" w:space="0" w:color="auto"/>
              <w:right w:val="single" w:sz="4" w:space="0" w:color="auto"/>
            </w:tcBorders>
            <w:vAlign w:val="center"/>
            <w:hideMark/>
          </w:tcPr>
          <w:p w14:paraId="6C9BD28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1072" w:type="dxa"/>
            <w:tcBorders>
              <w:top w:val="nil"/>
              <w:left w:val="nil"/>
              <w:bottom w:val="single" w:sz="4" w:space="0" w:color="auto"/>
              <w:right w:val="single" w:sz="4" w:space="0" w:color="auto"/>
            </w:tcBorders>
            <w:vAlign w:val="center"/>
            <w:hideMark/>
          </w:tcPr>
          <w:p w14:paraId="30E9719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Contribution to PM_EE1-PM_EE2-PM_EE3</w:t>
            </w:r>
          </w:p>
        </w:tc>
        <w:tc>
          <w:tcPr>
            <w:tcW w:w="1227" w:type="dxa"/>
            <w:tcBorders>
              <w:top w:val="nil"/>
              <w:left w:val="nil"/>
              <w:bottom w:val="single" w:sz="4" w:space="0" w:color="auto"/>
              <w:right w:val="single" w:sz="4" w:space="0" w:color="auto"/>
            </w:tcBorders>
            <w:shd w:val="clear" w:color="auto" w:fill="595959"/>
            <w:vAlign w:val="center"/>
            <w:hideMark/>
          </w:tcPr>
          <w:p w14:paraId="06B6BBB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0" w:type="dxa"/>
            <w:tcBorders>
              <w:top w:val="nil"/>
              <w:left w:val="nil"/>
              <w:bottom w:val="single" w:sz="4" w:space="0" w:color="auto"/>
              <w:right w:val="single" w:sz="4" w:space="0" w:color="auto"/>
            </w:tcBorders>
            <w:shd w:val="clear" w:color="auto" w:fill="595959"/>
            <w:vAlign w:val="center"/>
            <w:hideMark/>
          </w:tcPr>
          <w:p w14:paraId="2B4D295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595959"/>
            <w:noWrap/>
            <w:vAlign w:val="bottom"/>
            <w:hideMark/>
          </w:tcPr>
          <w:p w14:paraId="4A38973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780F2A2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1145" w:type="dxa"/>
            <w:tcBorders>
              <w:top w:val="nil"/>
              <w:left w:val="nil"/>
              <w:bottom w:val="single" w:sz="4" w:space="0" w:color="auto"/>
              <w:right w:val="single" w:sz="4" w:space="0" w:color="auto"/>
            </w:tcBorders>
            <w:shd w:val="clear" w:color="auto" w:fill="595959"/>
            <w:vAlign w:val="center"/>
            <w:hideMark/>
          </w:tcPr>
          <w:p w14:paraId="78D0BA9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077" w:type="dxa"/>
            <w:tcBorders>
              <w:top w:val="nil"/>
              <w:left w:val="nil"/>
              <w:bottom w:val="single" w:sz="4" w:space="0" w:color="auto"/>
              <w:right w:val="single" w:sz="4" w:space="0" w:color="auto"/>
            </w:tcBorders>
            <w:shd w:val="clear" w:color="auto" w:fill="595959"/>
            <w:noWrap/>
            <w:vAlign w:val="bottom"/>
            <w:hideMark/>
          </w:tcPr>
          <w:p w14:paraId="7A93E58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614438" w:rsidRPr="004F5BC1" w14:paraId="098E0D47"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367ADE28"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22A97FA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PM_EE9</w:t>
            </w:r>
          </w:p>
        </w:tc>
        <w:tc>
          <w:tcPr>
            <w:tcW w:w="3620" w:type="dxa"/>
            <w:tcBorders>
              <w:top w:val="nil"/>
              <w:left w:val="nil"/>
              <w:bottom w:val="single" w:sz="4" w:space="0" w:color="auto"/>
              <w:right w:val="single" w:sz="4" w:space="0" w:color="auto"/>
            </w:tcBorders>
            <w:vAlign w:val="center"/>
            <w:hideMark/>
          </w:tcPr>
          <w:p w14:paraId="5B92B1F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Promotion of energy efficient appliances in households</w:t>
            </w:r>
          </w:p>
        </w:tc>
        <w:tc>
          <w:tcPr>
            <w:tcW w:w="1079" w:type="dxa"/>
            <w:tcBorders>
              <w:top w:val="nil"/>
              <w:left w:val="nil"/>
              <w:bottom w:val="single" w:sz="4" w:space="0" w:color="auto"/>
              <w:right w:val="single" w:sz="4" w:space="0" w:color="auto"/>
            </w:tcBorders>
            <w:shd w:val="clear" w:color="auto" w:fill="FFFFFF"/>
            <w:vAlign w:val="center"/>
            <w:hideMark/>
          </w:tcPr>
          <w:p w14:paraId="25C2F09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1072" w:type="dxa"/>
            <w:tcBorders>
              <w:top w:val="nil"/>
              <w:left w:val="nil"/>
              <w:bottom w:val="single" w:sz="4" w:space="0" w:color="auto"/>
              <w:right w:val="single" w:sz="4" w:space="0" w:color="auto"/>
            </w:tcBorders>
            <w:shd w:val="clear" w:color="auto" w:fill="FFFFFF"/>
            <w:vAlign w:val="center"/>
            <w:hideMark/>
          </w:tcPr>
          <w:p w14:paraId="42953EE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227" w:type="dxa"/>
            <w:tcBorders>
              <w:top w:val="nil"/>
              <w:left w:val="nil"/>
              <w:bottom w:val="single" w:sz="4" w:space="0" w:color="auto"/>
              <w:right w:val="single" w:sz="4" w:space="0" w:color="auto"/>
            </w:tcBorders>
            <w:shd w:val="clear" w:color="auto" w:fill="E2EFDA"/>
            <w:vAlign w:val="center"/>
            <w:hideMark/>
          </w:tcPr>
          <w:p w14:paraId="729B008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1493.81</w:t>
            </w:r>
          </w:p>
        </w:tc>
        <w:tc>
          <w:tcPr>
            <w:tcW w:w="1140" w:type="dxa"/>
            <w:tcBorders>
              <w:top w:val="nil"/>
              <w:left w:val="nil"/>
              <w:bottom w:val="single" w:sz="4" w:space="0" w:color="auto"/>
              <w:right w:val="single" w:sz="4" w:space="0" w:color="auto"/>
            </w:tcBorders>
            <w:shd w:val="clear" w:color="auto" w:fill="E2EFDA"/>
            <w:vAlign w:val="center"/>
            <w:hideMark/>
          </w:tcPr>
          <w:p w14:paraId="3F70285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373.45</w:t>
            </w:r>
          </w:p>
        </w:tc>
        <w:tc>
          <w:tcPr>
            <w:tcW w:w="1145" w:type="dxa"/>
            <w:tcBorders>
              <w:top w:val="nil"/>
              <w:left w:val="nil"/>
              <w:bottom w:val="single" w:sz="4" w:space="0" w:color="auto"/>
              <w:right w:val="single" w:sz="4" w:space="0" w:color="auto"/>
            </w:tcBorders>
            <w:shd w:val="clear" w:color="auto" w:fill="E2EFDA"/>
            <w:vAlign w:val="center"/>
            <w:hideMark/>
          </w:tcPr>
          <w:p w14:paraId="4CC9523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1120.35</w:t>
            </w:r>
          </w:p>
        </w:tc>
        <w:tc>
          <w:tcPr>
            <w:tcW w:w="1322" w:type="dxa"/>
            <w:tcBorders>
              <w:top w:val="nil"/>
              <w:left w:val="nil"/>
              <w:bottom w:val="single" w:sz="4" w:space="0" w:color="auto"/>
              <w:right w:val="single" w:sz="4" w:space="0" w:color="auto"/>
            </w:tcBorders>
            <w:shd w:val="clear" w:color="auto" w:fill="E2EFDA"/>
            <w:vAlign w:val="center"/>
            <w:hideMark/>
          </w:tcPr>
          <w:p w14:paraId="626437C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 WAM (enhancement, adjustment)</w:t>
            </w:r>
          </w:p>
        </w:tc>
        <w:tc>
          <w:tcPr>
            <w:tcW w:w="1145" w:type="dxa"/>
            <w:tcBorders>
              <w:top w:val="nil"/>
              <w:left w:val="nil"/>
              <w:bottom w:val="single" w:sz="4" w:space="0" w:color="auto"/>
              <w:right w:val="single" w:sz="4" w:space="0" w:color="auto"/>
            </w:tcBorders>
            <w:shd w:val="clear" w:color="auto" w:fill="E2EFDA"/>
            <w:vAlign w:val="center"/>
            <w:hideMark/>
          </w:tcPr>
          <w:p w14:paraId="39BC12A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1077" w:type="dxa"/>
            <w:tcBorders>
              <w:top w:val="nil"/>
              <w:left w:val="nil"/>
              <w:bottom w:val="single" w:sz="4" w:space="0" w:color="auto"/>
              <w:right w:val="single" w:sz="4" w:space="0" w:color="auto"/>
            </w:tcBorders>
            <w:shd w:val="clear" w:color="auto" w:fill="E2EFDA"/>
            <w:vAlign w:val="center"/>
            <w:hideMark/>
          </w:tcPr>
          <w:p w14:paraId="7F23555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1493.81</w:t>
            </w:r>
          </w:p>
        </w:tc>
      </w:tr>
      <w:tr w:rsidR="00614438" w:rsidRPr="004F5BC1" w14:paraId="5BCEE0C6"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29A01D75"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7E96E1F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PM_EE10</w:t>
            </w:r>
          </w:p>
        </w:tc>
        <w:tc>
          <w:tcPr>
            <w:tcW w:w="3620" w:type="dxa"/>
            <w:tcBorders>
              <w:top w:val="nil"/>
              <w:left w:val="nil"/>
              <w:bottom w:val="single" w:sz="4" w:space="0" w:color="auto"/>
              <w:right w:val="single" w:sz="4" w:space="0" w:color="auto"/>
            </w:tcBorders>
            <w:shd w:val="clear" w:color="auto" w:fill="FFFFFF"/>
            <w:vAlign w:val="center"/>
            <w:hideMark/>
          </w:tcPr>
          <w:p w14:paraId="7D6810CE" w14:textId="789B4756"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Promotion of energy efficient passenger and light-duty vehicles</w:t>
            </w:r>
          </w:p>
        </w:tc>
        <w:tc>
          <w:tcPr>
            <w:tcW w:w="1079" w:type="dxa"/>
            <w:tcBorders>
              <w:top w:val="nil"/>
              <w:left w:val="nil"/>
              <w:bottom w:val="single" w:sz="4" w:space="0" w:color="auto"/>
              <w:right w:val="single" w:sz="4" w:space="0" w:color="auto"/>
            </w:tcBorders>
            <w:shd w:val="clear" w:color="auto" w:fill="FFFFFF"/>
            <w:vAlign w:val="center"/>
            <w:hideMark/>
          </w:tcPr>
          <w:p w14:paraId="1C5998B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1072" w:type="dxa"/>
            <w:tcBorders>
              <w:top w:val="nil"/>
              <w:left w:val="nil"/>
              <w:bottom w:val="single" w:sz="4" w:space="0" w:color="auto"/>
              <w:right w:val="single" w:sz="4" w:space="0" w:color="auto"/>
            </w:tcBorders>
            <w:shd w:val="clear" w:color="auto" w:fill="FFFFFF"/>
            <w:vAlign w:val="center"/>
            <w:hideMark/>
          </w:tcPr>
          <w:p w14:paraId="34444AE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227" w:type="dxa"/>
            <w:tcBorders>
              <w:top w:val="nil"/>
              <w:left w:val="nil"/>
              <w:bottom w:val="single" w:sz="4" w:space="0" w:color="auto"/>
              <w:right w:val="single" w:sz="4" w:space="0" w:color="auto"/>
            </w:tcBorders>
            <w:shd w:val="clear" w:color="auto" w:fill="E2EFDA"/>
            <w:vAlign w:val="center"/>
            <w:hideMark/>
          </w:tcPr>
          <w:p w14:paraId="3AFAFA2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3803.00</w:t>
            </w:r>
          </w:p>
        </w:tc>
        <w:tc>
          <w:tcPr>
            <w:tcW w:w="1140" w:type="dxa"/>
            <w:tcBorders>
              <w:top w:val="nil"/>
              <w:left w:val="nil"/>
              <w:bottom w:val="single" w:sz="4" w:space="0" w:color="auto"/>
              <w:right w:val="single" w:sz="4" w:space="0" w:color="auto"/>
            </w:tcBorders>
            <w:shd w:val="clear" w:color="auto" w:fill="E2EFDA"/>
            <w:vAlign w:val="center"/>
            <w:hideMark/>
          </w:tcPr>
          <w:p w14:paraId="495C844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1145" w:type="dxa"/>
            <w:tcBorders>
              <w:top w:val="nil"/>
              <w:left w:val="nil"/>
              <w:bottom w:val="single" w:sz="4" w:space="0" w:color="auto"/>
              <w:right w:val="single" w:sz="4" w:space="0" w:color="auto"/>
            </w:tcBorders>
            <w:shd w:val="clear" w:color="auto" w:fill="E2EFDA"/>
            <w:vAlign w:val="center"/>
            <w:hideMark/>
          </w:tcPr>
          <w:p w14:paraId="7D4AD81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3803.00</w:t>
            </w:r>
          </w:p>
        </w:tc>
        <w:tc>
          <w:tcPr>
            <w:tcW w:w="1322" w:type="dxa"/>
            <w:tcBorders>
              <w:top w:val="nil"/>
              <w:left w:val="nil"/>
              <w:bottom w:val="single" w:sz="4" w:space="0" w:color="auto"/>
              <w:right w:val="single" w:sz="4" w:space="0" w:color="auto"/>
            </w:tcBorders>
            <w:shd w:val="clear" w:color="auto" w:fill="E2EFDA"/>
            <w:vAlign w:val="center"/>
            <w:hideMark/>
          </w:tcPr>
          <w:p w14:paraId="3B514E8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1145" w:type="dxa"/>
            <w:tcBorders>
              <w:top w:val="nil"/>
              <w:left w:val="nil"/>
              <w:bottom w:val="single" w:sz="4" w:space="0" w:color="auto"/>
              <w:right w:val="single" w:sz="4" w:space="0" w:color="auto"/>
            </w:tcBorders>
            <w:shd w:val="clear" w:color="auto" w:fill="E2EFDA"/>
            <w:vAlign w:val="center"/>
            <w:hideMark/>
          </w:tcPr>
          <w:p w14:paraId="393DD52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3803.00</w:t>
            </w:r>
          </w:p>
        </w:tc>
        <w:tc>
          <w:tcPr>
            <w:tcW w:w="1077" w:type="dxa"/>
            <w:tcBorders>
              <w:top w:val="nil"/>
              <w:left w:val="nil"/>
              <w:bottom w:val="single" w:sz="4" w:space="0" w:color="auto"/>
              <w:right w:val="single" w:sz="4" w:space="0" w:color="auto"/>
            </w:tcBorders>
            <w:shd w:val="clear" w:color="auto" w:fill="E2EFDA"/>
            <w:vAlign w:val="center"/>
            <w:hideMark/>
          </w:tcPr>
          <w:p w14:paraId="1427F42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16E07403"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2A91ECE3"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3B399BF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PM_EE11</w:t>
            </w:r>
          </w:p>
        </w:tc>
        <w:tc>
          <w:tcPr>
            <w:tcW w:w="3620" w:type="dxa"/>
            <w:tcBorders>
              <w:top w:val="nil"/>
              <w:left w:val="nil"/>
              <w:bottom w:val="single" w:sz="4" w:space="0" w:color="auto"/>
              <w:right w:val="single" w:sz="4" w:space="0" w:color="auto"/>
            </w:tcBorders>
            <w:vAlign w:val="center"/>
            <w:hideMark/>
          </w:tcPr>
          <w:p w14:paraId="2C20B12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Ensuring the energy efficiency in imported used passenger cars</w:t>
            </w:r>
          </w:p>
        </w:tc>
        <w:tc>
          <w:tcPr>
            <w:tcW w:w="1079" w:type="dxa"/>
            <w:tcBorders>
              <w:top w:val="nil"/>
              <w:left w:val="nil"/>
              <w:bottom w:val="single" w:sz="4" w:space="0" w:color="auto"/>
              <w:right w:val="single" w:sz="4" w:space="0" w:color="auto"/>
            </w:tcBorders>
            <w:vAlign w:val="center"/>
            <w:hideMark/>
          </w:tcPr>
          <w:p w14:paraId="7D3963B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1072" w:type="dxa"/>
            <w:tcBorders>
              <w:top w:val="nil"/>
              <w:left w:val="nil"/>
              <w:bottom w:val="single" w:sz="4" w:space="0" w:color="auto"/>
              <w:right w:val="single" w:sz="4" w:space="0" w:color="auto"/>
            </w:tcBorders>
            <w:vAlign w:val="center"/>
            <w:hideMark/>
          </w:tcPr>
          <w:p w14:paraId="1DB3139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Contribution to PM_EE10-PM_EE12-PM_EE14</w:t>
            </w:r>
          </w:p>
        </w:tc>
        <w:tc>
          <w:tcPr>
            <w:tcW w:w="1227" w:type="dxa"/>
            <w:tcBorders>
              <w:top w:val="nil"/>
              <w:left w:val="nil"/>
              <w:bottom w:val="single" w:sz="4" w:space="0" w:color="auto"/>
              <w:right w:val="single" w:sz="4" w:space="0" w:color="auto"/>
            </w:tcBorders>
            <w:shd w:val="clear" w:color="auto" w:fill="595959"/>
            <w:vAlign w:val="center"/>
            <w:hideMark/>
          </w:tcPr>
          <w:p w14:paraId="7A032CA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0" w:type="dxa"/>
            <w:tcBorders>
              <w:top w:val="nil"/>
              <w:left w:val="nil"/>
              <w:bottom w:val="single" w:sz="4" w:space="0" w:color="auto"/>
              <w:right w:val="single" w:sz="4" w:space="0" w:color="auto"/>
            </w:tcBorders>
            <w:shd w:val="clear" w:color="auto" w:fill="595959"/>
            <w:vAlign w:val="center"/>
            <w:hideMark/>
          </w:tcPr>
          <w:p w14:paraId="66D496E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595959"/>
            <w:noWrap/>
            <w:vAlign w:val="bottom"/>
            <w:hideMark/>
          </w:tcPr>
          <w:p w14:paraId="04ADD13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1B3F244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1145" w:type="dxa"/>
            <w:tcBorders>
              <w:top w:val="nil"/>
              <w:left w:val="nil"/>
              <w:bottom w:val="single" w:sz="4" w:space="0" w:color="auto"/>
              <w:right w:val="single" w:sz="4" w:space="0" w:color="auto"/>
            </w:tcBorders>
            <w:shd w:val="clear" w:color="auto" w:fill="595959"/>
            <w:vAlign w:val="center"/>
            <w:hideMark/>
          </w:tcPr>
          <w:p w14:paraId="605EE18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077" w:type="dxa"/>
            <w:tcBorders>
              <w:top w:val="nil"/>
              <w:left w:val="nil"/>
              <w:bottom w:val="single" w:sz="4" w:space="0" w:color="auto"/>
              <w:right w:val="single" w:sz="4" w:space="0" w:color="auto"/>
            </w:tcBorders>
            <w:shd w:val="clear" w:color="auto" w:fill="595959"/>
            <w:noWrap/>
            <w:vAlign w:val="bottom"/>
            <w:hideMark/>
          </w:tcPr>
          <w:p w14:paraId="32FFB57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614438" w:rsidRPr="004F5BC1" w14:paraId="6904F8BA"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3BCF6744"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1EB95CD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PM_EE12</w:t>
            </w:r>
          </w:p>
        </w:tc>
        <w:tc>
          <w:tcPr>
            <w:tcW w:w="3620" w:type="dxa"/>
            <w:tcBorders>
              <w:top w:val="nil"/>
              <w:left w:val="nil"/>
              <w:bottom w:val="single" w:sz="4" w:space="0" w:color="auto"/>
              <w:right w:val="single" w:sz="4" w:space="0" w:color="auto"/>
            </w:tcBorders>
            <w:shd w:val="clear" w:color="auto" w:fill="FFFFFF"/>
            <w:vAlign w:val="center"/>
            <w:hideMark/>
          </w:tcPr>
          <w:p w14:paraId="482A91D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Financing programs for the promotion of energy efficiency passenger vehicles</w:t>
            </w:r>
          </w:p>
        </w:tc>
        <w:tc>
          <w:tcPr>
            <w:tcW w:w="1079" w:type="dxa"/>
            <w:tcBorders>
              <w:top w:val="nil"/>
              <w:left w:val="nil"/>
              <w:bottom w:val="single" w:sz="4" w:space="0" w:color="auto"/>
              <w:right w:val="single" w:sz="4" w:space="0" w:color="auto"/>
            </w:tcBorders>
            <w:shd w:val="clear" w:color="auto" w:fill="FFFFFF"/>
            <w:vAlign w:val="center"/>
            <w:hideMark/>
          </w:tcPr>
          <w:p w14:paraId="2429F61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1072" w:type="dxa"/>
            <w:tcBorders>
              <w:top w:val="nil"/>
              <w:left w:val="nil"/>
              <w:bottom w:val="single" w:sz="4" w:space="0" w:color="auto"/>
              <w:right w:val="single" w:sz="4" w:space="0" w:color="auto"/>
            </w:tcBorders>
            <w:shd w:val="clear" w:color="auto" w:fill="FFFFFF"/>
            <w:vAlign w:val="center"/>
            <w:hideMark/>
          </w:tcPr>
          <w:p w14:paraId="78D2BC6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227" w:type="dxa"/>
            <w:tcBorders>
              <w:top w:val="nil"/>
              <w:left w:val="nil"/>
              <w:bottom w:val="single" w:sz="4" w:space="0" w:color="auto"/>
              <w:right w:val="single" w:sz="4" w:space="0" w:color="auto"/>
            </w:tcBorders>
            <w:shd w:val="clear" w:color="auto" w:fill="E2EFDA"/>
            <w:vAlign w:val="center"/>
            <w:hideMark/>
          </w:tcPr>
          <w:p w14:paraId="4792926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570.23</w:t>
            </w:r>
          </w:p>
        </w:tc>
        <w:tc>
          <w:tcPr>
            <w:tcW w:w="1140" w:type="dxa"/>
            <w:tcBorders>
              <w:top w:val="nil"/>
              <w:left w:val="nil"/>
              <w:bottom w:val="single" w:sz="4" w:space="0" w:color="auto"/>
              <w:right w:val="single" w:sz="4" w:space="0" w:color="auto"/>
            </w:tcBorders>
            <w:shd w:val="clear" w:color="auto" w:fill="E2EFDA"/>
            <w:vAlign w:val="center"/>
            <w:hideMark/>
          </w:tcPr>
          <w:p w14:paraId="5D079BA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142.56</w:t>
            </w:r>
          </w:p>
        </w:tc>
        <w:tc>
          <w:tcPr>
            <w:tcW w:w="1145" w:type="dxa"/>
            <w:tcBorders>
              <w:top w:val="nil"/>
              <w:left w:val="nil"/>
              <w:bottom w:val="single" w:sz="4" w:space="0" w:color="auto"/>
              <w:right w:val="single" w:sz="4" w:space="0" w:color="auto"/>
            </w:tcBorders>
            <w:shd w:val="clear" w:color="auto" w:fill="E2EFDA"/>
            <w:vAlign w:val="center"/>
            <w:hideMark/>
          </w:tcPr>
          <w:p w14:paraId="07EA9FB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427.68</w:t>
            </w:r>
          </w:p>
        </w:tc>
        <w:tc>
          <w:tcPr>
            <w:tcW w:w="1322" w:type="dxa"/>
            <w:tcBorders>
              <w:top w:val="nil"/>
              <w:left w:val="nil"/>
              <w:bottom w:val="single" w:sz="4" w:space="0" w:color="auto"/>
              <w:right w:val="single" w:sz="4" w:space="0" w:color="auto"/>
            </w:tcBorders>
            <w:shd w:val="clear" w:color="auto" w:fill="E2EFDA"/>
            <w:vAlign w:val="center"/>
            <w:hideMark/>
          </w:tcPr>
          <w:p w14:paraId="4EFE381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1145" w:type="dxa"/>
            <w:tcBorders>
              <w:top w:val="nil"/>
              <w:left w:val="nil"/>
              <w:bottom w:val="single" w:sz="4" w:space="0" w:color="auto"/>
              <w:right w:val="single" w:sz="4" w:space="0" w:color="auto"/>
            </w:tcBorders>
            <w:shd w:val="clear" w:color="auto" w:fill="E2EFDA"/>
            <w:vAlign w:val="center"/>
            <w:hideMark/>
          </w:tcPr>
          <w:p w14:paraId="09BA0FC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1077" w:type="dxa"/>
            <w:tcBorders>
              <w:top w:val="nil"/>
              <w:left w:val="nil"/>
              <w:bottom w:val="single" w:sz="4" w:space="0" w:color="auto"/>
              <w:right w:val="single" w:sz="4" w:space="0" w:color="auto"/>
            </w:tcBorders>
            <w:shd w:val="clear" w:color="auto" w:fill="E2EFDA"/>
            <w:vAlign w:val="center"/>
            <w:hideMark/>
          </w:tcPr>
          <w:p w14:paraId="41FB840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570.23</w:t>
            </w:r>
          </w:p>
        </w:tc>
      </w:tr>
      <w:tr w:rsidR="00614438" w:rsidRPr="004F5BC1" w14:paraId="3C6332BD"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7EC6DEE5"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2E61E38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PM_EE13</w:t>
            </w:r>
          </w:p>
        </w:tc>
        <w:tc>
          <w:tcPr>
            <w:tcW w:w="3620" w:type="dxa"/>
            <w:tcBorders>
              <w:top w:val="nil"/>
              <w:left w:val="nil"/>
              <w:bottom w:val="single" w:sz="4" w:space="0" w:color="auto"/>
              <w:right w:val="single" w:sz="4" w:space="0" w:color="auto"/>
            </w:tcBorders>
            <w:vAlign w:val="center"/>
            <w:hideMark/>
          </w:tcPr>
          <w:p w14:paraId="7C62F1C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Development of the required infrastructure for the promotion of alternative fuels</w:t>
            </w:r>
          </w:p>
        </w:tc>
        <w:tc>
          <w:tcPr>
            <w:tcW w:w="1079" w:type="dxa"/>
            <w:tcBorders>
              <w:top w:val="nil"/>
              <w:left w:val="nil"/>
              <w:bottom w:val="single" w:sz="4" w:space="0" w:color="auto"/>
              <w:right w:val="single" w:sz="4" w:space="0" w:color="auto"/>
            </w:tcBorders>
            <w:vAlign w:val="center"/>
            <w:hideMark/>
          </w:tcPr>
          <w:p w14:paraId="7AE27EE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1072" w:type="dxa"/>
            <w:tcBorders>
              <w:top w:val="nil"/>
              <w:left w:val="nil"/>
              <w:bottom w:val="single" w:sz="4" w:space="0" w:color="auto"/>
              <w:right w:val="single" w:sz="4" w:space="0" w:color="auto"/>
            </w:tcBorders>
            <w:vAlign w:val="center"/>
            <w:hideMark/>
          </w:tcPr>
          <w:p w14:paraId="5E2AC6C5" w14:textId="2660A612" w:rsidR="00614438" w:rsidRPr="004F5BC1" w:rsidRDefault="00FC0FC3"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w:t>
            </w:r>
            <w:r w:rsidR="00614438" w:rsidRPr="004F5BC1">
              <w:rPr>
                <w:rFonts w:ascii="Times New Roman" w:hAnsi="Times New Roman" w:cs="Times New Roman"/>
                <w:sz w:val="14"/>
                <w:szCs w:val="14"/>
                <w:lang w:val="en-GB"/>
              </w:rPr>
              <w:t>ntegrated into PM_EE10, PM_EE12 and PM_EE14</w:t>
            </w:r>
          </w:p>
        </w:tc>
        <w:tc>
          <w:tcPr>
            <w:tcW w:w="1227" w:type="dxa"/>
            <w:tcBorders>
              <w:top w:val="nil"/>
              <w:left w:val="nil"/>
              <w:bottom w:val="single" w:sz="4" w:space="0" w:color="auto"/>
              <w:right w:val="single" w:sz="4" w:space="0" w:color="auto"/>
            </w:tcBorders>
            <w:shd w:val="clear" w:color="auto" w:fill="595959"/>
            <w:vAlign w:val="center"/>
            <w:hideMark/>
          </w:tcPr>
          <w:p w14:paraId="2A185A9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0" w:type="dxa"/>
            <w:tcBorders>
              <w:top w:val="nil"/>
              <w:left w:val="nil"/>
              <w:bottom w:val="single" w:sz="4" w:space="0" w:color="auto"/>
              <w:right w:val="single" w:sz="4" w:space="0" w:color="auto"/>
            </w:tcBorders>
            <w:shd w:val="clear" w:color="auto" w:fill="595959"/>
            <w:vAlign w:val="center"/>
            <w:hideMark/>
          </w:tcPr>
          <w:p w14:paraId="035849B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595959"/>
            <w:noWrap/>
            <w:vAlign w:val="bottom"/>
            <w:hideMark/>
          </w:tcPr>
          <w:p w14:paraId="6D0FE84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164F225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1145" w:type="dxa"/>
            <w:tcBorders>
              <w:top w:val="nil"/>
              <w:left w:val="nil"/>
              <w:bottom w:val="single" w:sz="4" w:space="0" w:color="auto"/>
              <w:right w:val="single" w:sz="4" w:space="0" w:color="auto"/>
            </w:tcBorders>
            <w:shd w:val="clear" w:color="auto" w:fill="595959"/>
            <w:vAlign w:val="center"/>
            <w:hideMark/>
          </w:tcPr>
          <w:p w14:paraId="74E4698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077" w:type="dxa"/>
            <w:tcBorders>
              <w:top w:val="nil"/>
              <w:left w:val="nil"/>
              <w:bottom w:val="single" w:sz="4" w:space="0" w:color="auto"/>
              <w:right w:val="single" w:sz="4" w:space="0" w:color="auto"/>
            </w:tcBorders>
            <w:shd w:val="clear" w:color="auto" w:fill="595959"/>
            <w:noWrap/>
            <w:vAlign w:val="bottom"/>
            <w:hideMark/>
          </w:tcPr>
          <w:p w14:paraId="79B1FDD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614438" w:rsidRPr="004F5BC1" w14:paraId="64939DBF"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449E4138"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0638E2E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PM_EE14</w:t>
            </w:r>
          </w:p>
        </w:tc>
        <w:tc>
          <w:tcPr>
            <w:tcW w:w="3620" w:type="dxa"/>
            <w:tcBorders>
              <w:top w:val="nil"/>
              <w:left w:val="nil"/>
              <w:bottom w:val="single" w:sz="4" w:space="0" w:color="auto"/>
              <w:right w:val="single" w:sz="4" w:space="0" w:color="auto"/>
            </w:tcBorders>
            <w:shd w:val="clear" w:color="auto" w:fill="FFFFFF"/>
            <w:vAlign w:val="center"/>
            <w:hideMark/>
          </w:tcPr>
          <w:p w14:paraId="4F657E6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Promotion of energy efficiency of the freight transport </w:t>
            </w:r>
          </w:p>
        </w:tc>
        <w:tc>
          <w:tcPr>
            <w:tcW w:w="1079" w:type="dxa"/>
            <w:tcBorders>
              <w:top w:val="nil"/>
              <w:left w:val="nil"/>
              <w:bottom w:val="single" w:sz="4" w:space="0" w:color="auto"/>
              <w:right w:val="single" w:sz="4" w:space="0" w:color="auto"/>
            </w:tcBorders>
            <w:shd w:val="clear" w:color="auto" w:fill="FFFFFF"/>
            <w:vAlign w:val="center"/>
            <w:hideMark/>
          </w:tcPr>
          <w:p w14:paraId="03AFF28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1072" w:type="dxa"/>
            <w:tcBorders>
              <w:top w:val="nil"/>
              <w:left w:val="nil"/>
              <w:bottom w:val="single" w:sz="4" w:space="0" w:color="auto"/>
              <w:right w:val="single" w:sz="4" w:space="0" w:color="auto"/>
            </w:tcBorders>
            <w:shd w:val="clear" w:color="auto" w:fill="FFFFFF"/>
            <w:vAlign w:val="center"/>
            <w:hideMark/>
          </w:tcPr>
          <w:p w14:paraId="0FF7806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227" w:type="dxa"/>
            <w:tcBorders>
              <w:top w:val="nil"/>
              <w:left w:val="nil"/>
              <w:bottom w:val="single" w:sz="4" w:space="0" w:color="auto"/>
              <w:right w:val="single" w:sz="4" w:space="0" w:color="auto"/>
            </w:tcBorders>
            <w:shd w:val="clear" w:color="auto" w:fill="E2EFDA"/>
            <w:vAlign w:val="center"/>
            <w:hideMark/>
          </w:tcPr>
          <w:p w14:paraId="2505D01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665.32</w:t>
            </w:r>
          </w:p>
        </w:tc>
        <w:tc>
          <w:tcPr>
            <w:tcW w:w="1140" w:type="dxa"/>
            <w:tcBorders>
              <w:top w:val="nil"/>
              <w:left w:val="nil"/>
              <w:bottom w:val="single" w:sz="4" w:space="0" w:color="auto"/>
              <w:right w:val="single" w:sz="4" w:space="0" w:color="auto"/>
            </w:tcBorders>
            <w:shd w:val="clear" w:color="auto" w:fill="E2EFDA"/>
            <w:vAlign w:val="center"/>
            <w:hideMark/>
          </w:tcPr>
          <w:p w14:paraId="6B0C4EE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166,33</w:t>
            </w:r>
          </w:p>
        </w:tc>
        <w:tc>
          <w:tcPr>
            <w:tcW w:w="1145" w:type="dxa"/>
            <w:tcBorders>
              <w:top w:val="nil"/>
              <w:left w:val="nil"/>
              <w:bottom w:val="single" w:sz="4" w:space="0" w:color="auto"/>
              <w:right w:val="single" w:sz="4" w:space="0" w:color="auto"/>
            </w:tcBorders>
            <w:shd w:val="clear" w:color="auto" w:fill="E2EFDA"/>
            <w:vAlign w:val="center"/>
            <w:hideMark/>
          </w:tcPr>
          <w:p w14:paraId="523AEFB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498,99</w:t>
            </w:r>
          </w:p>
        </w:tc>
        <w:tc>
          <w:tcPr>
            <w:tcW w:w="1322" w:type="dxa"/>
            <w:tcBorders>
              <w:top w:val="nil"/>
              <w:left w:val="nil"/>
              <w:bottom w:val="single" w:sz="4" w:space="0" w:color="auto"/>
              <w:right w:val="single" w:sz="4" w:space="0" w:color="auto"/>
            </w:tcBorders>
            <w:shd w:val="clear" w:color="auto" w:fill="E2EFDA"/>
            <w:vAlign w:val="center"/>
            <w:hideMark/>
          </w:tcPr>
          <w:p w14:paraId="3A0C3C5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 WAM (enhancement, adjustment)</w:t>
            </w:r>
          </w:p>
        </w:tc>
        <w:tc>
          <w:tcPr>
            <w:tcW w:w="1145" w:type="dxa"/>
            <w:tcBorders>
              <w:top w:val="nil"/>
              <w:left w:val="nil"/>
              <w:bottom w:val="single" w:sz="4" w:space="0" w:color="auto"/>
              <w:right w:val="single" w:sz="4" w:space="0" w:color="auto"/>
            </w:tcBorders>
            <w:shd w:val="clear" w:color="auto" w:fill="E2EFDA"/>
            <w:vAlign w:val="center"/>
            <w:hideMark/>
          </w:tcPr>
          <w:p w14:paraId="0273BA2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665.32</w:t>
            </w:r>
          </w:p>
        </w:tc>
        <w:tc>
          <w:tcPr>
            <w:tcW w:w="1077" w:type="dxa"/>
            <w:tcBorders>
              <w:top w:val="nil"/>
              <w:left w:val="nil"/>
              <w:bottom w:val="single" w:sz="4" w:space="0" w:color="auto"/>
              <w:right w:val="single" w:sz="4" w:space="0" w:color="auto"/>
            </w:tcBorders>
            <w:shd w:val="clear" w:color="auto" w:fill="E2EFDA"/>
            <w:vAlign w:val="center"/>
            <w:hideMark/>
          </w:tcPr>
          <w:p w14:paraId="2CB9879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0A0B844A"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0E179CD4"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3AE82ED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PM_EE15</w:t>
            </w:r>
          </w:p>
        </w:tc>
        <w:tc>
          <w:tcPr>
            <w:tcW w:w="3620" w:type="dxa"/>
            <w:tcBorders>
              <w:top w:val="nil"/>
              <w:left w:val="nil"/>
              <w:bottom w:val="single" w:sz="4" w:space="0" w:color="auto"/>
              <w:right w:val="single" w:sz="4" w:space="0" w:color="auto"/>
            </w:tcBorders>
            <w:vAlign w:val="center"/>
            <w:hideMark/>
          </w:tcPr>
          <w:p w14:paraId="7859759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Promotion of modal shift both for passenger and freight transport - Enabling ‘Mobility as a Service’ (MaaS) </w:t>
            </w:r>
          </w:p>
        </w:tc>
        <w:tc>
          <w:tcPr>
            <w:tcW w:w="1079" w:type="dxa"/>
            <w:tcBorders>
              <w:top w:val="nil"/>
              <w:left w:val="nil"/>
              <w:bottom w:val="single" w:sz="4" w:space="0" w:color="auto"/>
              <w:right w:val="single" w:sz="4" w:space="0" w:color="auto"/>
            </w:tcBorders>
            <w:vAlign w:val="center"/>
            <w:hideMark/>
          </w:tcPr>
          <w:p w14:paraId="1B014EB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1072" w:type="dxa"/>
            <w:tcBorders>
              <w:top w:val="nil"/>
              <w:left w:val="nil"/>
              <w:bottom w:val="single" w:sz="4" w:space="0" w:color="auto"/>
              <w:right w:val="single" w:sz="4" w:space="0" w:color="auto"/>
            </w:tcBorders>
            <w:vAlign w:val="center"/>
            <w:hideMark/>
          </w:tcPr>
          <w:p w14:paraId="1C359E1F" w14:textId="583052BD" w:rsidR="00614438" w:rsidRPr="004F5BC1" w:rsidRDefault="00FC0FC3"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w:t>
            </w:r>
            <w:r w:rsidR="00614438" w:rsidRPr="004F5BC1">
              <w:rPr>
                <w:rFonts w:ascii="Times New Roman" w:hAnsi="Times New Roman" w:cs="Times New Roman"/>
                <w:sz w:val="14"/>
                <w:szCs w:val="14"/>
                <w:lang w:val="en-GB"/>
              </w:rPr>
              <w:t>ntegrated into PM_EE10, PM_EE12 and PM_EE14</w:t>
            </w:r>
          </w:p>
        </w:tc>
        <w:tc>
          <w:tcPr>
            <w:tcW w:w="1227" w:type="dxa"/>
            <w:tcBorders>
              <w:top w:val="nil"/>
              <w:left w:val="nil"/>
              <w:bottom w:val="single" w:sz="4" w:space="0" w:color="auto"/>
              <w:right w:val="single" w:sz="4" w:space="0" w:color="auto"/>
            </w:tcBorders>
            <w:shd w:val="clear" w:color="auto" w:fill="595959"/>
            <w:vAlign w:val="center"/>
            <w:hideMark/>
          </w:tcPr>
          <w:p w14:paraId="4FFFC45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0" w:type="dxa"/>
            <w:tcBorders>
              <w:top w:val="nil"/>
              <w:left w:val="nil"/>
              <w:bottom w:val="single" w:sz="4" w:space="0" w:color="auto"/>
              <w:right w:val="single" w:sz="4" w:space="0" w:color="auto"/>
            </w:tcBorders>
            <w:shd w:val="clear" w:color="auto" w:fill="595959"/>
            <w:vAlign w:val="center"/>
            <w:hideMark/>
          </w:tcPr>
          <w:p w14:paraId="221CC0A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595959"/>
            <w:noWrap/>
            <w:vAlign w:val="bottom"/>
            <w:hideMark/>
          </w:tcPr>
          <w:p w14:paraId="4416DE1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3C521C8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1145" w:type="dxa"/>
            <w:tcBorders>
              <w:top w:val="nil"/>
              <w:left w:val="nil"/>
              <w:bottom w:val="single" w:sz="4" w:space="0" w:color="auto"/>
              <w:right w:val="single" w:sz="4" w:space="0" w:color="auto"/>
            </w:tcBorders>
            <w:shd w:val="clear" w:color="auto" w:fill="595959"/>
            <w:vAlign w:val="center"/>
            <w:hideMark/>
          </w:tcPr>
          <w:p w14:paraId="351C2AA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077" w:type="dxa"/>
            <w:tcBorders>
              <w:top w:val="nil"/>
              <w:left w:val="nil"/>
              <w:bottom w:val="single" w:sz="4" w:space="0" w:color="auto"/>
              <w:right w:val="single" w:sz="4" w:space="0" w:color="auto"/>
            </w:tcBorders>
            <w:shd w:val="clear" w:color="auto" w:fill="595959"/>
            <w:noWrap/>
            <w:vAlign w:val="bottom"/>
            <w:hideMark/>
          </w:tcPr>
          <w:p w14:paraId="149DEFF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614438" w:rsidRPr="004F5BC1" w14:paraId="6D958496"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76DECF24"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5CBD842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PM_EE16</w:t>
            </w:r>
          </w:p>
        </w:tc>
        <w:tc>
          <w:tcPr>
            <w:tcW w:w="3620" w:type="dxa"/>
            <w:tcBorders>
              <w:top w:val="nil"/>
              <w:left w:val="nil"/>
              <w:bottom w:val="single" w:sz="4" w:space="0" w:color="auto"/>
              <w:right w:val="single" w:sz="4" w:space="0" w:color="auto"/>
            </w:tcBorders>
            <w:shd w:val="clear" w:color="auto" w:fill="FFFFFF"/>
            <w:vAlign w:val="center"/>
            <w:hideMark/>
          </w:tcPr>
          <w:p w14:paraId="6D8296C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Promotion of energy efficiency in inland waterways transport</w:t>
            </w:r>
          </w:p>
        </w:tc>
        <w:tc>
          <w:tcPr>
            <w:tcW w:w="1079" w:type="dxa"/>
            <w:tcBorders>
              <w:top w:val="nil"/>
              <w:left w:val="nil"/>
              <w:bottom w:val="single" w:sz="4" w:space="0" w:color="auto"/>
              <w:right w:val="single" w:sz="4" w:space="0" w:color="auto"/>
            </w:tcBorders>
            <w:shd w:val="clear" w:color="auto" w:fill="FFFFFF"/>
            <w:vAlign w:val="center"/>
            <w:hideMark/>
          </w:tcPr>
          <w:p w14:paraId="45DEC08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1072" w:type="dxa"/>
            <w:tcBorders>
              <w:top w:val="nil"/>
              <w:left w:val="nil"/>
              <w:bottom w:val="single" w:sz="4" w:space="0" w:color="auto"/>
              <w:right w:val="single" w:sz="4" w:space="0" w:color="auto"/>
            </w:tcBorders>
            <w:shd w:val="clear" w:color="auto" w:fill="FFFFFF"/>
            <w:vAlign w:val="center"/>
            <w:hideMark/>
          </w:tcPr>
          <w:p w14:paraId="0D8E026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227" w:type="dxa"/>
            <w:tcBorders>
              <w:top w:val="nil"/>
              <w:left w:val="nil"/>
              <w:bottom w:val="single" w:sz="4" w:space="0" w:color="auto"/>
              <w:right w:val="single" w:sz="4" w:space="0" w:color="auto"/>
            </w:tcBorders>
            <w:shd w:val="clear" w:color="auto" w:fill="ED7D31"/>
            <w:vAlign w:val="center"/>
            <w:hideMark/>
          </w:tcPr>
          <w:p w14:paraId="1BFEAB5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under examination</w:t>
            </w:r>
          </w:p>
        </w:tc>
        <w:tc>
          <w:tcPr>
            <w:tcW w:w="1140" w:type="dxa"/>
            <w:tcBorders>
              <w:top w:val="nil"/>
              <w:left w:val="nil"/>
              <w:bottom w:val="single" w:sz="4" w:space="0" w:color="auto"/>
              <w:right w:val="single" w:sz="4" w:space="0" w:color="auto"/>
            </w:tcBorders>
            <w:shd w:val="clear" w:color="auto" w:fill="ED7D31"/>
            <w:vAlign w:val="center"/>
            <w:hideMark/>
          </w:tcPr>
          <w:p w14:paraId="1401045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ED7D31"/>
            <w:vAlign w:val="center"/>
            <w:hideMark/>
          </w:tcPr>
          <w:p w14:paraId="0610A3F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476E5E0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1145" w:type="dxa"/>
            <w:tcBorders>
              <w:top w:val="nil"/>
              <w:left w:val="nil"/>
              <w:bottom w:val="single" w:sz="4" w:space="0" w:color="auto"/>
              <w:right w:val="single" w:sz="4" w:space="0" w:color="auto"/>
            </w:tcBorders>
            <w:shd w:val="clear" w:color="auto" w:fill="ED7D31" w:themeFill="accent2"/>
            <w:vAlign w:val="center"/>
          </w:tcPr>
          <w:p w14:paraId="701AB1BF" w14:textId="6D48AC81" w:rsidR="00614438" w:rsidRPr="004F5BC1" w:rsidRDefault="00FC0FC3"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1077" w:type="dxa"/>
            <w:tcBorders>
              <w:top w:val="nil"/>
              <w:left w:val="nil"/>
              <w:bottom w:val="single" w:sz="4" w:space="0" w:color="auto"/>
              <w:right w:val="single" w:sz="4" w:space="0" w:color="auto"/>
            </w:tcBorders>
            <w:shd w:val="clear" w:color="auto" w:fill="ED7D31" w:themeFill="accent2"/>
            <w:vAlign w:val="center"/>
          </w:tcPr>
          <w:p w14:paraId="4B21DFDA" w14:textId="4B05A9A4" w:rsidR="00614438" w:rsidRPr="004F5BC1" w:rsidRDefault="00FC0FC3"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09C709F5"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1C0C58E5"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20BAF9F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PM_EE17</w:t>
            </w:r>
          </w:p>
        </w:tc>
        <w:tc>
          <w:tcPr>
            <w:tcW w:w="3620" w:type="dxa"/>
            <w:tcBorders>
              <w:top w:val="nil"/>
              <w:left w:val="nil"/>
              <w:bottom w:val="single" w:sz="4" w:space="0" w:color="auto"/>
              <w:right w:val="single" w:sz="4" w:space="0" w:color="auto"/>
            </w:tcBorders>
            <w:shd w:val="clear" w:color="auto" w:fill="FFFFFF"/>
            <w:vAlign w:val="center"/>
            <w:hideMark/>
          </w:tcPr>
          <w:p w14:paraId="4014827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Promotion of energy efficiency in rail transport</w:t>
            </w:r>
          </w:p>
        </w:tc>
        <w:tc>
          <w:tcPr>
            <w:tcW w:w="1079" w:type="dxa"/>
            <w:tcBorders>
              <w:top w:val="nil"/>
              <w:left w:val="nil"/>
              <w:bottom w:val="single" w:sz="4" w:space="0" w:color="auto"/>
              <w:right w:val="single" w:sz="4" w:space="0" w:color="auto"/>
            </w:tcBorders>
            <w:shd w:val="clear" w:color="auto" w:fill="FFFFFF"/>
            <w:vAlign w:val="center"/>
            <w:hideMark/>
          </w:tcPr>
          <w:p w14:paraId="6DDD4A1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1072" w:type="dxa"/>
            <w:tcBorders>
              <w:top w:val="nil"/>
              <w:left w:val="nil"/>
              <w:bottom w:val="single" w:sz="4" w:space="0" w:color="auto"/>
              <w:right w:val="single" w:sz="4" w:space="0" w:color="auto"/>
            </w:tcBorders>
            <w:shd w:val="clear" w:color="auto" w:fill="FFFFFF"/>
            <w:vAlign w:val="center"/>
            <w:hideMark/>
          </w:tcPr>
          <w:p w14:paraId="5D6F7BA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227" w:type="dxa"/>
            <w:tcBorders>
              <w:top w:val="nil"/>
              <w:left w:val="nil"/>
              <w:bottom w:val="single" w:sz="4" w:space="0" w:color="auto"/>
              <w:right w:val="single" w:sz="4" w:space="0" w:color="auto"/>
            </w:tcBorders>
            <w:shd w:val="clear" w:color="auto" w:fill="E2EFDA"/>
            <w:vAlign w:val="center"/>
            <w:hideMark/>
          </w:tcPr>
          <w:p w14:paraId="18E71A0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255.77</w:t>
            </w:r>
          </w:p>
        </w:tc>
        <w:tc>
          <w:tcPr>
            <w:tcW w:w="1140" w:type="dxa"/>
            <w:tcBorders>
              <w:top w:val="nil"/>
              <w:left w:val="nil"/>
              <w:bottom w:val="single" w:sz="4" w:space="0" w:color="auto"/>
              <w:right w:val="single" w:sz="4" w:space="0" w:color="auto"/>
            </w:tcBorders>
            <w:shd w:val="clear" w:color="auto" w:fill="E2EFDA"/>
            <w:vAlign w:val="center"/>
            <w:hideMark/>
          </w:tcPr>
          <w:p w14:paraId="74DE0AA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255.77</w:t>
            </w:r>
          </w:p>
        </w:tc>
        <w:tc>
          <w:tcPr>
            <w:tcW w:w="1145" w:type="dxa"/>
            <w:tcBorders>
              <w:top w:val="nil"/>
              <w:left w:val="nil"/>
              <w:bottom w:val="single" w:sz="4" w:space="0" w:color="auto"/>
              <w:right w:val="single" w:sz="4" w:space="0" w:color="auto"/>
            </w:tcBorders>
            <w:shd w:val="clear" w:color="auto" w:fill="E2EFDA"/>
            <w:vAlign w:val="center"/>
            <w:hideMark/>
          </w:tcPr>
          <w:p w14:paraId="054C9F6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1322" w:type="dxa"/>
            <w:tcBorders>
              <w:top w:val="nil"/>
              <w:left w:val="nil"/>
              <w:bottom w:val="single" w:sz="4" w:space="0" w:color="auto"/>
              <w:right w:val="single" w:sz="4" w:space="0" w:color="auto"/>
            </w:tcBorders>
            <w:shd w:val="clear" w:color="auto" w:fill="E2EFDA"/>
            <w:vAlign w:val="center"/>
            <w:hideMark/>
          </w:tcPr>
          <w:p w14:paraId="678B5B4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1145" w:type="dxa"/>
            <w:tcBorders>
              <w:top w:val="nil"/>
              <w:left w:val="nil"/>
              <w:bottom w:val="single" w:sz="4" w:space="0" w:color="auto"/>
              <w:right w:val="single" w:sz="4" w:space="0" w:color="auto"/>
            </w:tcBorders>
            <w:shd w:val="clear" w:color="auto" w:fill="E2EFDA"/>
            <w:vAlign w:val="center"/>
            <w:hideMark/>
          </w:tcPr>
          <w:p w14:paraId="6839831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255.77</w:t>
            </w:r>
          </w:p>
        </w:tc>
        <w:tc>
          <w:tcPr>
            <w:tcW w:w="1077" w:type="dxa"/>
            <w:tcBorders>
              <w:top w:val="nil"/>
              <w:left w:val="nil"/>
              <w:bottom w:val="single" w:sz="4" w:space="0" w:color="auto"/>
              <w:right w:val="single" w:sz="4" w:space="0" w:color="auto"/>
            </w:tcBorders>
            <w:shd w:val="clear" w:color="auto" w:fill="E2EFDA"/>
            <w:vAlign w:val="center"/>
            <w:hideMark/>
          </w:tcPr>
          <w:p w14:paraId="0167E4F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53EB01A4"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33D5C104"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2A5A809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PM_EE18</w:t>
            </w:r>
          </w:p>
        </w:tc>
        <w:tc>
          <w:tcPr>
            <w:tcW w:w="3620" w:type="dxa"/>
            <w:tcBorders>
              <w:top w:val="nil"/>
              <w:left w:val="nil"/>
              <w:bottom w:val="single" w:sz="4" w:space="0" w:color="auto"/>
              <w:right w:val="single" w:sz="4" w:space="0" w:color="auto"/>
            </w:tcBorders>
            <w:shd w:val="clear" w:color="auto" w:fill="FFFFFF"/>
            <w:vAlign w:val="center"/>
            <w:hideMark/>
          </w:tcPr>
          <w:p w14:paraId="6D042A0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Continuous enhancement and extension of the relative infrastructure for public transport </w:t>
            </w:r>
          </w:p>
        </w:tc>
        <w:tc>
          <w:tcPr>
            <w:tcW w:w="1079" w:type="dxa"/>
            <w:tcBorders>
              <w:top w:val="nil"/>
              <w:left w:val="nil"/>
              <w:bottom w:val="single" w:sz="4" w:space="0" w:color="auto"/>
              <w:right w:val="single" w:sz="4" w:space="0" w:color="auto"/>
            </w:tcBorders>
            <w:shd w:val="clear" w:color="auto" w:fill="FFFFFF"/>
            <w:vAlign w:val="center"/>
            <w:hideMark/>
          </w:tcPr>
          <w:p w14:paraId="53CC8EA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1072" w:type="dxa"/>
            <w:tcBorders>
              <w:top w:val="nil"/>
              <w:left w:val="nil"/>
              <w:bottom w:val="single" w:sz="4" w:space="0" w:color="auto"/>
              <w:right w:val="single" w:sz="4" w:space="0" w:color="auto"/>
            </w:tcBorders>
            <w:shd w:val="clear" w:color="auto" w:fill="FFFFFF"/>
            <w:vAlign w:val="center"/>
            <w:hideMark/>
          </w:tcPr>
          <w:p w14:paraId="698A029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227" w:type="dxa"/>
            <w:tcBorders>
              <w:top w:val="nil"/>
              <w:left w:val="nil"/>
              <w:bottom w:val="single" w:sz="4" w:space="0" w:color="auto"/>
              <w:right w:val="single" w:sz="4" w:space="0" w:color="auto"/>
            </w:tcBorders>
            <w:shd w:val="clear" w:color="auto" w:fill="E2EFDA"/>
            <w:vAlign w:val="center"/>
            <w:hideMark/>
          </w:tcPr>
          <w:p w14:paraId="6E93790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505.39</w:t>
            </w:r>
          </w:p>
        </w:tc>
        <w:tc>
          <w:tcPr>
            <w:tcW w:w="1140" w:type="dxa"/>
            <w:tcBorders>
              <w:top w:val="nil"/>
              <w:left w:val="nil"/>
              <w:bottom w:val="single" w:sz="4" w:space="0" w:color="auto"/>
              <w:right w:val="single" w:sz="4" w:space="0" w:color="auto"/>
            </w:tcBorders>
            <w:shd w:val="clear" w:color="auto" w:fill="E2EFDA"/>
            <w:vAlign w:val="center"/>
            <w:hideMark/>
          </w:tcPr>
          <w:p w14:paraId="2A98127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252.70</w:t>
            </w:r>
          </w:p>
        </w:tc>
        <w:tc>
          <w:tcPr>
            <w:tcW w:w="1145" w:type="dxa"/>
            <w:tcBorders>
              <w:top w:val="nil"/>
              <w:left w:val="nil"/>
              <w:bottom w:val="single" w:sz="4" w:space="0" w:color="auto"/>
              <w:right w:val="single" w:sz="4" w:space="0" w:color="auto"/>
            </w:tcBorders>
            <w:shd w:val="clear" w:color="auto" w:fill="E2EFDA"/>
            <w:vAlign w:val="center"/>
            <w:hideMark/>
          </w:tcPr>
          <w:p w14:paraId="2709F76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252.70</w:t>
            </w:r>
          </w:p>
        </w:tc>
        <w:tc>
          <w:tcPr>
            <w:tcW w:w="1322" w:type="dxa"/>
            <w:tcBorders>
              <w:top w:val="nil"/>
              <w:left w:val="nil"/>
              <w:bottom w:val="single" w:sz="4" w:space="0" w:color="auto"/>
              <w:right w:val="single" w:sz="4" w:space="0" w:color="auto"/>
            </w:tcBorders>
            <w:shd w:val="clear" w:color="auto" w:fill="E2EFDA"/>
            <w:vAlign w:val="center"/>
            <w:hideMark/>
          </w:tcPr>
          <w:p w14:paraId="446470B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1145" w:type="dxa"/>
            <w:tcBorders>
              <w:top w:val="nil"/>
              <w:left w:val="nil"/>
              <w:bottom w:val="single" w:sz="4" w:space="0" w:color="auto"/>
              <w:right w:val="single" w:sz="4" w:space="0" w:color="auto"/>
            </w:tcBorders>
            <w:shd w:val="clear" w:color="auto" w:fill="E2EFDA"/>
            <w:vAlign w:val="center"/>
            <w:hideMark/>
          </w:tcPr>
          <w:p w14:paraId="5C45484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505.39</w:t>
            </w:r>
          </w:p>
        </w:tc>
        <w:tc>
          <w:tcPr>
            <w:tcW w:w="1077" w:type="dxa"/>
            <w:tcBorders>
              <w:top w:val="nil"/>
              <w:left w:val="nil"/>
              <w:bottom w:val="single" w:sz="4" w:space="0" w:color="auto"/>
              <w:right w:val="single" w:sz="4" w:space="0" w:color="auto"/>
            </w:tcBorders>
            <w:shd w:val="clear" w:color="auto" w:fill="E2EFDA"/>
            <w:vAlign w:val="center"/>
            <w:hideMark/>
          </w:tcPr>
          <w:p w14:paraId="68F32BF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29330F70"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79AAD906"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2A54C35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PM_EE19</w:t>
            </w:r>
          </w:p>
        </w:tc>
        <w:tc>
          <w:tcPr>
            <w:tcW w:w="3620" w:type="dxa"/>
            <w:tcBorders>
              <w:top w:val="nil"/>
              <w:left w:val="nil"/>
              <w:bottom w:val="single" w:sz="4" w:space="0" w:color="auto"/>
              <w:right w:val="single" w:sz="4" w:space="0" w:color="auto"/>
            </w:tcBorders>
            <w:vAlign w:val="center"/>
            <w:hideMark/>
          </w:tcPr>
          <w:p w14:paraId="10D622A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Development of sustainable regional or municipal mobility plans</w:t>
            </w:r>
          </w:p>
        </w:tc>
        <w:tc>
          <w:tcPr>
            <w:tcW w:w="1079" w:type="dxa"/>
            <w:tcBorders>
              <w:top w:val="nil"/>
              <w:left w:val="nil"/>
              <w:bottom w:val="single" w:sz="4" w:space="0" w:color="auto"/>
              <w:right w:val="single" w:sz="4" w:space="0" w:color="auto"/>
            </w:tcBorders>
            <w:vAlign w:val="center"/>
            <w:hideMark/>
          </w:tcPr>
          <w:p w14:paraId="01FBBF1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1072" w:type="dxa"/>
            <w:tcBorders>
              <w:top w:val="nil"/>
              <w:left w:val="nil"/>
              <w:bottom w:val="single" w:sz="4" w:space="0" w:color="auto"/>
              <w:right w:val="single" w:sz="4" w:space="0" w:color="auto"/>
            </w:tcBorders>
            <w:vAlign w:val="center"/>
            <w:hideMark/>
          </w:tcPr>
          <w:p w14:paraId="31DF13E6" w14:textId="52E69720" w:rsidR="00614438" w:rsidRPr="004F5BC1" w:rsidRDefault="00554EAB"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w:t>
            </w:r>
            <w:r w:rsidR="00614438" w:rsidRPr="004F5BC1">
              <w:rPr>
                <w:rFonts w:ascii="Times New Roman" w:hAnsi="Times New Roman" w:cs="Times New Roman"/>
                <w:sz w:val="14"/>
                <w:szCs w:val="14"/>
                <w:lang w:val="en-GB"/>
              </w:rPr>
              <w:t xml:space="preserve">ntegrated into PM_EE10, </w:t>
            </w:r>
            <w:r w:rsidR="00614438" w:rsidRPr="004F5BC1">
              <w:rPr>
                <w:rFonts w:ascii="Times New Roman" w:hAnsi="Times New Roman" w:cs="Times New Roman"/>
                <w:sz w:val="14"/>
                <w:szCs w:val="14"/>
                <w:lang w:val="en-GB"/>
              </w:rPr>
              <w:lastRenderedPageBreak/>
              <w:t>PM_EE12 and PM_EE14</w:t>
            </w:r>
          </w:p>
        </w:tc>
        <w:tc>
          <w:tcPr>
            <w:tcW w:w="1227" w:type="dxa"/>
            <w:tcBorders>
              <w:top w:val="nil"/>
              <w:left w:val="nil"/>
              <w:bottom w:val="single" w:sz="4" w:space="0" w:color="auto"/>
              <w:right w:val="single" w:sz="4" w:space="0" w:color="auto"/>
            </w:tcBorders>
            <w:shd w:val="clear" w:color="auto" w:fill="595959"/>
            <w:vAlign w:val="center"/>
            <w:hideMark/>
          </w:tcPr>
          <w:p w14:paraId="560B350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lastRenderedPageBreak/>
              <w:t> </w:t>
            </w:r>
          </w:p>
        </w:tc>
        <w:tc>
          <w:tcPr>
            <w:tcW w:w="1140" w:type="dxa"/>
            <w:tcBorders>
              <w:top w:val="nil"/>
              <w:left w:val="nil"/>
              <w:bottom w:val="single" w:sz="4" w:space="0" w:color="auto"/>
              <w:right w:val="single" w:sz="4" w:space="0" w:color="auto"/>
            </w:tcBorders>
            <w:shd w:val="clear" w:color="auto" w:fill="595959"/>
            <w:vAlign w:val="center"/>
            <w:hideMark/>
          </w:tcPr>
          <w:p w14:paraId="06FE093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595959"/>
            <w:noWrap/>
            <w:vAlign w:val="bottom"/>
            <w:hideMark/>
          </w:tcPr>
          <w:p w14:paraId="5AB3406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29BA20E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1145" w:type="dxa"/>
            <w:tcBorders>
              <w:top w:val="nil"/>
              <w:left w:val="nil"/>
              <w:bottom w:val="single" w:sz="4" w:space="0" w:color="auto"/>
              <w:right w:val="single" w:sz="4" w:space="0" w:color="auto"/>
            </w:tcBorders>
            <w:shd w:val="clear" w:color="auto" w:fill="595959"/>
            <w:vAlign w:val="center"/>
            <w:hideMark/>
          </w:tcPr>
          <w:p w14:paraId="648C4EC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077" w:type="dxa"/>
            <w:tcBorders>
              <w:top w:val="nil"/>
              <w:left w:val="nil"/>
              <w:bottom w:val="single" w:sz="4" w:space="0" w:color="auto"/>
              <w:right w:val="single" w:sz="4" w:space="0" w:color="auto"/>
            </w:tcBorders>
            <w:shd w:val="clear" w:color="auto" w:fill="595959"/>
            <w:noWrap/>
            <w:vAlign w:val="bottom"/>
            <w:hideMark/>
          </w:tcPr>
          <w:p w14:paraId="75B7D9F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614438" w:rsidRPr="004F5BC1" w14:paraId="73867B17"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26E402A5"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14464E4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PM_EE20</w:t>
            </w:r>
          </w:p>
        </w:tc>
        <w:tc>
          <w:tcPr>
            <w:tcW w:w="3620" w:type="dxa"/>
            <w:tcBorders>
              <w:top w:val="nil"/>
              <w:left w:val="nil"/>
              <w:bottom w:val="single" w:sz="4" w:space="0" w:color="auto"/>
              <w:right w:val="single" w:sz="4" w:space="0" w:color="auto"/>
            </w:tcBorders>
            <w:vAlign w:val="center"/>
            <w:hideMark/>
          </w:tcPr>
          <w:p w14:paraId="6836E26C" w14:textId="7F4333B0"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Supplementary actions for the promotion of energy efficiency in </w:t>
            </w:r>
            <w:r w:rsidR="00554EAB" w:rsidRPr="004F5BC1">
              <w:rPr>
                <w:rFonts w:ascii="Times New Roman" w:hAnsi="Times New Roman" w:cs="Times New Roman"/>
                <w:sz w:val="14"/>
                <w:szCs w:val="14"/>
                <w:lang w:val="en-GB"/>
              </w:rPr>
              <w:t xml:space="preserve">the </w:t>
            </w:r>
            <w:r w:rsidRPr="004F5BC1">
              <w:rPr>
                <w:rFonts w:ascii="Times New Roman" w:hAnsi="Times New Roman" w:cs="Times New Roman"/>
                <w:sz w:val="14"/>
                <w:szCs w:val="14"/>
                <w:lang w:val="en-GB"/>
              </w:rPr>
              <w:t xml:space="preserve">transport sector </w:t>
            </w:r>
          </w:p>
        </w:tc>
        <w:tc>
          <w:tcPr>
            <w:tcW w:w="1079" w:type="dxa"/>
            <w:tcBorders>
              <w:top w:val="nil"/>
              <w:left w:val="nil"/>
              <w:bottom w:val="single" w:sz="4" w:space="0" w:color="auto"/>
              <w:right w:val="single" w:sz="4" w:space="0" w:color="auto"/>
            </w:tcBorders>
            <w:vAlign w:val="center"/>
            <w:hideMark/>
          </w:tcPr>
          <w:p w14:paraId="1C992C2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1072" w:type="dxa"/>
            <w:tcBorders>
              <w:top w:val="nil"/>
              <w:left w:val="nil"/>
              <w:bottom w:val="single" w:sz="4" w:space="0" w:color="auto"/>
              <w:right w:val="single" w:sz="4" w:space="0" w:color="auto"/>
            </w:tcBorders>
            <w:vAlign w:val="center"/>
            <w:hideMark/>
          </w:tcPr>
          <w:p w14:paraId="3B3F31ED" w14:textId="2CE2715B" w:rsidR="00614438" w:rsidRPr="004F5BC1" w:rsidRDefault="00554EAB"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w:t>
            </w:r>
            <w:r w:rsidR="00614438" w:rsidRPr="004F5BC1">
              <w:rPr>
                <w:rFonts w:ascii="Times New Roman" w:hAnsi="Times New Roman" w:cs="Times New Roman"/>
                <w:sz w:val="14"/>
                <w:szCs w:val="14"/>
                <w:lang w:val="en-GB"/>
              </w:rPr>
              <w:t>ntegrated into PM_EE10, PM_EE12 and PM_EE14</w:t>
            </w:r>
          </w:p>
        </w:tc>
        <w:tc>
          <w:tcPr>
            <w:tcW w:w="1227" w:type="dxa"/>
            <w:tcBorders>
              <w:top w:val="nil"/>
              <w:left w:val="nil"/>
              <w:bottom w:val="single" w:sz="4" w:space="0" w:color="auto"/>
              <w:right w:val="single" w:sz="4" w:space="0" w:color="auto"/>
            </w:tcBorders>
            <w:shd w:val="clear" w:color="auto" w:fill="595959"/>
            <w:vAlign w:val="center"/>
            <w:hideMark/>
          </w:tcPr>
          <w:p w14:paraId="026B2A9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0" w:type="dxa"/>
            <w:tcBorders>
              <w:top w:val="nil"/>
              <w:left w:val="nil"/>
              <w:bottom w:val="single" w:sz="4" w:space="0" w:color="auto"/>
              <w:right w:val="single" w:sz="4" w:space="0" w:color="auto"/>
            </w:tcBorders>
            <w:shd w:val="clear" w:color="auto" w:fill="595959"/>
            <w:vAlign w:val="center"/>
            <w:hideMark/>
          </w:tcPr>
          <w:p w14:paraId="644CAB8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595959"/>
            <w:noWrap/>
            <w:vAlign w:val="bottom"/>
            <w:hideMark/>
          </w:tcPr>
          <w:p w14:paraId="6C5C61D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2F23184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1145" w:type="dxa"/>
            <w:tcBorders>
              <w:top w:val="nil"/>
              <w:left w:val="nil"/>
              <w:bottom w:val="single" w:sz="4" w:space="0" w:color="auto"/>
              <w:right w:val="single" w:sz="4" w:space="0" w:color="auto"/>
            </w:tcBorders>
            <w:shd w:val="clear" w:color="auto" w:fill="595959"/>
            <w:vAlign w:val="center"/>
            <w:hideMark/>
          </w:tcPr>
          <w:p w14:paraId="7067303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077" w:type="dxa"/>
            <w:tcBorders>
              <w:top w:val="nil"/>
              <w:left w:val="nil"/>
              <w:bottom w:val="single" w:sz="4" w:space="0" w:color="auto"/>
              <w:right w:val="single" w:sz="4" w:space="0" w:color="auto"/>
            </w:tcBorders>
            <w:shd w:val="clear" w:color="auto" w:fill="595959"/>
            <w:noWrap/>
            <w:vAlign w:val="bottom"/>
            <w:hideMark/>
          </w:tcPr>
          <w:p w14:paraId="41B262D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614438" w:rsidRPr="004F5BC1" w14:paraId="712297FA"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092D08E9"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1FBB875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PM_EE21</w:t>
            </w:r>
          </w:p>
        </w:tc>
        <w:tc>
          <w:tcPr>
            <w:tcW w:w="3620" w:type="dxa"/>
            <w:tcBorders>
              <w:top w:val="nil"/>
              <w:left w:val="nil"/>
              <w:bottom w:val="single" w:sz="4" w:space="0" w:color="auto"/>
              <w:right w:val="single" w:sz="4" w:space="0" w:color="auto"/>
            </w:tcBorders>
            <w:shd w:val="clear" w:color="auto" w:fill="FFFFFF"/>
            <w:vAlign w:val="center"/>
            <w:hideMark/>
          </w:tcPr>
          <w:p w14:paraId="784322D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Support schemes for the promotion of energy efficiency in industrial sector</w:t>
            </w:r>
          </w:p>
        </w:tc>
        <w:tc>
          <w:tcPr>
            <w:tcW w:w="1079" w:type="dxa"/>
            <w:tcBorders>
              <w:top w:val="nil"/>
              <w:left w:val="nil"/>
              <w:bottom w:val="single" w:sz="4" w:space="0" w:color="auto"/>
              <w:right w:val="single" w:sz="4" w:space="0" w:color="auto"/>
            </w:tcBorders>
            <w:shd w:val="clear" w:color="auto" w:fill="FFFFFF"/>
            <w:vAlign w:val="center"/>
            <w:hideMark/>
          </w:tcPr>
          <w:p w14:paraId="429D5C7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1072" w:type="dxa"/>
            <w:tcBorders>
              <w:top w:val="nil"/>
              <w:left w:val="nil"/>
              <w:bottom w:val="single" w:sz="4" w:space="0" w:color="auto"/>
              <w:right w:val="single" w:sz="4" w:space="0" w:color="auto"/>
            </w:tcBorders>
            <w:shd w:val="clear" w:color="auto" w:fill="FFFFFF"/>
            <w:vAlign w:val="center"/>
            <w:hideMark/>
          </w:tcPr>
          <w:p w14:paraId="29F1158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227" w:type="dxa"/>
            <w:vMerge w:val="restart"/>
            <w:tcBorders>
              <w:top w:val="nil"/>
              <w:left w:val="single" w:sz="4" w:space="0" w:color="auto"/>
              <w:bottom w:val="single" w:sz="4" w:space="0" w:color="000000"/>
              <w:right w:val="single" w:sz="4" w:space="0" w:color="auto"/>
            </w:tcBorders>
            <w:shd w:val="clear" w:color="auto" w:fill="E2EFDA"/>
            <w:vAlign w:val="center"/>
            <w:hideMark/>
          </w:tcPr>
          <w:p w14:paraId="20D39CC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3366.00</w:t>
            </w:r>
          </w:p>
        </w:tc>
        <w:tc>
          <w:tcPr>
            <w:tcW w:w="1140" w:type="dxa"/>
            <w:vMerge w:val="restart"/>
            <w:tcBorders>
              <w:top w:val="nil"/>
              <w:left w:val="single" w:sz="4" w:space="0" w:color="auto"/>
              <w:bottom w:val="single" w:sz="4" w:space="0" w:color="000000"/>
              <w:right w:val="single" w:sz="4" w:space="0" w:color="auto"/>
            </w:tcBorders>
            <w:shd w:val="clear" w:color="auto" w:fill="E2EFDA"/>
            <w:vAlign w:val="center"/>
            <w:hideMark/>
          </w:tcPr>
          <w:p w14:paraId="71327C1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1346.40</w:t>
            </w:r>
          </w:p>
        </w:tc>
        <w:tc>
          <w:tcPr>
            <w:tcW w:w="1145" w:type="dxa"/>
            <w:vMerge w:val="restart"/>
            <w:tcBorders>
              <w:top w:val="nil"/>
              <w:left w:val="single" w:sz="4" w:space="0" w:color="auto"/>
              <w:bottom w:val="single" w:sz="4" w:space="0" w:color="000000"/>
              <w:right w:val="single" w:sz="4" w:space="0" w:color="auto"/>
            </w:tcBorders>
            <w:shd w:val="clear" w:color="auto" w:fill="E2EFDA"/>
            <w:vAlign w:val="center"/>
            <w:hideMark/>
          </w:tcPr>
          <w:p w14:paraId="38CFA3F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2019.60</w:t>
            </w:r>
          </w:p>
        </w:tc>
        <w:tc>
          <w:tcPr>
            <w:tcW w:w="1322" w:type="dxa"/>
            <w:tcBorders>
              <w:top w:val="nil"/>
              <w:left w:val="nil"/>
              <w:bottom w:val="single" w:sz="4" w:space="0" w:color="auto"/>
              <w:right w:val="single" w:sz="4" w:space="0" w:color="auto"/>
            </w:tcBorders>
            <w:shd w:val="clear" w:color="auto" w:fill="E2EFDA"/>
            <w:vAlign w:val="center"/>
            <w:hideMark/>
          </w:tcPr>
          <w:p w14:paraId="10D1653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 WAM (enhancement, adjustment)</w:t>
            </w:r>
          </w:p>
        </w:tc>
        <w:tc>
          <w:tcPr>
            <w:tcW w:w="1145" w:type="dxa"/>
            <w:vMerge w:val="restart"/>
            <w:tcBorders>
              <w:top w:val="nil"/>
              <w:left w:val="single" w:sz="4" w:space="0" w:color="auto"/>
              <w:bottom w:val="single" w:sz="4" w:space="0" w:color="000000"/>
              <w:right w:val="single" w:sz="4" w:space="0" w:color="auto"/>
            </w:tcBorders>
            <w:shd w:val="clear" w:color="auto" w:fill="E2EFDA"/>
            <w:vAlign w:val="center"/>
            <w:hideMark/>
          </w:tcPr>
          <w:p w14:paraId="4C25A55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2957.11</w:t>
            </w:r>
          </w:p>
        </w:tc>
        <w:tc>
          <w:tcPr>
            <w:tcW w:w="1077" w:type="dxa"/>
            <w:vMerge w:val="restart"/>
            <w:tcBorders>
              <w:top w:val="nil"/>
              <w:left w:val="single" w:sz="4" w:space="0" w:color="auto"/>
              <w:bottom w:val="single" w:sz="4" w:space="0" w:color="000000"/>
              <w:right w:val="single" w:sz="4" w:space="0" w:color="auto"/>
            </w:tcBorders>
            <w:shd w:val="clear" w:color="auto" w:fill="E2EFDA"/>
            <w:vAlign w:val="center"/>
            <w:hideMark/>
          </w:tcPr>
          <w:p w14:paraId="5B44955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408.89</w:t>
            </w:r>
          </w:p>
        </w:tc>
      </w:tr>
      <w:tr w:rsidR="00614438" w:rsidRPr="004F5BC1" w14:paraId="36E3165F"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572D3C71"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7D74A72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PM_EE22</w:t>
            </w:r>
          </w:p>
        </w:tc>
        <w:tc>
          <w:tcPr>
            <w:tcW w:w="3620" w:type="dxa"/>
            <w:tcBorders>
              <w:top w:val="nil"/>
              <w:left w:val="nil"/>
              <w:bottom w:val="single" w:sz="4" w:space="0" w:color="auto"/>
              <w:right w:val="single" w:sz="4" w:space="0" w:color="auto"/>
            </w:tcBorders>
            <w:shd w:val="clear" w:color="auto" w:fill="FFFFFF"/>
            <w:vAlign w:val="center"/>
            <w:hideMark/>
          </w:tcPr>
          <w:p w14:paraId="7F3E20F1" w14:textId="65845B00"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Regulatory measures for the promotion of energy efficiency in </w:t>
            </w:r>
            <w:r w:rsidR="00554EAB" w:rsidRPr="004F5BC1">
              <w:rPr>
                <w:rFonts w:ascii="Times New Roman" w:hAnsi="Times New Roman" w:cs="Times New Roman"/>
                <w:sz w:val="14"/>
                <w:szCs w:val="14"/>
                <w:lang w:val="en-GB"/>
              </w:rPr>
              <w:t xml:space="preserve">the </w:t>
            </w:r>
            <w:r w:rsidRPr="004F5BC1">
              <w:rPr>
                <w:rFonts w:ascii="Times New Roman" w:hAnsi="Times New Roman" w:cs="Times New Roman"/>
                <w:sz w:val="14"/>
                <w:szCs w:val="14"/>
                <w:lang w:val="en-GB"/>
              </w:rPr>
              <w:t>industrial sector</w:t>
            </w:r>
          </w:p>
        </w:tc>
        <w:tc>
          <w:tcPr>
            <w:tcW w:w="1079" w:type="dxa"/>
            <w:tcBorders>
              <w:top w:val="nil"/>
              <w:left w:val="nil"/>
              <w:bottom w:val="single" w:sz="4" w:space="0" w:color="auto"/>
              <w:right w:val="single" w:sz="4" w:space="0" w:color="auto"/>
            </w:tcBorders>
            <w:shd w:val="clear" w:color="auto" w:fill="FFFFFF"/>
            <w:vAlign w:val="center"/>
            <w:hideMark/>
          </w:tcPr>
          <w:p w14:paraId="0D82B55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1072" w:type="dxa"/>
            <w:tcBorders>
              <w:top w:val="nil"/>
              <w:left w:val="nil"/>
              <w:bottom w:val="single" w:sz="4" w:space="0" w:color="auto"/>
              <w:right w:val="single" w:sz="4" w:space="0" w:color="auto"/>
            </w:tcBorders>
            <w:shd w:val="clear" w:color="auto" w:fill="FFFFFF"/>
            <w:vAlign w:val="center"/>
            <w:hideMark/>
          </w:tcPr>
          <w:p w14:paraId="6A74755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Budget incorporated into PM_EE21</w:t>
            </w:r>
          </w:p>
        </w:tc>
        <w:tc>
          <w:tcPr>
            <w:tcW w:w="1227" w:type="dxa"/>
            <w:vMerge/>
            <w:tcBorders>
              <w:top w:val="nil"/>
              <w:left w:val="single" w:sz="4" w:space="0" w:color="auto"/>
              <w:bottom w:val="single" w:sz="4" w:space="0" w:color="000000"/>
              <w:right w:val="single" w:sz="4" w:space="0" w:color="auto"/>
            </w:tcBorders>
            <w:vAlign w:val="center"/>
            <w:hideMark/>
          </w:tcPr>
          <w:p w14:paraId="10C69287" w14:textId="77777777" w:rsidR="00614438" w:rsidRPr="004F5BC1" w:rsidRDefault="00614438" w:rsidP="00614438">
            <w:pPr>
              <w:jc w:val="both"/>
              <w:rPr>
                <w:rFonts w:ascii="Times New Roman" w:hAnsi="Times New Roman" w:cs="Times New Roman"/>
                <w:sz w:val="14"/>
                <w:szCs w:val="14"/>
                <w:lang w:val="en-GB"/>
              </w:rPr>
            </w:pPr>
          </w:p>
        </w:tc>
        <w:tc>
          <w:tcPr>
            <w:tcW w:w="1140" w:type="dxa"/>
            <w:vMerge/>
            <w:tcBorders>
              <w:top w:val="nil"/>
              <w:left w:val="single" w:sz="4" w:space="0" w:color="auto"/>
              <w:bottom w:val="single" w:sz="4" w:space="0" w:color="000000"/>
              <w:right w:val="single" w:sz="4" w:space="0" w:color="auto"/>
            </w:tcBorders>
            <w:vAlign w:val="center"/>
            <w:hideMark/>
          </w:tcPr>
          <w:p w14:paraId="2CF00B8D" w14:textId="77777777" w:rsidR="00614438" w:rsidRPr="004F5BC1" w:rsidRDefault="00614438" w:rsidP="00614438">
            <w:pPr>
              <w:jc w:val="both"/>
              <w:rPr>
                <w:rFonts w:ascii="Times New Roman" w:hAnsi="Times New Roman" w:cs="Times New Roman"/>
                <w:sz w:val="14"/>
                <w:szCs w:val="14"/>
                <w:lang w:val="en-GB"/>
              </w:rPr>
            </w:pPr>
          </w:p>
        </w:tc>
        <w:tc>
          <w:tcPr>
            <w:tcW w:w="1145" w:type="dxa"/>
            <w:vMerge/>
            <w:tcBorders>
              <w:top w:val="nil"/>
              <w:left w:val="single" w:sz="4" w:space="0" w:color="auto"/>
              <w:bottom w:val="single" w:sz="4" w:space="0" w:color="000000"/>
              <w:right w:val="single" w:sz="4" w:space="0" w:color="auto"/>
            </w:tcBorders>
            <w:vAlign w:val="center"/>
            <w:hideMark/>
          </w:tcPr>
          <w:p w14:paraId="0FF7F725" w14:textId="77777777" w:rsidR="00614438" w:rsidRPr="004F5BC1" w:rsidRDefault="00614438" w:rsidP="00614438">
            <w:pPr>
              <w:jc w:val="both"/>
              <w:rPr>
                <w:rFonts w:ascii="Times New Roman" w:hAnsi="Times New Roman" w:cs="Times New Roman"/>
                <w:sz w:val="14"/>
                <w:szCs w:val="14"/>
                <w:lang w:val="en-GB"/>
              </w:rPr>
            </w:pPr>
          </w:p>
        </w:tc>
        <w:tc>
          <w:tcPr>
            <w:tcW w:w="1322" w:type="dxa"/>
            <w:tcBorders>
              <w:top w:val="nil"/>
              <w:left w:val="nil"/>
              <w:bottom w:val="single" w:sz="4" w:space="0" w:color="auto"/>
              <w:right w:val="single" w:sz="4" w:space="0" w:color="auto"/>
            </w:tcBorders>
            <w:shd w:val="clear" w:color="auto" w:fill="E2EFDA"/>
            <w:vAlign w:val="center"/>
            <w:hideMark/>
          </w:tcPr>
          <w:p w14:paraId="36D0EE8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1145" w:type="dxa"/>
            <w:vMerge/>
            <w:tcBorders>
              <w:top w:val="nil"/>
              <w:left w:val="single" w:sz="4" w:space="0" w:color="auto"/>
              <w:bottom w:val="single" w:sz="4" w:space="0" w:color="000000"/>
              <w:right w:val="single" w:sz="4" w:space="0" w:color="auto"/>
            </w:tcBorders>
            <w:vAlign w:val="center"/>
            <w:hideMark/>
          </w:tcPr>
          <w:p w14:paraId="085B91B4" w14:textId="77777777" w:rsidR="00614438" w:rsidRPr="004F5BC1" w:rsidRDefault="00614438" w:rsidP="00614438">
            <w:pPr>
              <w:jc w:val="both"/>
              <w:rPr>
                <w:rFonts w:ascii="Times New Roman" w:hAnsi="Times New Roman" w:cs="Times New Roman"/>
                <w:sz w:val="14"/>
                <w:szCs w:val="14"/>
                <w:lang w:val="en-GB"/>
              </w:rPr>
            </w:pPr>
          </w:p>
        </w:tc>
        <w:tc>
          <w:tcPr>
            <w:tcW w:w="1077" w:type="dxa"/>
            <w:vMerge/>
            <w:tcBorders>
              <w:top w:val="nil"/>
              <w:left w:val="single" w:sz="4" w:space="0" w:color="auto"/>
              <w:bottom w:val="single" w:sz="4" w:space="0" w:color="000000"/>
              <w:right w:val="single" w:sz="4" w:space="0" w:color="auto"/>
            </w:tcBorders>
            <w:vAlign w:val="center"/>
            <w:hideMark/>
          </w:tcPr>
          <w:p w14:paraId="3BF16601" w14:textId="77777777" w:rsidR="00614438" w:rsidRPr="004F5BC1" w:rsidRDefault="00614438" w:rsidP="00614438">
            <w:pPr>
              <w:jc w:val="both"/>
              <w:rPr>
                <w:rFonts w:ascii="Times New Roman" w:hAnsi="Times New Roman" w:cs="Times New Roman"/>
                <w:sz w:val="14"/>
                <w:szCs w:val="14"/>
                <w:lang w:val="en-GB"/>
              </w:rPr>
            </w:pPr>
          </w:p>
        </w:tc>
      </w:tr>
      <w:tr w:rsidR="00614438" w:rsidRPr="004F5BC1" w14:paraId="14E87B1A"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40DE0477"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205E2DC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PM_EE23</w:t>
            </w:r>
          </w:p>
        </w:tc>
        <w:tc>
          <w:tcPr>
            <w:tcW w:w="3620" w:type="dxa"/>
            <w:tcBorders>
              <w:top w:val="nil"/>
              <w:left w:val="nil"/>
              <w:bottom w:val="single" w:sz="4" w:space="0" w:color="auto"/>
              <w:right w:val="single" w:sz="4" w:space="0" w:color="auto"/>
            </w:tcBorders>
            <w:shd w:val="clear" w:color="auto" w:fill="FFFFFF"/>
            <w:vAlign w:val="center"/>
            <w:hideMark/>
          </w:tcPr>
          <w:p w14:paraId="580F48B7" w14:textId="7CECB6E5"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Supplementary actions for the promotion of energy efficiency in </w:t>
            </w:r>
            <w:r w:rsidR="00554EAB" w:rsidRPr="004F5BC1">
              <w:rPr>
                <w:rFonts w:ascii="Times New Roman" w:hAnsi="Times New Roman" w:cs="Times New Roman"/>
                <w:sz w:val="14"/>
                <w:szCs w:val="14"/>
                <w:lang w:val="en-GB"/>
              </w:rPr>
              <w:t xml:space="preserve">the </w:t>
            </w:r>
            <w:r w:rsidRPr="004F5BC1">
              <w:rPr>
                <w:rFonts w:ascii="Times New Roman" w:hAnsi="Times New Roman" w:cs="Times New Roman"/>
                <w:sz w:val="14"/>
                <w:szCs w:val="14"/>
                <w:lang w:val="en-GB"/>
              </w:rPr>
              <w:t xml:space="preserve">industrial sector </w:t>
            </w:r>
          </w:p>
        </w:tc>
        <w:tc>
          <w:tcPr>
            <w:tcW w:w="1079" w:type="dxa"/>
            <w:tcBorders>
              <w:top w:val="nil"/>
              <w:left w:val="nil"/>
              <w:bottom w:val="single" w:sz="4" w:space="0" w:color="auto"/>
              <w:right w:val="single" w:sz="4" w:space="0" w:color="auto"/>
            </w:tcBorders>
            <w:shd w:val="clear" w:color="auto" w:fill="FFFFFF"/>
            <w:vAlign w:val="center"/>
            <w:hideMark/>
          </w:tcPr>
          <w:p w14:paraId="5D65865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1072" w:type="dxa"/>
            <w:tcBorders>
              <w:top w:val="nil"/>
              <w:left w:val="nil"/>
              <w:bottom w:val="single" w:sz="4" w:space="0" w:color="auto"/>
              <w:right w:val="single" w:sz="4" w:space="0" w:color="auto"/>
            </w:tcBorders>
            <w:shd w:val="clear" w:color="auto" w:fill="FFFFFF"/>
            <w:vAlign w:val="center"/>
            <w:hideMark/>
          </w:tcPr>
          <w:p w14:paraId="1AE0C7F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Budget incorporated into PM_EE21</w:t>
            </w:r>
          </w:p>
        </w:tc>
        <w:tc>
          <w:tcPr>
            <w:tcW w:w="1227" w:type="dxa"/>
            <w:vMerge/>
            <w:tcBorders>
              <w:top w:val="nil"/>
              <w:left w:val="single" w:sz="4" w:space="0" w:color="auto"/>
              <w:bottom w:val="single" w:sz="4" w:space="0" w:color="000000"/>
              <w:right w:val="single" w:sz="4" w:space="0" w:color="auto"/>
            </w:tcBorders>
            <w:vAlign w:val="center"/>
            <w:hideMark/>
          </w:tcPr>
          <w:p w14:paraId="3C637C29" w14:textId="77777777" w:rsidR="00614438" w:rsidRPr="004F5BC1" w:rsidRDefault="00614438" w:rsidP="00614438">
            <w:pPr>
              <w:jc w:val="both"/>
              <w:rPr>
                <w:rFonts w:ascii="Times New Roman" w:hAnsi="Times New Roman" w:cs="Times New Roman"/>
                <w:sz w:val="14"/>
                <w:szCs w:val="14"/>
                <w:lang w:val="en-GB"/>
              </w:rPr>
            </w:pPr>
          </w:p>
        </w:tc>
        <w:tc>
          <w:tcPr>
            <w:tcW w:w="1140" w:type="dxa"/>
            <w:vMerge/>
            <w:tcBorders>
              <w:top w:val="nil"/>
              <w:left w:val="single" w:sz="4" w:space="0" w:color="auto"/>
              <w:bottom w:val="single" w:sz="4" w:space="0" w:color="000000"/>
              <w:right w:val="single" w:sz="4" w:space="0" w:color="auto"/>
            </w:tcBorders>
            <w:vAlign w:val="center"/>
            <w:hideMark/>
          </w:tcPr>
          <w:p w14:paraId="4F9F044A" w14:textId="77777777" w:rsidR="00614438" w:rsidRPr="004F5BC1" w:rsidRDefault="00614438" w:rsidP="00614438">
            <w:pPr>
              <w:jc w:val="both"/>
              <w:rPr>
                <w:rFonts w:ascii="Times New Roman" w:hAnsi="Times New Roman" w:cs="Times New Roman"/>
                <w:sz w:val="14"/>
                <w:szCs w:val="14"/>
                <w:lang w:val="en-GB"/>
              </w:rPr>
            </w:pPr>
          </w:p>
        </w:tc>
        <w:tc>
          <w:tcPr>
            <w:tcW w:w="1145" w:type="dxa"/>
            <w:vMerge/>
            <w:tcBorders>
              <w:top w:val="nil"/>
              <w:left w:val="single" w:sz="4" w:space="0" w:color="auto"/>
              <w:bottom w:val="single" w:sz="4" w:space="0" w:color="000000"/>
              <w:right w:val="single" w:sz="4" w:space="0" w:color="auto"/>
            </w:tcBorders>
            <w:vAlign w:val="center"/>
            <w:hideMark/>
          </w:tcPr>
          <w:p w14:paraId="22746B18" w14:textId="77777777" w:rsidR="00614438" w:rsidRPr="004F5BC1" w:rsidRDefault="00614438" w:rsidP="00614438">
            <w:pPr>
              <w:jc w:val="both"/>
              <w:rPr>
                <w:rFonts w:ascii="Times New Roman" w:hAnsi="Times New Roman" w:cs="Times New Roman"/>
                <w:sz w:val="14"/>
                <w:szCs w:val="14"/>
                <w:lang w:val="en-GB"/>
              </w:rPr>
            </w:pPr>
          </w:p>
        </w:tc>
        <w:tc>
          <w:tcPr>
            <w:tcW w:w="1322" w:type="dxa"/>
            <w:tcBorders>
              <w:top w:val="nil"/>
              <w:left w:val="nil"/>
              <w:bottom w:val="single" w:sz="4" w:space="0" w:color="auto"/>
              <w:right w:val="single" w:sz="4" w:space="0" w:color="auto"/>
            </w:tcBorders>
            <w:shd w:val="clear" w:color="auto" w:fill="E2EFDA"/>
            <w:vAlign w:val="center"/>
            <w:hideMark/>
          </w:tcPr>
          <w:p w14:paraId="673D33E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1145" w:type="dxa"/>
            <w:vMerge/>
            <w:tcBorders>
              <w:top w:val="nil"/>
              <w:left w:val="single" w:sz="4" w:space="0" w:color="auto"/>
              <w:bottom w:val="single" w:sz="4" w:space="0" w:color="000000"/>
              <w:right w:val="single" w:sz="4" w:space="0" w:color="auto"/>
            </w:tcBorders>
            <w:vAlign w:val="center"/>
            <w:hideMark/>
          </w:tcPr>
          <w:p w14:paraId="31FC5FD6" w14:textId="77777777" w:rsidR="00614438" w:rsidRPr="004F5BC1" w:rsidRDefault="00614438" w:rsidP="00614438">
            <w:pPr>
              <w:jc w:val="both"/>
              <w:rPr>
                <w:rFonts w:ascii="Times New Roman" w:hAnsi="Times New Roman" w:cs="Times New Roman"/>
                <w:sz w:val="14"/>
                <w:szCs w:val="14"/>
                <w:lang w:val="en-GB"/>
              </w:rPr>
            </w:pPr>
          </w:p>
        </w:tc>
        <w:tc>
          <w:tcPr>
            <w:tcW w:w="1077" w:type="dxa"/>
            <w:vMerge/>
            <w:tcBorders>
              <w:top w:val="nil"/>
              <w:left w:val="single" w:sz="4" w:space="0" w:color="auto"/>
              <w:bottom w:val="single" w:sz="4" w:space="0" w:color="000000"/>
              <w:right w:val="single" w:sz="4" w:space="0" w:color="auto"/>
            </w:tcBorders>
            <w:vAlign w:val="center"/>
            <w:hideMark/>
          </w:tcPr>
          <w:p w14:paraId="39F55C73" w14:textId="77777777" w:rsidR="00614438" w:rsidRPr="004F5BC1" w:rsidRDefault="00614438" w:rsidP="00614438">
            <w:pPr>
              <w:jc w:val="both"/>
              <w:rPr>
                <w:rFonts w:ascii="Times New Roman" w:hAnsi="Times New Roman" w:cs="Times New Roman"/>
                <w:sz w:val="14"/>
                <w:szCs w:val="14"/>
                <w:lang w:val="en-GB"/>
              </w:rPr>
            </w:pPr>
          </w:p>
        </w:tc>
      </w:tr>
      <w:tr w:rsidR="00614438" w:rsidRPr="004F5BC1" w14:paraId="5B7A318B"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35C74753"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3907FB7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PM_EE24</w:t>
            </w:r>
          </w:p>
        </w:tc>
        <w:tc>
          <w:tcPr>
            <w:tcW w:w="3620" w:type="dxa"/>
            <w:tcBorders>
              <w:top w:val="nil"/>
              <w:left w:val="nil"/>
              <w:bottom w:val="single" w:sz="4" w:space="0" w:color="auto"/>
              <w:right w:val="single" w:sz="4" w:space="0" w:color="auto"/>
            </w:tcBorders>
            <w:shd w:val="clear" w:color="auto" w:fill="FFFFFF"/>
            <w:vAlign w:val="center"/>
            <w:hideMark/>
          </w:tcPr>
          <w:p w14:paraId="0245F20D" w14:textId="2B6E1822"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Support schemes for the promotion of energy efficiency in</w:t>
            </w:r>
            <w:r w:rsidR="00554EAB" w:rsidRPr="004F5BC1">
              <w:rPr>
                <w:rFonts w:ascii="Times New Roman" w:hAnsi="Times New Roman" w:cs="Times New Roman"/>
                <w:sz w:val="14"/>
                <w:szCs w:val="14"/>
                <w:lang w:val="en-GB"/>
              </w:rPr>
              <w:t xml:space="preserve"> the</w:t>
            </w:r>
            <w:r w:rsidRPr="004F5BC1">
              <w:rPr>
                <w:rFonts w:ascii="Times New Roman" w:hAnsi="Times New Roman" w:cs="Times New Roman"/>
                <w:sz w:val="14"/>
                <w:szCs w:val="14"/>
                <w:lang w:val="en-GB"/>
              </w:rPr>
              <w:t xml:space="preserve"> agricultural sector</w:t>
            </w:r>
          </w:p>
        </w:tc>
        <w:tc>
          <w:tcPr>
            <w:tcW w:w="1079" w:type="dxa"/>
            <w:tcBorders>
              <w:top w:val="nil"/>
              <w:left w:val="nil"/>
              <w:bottom w:val="single" w:sz="4" w:space="0" w:color="auto"/>
              <w:right w:val="single" w:sz="4" w:space="0" w:color="auto"/>
            </w:tcBorders>
            <w:shd w:val="clear" w:color="auto" w:fill="FFFFFF"/>
            <w:vAlign w:val="center"/>
            <w:hideMark/>
          </w:tcPr>
          <w:p w14:paraId="5063819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1072" w:type="dxa"/>
            <w:tcBorders>
              <w:top w:val="nil"/>
              <w:left w:val="nil"/>
              <w:bottom w:val="single" w:sz="4" w:space="0" w:color="auto"/>
              <w:right w:val="single" w:sz="4" w:space="0" w:color="auto"/>
            </w:tcBorders>
            <w:shd w:val="clear" w:color="auto" w:fill="FFFFFF"/>
            <w:vAlign w:val="center"/>
            <w:hideMark/>
          </w:tcPr>
          <w:p w14:paraId="146F3F6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227" w:type="dxa"/>
            <w:vMerge w:val="restart"/>
            <w:tcBorders>
              <w:top w:val="nil"/>
              <w:left w:val="single" w:sz="4" w:space="0" w:color="auto"/>
              <w:bottom w:val="single" w:sz="4" w:space="0" w:color="000000"/>
              <w:right w:val="single" w:sz="4" w:space="0" w:color="auto"/>
            </w:tcBorders>
            <w:shd w:val="clear" w:color="auto" w:fill="E2EFDA"/>
            <w:vAlign w:val="center"/>
            <w:hideMark/>
          </w:tcPr>
          <w:p w14:paraId="0AE0DA3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2678.00</w:t>
            </w:r>
          </w:p>
        </w:tc>
        <w:tc>
          <w:tcPr>
            <w:tcW w:w="1140" w:type="dxa"/>
            <w:vMerge w:val="restart"/>
            <w:tcBorders>
              <w:top w:val="nil"/>
              <w:left w:val="single" w:sz="4" w:space="0" w:color="auto"/>
              <w:bottom w:val="single" w:sz="4" w:space="0" w:color="000000"/>
              <w:right w:val="single" w:sz="4" w:space="0" w:color="auto"/>
            </w:tcBorders>
            <w:shd w:val="clear" w:color="auto" w:fill="E2EFDA"/>
            <w:vAlign w:val="center"/>
            <w:hideMark/>
          </w:tcPr>
          <w:p w14:paraId="6F21455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669.50</w:t>
            </w:r>
          </w:p>
        </w:tc>
        <w:tc>
          <w:tcPr>
            <w:tcW w:w="1145" w:type="dxa"/>
            <w:vMerge w:val="restart"/>
            <w:tcBorders>
              <w:top w:val="nil"/>
              <w:left w:val="single" w:sz="4" w:space="0" w:color="auto"/>
              <w:bottom w:val="single" w:sz="4" w:space="0" w:color="000000"/>
              <w:right w:val="single" w:sz="4" w:space="0" w:color="auto"/>
            </w:tcBorders>
            <w:shd w:val="clear" w:color="auto" w:fill="E2EFDA"/>
            <w:vAlign w:val="center"/>
            <w:hideMark/>
          </w:tcPr>
          <w:p w14:paraId="6A6E7CD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2008.50</w:t>
            </w:r>
          </w:p>
        </w:tc>
        <w:tc>
          <w:tcPr>
            <w:tcW w:w="1322" w:type="dxa"/>
            <w:tcBorders>
              <w:top w:val="nil"/>
              <w:left w:val="nil"/>
              <w:bottom w:val="single" w:sz="4" w:space="0" w:color="auto"/>
              <w:right w:val="single" w:sz="4" w:space="0" w:color="auto"/>
            </w:tcBorders>
            <w:shd w:val="clear" w:color="auto" w:fill="E2EFDA"/>
            <w:vAlign w:val="center"/>
            <w:hideMark/>
          </w:tcPr>
          <w:p w14:paraId="2BB71FC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1145" w:type="dxa"/>
            <w:vMerge w:val="restart"/>
            <w:tcBorders>
              <w:top w:val="nil"/>
              <w:left w:val="single" w:sz="4" w:space="0" w:color="auto"/>
              <w:bottom w:val="single" w:sz="4" w:space="0" w:color="000000"/>
              <w:right w:val="single" w:sz="4" w:space="0" w:color="auto"/>
            </w:tcBorders>
            <w:shd w:val="clear" w:color="auto" w:fill="E2EFDA"/>
            <w:vAlign w:val="center"/>
            <w:hideMark/>
          </w:tcPr>
          <w:p w14:paraId="2B4B554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1077" w:type="dxa"/>
            <w:vMerge w:val="restart"/>
            <w:tcBorders>
              <w:top w:val="nil"/>
              <w:left w:val="single" w:sz="4" w:space="0" w:color="auto"/>
              <w:bottom w:val="single" w:sz="4" w:space="0" w:color="000000"/>
              <w:right w:val="single" w:sz="4" w:space="0" w:color="auto"/>
            </w:tcBorders>
            <w:shd w:val="clear" w:color="auto" w:fill="E2EFDA"/>
            <w:vAlign w:val="center"/>
            <w:hideMark/>
          </w:tcPr>
          <w:p w14:paraId="0412ACC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2678.00</w:t>
            </w:r>
          </w:p>
        </w:tc>
      </w:tr>
      <w:tr w:rsidR="00614438" w:rsidRPr="004F5BC1" w14:paraId="3BB0975C"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79CB7BA2"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0E52E36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PM_EE25</w:t>
            </w:r>
          </w:p>
        </w:tc>
        <w:tc>
          <w:tcPr>
            <w:tcW w:w="3620" w:type="dxa"/>
            <w:tcBorders>
              <w:top w:val="nil"/>
              <w:left w:val="nil"/>
              <w:bottom w:val="single" w:sz="4" w:space="0" w:color="auto"/>
              <w:right w:val="single" w:sz="4" w:space="0" w:color="auto"/>
            </w:tcBorders>
            <w:shd w:val="clear" w:color="auto" w:fill="FFFFFF"/>
            <w:vAlign w:val="center"/>
            <w:hideMark/>
          </w:tcPr>
          <w:p w14:paraId="1CEA891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Advisory services and energy audits for farmers</w:t>
            </w:r>
          </w:p>
        </w:tc>
        <w:tc>
          <w:tcPr>
            <w:tcW w:w="1079" w:type="dxa"/>
            <w:tcBorders>
              <w:top w:val="nil"/>
              <w:left w:val="nil"/>
              <w:bottom w:val="single" w:sz="4" w:space="0" w:color="auto"/>
              <w:right w:val="single" w:sz="4" w:space="0" w:color="auto"/>
            </w:tcBorders>
            <w:shd w:val="clear" w:color="auto" w:fill="FFFFFF"/>
            <w:vAlign w:val="center"/>
            <w:hideMark/>
          </w:tcPr>
          <w:p w14:paraId="6C9AD4D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1072" w:type="dxa"/>
            <w:tcBorders>
              <w:top w:val="nil"/>
              <w:left w:val="nil"/>
              <w:bottom w:val="single" w:sz="4" w:space="0" w:color="auto"/>
              <w:right w:val="single" w:sz="4" w:space="0" w:color="auto"/>
            </w:tcBorders>
            <w:shd w:val="clear" w:color="auto" w:fill="FFFFFF"/>
            <w:vAlign w:val="center"/>
            <w:hideMark/>
          </w:tcPr>
          <w:p w14:paraId="0AE3CB2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Budget incorporated into PM_EE24</w:t>
            </w:r>
          </w:p>
        </w:tc>
        <w:tc>
          <w:tcPr>
            <w:tcW w:w="1227" w:type="dxa"/>
            <w:vMerge/>
            <w:tcBorders>
              <w:top w:val="nil"/>
              <w:left w:val="single" w:sz="4" w:space="0" w:color="auto"/>
              <w:bottom w:val="single" w:sz="4" w:space="0" w:color="000000"/>
              <w:right w:val="single" w:sz="4" w:space="0" w:color="auto"/>
            </w:tcBorders>
            <w:vAlign w:val="center"/>
            <w:hideMark/>
          </w:tcPr>
          <w:p w14:paraId="5FF5F7BA" w14:textId="77777777" w:rsidR="00614438" w:rsidRPr="004F5BC1" w:rsidRDefault="00614438" w:rsidP="00614438">
            <w:pPr>
              <w:jc w:val="both"/>
              <w:rPr>
                <w:rFonts w:ascii="Times New Roman" w:hAnsi="Times New Roman" w:cs="Times New Roman"/>
                <w:sz w:val="14"/>
                <w:szCs w:val="14"/>
                <w:lang w:val="en-GB"/>
              </w:rPr>
            </w:pPr>
          </w:p>
        </w:tc>
        <w:tc>
          <w:tcPr>
            <w:tcW w:w="1140" w:type="dxa"/>
            <w:vMerge/>
            <w:tcBorders>
              <w:top w:val="nil"/>
              <w:left w:val="single" w:sz="4" w:space="0" w:color="auto"/>
              <w:bottom w:val="single" w:sz="4" w:space="0" w:color="000000"/>
              <w:right w:val="single" w:sz="4" w:space="0" w:color="auto"/>
            </w:tcBorders>
            <w:vAlign w:val="center"/>
            <w:hideMark/>
          </w:tcPr>
          <w:p w14:paraId="7A2D82DE" w14:textId="77777777" w:rsidR="00614438" w:rsidRPr="004F5BC1" w:rsidRDefault="00614438" w:rsidP="00614438">
            <w:pPr>
              <w:jc w:val="both"/>
              <w:rPr>
                <w:rFonts w:ascii="Times New Roman" w:hAnsi="Times New Roman" w:cs="Times New Roman"/>
                <w:sz w:val="14"/>
                <w:szCs w:val="14"/>
                <w:lang w:val="en-GB"/>
              </w:rPr>
            </w:pPr>
          </w:p>
        </w:tc>
        <w:tc>
          <w:tcPr>
            <w:tcW w:w="1145" w:type="dxa"/>
            <w:vMerge/>
            <w:tcBorders>
              <w:top w:val="nil"/>
              <w:left w:val="single" w:sz="4" w:space="0" w:color="auto"/>
              <w:bottom w:val="single" w:sz="4" w:space="0" w:color="000000"/>
              <w:right w:val="single" w:sz="4" w:space="0" w:color="auto"/>
            </w:tcBorders>
            <w:vAlign w:val="center"/>
            <w:hideMark/>
          </w:tcPr>
          <w:p w14:paraId="3F0278DB" w14:textId="77777777" w:rsidR="00614438" w:rsidRPr="004F5BC1" w:rsidRDefault="00614438" w:rsidP="00614438">
            <w:pPr>
              <w:jc w:val="both"/>
              <w:rPr>
                <w:rFonts w:ascii="Times New Roman" w:hAnsi="Times New Roman" w:cs="Times New Roman"/>
                <w:sz w:val="14"/>
                <w:szCs w:val="14"/>
                <w:lang w:val="en-GB"/>
              </w:rPr>
            </w:pPr>
          </w:p>
        </w:tc>
        <w:tc>
          <w:tcPr>
            <w:tcW w:w="1322" w:type="dxa"/>
            <w:tcBorders>
              <w:top w:val="nil"/>
              <w:left w:val="nil"/>
              <w:bottom w:val="single" w:sz="4" w:space="0" w:color="auto"/>
              <w:right w:val="single" w:sz="4" w:space="0" w:color="auto"/>
            </w:tcBorders>
            <w:shd w:val="clear" w:color="auto" w:fill="E2EFDA"/>
            <w:vAlign w:val="center"/>
            <w:hideMark/>
          </w:tcPr>
          <w:p w14:paraId="5CE34D4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1145" w:type="dxa"/>
            <w:vMerge/>
            <w:tcBorders>
              <w:top w:val="nil"/>
              <w:left w:val="single" w:sz="4" w:space="0" w:color="auto"/>
              <w:bottom w:val="single" w:sz="4" w:space="0" w:color="000000"/>
              <w:right w:val="single" w:sz="4" w:space="0" w:color="auto"/>
            </w:tcBorders>
            <w:vAlign w:val="center"/>
            <w:hideMark/>
          </w:tcPr>
          <w:p w14:paraId="1718E0A9" w14:textId="77777777" w:rsidR="00614438" w:rsidRPr="004F5BC1" w:rsidRDefault="00614438" w:rsidP="00614438">
            <w:pPr>
              <w:jc w:val="both"/>
              <w:rPr>
                <w:rFonts w:ascii="Times New Roman" w:hAnsi="Times New Roman" w:cs="Times New Roman"/>
                <w:sz w:val="14"/>
                <w:szCs w:val="14"/>
                <w:lang w:val="en-GB"/>
              </w:rPr>
            </w:pPr>
          </w:p>
        </w:tc>
        <w:tc>
          <w:tcPr>
            <w:tcW w:w="1077" w:type="dxa"/>
            <w:vMerge/>
            <w:tcBorders>
              <w:top w:val="nil"/>
              <w:left w:val="single" w:sz="4" w:space="0" w:color="auto"/>
              <w:bottom w:val="single" w:sz="4" w:space="0" w:color="000000"/>
              <w:right w:val="single" w:sz="4" w:space="0" w:color="auto"/>
            </w:tcBorders>
            <w:vAlign w:val="center"/>
            <w:hideMark/>
          </w:tcPr>
          <w:p w14:paraId="306F5F87" w14:textId="77777777" w:rsidR="00614438" w:rsidRPr="004F5BC1" w:rsidRDefault="00614438" w:rsidP="00614438">
            <w:pPr>
              <w:jc w:val="both"/>
              <w:rPr>
                <w:rFonts w:ascii="Times New Roman" w:hAnsi="Times New Roman" w:cs="Times New Roman"/>
                <w:sz w:val="14"/>
                <w:szCs w:val="14"/>
                <w:lang w:val="en-GB"/>
              </w:rPr>
            </w:pPr>
          </w:p>
        </w:tc>
      </w:tr>
      <w:tr w:rsidR="00614438" w:rsidRPr="004F5BC1" w14:paraId="66E21937"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00AB6BAF"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4B4EC21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PM_EE26</w:t>
            </w:r>
          </w:p>
        </w:tc>
        <w:tc>
          <w:tcPr>
            <w:tcW w:w="3620" w:type="dxa"/>
            <w:tcBorders>
              <w:top w:val="nil"/>
              <w:left w:val="nil"/>
              <w:bottom w:val="single" w:sz="4" w:space="0" w:color="auto"/>
              <w:right w:val="single" w:sz="4" w:space="0" w:color="auto"/>
            </w:tcBorders>
            <w:vAlign w:val="center"/>
            <w:hideMark/>
          </w:tcPr>
          <w:p w14:paraId="2778919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Promotion of energy services and energy performance contracts through targeted financing programs</w:t>
            </w:r>
          </w:p>
        </w:tc>
        <w:tc>
          <w:tcPr>
            <w:tcW w:w="1079" w:type="dxa"/>
            <w:tcBorders>
              <w:top w:val="nil"/>
              <w:left w:val="nil"/>
              <w:bottom w:val="single" w:sz="4" w:space="0" w:color="auto"/>
              <w:right w:val="single" w:sz="4" w:space="0" w:color="auto"/>
            </w:tcBorders>
            <w:vAlign w:val="center"/>
            <w:hideMark/>
          </w:tcPr>
          <w:p w14:paraId="5776641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1072" w:type="dxa"/>
            <w:tcBorders>
              <w:top w:val="nil"/>
              <w:left w:val="nil"/>
              <w:bottom w:val="single" w:sz="4" w:space="0" w:color="auto"/>
              <w:right w:val="single" w:sz="4" w:space="0" w:color="auto"/>
            </w:tcBorders>
            <w:vAlign w:val="center"/>
            <w:hideMark/>
          </w:tcPr>
          <w:p w14:paraId="73EA811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Contribution to all end-use measures</w:t>
            </w:r>
          </w:p>
        </w:tc>
        <w:tc>
          <w:tcPr>
            <w:tcW w:w="1227" w:type="dxa"/>
            <w:tcBorders>
              <w:top w:val="nil"/>
              <w:left w:val="nil"/>
              <w:bottom w:val="single" w:sz="4" w:space="0" w:color="auto"/>
              <w:right w:val="single" w:sz="4" w:space="0" w:color="auto"/>
            </w:tcBorders>
            <w:shd w:val="clear" w:color="auto" w:fill="595959"/>
            <w:vAlign w:val="center"/>
            <w:hideMark/>
          </w:tcPr>
          <w:p w14:paraId="0667858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0" w:type="dxa"/>
            <w:tcBorders>
              <w:top w:val="nil"/>
              <w:left w:val="nil"/>
              <w:bottom w:val="single" w:sz="4" w:space="0" w:color="auto"/>
              <w:right w:val="single" w:sz="4" w:space="0" w:color="auto"/>
            </w:tcBorders>
            <w:shd w:val="clear" w:color="auto" w:fill="595959"/>
            <w:vAlign w:val="center"/>
            <w:hideMark/>
          </w:tcPr>
          <w:p w14:paraId="4C79959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595959"/>
            <w:noWrap/>
            <w:vAlign w:val="bottom"/>
            <w:hideMark/>
          </w:tcPr>
          <w:p w14:paraId="6F6C484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281E7D4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1145" w:type="dxa"/>
            <w:tcBorders>
              <w:top w:val="nil"/>
              <w:left w:val="nil"/>
              <w:bottom w:val="single" w:sz="4" w:space="0" w:color="auto"/>
              <w:right w:val="single" w:sz="4" w:space="0" w:color="auto"/>
            </w:tcBorders>
            <w:shd w:val="clear" w:color="auto" w:fill="595959"/>
            <w:vAlign w:val="center"/>
            <w:hideMark/>
          </w:tcPr>
          <w:p w14:paraId="34B8D56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077" w:type="dxa"/>
            <w:tcBorders>
              <w:top w:val="nil"/>
              <w:left w:val="nil"/>
              <w:bottom w:val="single" w:sz="4" w:space="0" w:color="auto"/>
              <w:right w:val="single" w:sz="4" w:space="0" w:color="auto"/>
            </w:tcBorders>
            <w:shd w:val="clear" w:color="auto" w:fill="595959"/>
            <w:noWrap/>
            <w:vAlign w:val="bottom"/>
            <w:hideMark/>
          </w:tcPr>
          <w:p w14:paraId="31DF844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614438" w:rsidRPr="004F5BC1" w14:paraId="74E4123D"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0AEE3E22"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70D2481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PM_EE27</w:t>
            </w:r>
          </w:p>
        </w:tc>
        <w:tc>
          <w:tcPr>
            <w:tcW w:w="3620" w:type="dxa"/>
            <w:tcBorders>
              <w:top w:val="nil"/>
              <w:left w:val="nil"/>
              <w:bottom w:val="single" w:sz="4" w:space="0" w:color="auto"/>
              <w:right w:val="single" w:sz="4" w:space="0" w:color="auto"/>
            </w:tcBorders>
            <w:vAlign w:val="center"/>
            <w:hideMark/>
          </w:tcPr>
          <w:p w14:paraId="4E24548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Promotion of energy services and energy services contracts through supplementary activities</w:t>
            </w:r>
          </w:p>
        </w:tc>
        <w:tc>
          <w:tcPr>
            <w:tcW w:w="1079" w:type="dxa"/>
            <w:tcBorders>
              <w:top w:val="nil"/>
              <w:left w:val="nil"/>
              <w:bottom w:val="single" w:sz="4" w:space="0" w:color="auto"/>
              <w:right w:val="single" w:sz="4" w:space="0" w:color="auto"/>
            </w:tcBorders>
            <w:vAlign w:val="center"/>
            <w:hideMark/>
          </w:tcPr>
          <w:p w14:paraId="62CA8A8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1072" w:type="dxa"/>
            <w:tcBorders>
              <w:top w:val="nil"/>
              <w:left w:val="nil"/>
              <w:bottom w:val="single" w:sz="4" w:space="0" w:color="auto"/>
              <w:right w:val="single" w:sz="4" w:space="0" w:color="auto"/>
            </w:tcBorders>
            <w:vAlign w:val="center"/>
            <w:hideMark/>
          </w:tcPr>
          <w:p w14:paraId="0F31BA6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Contribution to PM_EE1-PM_EE2-PM_EE3</w:t>
            </w:r>
          </w:p>
        </w:tc>
        <w:tc>
          <w:tcPr>
            <w:tcW w:w="1227" w:type="dxa"/>
            <w:tcBorders>
              <w:top w:val="nil"/>
              <w:left w:val="nil"/>
              <w:bottom w:val="single" w:sz="4" w:space="0" w:color="auto"/>
              <w:right w:val="single" w:sz="4" w:space="0" w:color="auto"/>
            </w:tcBorders>
            <w:shd w:val="clear" w:color="auto" w:fill="595959"/>
            <w:vAlign w:val="center"/>
            <w:hideMark/>
          </w:tcPr>
          <w:p w14:paraId="01C80AD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0" w:type="dxa"/>
            <w:tcBorders>
              <w:top w:val="nil"/>
              <w:left w:val="nil"/>
              <w:bottom w:val="single" w:sz="4" w:space="0" w:color="auto"/>
              <w:right w:val="single" w:sz="4" w:space="0" w:color="auto"/>
            </w:tcBorders>
            <w:shd w:val="clear" w:color="auto" w:fill="595959"/>
            <w:vAlign w:val="center"/>
            <w:hideMark/>
          </w:tcPr>
          <w:p w14:paraId="72536C6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595959"/>
            <w:noWrap/>
            <w:vAlign w:val="bottom"/>
            <w:hideMark/>
          </w:tcPr>
          <w:p w14:paraId="0573B1E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427B96C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1145" w:type="dxa"/>
            <w:tcBorders>
              <w:top w:val="nil"/>
              <w:left w:val="nil"/>
              <w:bottom w:val="single" w:sz="4" w:space="0" w:color="auto"/>
              <w:right w:val="single" w:sz="4" w:space="0" w:color="auto"/>
            </w:tcBorders>
            <w:shd w:val="clear" w:color="auto" w:fill="595959"/>
            <w:vAlign w:val="center"/>
            <w:hideMark/>
          </w:tcPr>
          <w:p w14:paraId="1A54E15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077" w:type="dxa"/>
            <w:tcBorders>
              <w:top w:val="nil"/>
              <w:left w:val="nil"/>
              <w:bottom w:val="single" w:sz="4" w:space="0" w:color="auto"/>
              <w:right w:val="single" w:sz="4" w:space="0" w:color="auto"/>
            </w:tcBorders>
            <w:shd w:val="clear" w:color="auto" w:fill="595959"/>
            <w:noWrap/>
            <w:vAlign w:val="bottom"/>
            <w:hideMark/>
          </w:tcPr>
          <w:p w14:paraId="45554FD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614438" w:rsidRPr="004F5BC1" w14:paraId="0FD75BA2"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6C9C9E07"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4F6753B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PM_EE28</w:t>
            </w:r>
          </w:p>
        </w:tc>
        <w:tc>
          <w:tcPr>
            <w:tcW w:w="3620" w:type="dxa"/>
            <w:tcBorders>
              <w:top w:val="nil"/>
              <w:left w:val="nil"/>
              <w:bottom w:val="single" w:sz="4" w:space="0" w:color="auto"/>
              <w:right w:val="single" w:sz="4" w:space="0" w:color="auto"/>
            </w:tcBorders>
            <w:vAlign w:val="center"/>
            <w:hideMark/>
          </w:tcPr>
          <w:p w14:paraId="4A03D0A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Mandatory conduction of energy audits and development of energy management systems</w:t>
            </w:r>
          </w:p>
        </w:tc>
        <w:tc>
          <w:tcPr>
            <w:tcW w:w="1079" w:type="dxa"/>
            <w:tcBorders>
              <w:top w:val="nil"/>
              <w:left w:val="nil"/>
              <w:bottom w:val="single" w:sz="4" w:space="0" w:color="auto"/>
              <w:right w:val="single" w:sz="4" w:space="0" w:color="auto"/>
            </w:tcBorders>
            <w:vAlign w:val="center"/>
            <w:hideMark/>
          </w:tcPr>
          <w:p w14:paraId="0F6948F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1072" w:type="dxa"/>
            <w:tcBorders>
              <w:top w:val="nil"/>
              <w:left w:val="nil"/>
              <w:bottom w:val="single" w:sz="4" w:space="0" w:color="auto"/>
              <w:right w:val="single" w:sz="4" w:space="0" w:color="auto"/>
            </w:tcBorders>
            <w:vAlign w:val="center"/>
            <w:hideMark/>
          </w:tcPr>
          <w:p w14:paraId="5521674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Budget incorporated into all end-use measures – savings under consideration</w:t>
            </w:r>
          </w:p>
        </w:tc>
        <w:tc>
          <w:tcPr>
            <w:tcW w:w="1227" w:type="dxa"/>
            <w:tcBorders>
              <w:top w:val="nil"/>
              <w:left w:val="nil"/>
              <w:bottom w:val="single" w:sz="4" w:space="0" w:color="auto"/>
              <w:right w:val="single" w:sz="4" w:space="0" w:color="auto"/>
            </w:tcBorders>
            <w:shd w:val="clear" w:color="auto" w:fill="595959"/>
            <w:vAlign w:val="center"/>
            <w:hideMark/>
          </w:tcPr>
          <w:p w14:paraId="7D83DB1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0" w:type="dxa"/>
            <w:tcBorders>
              <w:top w:val="nil"/>
              <w:left w:val="nil"/>
              <w:bottom w:val="single" w:sz="4" w:space="0" w:color="auto"/>
              <w:right w:val="single" w:sz="4" w:space="0" w:color="auto"/>
            </w:tcBorders>
            <w:shd w:val="clear" w:color="auto" w:fill="595959"/>
            <w:vAlign w:val="center"/>
            <w:hideMark/>
          </w:tcPr>
          <w:p w14:paraId="467817E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595959"/>
            <w:noWrap/>
            <w:vAlign w:val="bottom"/>
            <w:hideMark/>
          </w:tcPr>
          <w:p w14:paraId="083AEFF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581381E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1145" w:type="dxa"/>
            <w:tcBorders>
              <w:top w:val="nil"/>
              <w:left w:val="nil"/>
              <w:bottom w:val="single" w:sz="4" w:space="0" w:color="auto"/>
              <w:right w:val="single" w:sz="4" w:space="0" w:color="auto"/>
            </w:tcBorders>
            <w:shd w:val="clear" w:color="auto" w:fill="595959"/>
            <w:vAlign w:val="center"/>
            <w:hideMark/>
          </w:tcPr>
          <w:p w14:paraId="7F6C8D0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077" w:type="dxa"/>
            <w:tcBorders>
              <w:top w:val="nil"/>
              <w:left w:val="nil"/>
              <w:bottom w:val="single" w:sz="4" w:space="0" w:color="auto"/>
              <w:right w:val="single" w:sz="4" w:space="0" w:color="auto"/>
            </w:tcBorders>
            <w:shd w:val="clear" w:color="auto" w:fill="595959"/>
            <w:noWrap/>
            <w:vAlign w:val="bottom"/>
            <w:hideMark/>
          </w:tcPr>
          <w:p w14:paraId="026C4D1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614438" w:rsidRPr="004F5BC1" w14:paraId="5AA935FC"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53E30043"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468DF3D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PM_EE29</w:t>
            </w:r>
          </w:p>
        </w:tc>
        <w:tc>
          <w:tcPr>
            <w:tcW w:w="3620" w:type="dxa"/>
            <w:tcBorders>
              <w:top w:val="nil"/>
              <w:left w:val="nil"/>
              <w:bottom w:val="single" w:sz="4" w:space="0" w:color="auto"/>
              <w:right w:val="single" w:sz="4" w:space="0" w:color="auto"/>
            </w:tcBorders>
            <w:vAlign w:val="center"/>
            <w:hideMark/>
          </w:tcPr>
          <w:p w14:paraId="4ED04F5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Promotion of energy audits in SMEs and in households</w:t>
            </w:r>
          </w:p>
        </w:tc>
        <w:tc>
          <w:tcPr>
            <w:tcW w:w="1079" w:type="dxa"/>
            <w:tcBorders>
              <w:top w:val="nil"/>
              <w:left w:val="nil"/>
              <w:bottom w:val="single" w:sz="4" w:space="0" w:color="auto"/>
              <w:right w:val="single" w:sz="4" w:space="0" w:color="auto"/>
            </w:tcBorders>
            <w:vAlign w:val="center"/>
            <w:hideMark/>
          </w:tcPr>
          <w:p w14:paraId="28811E2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1072" w:type="dxa"/>
            <w:tcBorders>
              <w:top w:val="nil"/>
              <w:left w:val="nil"/>
              <w:bottom w:val="single" w:sz="4" w:space="0" w:color="auto"/>
              <w:right w:val="single" w:sz="4" w:space="0" w:color="auto"/>
            </w:tcBorders>
            <w:vAlign w:val="center"/>
            <w:hideMark/>
          </w:tcPr>
          <w:p w14:paraId="7C6E1AE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Be integrated into PM_EE1 and PM_EE3</w:t>
            </w:r>
          </w:p>
        </w:tc>
        <w:tc>
          <w:tcPr>
            <w:tcW w:w="1227" w:type="dxa"/>
            <w:tcBorders>
              <w:top w:val="nil"/>
              <w:left w:val="nil"/>
              <w:bottom w:val="single" w:sz="4" w:space="0" w:color="auto"/>
              <w:right w:val="single" w:sz="4" w:space="0" w:color="auto"/>
            </w:tcBorders>
            <w:shd w:val="clear" w:color="auto" w:fill="595959"/>
            <w:vAlign w:val="center"/>
            <w:hideMark/>
          </w:tcPr>
          <w:p w14:paraId="2709EE6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0" w:type="dxa"/>
            <w:tcBorders>
              <w:top w:val="nil"/>
              <w:left w:val="nil"/>
              <w:bottom w:val="single" w:sz="4" w:space="0" w:color="auto"/>
              <w:right w:val="single" w:sz="4" w:space="0" w:color="auto"/>
            </w:tcBorders>
            <w:shd w:val="clear" w:color="auto" w:fill="595959"/>
            <w:vAlign w:val="center"/>
            <w:hideMark/>
          </w:tcPr>
          <w:p w14:paraId="430A9B0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595959"/>
            <w:noWrap/>
            <w:vAlign w:val="bottom"/>
            <w:hideMark/>
          </w:tcPr>
          <w:p w14:paraId="08EA910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29CA441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1145" w:type="dxa"/>
            <w:tcBorders>
              <w:top w:val="nil"/>
              <w:left w:val="nil"/>
              <w:bottom w:val="single" w:sz="4" w:space="0" w:color="auto"/>
              <w:right w:val="single" w:sz="4" w:space="0" w:color="auto"/>
            </w:tcBorders>
            <w:shd w:val="clear" w:color="auto" w:fill="595959"/>
            <w:vAlign w:val="center"/>
            <w:hideMark/>
          </w:tcPr>
          <w:p w14:paraId="4FA3B11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077" w:type="dxa"/>
            <w:tcBorders>
              <w:top w:val="nil"/>
              <w:left w:val="nil"/>
              <w:bottom w:val="single" w:sz="4" w:space="0" w:color="auto"/>
              <w:right w:val="single" w:sz="4" w:space="0" w:color="auto"/>
            </w:tcBorders>
            <w:shd w:val="clear" w:color="auto" w:fill="595959"/>
            <w:noWrap/>
            <w:vAlign w:val="bottom"/>
            <w:hideMark/>
          </w:tcPr>
          <w:p w14:paraId="55CDFE7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614438" w:rsidRPr="004F5BC1" w14:paraId="09E0DD27"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2888FB4F"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2A1DDBB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PM_EE30</w:t>
            </w:r>
          </w:p>
        </w:tc>
        <w:tc>
          <w:tcPr>
            <w:tcW w:w="3620" w:type="dxa"/>
            <w:tcBorders>
              <w:top w:val="nil"/>
              <w:left w:val="nil"/>
              <w:bottom w:val="single" w:sz="4" w:space="0" w:color="auto"/>
              <w:right w:val="single" w:sz="4" w:space="0" w:color="auto"/>
            </w:tcBorders>
            <w:shd w:val="clear" w:color="auto" w:fill="FFFFFF"/>
            <w:vAlign w:val="center"/>
            <w:hideMark/>
          </w:tcPr>
          <w:p w14:paraId="5682E96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Financing programs for the energy upgrading of street lighting </w:t>
            </w:r>
          </w:p>
        </w:tc>
        <w:tc>
          <w:tcPr>
            <w:tcW w:w="1079" w:type="dxa"/>
            <w:tcBorders>
              <w:top w:val="nil"/>
              <w:left w:val="nil"/>
              <w:bottom w:val="single" w:sz="4" w:space="0" w:color="auto"/>
              <w:right w:val="single" w:sz="4" w:space="0" w:color="auto"/>
            </w:tcBorders>
            <w:shd w:val="clear" w:color="auto" w:fill="FFFFFF"/>
            <w:vAlign w:val="center"/>
            <w:hideMark/>
          </w:tcPr>
          <w:p w14:paraId="7740D9C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1072" w:type="dxa"/>
            <w:tcBorders>
              <w:top w:val="nil"/>
              <w:left w:val="nil"/>
              <w:bottom w:val="single" w:sz="4" w:space="0" w:color="auto"/>
              <w:right w:val="single" w:sz="4" w:space="0" w:color="auto"/>
            </w:tcBorders>
            <w:shd w:val="clear" w:color="auto" w:fill="FFFFFF"/>
            <w:vAlign w:val="center"/>
            <w:hideMark/>
          </w:tcPr>
          <w:p w14:paraId="0DF06EF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227" w:type="dxa"/>
            <w:tcBorders>
              <w:top w:val="nil"/>
              <w:left w:val="nil"/>
              <w:bottom w:val="single" w:sz="4" w:space="0" w:color="auto"/>
              <w:right w:val="single" w:sz="4" w:space="0" w:color="auto"/>
            </w:tcBorders>
            <w:shd w:val="clear" w:color="auto" w:fill="E2EFDA"/>
            <w:vAlign w:val="center"/>
            <w:hideMark/>
          </w:tcPr>
          <w:p w14:paraId="5BDD6C9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1668.81</w:t>
            </w:r>
          </w:p>
        </w:tc>
        <w:tc>
          <w:tcPr>
            <w:tcW w:w="1140" w:type="dxa"/>
            <w:tcBorders>
              <w:top w:val="nil"/>
              <w:left w:val="nil"/>
              <w:bottom w:val="single" w:sz="4" w:space="0" w:color="auto"/>
              <w:right w:val="single" w:sz="4" w:space="0" w:color="auto"/>
            </w:tcBorders>
            <w:shd w:val="clear" w:color="auto" w:fill="E2EFDA"/>
            <w:vAlign w:val="center"/>
            <w:hideMark/>
          </w:tcPr>
          <w:p w14:paraId="589CCB6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1668.81</w:t>
            </w:r>
          </w:p>
        </w:tc>
        <w:tc>
          <w:tcPr>
            <w:tcW w:w="1145" w:type="dxa"/>
            <w:tcBorders>
              <w:top w:val="nil"/>
              <w:left w:val="nil"/>
              <w:bottom w:val="single" w:sz="4" w:space="0" w:color="auto"/>
              <w:right w:val="single" w:sz="4" w:space="0" w:color="auto"/>
            </w:tcBorders>
            <w:shd w:val="clear" w:color="auto" w:fill="E2EFDA"/>
            <w:vAlign w:val="center"/>
            <w:hideMark/>
          </w:tcPr>
          <w:p w14:paraId="12341EB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1322" w:type="dxa"/>
            <w:tcBorders>
              <w:top w:val="nil"/>
              <w:left w:val="nil"/>
              <w:bottom w:val="single" w:sz="4" w:space="0" w:color="auto"/>
              <w:right w:val="single" w:sz="4" w:space="0" w:color="auto"/>
            </w:tcBorders>
            <w:shd w:val="clear" w:color="auto" w:fill="E2EFDA"/>
            <w:vAlign w:val="center"/>
            <w:hideMark/>
          </w:tcPr>
          <w:p w14:paraId="748BF6D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1145" w:type="dxa"/>
            <w:tcBorders>
              <w:top w:val="nil"/>
              <w:left w:val="nil"/>
              <w:bottom w:val="single" w:sz="4" w:space="0" w:color="auto"/>
              <w:right w:val="single" w:sz="4" w:space="0" w:color="auto"/>
            </w:tcBorders>
            <w:shd w:val="clear" w:color="auto" w:fill="E2EFDA"/>
            <w:vAlign w:val="center"/>
            <w:hideMark/>
          </w:tcPr>
          <w:p w14:paraId="3889D9E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1668.81</w:t>
            </w:r>
          </w:p>
        </w:tc>
        <w:tc>
          <w:tcPr>
            <w:tcW w:w="1077" w:type="dxa"/>
            <w:tcBorders>
              <w:top w:val="nil"/>
              <w:left w:val="nil"/>
              <w:bottom w:val="single" w:sz="4" w:space="0" w:color="auto"/>
              <w:right w:val="single" w:sz="4" w:space="0" w:color="auto"/>
            </w:tcBorders>
            <w:shd w:val="clear" w:color="auto" w:fill="E2EFDA"/>
            <w:vAlign w:val="center"/>
            <w:hideMark/>
          </w:tcPr>
          <w:p w14:paraId="1B78F1C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75460B13"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1290E3EF"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5B84F53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PM_EE31</w:t>
            </w:r>
          </w:p>
        </w:tc>
        <w:tc>
          <w:tcPr>
            <w:tcW w:w="3620" w:type="dxa"/>
            <w:tcBorders>
              <w:top w:val="nil"/>
              <w:left w:val="nil"/>
              <w:bottom w:val="single" w:sz="4" w:space="0" w:color="auto"/>
              <w:right w:val="single" w:sz="4" w:space="0" w:color="auto"/>
            </w:tcBorders>
            <w:vAlign w:val="center"/>
            <w:hideMark/>
          </w:tcPr>
          <w:p w14:paraId="16C0B51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Conduction of awareness raising activities</w:t>
            </w:r>
          </w:p>
        </w:tc>
        <w:tc>
          <w:tcPr>
            <w:tcW w:w="1079" w:type="dxa"/>
            <w:tcBorders>
              <w:top w:val="nil"/>
              <w:left w:val="nil"/>
              <w:bottom w:val="single" w:sz="4" w:space="0" w:color="auto"/>
              <w:right w:val="single" w:sz="4" w:space="0" w:color="auto"/>
            </w:tcBorders>
            <w:vAlign w:val="center"/>
            <w:hideMark/>
          </w:tcPr>
          <w:p w14:paraId="79F1342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1072" w:type="dxa"/>
            <w:tcBorders>
              <w:top w:val="nil"/>
              <w:left w:val="nil"/>
              <w:bottom w:val="single" w:sz="4" w:space="0" w:color="auto"/>
              <w:right w:val="single" w:sz="4" w:space="0" w:color="auto"/>
            </w:tcBorders>
            <w:vAlign w:val="center"/>
            <w:hideMark/>
          </w:tcPr>
          <w:p w14:paraId="356BEBA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Budget incorporated into all end-use measures</w:t>
            </w:r>
          </w:p>
        </w:tc>
        <w:tc>
          <w:tcPr>
            <w:tcW w:w="1227" w:type="dxa"/>
            <w:tcBorders>
              <w:top w:val="nil"/>
              <w:left w:val="nil"/>
              <w:bottom w:val="single" w:sz="4" w:space="0" w:color="auto"/>
              <w:right w:val="single" w:sz="4" w:space="0" w:color="auto"/>
            </w:tcBorders>
            <w:shd w:val="clear" w:color="auto" w:fill="595959"/>
            <w:vAlign w:val="center"/>
            <w:hideMark/>
          </w:tcPr>
          <w:p w14:paraId="083D4EC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0" w:type="dxa"/>
            <w:tcBorders>
              <w:top w:val="nil"/>
              <w:left w:val="nil"/>
              <w:bottom w:val="single" w:sz="4" w:space="0" w:color="auto"/>
              <w:right w:val="single" w:sz="4" w:space="0" w:color="auto"/>
            </w:tcBorders>
            <w:shd w:val="clear" w:color="auto" w:fill="595959"/>
            <w:vAlign w:val="center"/>
            <w:hideMark/>
          </w:tcPr>
          <w:p w14:paraId="3302DBB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595959"/>
            <w:noWrap/>
            <w:vAlign w:val="bottom"/>
            <w:hideMark/>
          </w:tcPr>
          <w:p w14:paraId="0FB4C02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243C272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1145" w:type="dxa"/>
            <w:tcBorders>
              <w:top w:val="nil"/>
              <w:left w:val="nil"/>
              <w:bottom w:val="single" w:sz="4" w:space="0" w:color="auto"/>
              <w:right w:val="single" w:sz="4" w:space="0" w:color="auto"/>
            </w:tcBorders>
            <w:shd w:val="clear" w:color="auto" w:fill="595959"/>
            <w:vAlign w:val="center"/>
            <w:hideMark/>
          </w:tcPr>
          <w:p w14:paraId="32B6E99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077" w:type="dxa"/>
            <w:tcBorders>
              <w:top w:val="nil"/>
              <w:left w:val="nil"/>
              <w:bottom w:val="single" w:sz="4" w:space="0" w:color="auto"/>
              <w:right w:val="single" w:sz="4" w:space="0" w:color="auto"/>
            </w:tcBorders>
            <w:shd w:val="clear" w:color="auto" w:fill="595959"/>
            <w:noWrap/>
            <w:vAlign w:val="bottom"/>
            <w:hideMark/>
          </w:tcPr>
          <w:p w14:paraId="2E2C51A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614438" w:rsidRPr="004F5BC1" w14:paraId="628FF1B3"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1B23BEB5"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4557E15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PM_EE32</w:t>
            </w:r>
          </w:p>
        </w:tc>
        <w:tc>
          <w:tcPr>
            <w:tcW w:w="3620" w:type="dxa"/>
            <w:tcBorders>
              <w:top w:val="nil"/>
              <w:left w:val="nil"/>
              <w:bottom w:val="single" w:sz="4" w:space="0" w:color="auto"/>
              <w:right w:val="single" w:sz="4" w:space="0" w:color="auto"/>
            </w:tcBorders>
            <w:vAlign w:val="center"/>
            <w:hideMark/>
          </w:tcPr>
          <w:p w14:paraId="576BF02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Promotion of energy-efficient products through the implementation of energy labelling and eco-design Directives</w:t>
            </w:r>
          </w:p>
        </w:tc>
        <w:tc>
          <w:tcPr>
            <w:tcW w:w="1079" w:type="dxa"/>
            <w:tcBorders>
              <w:top w:val="nil"/>
              <w:left w:val="nil"/>
              <w:bottom w:val="single" w:sz="4" w:space="0" w:color="auto"/>
              <w:right w:val="single" w:sz="4" w:space="0" w:color="auto"/>
            </w:tcBorders>
            <w:vAlign w:val="center"/>
            <w:hideMark/>
          </w:tcPr>
          <w:p w14:paraId="62E8576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1072" w:type="dxa"/>
            <w:tcBorders>
              <w:top w:val="nil"/>
              <w:left w:val="nil"/>
              <w:bottom w:val="single" w:sz="4" w:space="0" w:color="auto"/>
              <w:right w:val="single" w:sz="4" w:space="0" w:color="auto"/>
            </w:tcBorders>
            <w:vAlign w:val="center"/>
            <w:hideMark/>
          </w:tcPr>
          <w:p w14:paraId="066D67A8" w14:textId="7E8136BA" w:rsidR="00614438" w:rsidRPr="004F5BC1" w:rsidRDefault="00554EAB"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w:t>
            </w:r>
            <w:r w:rsidR="00614438" w:rsidRPr="004F5BC1">
              <w:rPr>
                <w:rFonts w:ascii="Times New Roman" w:hAnsi="Times New Roman" w:cs="Times New Roman"/>
                <w:sz w:val="14"/>
                <w:szCs w:val="14"/>
                <w:lang w:val="en-GB"/>
              </w:rPr>
              <w:t xml:space="preserve">ntegrated into PM_EE1, PM_EE2, PM_EE3, PM_EE10 and measures for </w:t>
            </w:r>
            <w:r w:rsidRPr="004F5BC1">
              <w:rPr>
                <w:rFonts w:ascii="Times New Roman" w:hAnsi="Times New Roman" w:cs="Times New Roman"/>
                <w:sz w:val="14"/>
                <w:szCs w:val="14"/>
                <w:lang w:val="en-GB"/>
              </w:rPr>
              <w:t xml:space="preserve">the </w:t>
            </w:r>
            <w:r w:rsidR="00614438" w:rsidRPr="004F5BC1">
              <w:rPr>
                <w:rFonts w:ascii="Times New Roman" w:hAnsi="Times New Roman" w:cs="Times New Roman"/>
                <w:sz w:val="14"/>
                <w:szCs w:val="14"/>
                <w:lang w:val="en-GB"/>
              </w:rPr>
              <w:t>industrial sector</w:t>
            </w:r>
          </w:p>
        </w:tc>
        <w:tc>
          <w:tcPr>
            <w:tcW w:w="1227" w:type="dxa"/>
            <w:tcBorders>
              <w:top w:val="nil"/>
              <w:left w:val="nil"/>
              <w:bottom w:val="single" w:sz="4" w:space="0" w:color="auto"/>
              <w:right w:val="single" w:sz="4" w:space="0" w:color="auto"/>
            </w:tcBorders>
            <w:shd w:val="clear" w:color="auto" w:fill="595959"/>
            <w:vAlign w:val="center"/>
            <w:hideMark/>
          </w:tcPr>
          <w:p w14:paraId="2E2E40B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0" w:type="dxa"/>
            <w:tcBorders>
              <w:top w:val="nil"/>
              <w:left w:val="nil"/>
              <w:bottom w:val="single" w:sz="4" w:space="0" w:color="auto"/>
              <w:right w:val="single" w:sz="4" w:space="0" w:color="auto"/>
            </w:tcBorders>
            <w:shd w:val="clear" w:color="auto" w:fill="595959"/>
            <w:vAlign w:val="center"/>
            <w:hideMark/>
          </w:tcPr>
          <w:p w14:paraId="3F759E8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595959"/>
            <w:noWrap/>
            <w:vAlign w:val="bottom"/>
            <w:hideMark/>
          </w:tcPr>
          <w:p w14:paraId="1E4F3FB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614B27F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1145" w:type="dxa"/>
            <w:tcBorders>
              <w:top w:val="nil"/>
              <w:left w:val="nil"/>
              <w:bottom w:val="single" w:sz="4" w:space="0" w:color="auto"/>
              <w:right w:val="single" w:sz="4" w:space="0" w:color="auto"/>
            </w:tcBorders>
            <w:shd w:val="clear" w:color="auto" w:fill="595959"/>
            <w:vAlign w:val="center"/>
            <w:hideMark/>
          </w:tcPr>
          <w:p w14:paraId="1B481CB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077" w:type="dxa"/>
            <w:tcBorders>
              <w:top w:val="nil"/>
              <w:left w:val="nil"/>
              <w:bottom w:val="single" w:sz="4" w:space="0" w:color="auto"/>
              <w:right w:val="single" w:sz="4" w:space="0" w:color="auto"/>
            </w:tcBorders>
            <w:shd w:val="clear" w:color="auto" w:fill="595959"/>
            <w:noWrap/>
            <w:vAlign w:val="bottom"/>
            <w:hideMark/>
          </w:tcPr>
          <w:p w14:paraId="3881B1D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614438" w:rsidRPr="004F5BC1" w14:paraId="4BBF9C16"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47383825"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52CEAE4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PM_EE33</w:t>
            </w:r>
          </w:p>
        </w:tc>
        <w:tc>
          <w:tcPr>
            <w:tcW w:w="3620" w:type="dxa"/>
            <w:tcBorders>
              <w:top w:val="nil"/>
              <w:left w:val="nil"/>
              <w:bottom w:val="single" w:sz="4" w:space="0" w:color="auto"/>
              <w:right w:val="single" w:sz="4" w:space="0" w:color="auto"/>
            </w:tcBorders>
            <w:vAlign w:val="center"/>
            <w:hideMark/>
          </w:tcPr>
          <w:p w14:paraId="5E015EB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Promotion of green public procurements</w:t>
            </w:r>
          </w:p>
        </w:tc>
        <w:tc>
          <w:tcPr>
            <w:tcW w:w="1079" w:type="dxa"/>
            <w:tcBorders>
              <w:top w:val="nil"/>
              <w:left w:val="nil"/>
              <w:bottom w:val="single" w:sz="4" w:space="0" w:color="auto"/>
              <w:right w:val="single" w:sz="4" w:space="0" w:color="auto"/>
            </w:tcBorders>
            <w:vAlign w:val="center"/>
            <w:hideMark/>
          </w:tcPr>
          <w:p w14:paraId="759A984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1072" w:type="dxa"/>
            <w:tcBorders>
              <w:top w:val="nil"/>
              <w:left w:val="nil"/>
              <w:bottom w:val="single" w:sz="4" w:space="0" w:color="auto"/>
              <w:right w:val="single" w:sz="4" w:space="0" w:color="auto"/>
            </w:tcBorders>
            <w:vAlign w:val="center"/>
            <w:hideMark/>
          </w:tcPr>
          <w:p w14:paraId="46D08574" w14:textId="788C96C9" w:rsidR="00614438" w:rsidRPr="004F5BC1" w:rsidRDefault="00554EAB"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w:t>
            </w:r>
            <w:r w:rsidR="00614438" w:rsidRPr="004F5BC1">
              <w:rPr>
                <w:rFonts w:ascii="Times New Roman" w:hAnsi="Times New Roman" w:cs="Times New Roman"/>
                <w:sz w:val="14"/>
                <w:szCs w:val="14"/>
                <w:lang w:val="en-GB"/>
              </w:rPr>
              <w:t>ntegrated into PM_EE2, PM_EE4, PM_EE5, PM_EE6, PM_EE7, PM_EE12, PM_EE14 and PM_EE18</w:t>
            </w:r>
          </w:p>
        </w:tc>
        <w:tc>
          <w:tcPr>
            <w:tcW w:w="1227" w:type="dxa"/>
            <w:tcBorders>
              <w:top w:val="nil"/>
              <w:left w:val="nil"/>
              <w:bottom w:val="single" w:sz="4" w:space="0" w:color="auto"/>
              <w:right w:val="single" w:sz="4" w:space="0" w:color="auto"/>
            </w:tcBorders>
            <w:shd w:val="clear" w:color="auto" w:fill="595959"/>
            <w:vAlign w:val="center"/>
            <w:hideMark/>
          </w:tcPr>
          <w:p w14:paraId="489C8CA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0" w:type="dxa"/>
            <w:tcBorders>
              <w:top w:val="nil"/>
              <w:left w:val="nil"/>
              <w:bottom w:val="single" w:sz="4" w:space="0" w:color="auto"/>
              <w:right w:val="single" w:sz="4" w:space="0" w:color="auto"/>
            </w:tcBorders>
            <w:shd w:val="clear" w:color="auto" w:fill="595959"/>
            <w:vAlign w:val="center"/>
            <w:hideMark/>
          </w:tcPr>
          <w:p w14:paraId="38CDCB6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595959"/>
            <w:noWrap/>
            <w:vAlign w:val="bottom"/>
            <w:hideMark/>
          </w:tcPr>
          <w:p w14:paraId="49FFE56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790FD3B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1145" w:type="dxa"/>
            <w:tcBorders>
              <w:top w:val="nil"/>
              <w:left w:val="nil"/>
              <w:bottom w:val="single" w:sz="4" w:space="0" w:color="auto"/>
              <w:right w:val="single" w:sz="4" w:space="0" w:color="auto"/>
            </w:tcBorders>
            <w:shd w:val="clear" w:color="auto" w:fill="595959"/>
            <w:vAlign w:val="center"/>
            <w:hideMark/>
          </w:tcPr>
          <w:p w14:paraId="6F39072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077" w:type="dxa"/>
            <w:tcBorders>
              <w:top w:val="nil"/>
              <w:left w:val="nil"/>
              <w:bottom w:val="single" w:sz="4" w:space="0" w:color="auto"/>
              <w:right w:val="single" w:sz="4" w:space="0" w:color="auto"/>
            </w:tcBorders>
            <w:shd w:val="clear" w:color="auto" w:fill="595959"/>
            <w:noWrap/>
            <w:vAlign w:val="bottom"/>
            <w:hideMark/>
          </w:tcPr>
          <w:p w14:paraId="79D3C1D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614438" w:rsidRPr="004F5BC1" w14:paraId="19478D14"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10D3C925"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27D8390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PM_EE34</w:t>
            </w:r>
          </w:p>
        </w:tc>
        <w:tc>
          <w:tcPr>
            <w:tcW w:w="3620" w:type="dxa"/>
            <w:tcBorders>
              <w:top w:val="nil"/>
              <w:left w:val="nil"/>
              <w:bottom w:val="single" w:sz="4" w:space="0" w:color="auto"/>
              <w:right w:val="single" w:sz="4" w:space="0" w:color="auto"/>
            </w:tcBorders>
            <w:vAlign w:val="center"/>
            <w:hideMark/>
          </w:tcPr>
          <w:p w14:paraId="2D1192C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Regulatory measures and financing programs for promoting/modernizing high efficient CHP units and district heating/cooling networks</w:t>
            </w:r>
          </w:p>
        </w:tc>
        <w:tc>
          <w:tcPr>
            <w:tcW w:w="1079" w:type="dxa"/>
            <w:tcBorders>
              <w:top w:val="single" w:sz="4" w:space="0" w:color="auto"/>
              <w:left w:val="nil"/>
              <w:bottom w:val="single" w:sz="4" w:space="0" w:color="auto"/>
              <w:right w:val="single" w:sz="4" w:space="0" w:color="auto"/>
            </w:tcBorders>
            <w:vAlign w:val="center"/>
            <w:hideMark/>
          </w:tcPr>
          <w:p w14:paraId="1639653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32EDB9CA" w14:textId="77777777" w:rsidR="00614438" w:rsidRPr="004F5BC1" w:rsidRDefault="00614438" w:rsidP="00614438">
            <w:pPr>
              <w:jc w:val="both"/>
              <w:rPr>
                <w:rFonts w:ascii="Times New Roman" w:hAnsi="Times New Roman" w:cs="Times New Roman"/>
                <w:sz w:val="14"/>
                <w:szCs w:val="14"/>
                <w:lang w:val="en-GB"/>
              </w:rPr>
            </w:pPr>
          </w:p>
        </w:tc>
        <w:tc>
          <w:tcPr>
            <w:tcW w:w="1227" w:type="dxa"/>
            <w:tcBorders>
              <w:top w:val="single" w:sz="4" w:space="0" w:color="auto"/>
              <w:left w:val="single" w:sz="4" w:space="0" w:color="auto"/>
              <w:bottom w:val="single" w:sz="4" w:space="0" w:color="auto"/>
              <w:right w:val="single" w:sz="4" w:space="0" w:color="auto"/>
            </w:tcBorders>
            <w:shd w:val="clear" w:color="auto" w:fill="E2EFDA"/>
            <w:vAlign w:val="center"/>
            <w:hideMark/>
          </w:tcPr>
          <w:p w14:paraId="64FD520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35.00</w:t>
            </w:r>
          </w:p>
        </w:tc>
        <w:tc>
          <w:tcPr>
            <w:tcW w:w="1140" w:type="dxa"/>
            <w:tcBorders>
              <w:top w:val="nil"/>
              <w:left w:val="nil"/>
              <w:bottom w:val="single" w:sz="4" w:space="0" w:color="auto"/>
              <w:right w:val="single" w:sz="4" w:space="0" w:color="auto"/>
            </w:tcBorders>
            <w:shd w:val="clear" w:color="auto" w:fill="ED7D31"/>
            <w:vAlign w:val="center"/>
            <w:hideMark/>
          </w:tcPr>
          <w:p w14:paraId="6541842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17.50</w:t>
            </w:r>
          </w:p>
        </w:tc>
        <w:tc>
          <w:tcPr>
            <w:tcW w:w="1145" w:type="dxa"/>
            <w:tcBorders>
              <w:top w:val="nil"/>
              <w:left w:val="nil"/>
              <w:bottom w:val="single" w:sz="4" w:space="0" w:color="auto"/>
              <w:right w:val="single" w:sz="4" w:space="0" w:color="auto"/>
            </w:tcBorders>
            <w:shd w:val="clear" w:color="auto" w:fill="ED7D31"/>
            <w:vAlign w:val="center"/>
            <w:hideMark/>
          </w:tcPr>
          <w:p w14:paraId="1D76C3C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17.50</w:t>
            </w:r>
          </w:p>
        </w:tc>
        <w:tc>
          <w:tcPr>
            <w:tcW w:w="1322" w:type="dxa"/>
            <w:tcBorders>
              <w:top w:val="nil"/>
              <w:left w:val="nil"/>
              <w:bottom w:val="single" w:sz="4" w:space="0" w:color="auto"/>
              <w:right w:val="single" w:sz="4" w:space="0" w:color="auto"/>
            </w:tcBorders>
            <w:shd w:val="clear" w:color="auto" w:fill="E2EFDA"/>
            <w:vAlign w:val="center"/>
            <w:hideMark/>
          </w:tcPr>
          <w:p w14:paraId="704252D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1145" w:type="dxa"/>
            <w:tcBorders>
              <w:top w:val="nil"/>
              <w:left w:val="nil"/>
              <w:bottom w:val="single" w:sz="4" w:space="0" w:color="auto"/>
              <w:right w:val="single" w:sz="4" w:space="0" w:color="auto"/>
            </w:tcBorders>
            <w:shd w:val="clear" w:color="auto" w:fill="E2EFDA"/>
            <w:vAlign w:val="center"/>
            <w:hideMark/>
          </w:tcPr>
          <w:p w14:paraId="3B709A8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35.00</w:t>
            </w:r>
          </w:p>
        </w:tc>
        <w:tc>
          <w:tcPr>
            <w:tcW w:w="1077" w:type="dxa"/>
            <w:tcBorders>
              <w:top w:val="nil"/>
              <w:left w:val="nil"/>
              <w:bottom w:val="single" w:sz="4" w:space="0" w:color="auto"/>
              <w:right w:val="single" w:sz="4" w:space="0" w:color="auto"/>
            </w:tcBorders>
            <w:shd w:val="clear" w:color="auto" w:fill="E2EFDA"/>
            <w:vAlign w:val="center"/>
            <w:hideMark/>
          </w:tcPr>
          <w:p w14:paraId="69E535A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42B8A2D5"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68FBEA17"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23506C8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PM_EE35</w:t>
            </w:r>
          </w:p>
        </w:tc>
        <w:tc>
          <w:tcPr>
            <w:tcW w:w="3620" w:type="dxa"/>
            <w:tcBorders>
              <w:top w:val="nil"/>
              <w:left w:val="nil"/>
              <w:bottom w:val="single" w:sz="4" w:space="0" w:color="auto"/>
              <w:right w:val="single" w:sz="4" w:space="0" w:color="auto"/>
            </w:tcBorders>
            <w:vAlign w:val="center"/>
            <w:hideMark/>
          </w:tcPr>
          <w:p w14:paraId="5F60D17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Improvement and further development of a scheme for the qualification, accreditation and certification of energy efficiency professionals</w:t>
            </w:r>
          </w:p>
        </w:tc>
        <w:tc>
          <w:tcPr>
            <w:tcW w:w="1079" w:type="dxa"/>
            <w:tcBorders>
              <w:top w:val="single" w:sz="4" w:space="0" w:color="auto"/>
              <w:left w:val="nil"/>
              <w:bottom w:val="single" w:sz="4" w:space="0" w:color="auto"/>
              <w:right w:val="single" w:sz="4" w:space="0" w:color="auto"/>
            </w:tcBorders>
            <w:vAlign w:val="center"/>
            <w:hideMark/>
          </w:tcPr>
          <w:p w14:paraId="205061D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1072" w:type="dxa"/>
            <w:tcBorders>
              <w:top w:val="single" w:sz="4" w:space="0" w:color="auto"/>
              <w:left w:val="nil"/>
              <w:bottom w:val="single" w:sz="4" w:space="0" w:color="auto"/>
              <w:right w:val="single" w:sz="4" w:space="0" w:color="auto"/>
            </w:tcBorders>
            <w:vAlign w:val="center"/>
            <w:hideMark/>
          </w:tcPr>
          <w:p w14:paraId="46C6B4B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Budget incorporated into all end-use measures – under consideration</w:t>
            </w:r>
          </w:p>
        </w:tc>
        <w:tc>
          <w:tcPr>
            <w:tcW w:w="1227" w:type="dxa"/>
            <w:tcBorders>
              <w:top w:val="single" w:sz="4" w:space="0" w:color="auto"/>
              <w:left w:val="nil"/>
              <w:bottom w:val="single" w:sz="4" w:space="0" w:color="auto"/>
              <w:right w:val="single" w:sz="4" w:space="0" w:color="auto"/>
            </w:tcBorders>
            <w:shd w:val="clear" w:color="auto" w:fill="595959"/>
            <w:vAlign w:val="center"/>
            <w:hideMark/>
          </w:tcPr>
          <w:p w14:paraId="500EFBF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0" w:type="dxa"/>
            <w:tcBorders>
              <w:top w:val="nil"/>
              <w:left w:val="nil"/>
              <w:bottom w:val="single" w:sz="4" w:space="0" w:color="auto"/>
              <w:right w:val="single" w:sz="4" w:space="0" w:color="auto"/>
            </w:tcBorders>
            <w:shd w:val="clear" w:color="auto" w:fill="595959"/>
            <w:vAlign w:val="center"/>
            <w:hideMark/>
          </w:tcPr>
          <w:p w14:paraId="69E4EA6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595959"/>
            <w:noWrap/>
            <w:vAlign w:val="bottom"/>
            <w:hideMark/>
          </w:tcPr>
          <w:p w14:paraId="0E0149B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6274975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1145" w:type="dxa"/>
            <w:tcBorders>
              <w:top w:val="nil"/>
              <w:left w:val="nil"/>
              <w:bottom w:val="single" w:sz="4" w:space="0" w:color="auto"/>
              <w:right w:val="single" w:sz="4" w:space="0" w:color="auto"/>
            </w:tcBorders>
            <w:shd w:val="clear" w:color="auto" w:fill="595959"/>
            <w:vAlign w:val="center"/>
            <w:hideMark/>
          </w:tcPr>
          <w:p w14:paraId="2DDFADF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077" w:type="dxa"/>
            <w:tcBorders>
              <w:top w:val="nil"/>
              <w:left w:val="nil"/>
              <w:bottom w:val="single" w:sz="4" w:space="0" w:color="auto"/>
              <w:right w:val="single" w:sz="4" w:space="0" w:color="auto"/>
            </w:tcBorders>
            <w:shd w:val="clear" w:color="auto" w:fill="595959"/>
            <w:noWrap/>
            <w:vAlign w:val="bottom"/>
            <w:hideMark/>
          </w:tcPr>
          <w:p w14:paraId="7922AFA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614438" w:rsidRPr="004F5BC1" w14:paraId="6A4F4F4D"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404B9C39"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2FB4FE3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PM_EE36</w:t>
            </w:r>
          </w:p>
        </w:tc>
        <w:tc>
          <w:tcPr>
            <w:tcW w:w="3620" w:type="dxa"/>
            <w:tcBorders>
              <w:top w:val="nil"/>
              <w:left w:val="nil"/>
              <w:bottom w:val="single" w:sz="4" w:space="0" w:color="auto"/>
              <w:right w:val="single" w:sz="4" w:space="0" w:color="auto"/>
            </w:tcBorders>
            <w:vAlign w:val="center"/>
            <w:hideMark/>
          </w:tcPr>
          <w:p w14:paraId="4D885C3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Promotion of energy efficiency in water supply, distribution and consumption</w:t>
            </w:r>
          </w:p>
        </w:tc>
        <w:tc>
          <w:tcPr>
            <w:tcW w:w="1079" w:type="dxa"/>
            <w:tcBorders>
              <w:top w:val="nil"/>
              <w:left w:val="nil"/>
              <w:bottom w:val="single" w:sz="4" w:space="0" w:color="auto"/>
              <w:right w:val="single" w:sz="4" w:space="0" w:color="auto"/>
            </w:tcBorders>
            <w:vAlign w:val="center"/>
            <w:hideMark/>
          </w:tcPr>
          <w:p w14:paraId="03468F9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1072" w:type="dxa"/>
            <w:noWrap/>
            <w:vAlign w:val="bottom"/>
            <w:hideMark/>
          </w:tcPr>
          <w:p w14:paraId="44FF2CA8" w14:textId="77777777" w:rsidR="00614438" w:rsidRPr="004F5BC1" w:rsidRDefault="00614438" w:rsidP="00614438">
            <w:pPr>
              <w:jc w:val="both"/>
              <w:rPr>
                <w:rFonts w:ascii="Times New Roman" w:hAnsi="Times New Roman" w:cs="Times New Roman"/>
                <w:sz w:val="14"/>
                <w:szCs w:val="14"/>
                <w:lang w:val="en-GB"/>
              </w:rPr>
            </w:pPr>
          </w:p>
        </w:tc>
        <w:tc>
          <w:tcPr>
            <w:tcW w:w="1227" w:type="dxa"/>
            <w:tcBorders>
              <w:top w:val="nil"/>
              <w:left w:val="nil"/>
              <w:bottom w:val="single" w:sz="4" w:space="0" w:color="auto"/>
              <w:right w:val="single" w:sz="4" w:space="0" w:color="auto"/>
            </w:tcBorders>
            <w:shd w:val="clear" w:color="auto" w:fill="ED7D31"/>
            <w:vAlign w:val="center"/>
            <w:hideMark/>
          </w:tcPr>
          <w:p w14:paraId="0C61079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Under examination</w:t>
            </w:r>
          </w:p>
        </w:tc>
        <w:tc>
          <w:tcPr>
            <w:tcW w:w="1140" w:type="dxa"/>
            <w:tcBorders>
              <w:top w:val="nil"/>
              <w:left w:val="nil"/>
              <w:bottom w:val="single" w:sz="4" w:space="0" w:color="auto"/>
              <w:right w:val="single" w:sz="4" w:space="0" w:color="auto"/>
            </w:tcBorders>
            <w:shd w:val="clear" w:color="auto" w:fill="ED7D31"/>
            <w:vAlign w:val="center"/>
            <w:hideMark/>
          </w:tcPr>
          <w:p w14:paraId="016D258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ED7D31"/>
            <w:vAlign w:val="center"/>
            <w:hideMark/>
          </w:tcPr>
          <w:p w14:paraId="5345F85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3E563B2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1145" w:type="dxa"/>
            <w:tcBorders>
              <w:top w:val="nil"/>
              <w:left w:val="nil"/>
              <w:bottom w:val="single" w:sz="4" w:space="0" w:color="auto"/>
              <w:right w:val="single" w:sz="4" w:space="0" w:color="auto"/>
            </w:tcBorders>
            <w:shd w:val="clear" w:color="auto" w:fill="ED7D31" w:themeFill="accent2"/>
            <w:vAlign w:val="center"/>
          </w:tcPr>
          <w:p w14:paraId="0D2899B8" w14:textId="0150FD36" w:rsidR="00614438" w:rsidRPr="004F5BC1" w:rsidRDefault="00554EAB"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1077" w:type="dxa"/>
            <w:tcBorders>
              <w:top w:val="nil"/>
              <w:left w:val="nil"/>
              <w:bottom w:val="single" w:sz="4" w:space="0" w:color="auto"/>
              <w:right w:val="single" w:sz="4" w:space="0" w:color="auto"/>
            </w:tcBorders>
            <w:shd w:val="clear" w:color="auto" w:fill="ED7D31" w:themeFill="accent2"/>
            <w:vAlign w:val="center"/>
          </w:tcPr>
          <w:p w14:paraId="699DEB0D" w14:textId="01554529" w:rsidR="00614438" w:rsidRPr="004F5BC1" w:rsidRDefault="00554EAB"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2AED0A2A"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7FA2274B"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0ACA5EC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PM_EE37</w:t>
            </w:r>
          </w:p>
        </w:tc>
        <w:tc>
          <w:tcPr>
            <w:tcW w:w="3620" w:type="dxa"/>
            <w:tcBorders>
              <w:top w:val="nil"/>
              <w:left w:val="nil"/>
              <w:bottom w:val="single" w:sz="4" w:space="0" w:color="auto"/>
              <w:right w:val="single" w:sz="4" w:space="0" w:color="auto"/>
            </w:tcBorders>
            <w:vAlign w:val="center"/>
            <w:hideMark/>
          </w:tcPr>
          <w:p w14:paraId="10A3064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Strengthening the technical and administrative capacity of the involved policy makers</w:t>
            </w:r>
          </w:p>
        </w:tc>
        <w:tc>
          <w:tcPr>
            <w:tcW w:w="1079" w:type="dxa"/>
            <w:tcBorders>
              <w:top w:val="nil"/>
              <w:left w:val="nil"/>
              <w:bottom w:val="single" w:sz="4" w:space="0" w:color="auto"/>
              <w:right w:val="single" w:sz="4" w:space="0" w:color="auto"/>
            </w:tcBorders>
            <w:vAlign w:val="center"/>
            <w:hideMark/>
          </w:tcPr>
          <w:p w14:paraId="5934DA0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1072" w:type="dxa"/>
            <w:tcBorders>
              <w:top w:val="single" w:sz="4" w:space="0" w:color="auto"/>
              <w:left w:val="nil"/>
              <w:bottom w:val="single" w:sz="4" w:space="0" w:color="auto"/>
              <w:right w:val="single" w:sz="4" w:space="0" w:color="auto"/>
            </w:tcBorders>
            <w:vAlign w:val="center"/>
            <w:hideMark/>
          </w:tcPr>
          <w:p w14:paraId="5B9C877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Budget incorporated into all end-use measures</w:t>
            </w:r>
          </w:p>
        </w:tc>
        <w:tc>
          <w:tcPr>
            <w:tcW w:w="1227" w:type="dxa"/>
            <w:tcBorders>
              <w:top w:val="nil"/>
              <w:left w:val="nil"/>
              <w:bottom w:val="single" w:sz="4" w:space="0" w:color="auto"/>
              <w:right w:val="single" w:sz="4" w:space="0" w:color="auto"/>
            </w:tcBorders>
            <w:shd w:val="clear" w:color="auto" w:fill="595959"/>
            <w:vAlign w:val="center"/>
            <w:hideMark/>
          </w:tcPr>
          <w:p w14:paraId="1F05F36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0" w:type="dxa"/>
            <w:tcBorders>
              <w:top w:val="nil"/>
              <w:left w:val="nil"/>
              <w:bottom w:val="single" w:sz="4" w:space="0" w:color="auto"/>
              <w:right w:val="single" w:sz="4" w:space="0" w:color="auto"/>
            </w:tcBorders>
            <w:shd w:val="clear" w:color="auto" w:fill="595959"/>
            <w:vAlign w:val="center"/>
            <w:hideMark/>
          </w:tcPr>
          <w:p w14:paraId="4257134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595959"/>
            <w:noWrap/>
            <w:vAlign w:val="bottom"/>
            <w:hideMark/>
          </w:tcPr>
          <w:p w14:paraId="218B5D5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7A89991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1145" w:type="dxa"/>
            <w:tcBorders>
              <w:top w:val="nil"/>
              <w:left w:val="nil"/>
              <w:bottom w:val="single" w:sz="4" w:space="0" w:color="auto"/>
              <w:right w:val="single" w:sz="4" w:space="0" w:color="auto"/>
            </w:tcBorders>
            <w:shd w:val="clear" w:color="auto" w:fill="595959"/>
            <w:vAlign w:val="center"/>
            <w:hideMark/>
          </w:tcPr>
          <w:p w14:paraId="0BC20AA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077" w:type="dxa"/>
            <w:tcBorders>
              <w:top w:val="nil"/>
              <w:left w:val="nil"/>
              <w:bottom w:val="single" w:sz="4" w:space="0" w:color="auto"/>
              <w:right w:val="single" w:sz="4" w:space="0" w:color="auto"/>
            </w:tcBorders>
            <w:shd w:val="clear" w:color="auto" w:fill="595959"/>
            <w:noWrap/>
            <w:vAlign w:val="bottom"/>
            <w:hideMark/>
          </w:tcPr>
          <w:p w14:paraId="2E205F1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614438" w:rsidRPr="004F5BC1" w14:paraId="451D8352"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62ABBD0E"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7180AD1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PM_EE38</w:t>
            </w:r>
          </w:p>
        </w:tc>
        <w:tc>
          <w:tcPr>
            <w:tcW w:w="3620" w:type="dxa"/>
            <w:tcBorders>
              <w:top w:val="nil"/>
              <w:left w:val="nil"/>
              <w:bottom w:val="single" w:sz="4" w:space="0" w:color="auto"/>
              <w:right w:val="single" w:sz="4" w:space="0" w:color="auto"/>
            </w:tcBorders>
            <w:vAlign w:val="center"/>
            <w:hideMark/>
          </w:tcPr>
          <w:p w14:paraId="707CE72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Development of sustainable and innovative financing of energy efficiency projects</w:t>
            </w:r>
          </w:p>
        </w:tc>
        <w:tc>
          <w:tcPr>
            <w:tcW w:w="1079" w:type="dxa"/>
            <w:tcBorders>
              <w:top w:val="nil"/>
              <w:left w:val="nil"/>
              <w:bottom w:val="single" w:sz="4" w:space="0" w:color="auto"/>
              <w:right w:val="single" w:sz="4" w:space="0" w:color="auto"/>
            </w:tcBorders>
            <w:vAlign w:val="center"/>
            <w:hideMark/>
          </w:tcPr>
          <w:p w14:paraId="02BCABF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1072" w:type="dxa"/>
            <w:tcBorders>
              <w:top w:val="nil"/>
              <w:left w:val="nil"/>
              <w:bottom w:val="single" w:sz="4" w:space="0" w:color="auto"/>
              <w:right w:val="single" w:sz="4" w:space="0" w:color="auto"/>
            </w:tcBorders>
            <w:vAlign w:val="center"/>
            <w:hideMark/>
          </w:tcPr>
          <w:p w14:paraId="1B1F0D9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Budget incorporated into all end-use measures</w:t>
            </w:r>
          </w:p>
        </w:tc>
        <w:tc>
          <w:tcPr>
            <w:tcW w:w="1227" w:type="dxa"/>
            <w:tcBorders>
              <w:top w:val="nil"/>
              <w:left w:val="nil"/>
              <w:bottom w:val="single" w:sz="4" w:space="0" w:color="auto"/>
              <w:right w:val="single" w:sz="4" w:space="0" w:color="auto"/>
            </w:tcBorders>
            <w:shd w:val="clear" w:color="auto" w:fill="595959"/>
            <w:vAlign w:val="center"/>
            <w:hideMark/>
          </w:tcPr>
          <w:p w14:paraId="1159E77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0" w:type="dxa"/>
            <w:tcBorders>
              <w:top w:val="nil"/>
              <w:left w:val="nil"/>
              <w:bottom w:val="single" w:sz="4" w:space="0" w:color="auto"/>
              <w:right w:val="single" w:sz="4" w:space="0" w:color="auto"/>
            </w:tcBorders>
            <w:shd w:val="clear" w:color="auto" w:fill="595959"/>
            <w:vAlign w:val="center"/>
            <w:hideMark/>
          </w:tcPr>
          <w:p w14:paraId="4111061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595959"/>
            <w:noWrap/>
            <w:vAlign w:val="bottom"/>
            <w:hideMark/>
          </w:tcPr>
          <w:p w14:paraId="452355A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7798E0F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1145" w:type="dxa"/>
            <w:tcBorders>
              <w:top w:val="nil"/>
              <w:left w:val="nil"/>
              <w:bottom w:val="single" w:sz="4" w:space="0" w:color="auto"/>
              <w:right w:val="single" w:sz="4" w:space="0" w:color="auto"/>
            </w:tcBorders>
            <w:shd w:val="clear" w:color="auto" w:fill="595959"/>
            <w:vAlign w:val="center"/>
            <w:hideMark/>
          </w:tcPr>
          <w:p w14:paraId="3EFA8D7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077" w:type="dxa"/>
            <w:tcBorders>
              <w:top w:val="nil"/>
              <w:left w:val="nil"/>
              <w:bottom w:val="single" w:sz="4" w:space="0" w:color="auto"/>
              <w:right w:val="single" w:sz="4" w:space="0" w:color="auto"/>
            </w:tcBorders>
            <w:shd w:val="clear" w:color="auto" w:fill="595959"/>
            <w:noWrap/>
            <w:vAlign w:val="bottom"/>
            <w:hideMark/>
          </w:tcPr>
          <w:p w14:paraId="2D12CBB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614438" w:rsidRPr="004F5BC1" w14:paraId="0F8602EA"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1843ACD8"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774A9BF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PM_EE39</w:t>
            </w:r>
          </w:p>
        </w:tc>
        <w:tc>
          <w:tcPr>
            <w:tcW w:w="3620" w:type="dxa"/>
            <w:tcBorders>
              <w:top w:val="nil"/>
              <w:left w:val="nil"/>
              <w:bottom w:val="single" w:sz="4" w:space="0" w:color="auto"/>
              <w:right w:val="single" w:sz="4" w:space="0" w:color="auto"/>
            </w:tcBorders>
            <w:vAlign w:val="center"/>
            <w:hideMark/>
          </w:tcPr>
          <w:p w14:paraId="044DD66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Improve the bankability of energy efficiency projects</w:t>
            </w:r>
          </w:p>
        </w:tc>
        <w:tc>
          <w:tcPr>
            <w:tcW w:w="1079" w:type="dxa"/>
            <w:tcBorders>
              <w:top w:val="nil"/>
              <w:left w:val="nil"/>
              <w:bottom w:val="single" w:sz="4" w:space="0" w:color="auto"/>
              <w:right w:val="single" w:sz="4" w:space="0" w:color="auto"/>
            </w:tcBorders>
            <w:vAlign w:val="center"/>
            <w:hideMark/>
          </w:tcPr>
          <w:p w14:paraId="3927038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1072" w:type="dxa"/>
            <w:tcBorders>
              <w:top w:val="nil"/>
              <w:left w:val="nil"/>
              <w:bottom w:val="single" w:sz="4" w:space="0" w:color="auto"/>
              <w:right w:val="single" w:sz="4" w:space="0" w:color="auto"/>
            </w:tcBorders>
            <w:vAlign w:val="center"/>
            <w:hideMark/>
          </w:tcPr>
          <w:p w14:paraId="28BE871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Budget incorporated into all end-use measures</w:t>
            </w:r>
          </w:p>
        </w:tc>
        <w:tc>
          <w:tcPr>
            <w:tcW w:w="1227" w:type="dxa"/>
            <w:tcBorders>
              <w:top w:val="nil"/>
              <w:left w:val="nil"/>
              <w:bottom w:val="single" w:sz="4" w:space="0" w:color="auto"/>
              <w:right w:val="single" w:sz="4" w:space="0" w:color="auto"/>
            </w:tcBorders>
            <w:shd w:val="clear" w:color="auto" w:fill="595959"/>
            <w:vAlign w:val="center"/>
            <w:hideMark/>
          </w:tcPr>
          <w:p w14:paraId="30524B2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0" w:type="dxa"/>
            <w:tcBorders>
              <w:top w:val="nil"/>
              <w:left w:val="nil"/>
              <w:bottom w:val="single" w:sz="4" w:space="0" w:color="auto"/>
              <w:right w:val="single" w:sz="4" w:space="0" w:color="auto"/>
            </w:tcBorders>
            <w:shd w:val="clear" w:color="auto" w:fill="595959"/>
            <w:vAlign w:val="center"/>
            <w:hideMark/>
          </w:tcPr>
          <w:p w14:paraId="601A45C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595959"/>
            <w:noWrap/>
            <w:vAlign w:val="bottom"/>
            <w:hideMark/>
          </w:tcPr>
          <w:p w14:paraId="6AF2B92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7CB513C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1145" w:type="dxa"/>
            <w:tcBorders>
              <w:top w:val="nil"/>
              <w:left w:val="nil"/>
              <w:bottom w:val="single" w:sz="4" w:space="0" w:color="auto"/>
              <w:right w:val="single" w:sz="4" w:space="0" w:color="auto"/>
            </w:tcBorders>
            <w:shd w:val="clear" w:color="auto" w:fill="595959"/>
            <w:vAlign w:val="center"/>
            <w:hideMark/>
          </w:tcPr>
          <w:p w14:paraId="49C4D5F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077" w:type="dxa"/>
            <w:tcBorders>
              <w:top w:val="nil"/>
              <w:left w:val="nil"/>
              <w:bottom w:val="single" w:sz="4" w:space="0" w:color="auto"/>
              <w:right w:val="single" w:sz="4" w:space="0" w:color="auto"/>
            </w:tcBorders>
            <w:shd w:val="clear" w:color="auto" w:fill="595959"/>
            <w:noWrap/>
            <w:vAlign w:val="bottom"/>
            <w:hideMark/>
          </w:tcPr>
          <w:p w14:paraId="1F515DB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614438" w:rsidRPr="004F5BC1" w14:paraId="61BB53FA"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232A8A06"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31FDD8C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PM_EE40</w:t>
            </w:r>
          </w:p>
        </w:tc>
        <w:tc>
          <w:tcPr>
            <w:tcW w:w="3620" w:type="dxa"/>
            <w:tcBorders>
              <w:top w:val="nil"/>
              <w:left w:val="nil"/>
              <w:bottom w:val="single" w:sz="4" w:space="0" w:color="auto"/>
              <w:right w:val="single" w:sz="4" w:space="0" w:color="auto"/>
            </w:tcBorders>
            <w:vAlign w:val="center"/>
            <w:hideMark/>
          </w:tcPr>
          <w:p w14:paraId="72731B6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Deployment of smart meters (synergies with energy market dimension)</w:t>
            </w:r>
          </w:p>
        </w:tc>
        <w:tc>
          <w:tcPr>
            <w:tcW w:w="1079" w:type="dxa"/>
            <w:tcBorders>
              <w:top w:val="nil"/>
              <w:left w:val="nil"/>
              <w:bottom w:val="single" w:sz="4" w:space="0" w:color="auto"/>
              <w:right w:val="single" w:sz="4" w:space="0" w:color="auto"/>
            </w:tcBorders>
            <w:vAlign w:val="center"/>
            <w:hideMark/>
          </w:tcPr>
          <w:p w14:paraId="44EED34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1072" w:type="dxa"/>
            <w:tcBorders>
              <w:top w:val="nil"/>
              <w:left w:val="nil"/>
              <w:bottom w:val="single" w:sz="4" w:space="0" w:color="auto"/>
              <w:right w:val="single" w:sz="4" w:space="0" w:color="auto"/>
            </w:tcBorders>
            <w:vAlign w:val="center"/>
            <w:hideMark/>
          </w:tcPr>
          <w:p w14:paraId="192B04E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Budget incorporated into all end-use measures</w:t>
            </w:r>
          </w:p>
        </w:tc>
        <w:tc>
          <w:tcPr>
            <w:tcW w:w="1227" w:type="dxa"/>
            <w:tcBorders>
              <w:top w:val="nil"/>
              <w:left w:val="nil"/>
              <w:bottom w:val="single" w:sz="4" w:space="0" w:color="auto"/>
              <w:right w:val="single" w:sz="4" w:space="0" w:color="auto"/>
            </w:tcBorders>
            <w:shd w:val="clear" w:color="auto" w:fill="595959"/>
            <w:vAlign w:val="center"/>
            <w:hideMark/>
          </w:tcPr>
          <w:p w14:paraId="22681D2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0" w:type="dxa"/>
            <w:tcBorders>
              <w:top w:val="nil"/>
              <w:left w:val="nil"/>
              <w:bottom w:val="single" w:sz="4" w:space="0" w:color="auto"/>
              <w:right w:val="single" w:sz="4" w:space="0" w:color="auto"/>
            </w:tcBorders>
            <w:shd w:val="clear" w:color="auto" w:fill="595959"/>
            <w:vAlign w:val="center"/>
            <w:hideMark/>
          </w:tcPr>
          <w:p w14:paraId="0F328DE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595959"/>
            <w:noWrap/>
            <w:vAlign w:val="bottom"/>
            <w:hideMark/>
          </w:tcPr>
          <w:p w14:paraId="217B782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18BCDC0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1145" w:type="dxa"/>
            <w:tcBorders>
              <w:top w:val="nil"/>
              <w:left w:val="nil"/>
              <w:bottom w:val="single" w:sz="4" w:space="0" w:color="auto"/>
              <w:right w:val="single" w:sz="4" w:space="0" w:color="auto"/>
            </w:tcBorders>
            <w:shd w:val="clear" w:color="auto" w:fill="595959"/>
            <w:vAlign w:val="center"/>
            <w:hideMark/>
          </w:tcPr>
          <w:p w14:paraId="20513E4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077" w:type="dxa"/>
            <w:tcBorders>
              <w:top w:val="nil"/>
              <w:left w:val="nil"/>
              <w:bottom w:val="single" w:sz="4" w:space="0" w:color="auto"/>
              <w:right w:val="single" w:sz="4" w:space="0" w:color="auto"/>
            </w:tcBorders>
            <w:shd w:val="clear" w:color="auto" w:fill="595959"/>
            <w:noWrap/>
            <w:vAlign w:val="bottom"/>
            <w:hideMark/>
          </w:tcPr>
          <w:p w14:paraId="67CDEAF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614438" w:rsidRPr="004F5BC1" w14:paraId="1246D570"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6A9186A5"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6BE7463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PM_EE41</w:t>
            </w:r>
          </w:p>
        </w:tc>
        <w:tc>
          <w:tcPr>
            <w:tcW w:w="3620" w:type="dxa"/>
            <w:tcBorders>
              <w:top w:val="nil"/>
              <w:left w:val="nil"/>
              <w:bottom w:val="single" w:sz="4" w:space="0" w:color="auto"/>
              <w:right w:val="single" w:sz="4" w:space="0" w:color="auto"/>
            </w:tcBorders>
            <w:vAlign w:val="center"/>
            <w:hideMark/>
          </w:tcPr>
          <w:p w14:paraId="227CFFB3" w14:textId="5F93030B"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Promotion of smart and carbon</w:t>
            </w:r>
            <w:r w:rsidR="00554EAB" w:rsidRPr="004F5BC1">
              <w:rPr>
                <w:rFonts w:ascii="Times New Roman" w:hAnsi="Times New Roman" w:cs="Times New Roman"/>
                <w:sz w:val="14"/>
                <w:szCs w:val="14"/>
                <w:lang w:val="en-GB"/>
              </w:rPr>
              <w:t>-</w:t>
            </w:r>
            <w:r w:rsidRPr="004F5BC1">
              <w:rPr>
                <w:rFonts w:ascii="Times New Roman" w:hAnsi="Times New Roman" w:cs="Times New Roman"/>
                <w:sz w:val="14"/>
                <w:szCs w:val="14"/>
                <w:lang w:val="en-GB"/>
              </w:rPr>
              <w:t>neutral cities</w:t>
            </w:r>
          </w:p>
        </w:tc>
        <w:tc>
          <w:tcPr>
            <w:tcW w:w="1079" w:type="dxa"/>
            <w:tcBorders>
              <w:top w:val="nil"/>
              <w:left w:val="nil"/>
              <w:bottom w:val="single" w:sz="4" w:space="0" w:color="auto"/>
              <w:right w:val="single" w:sz="4" w:space="0" w:color="auto"/>
            </w:tcBorders>
            <w:vAlign w:val="center"/>
            <w:hideMark/>
          </w:tcPr>
          <w:p w14:paraId="306A428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1072" w:type="dxa"/>
            <w:tcBorders>
              <w:top w:val="nil"/>
              <w:left w:val="nil"/>
              <w:bottom w:val="single" w:sz="2" w:space="0" w:color="auto"/>
              <w:right w:val="single" w:sz="4" w:space="0" w:color="auto"/>
            </w:tcBorders>
            <w:vAlign w:val="center"/>
            <w:hideMark/>
          </w:tcPr>
          <w:p w14:paraId="7787205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Budget incorporated into all end-use measures</w:t>
            </w:r>
          </w:p>
        </w:tc>
        <w:tc>
          <w:tcPr>
            <w:tcW w:w="1227" w:type="dxa"/>
            <w:tcBorders>
              <w:top w:val="nil"/>
              <w:left w:val="nil"/>
              <w:bottom w:val="single" w:sz="4" w:space="0" w:color="auto"/>
              <w:right w:val="single" w:sz="4" w:space="0" w:color="auto"/>
            </w:tcBorders>
            <w:shd w:val="clear" w:color="auto" w:fill="595959"/>
            <w:vAlign w:val="center"/>
            <w:hideMark/>
          </w:tcPr>
          <w:p w14:paraId="15F087A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0" w:type="dxa"/>
            <w:tcBorders>
              <w:top w:val="nil"/>
              <w:left w:val="nil"/>
              <w:bottom w:val="single" w:sz="4" w:space="0" w:color="auto"/>
              <w:right w:val="single" w:sz="4" w:space="0" w:color="auto"/>
            </w:tcBorders>
            <w:shd w:val="clear" w:color="auto" w:fill="595959"/>
            <w:vAlign w:val="center"/>
            <w:hideMark/>
          </w:tcPr>
          <w:p w14:paraId="479076E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595959"/>
            <w:noWrap/>
            <w:vAlign w:val="bottom"/>
            <w:hideMark/>
          </w:tcPr>
          <w:p w14:paraId="0C2EF52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007ED21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1145" w:type="dxa"/>
            <w:tcBorders>
              <w:top w:val="nil"/>
              <w:left w:val="nil"/>
              <w:bottom w:val="single" w:sz="4" w:space="0" w:color="auto"/>
              <w:right w:val="single" w:sz="4" w:space="0" w:color="auto"/>
            </w:tcBorders>
            <w:shd w:val="clear" w:color="auto" w:fill="595959"/>
            <w:vAlign w:val="center"/>
            <w:hideMark/>
          </w:tcPr>
          <w:p w14:paraId="1C4DE9A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077" w:type="dxa"/>
            <w:tcBorders>
              <w:top w:val="nil"/>
              <w:left w:val="nil"/>
              <w:bottom w:val="single" w:sz="4" w:space="0" w:color="auto"/>
              <w:right w:val="single" w:sz="4" w:space="0" w:color="auto"/>
            </w:tcBorders>
            <w:shd w:val="clear" w:color="auto" w:fill="595959"/>
            <w:noWrap/>
            <w:vAlign w:val="bottom"/>
            <w:hideMark/>
          </w:tcPr>
          <w:p w14:paraId="7408D7A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614438" w:rsidRPr="004F5BC1" w14:paraId="0FD5B63D"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4276F3CB"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68737ED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PM_EE42</w:t>
            </w:r>
          </w:p>
        </w:tc>
        <w:tc>
          <w:tcPr>
            <w:tcW w:w="3620" w:type="dxa"/>
            <w:tcBorders>
              <w:top w:val="nil"/>
              <w:left w:val="nil"/>
              <w:bottom w:val="single" w:sz="4" w:space="0" w:color="auto"/>
              <w:right w:val="single" w:sz="4" w:space="0" w:color="auto"/>
            </w:tcBorders>
            <w:vAlign w:val="center"/>
            <w:hideMark/>
          </w:tcPr>
          <w:p w14:paraId="31D71FD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Promotion of measures for improving energy efficiency in electricity infrastructure</w:t>
            </w:r>
          </w:p>
        </w:tc>
        <w:tc>
          <w:tcPr>
            <w:tcW w:w="1079" w:type="dxa"/>
            <w:tcBorders>
              <w:top w:val="nil"/>
              <w:left w:val="nil"/>
              <w:bottom w:val="single" w:sz="4" w:space="0" w:color="auto"/>
              <w:right w:val="single" w:sz="2" w:space="0" w:color="auto"/>
            </w:tcBorders>
            <w:vAlign w:val="center"/>
            <w:hideMark/>
          </w:tcPr>
          <w:p w14:paraId="24ECFAA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1072" w:type="dxa"/>
            <w:tcBorders>
              <w:top w:val="single" w:sz="2" w:space="0" w:color="auto"/>
              <w:left w:val="single" w:sz="2" w:space="0" w:color="auto"/>
              <w:bottom w:val="single" w:sz="2" w:space="0" w:color="auto"/>
              <w:right w:val="single" w:sz="2" w:space="0" w:color="auto"/>
            </w:tcBorders>
            <w:noWrap/>
            <w:vAlign w:val="bottom"/>
            <w:hideMark/>
          </w:tcPr>
          <w:p w14:paraId="3258D56D" w14:textId="77777777" w:rsidR="00614438" w:rsidRPr="004F5BC1" w:rsidRDefault="00614438" w:rsidP="00614438">
            <w:pPr>
              <w:jc w:val="both"/>
              <w:rPr>
                <w:rFonts w:ascii="Times New Roman" w:hAnsi="Times New Roman" w:cs="Times New Roman"/>
                <w:sz w:val="14"/>
                <w:szCs w:val="14"/>
                <w:lang w:val="en-GB"/>
              </w:rPr>
            </w:pPr>
          </w:p>
        </w:tc>
        <w:tc>
          <w:tcPr>
            <w:tcW w:w="1227" w:type="dxa"/>
            <w:tcBorders>
              <w:top w:val="nil"/>
              <w:left w:val="single" w:sz="2" w:space="0" w:color="auto"/>
              <w:bottom w:val="single" w:sz="4" w:space="0" w:color="auto"/>
              <w:right w:val="single" w:sz="4" w:space="0" w:color="auto"/>
            </w:tcBorders>
            <w:shd w:val="clear" w:color="auto" w:fill="ED7D31"/>
            <w:vAlign w:val="center"/>
            <w:hideMark/>
          </w:tcPr>
          <w:p w14:paraId="15007AA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under examination</w:t>
            </w:r>
          </w:p>
        </w:tc>
        <w:tc>
          <w:tcPr>
            <w:tcW w:w="1140" w:type="dxa"/>
            <w:tcBorders>
              <w:top w:val="nil"/>
              <w:left w:val="nil"/>
              <w:bottom w:val="single" w:sz="4" w:space="0" w:color="auto"/>
              <w:right w:val="single" w:sz="4" w:space="0" w:color="auto"/>
            </w:tcBorders>
            <w:shd w:val="clear" w:color="auto" w:fill="ED7D31"/>
            <w:vAlign w:val="center"/>
            <w:hideMark/>
          </w:tcPr>
          <w:p w14:paraId="4E6D6FF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ED7D31"/>
            <w:vAlign w:val="center"/>
            <w:hideMark/>
          </w:tcPr>
          <w:p w14:paraId="576E46A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3C9862C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 WAM (enhancement, adjustment)</w:t>
            </w:r>
          </w:p>
        </w:tc>
        <w:tc>
          <w:tcPr>
            <w:tcW w:w="1145" w:type="dxa"/>
            <w:tcBorders>
              <w:top w:val="nil"/>
              <w:left w:val="nil"/>
              <w:bottom w:val="single" w:sz="4" w:space="0" w:color="auto"/>
              <w:right w:val="single" w:sz="4" w:space="0" w:color="auto"/>
            </w:tcBorders>
            <w:shd w:val="clear" w:color="auto" w:fill="ED7D31"/>
            <w:vAlign w:val="center"/>
            <w:hideMark/>
          </w:tcPr>
          <w:p w14:paraId="3D1279C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1077" w:type="dxa"/>
            <w:tcBorders>
              <w:top w:val="nil"/>
              <w:left w:val="nil"/>
              <w:bottom w:val="single" w:sz="4" w:space="0" w:color="auto"/>
              <w:right w:val="single" w:sz="4" w:space="0" w:color="auto"/>
            </w:tcBorders>
            <w:shd w:val="clear" w:color="auto" w:fill="ED7D31"/>
            <w:vAlign w:val="center"/>
            <w:hideMark/>
          </w:tcPr>
          <w:p w14:paraId="08D5DEE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1DCE55EC"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14BD05F9"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4" w:space="0" w:color="auto"/>
              <w:right w:val="single" w:sz="4" w:space="0" w:color="auto"/>
            </w:tcBorders>
            <w:vAlign w:val="center"/>
            <w:hideMark/>
          </w:tcPr>
          <w:p w14:paraId="329AE3B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PM_EE43</w:t>
            </w:r>
          </w:p>
        </w:tc>
        <w:tc>
          <w:tcPr>
            <w:tcW w:w="3620" w:type="dxa"/>
            <w:tcBorders>
              <w:top w:val="nil"/>
              <w:left w:val="nil"/>
              <w:bottom w:val="single" w:sz="4" w:space="0" w:color="auto"/>
              <w:right w:val="single" w:sz="4" w:space="0" w:color="auto"/>
            </w:tcBorders>
            <w:vAlign w:val="center"/>
            <w:hideMark/>
          </w:tcPr>
          <w:p w14:paraId="7B1DED0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Promotion of measures for improving energy efficiency in natural gas infrastructure</w:t>
            </w:r>
          </w:p>
        </w:tc>
        <w:tc>
          <w:tcPr>
            <w:tcW w:w="1079" w:type="dxa"/>
            <w:tcBorders>
              <w:top w:val="nil"/>
              <w:left w:val="nil"/>
              <w:bottom w:val="single" w:sz="4" w:space="0" w:color="auto"/>
              <w:right w:val="single" w:sz="4" w:space="0" w:color="auto"/>
            </w:tcBorders>
            <w:vAlign w:val="center"/>
            <w:hideMark/>
          </w:tcPr>
          <w:p w14:paraId="461AABF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1072" w:type="dxa"/>
            <w:tcBorders>
              <w:top w:val="single" w:sz="2" w:space="0" w:color="auto"/>
              <w:left w:val="nil"/>
              <w:bottom w:val="single" w:sz="4" w:space="0" w:color="auto"/>
              <w:right w:val="single" w:sz="4" w:space="0" w:color="auto"/>
            </w:tcBorders>
            <w:vAlign w:val="center"/>
            <w:hideMark/>
          </w:tcPr>
          <w:p w14:paraId="0844D45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227" w:type="dxa"/>
            <w:tcBorders>
              <w:top w:val="nil"/>
              <w:left w:val="nil"/>
              <w:bottom w:val="single" w:sz="4" w:space="0" w:color="auto"/>
              <w:right w:val="single" w:sz="4" w:space="0" w:color="auto"/>
            </w:tcBorders>
            <w:shd w:val="clear" w:color="auto" w:fill="ED7D31"/>
            <w:vAlign w:val="center"/>
            <w:hideMark/>
          </w:tcPr>
          <w:p w14:paraId="5393CA4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Under examination</w:t>
            </w:r>
          </w:p>
        </w:tc>
        <w:tc>
          <w:tcPr>
            <w:tcW w:w="1140" w:type="dxa"/>
            <w:tcBorders>
              <w:top w:val="nil"/>
              <w:left w:val="nil"/>
              <w:bottom w:val="single" w:sz="4" w:space="0" w:color="auto"/>
              <w:right w:val="single" w:sz="4" w:space="0" w:color="auto"/>
            </w:tcBorders>
            <w:shd w:val="clear" w:color="auto" w:fill="ED7D31"/>
            <w:vAlign w:val="center"/>
            <w:hideMark/>
          </w:tcPr>
          <w:p w14:paraId="67C2EA9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4" w:space="0" w:color="auto"/>
              <w:right w:val="single" w:sz="4" w:space="0" w:color="auto"/>
            </w:tcBorders>
            <w:shd w:val="clear" w:color="auto" w:fill="ED7D31"/>
            <w:vAlign w:val="center"/>
            <w:hideMark/>
          </w:tcPr>
          <w:p w14:paraId="3BAF826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4" w:space="0" w:color="auto"/>
              <w:right w:val="single" w:sz="4" w:space="0" w:color="auto"/>
            </w:tcBorders>
            <w:shd w:val="clear" w:color="auto" w:fill="E2EFDA"/>
            <w:vAlign w:val="center"/>
            <w:hideMark/>
          </w:tcPr>
          <w:p w14:paraId="572B269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 WAM (enhancement, adjustment)</w:t>
            </w:r>
          </w:p>
        </w:tc>
        <w:tc>
          <w:tcPr>
            <w:tcW w:w="1145" w:type="dxa"/>
            <w:tcBorders>
              <w:top w:val="nil"/>
              <w:left w:val="nil"/>
              <w:bottom w:val="single" w:sz="4" w:space="0" w:color="auto"/>
              <w:right w:val="single" w:sz="4" w:space="0" w:color="auto"/>
            </w:tcBorders>
            <w:shd w:val="clear" w:color="auto" w:fill="ED7D31"/>
            <w:vAlign w:val="center"/>
            <w:hideMark/>
          </w:tcPr>
          <w:p w14:paraId="2D74B2B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1077" w:type="dxa"/>
            <w:tcBorders>
              <w:top w:val="nil"/>
              <w:left w:val="nil"/>
              <w:bottom w:val="single" w:sz="4" w:space="0" w:color="auto"/>
              <w:right w:val="single" w:sz="4" w:space="0" w:color="auto"/>
            </w:tcBorders>
            <w:shd w:val="clear" w:color="auto" w:fill="ED7D31"/>
            <w:vAlign w:val="center"/>
            <w:hideMark/>
          </w:tcPr>
          <w:p w14:paraId="70F90F5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2FCEBCCE"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0FC305FF"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2" w:space="0" w:color="auto"/>
              <w:right w:val="single" w:sz="4" w:space="0" w:color="auto"/>
            </w:tcBorders>
            <w:vAlign w:val="center"/>
            <w:hideMark/>
          </w:tcPr>
          <w:p w14:paraId="47C9B12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PM_EE44</w:t>
            </w:r>
          </w:p>
        </w:tc>
        <w:tc>
          <w:tcPr>
            <w:tcW w:w="3620" w:type="dxa"/>
            <w:tcBorders>
              <w:top w:val="nil"/>
              <w:left w:val="nil"/>
              <w:bottom w:val="single" w:sz="2" w:space="0" w:color="auto"/>
              <w:right w:val="single" w:sz="4" w:space="0" w:color="auto"/>
            </w:tcBorders>
            <w:noWrap/>
            <w:vAlign w:val="center"/>
            <w:hideMark/>
          </w:tcPr>
          <w:p w14:paraId="1F9DCA6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Promotion of demand response and dynamic pricing and tariffs</w:t>
            </w:r>
          </w:p>
        </w:tc>
        <w:tc>
          <w:tcPr>
            <w:tcW w:w="1079" w:type="dxa"/>
            <w:tcBorders>
              <w:top w:val="nil"/>
              <w:left w:val="nil"/>
              <w:bottom w:val="single" w:sz="2" w:space="0" w:color="auto"/>
              <w:right w:val="single" w:sz="4" w:space="0" w:color="auto"/>
            </w:tcBorders>
            <w:vAlign w:val="center"/>
            <w:hideMark/>
          </w:tcPr>
          <w:p w14:paraId="036ADC3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1072" w:type="dxa"/>
            <w:tcBorders>
              <w:top w:val="nil"/>
              <w:left w:val="nil"/>
              <w:bottom w:val="single" w:sz="2" w:space="0" w:color="auto"/>
              <w:right w:val="single" w:sz="4" w:space="0" w:color="auto"/>
            </w:tcBorders>
            <w:vAlign w:val="center"/>
            <w:hideMark/>
          </w:tcPr>
          <w:p w14:paraId="358DE03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Budget incorporated into all end-use measures</w:t>
            </w:r>
          </w:p>
        </w:tc>
        <w:tc>
          <w:tcPr>
            <w:tcW w:w="1227" w:type="dxa"/>
            <w:tcBorders>
              <w:top w:val="nil"/>
              <w:left w:val="nil"/>
              <w:bottom w:val="single" w:sz="2" w:space="0" w:color="auto"/>
              <w:right w:val="single" w:sz="4" w:space="0" w:color="auto"/>
            </w:tcBorders>
            <w:shd w:val="clear" w:color="auto" w:fill="595959"/>
            <w:vAlign w:val="center"/>
            <w:hideMark/>
          </w:tcPr>
          <w:p w14:paraId="1EDED84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0" w:type="dxa"/>
            <w:tcBorders>
              <w:top w:val="nil"/>
              <w:left w:val="nil"/>
              <w:bottom w:val="single" w:sz="2" w:space="0" w:color="auto"/>
              <w:right w:val="single" w:sz="4" w:space="0" w:color="auto"/>
            </w:tcBorders>
            <w:shd w:val="clear" w:color="auto" w:fill="595959"/>
            <w:vAlign w:val="center"/>
            <w:hideMark/>
          </w:tcPr>
          <w:p w14:paraId="661CB84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145" w:type="dxa"/>
            <w:tcBorders>
              <w:top w:val="nil"/>
              <w:left w:val="nil"/>
              <w:bottom w:val="single" w:sz="2" w:space="0" w:color="auto"/>
              <w:right w:val="single" w:sz="4" w:space="0" w:color="auto"/>
            </w:tcBorders>
            <w:shd w:val="clear" w:color="auto" w:fill="595959"/>
            <w:noWrap/>
            <w:vAlign w:val="bottom"/>
            <w:hideMark/>
          </w:tcPr>
          <w:p w14:paraId="76D7098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322" w:type="dxa"/>
            <w:tcBorders>
              <w:top w:val="nil"/>
              <w:left w:val="nil"/>
              <w:bottom w:val="single" w:sz="2" w:space="0" w:color="auto"/>
              <w:right w:val="single" w:sz="4" w:space="0" w:color="auto"/>
            </w:tcBorders>
            <w:shd w:val="clear" w:color="auto" w:fill="E2EFDA"/>
            <w:vAlign w:val="center"/>
            <w:hideMark/>
          </w:tcPr>
          <w:p w14:paraId="3295A30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1145" w:type="dxa"/>
            <w:tcBorders>
              <w:top w:val="nil"/>
              <w:left w:val="nil"/>
              <w:bottom w:val="single" w:sz="2" w:space="0" w:color="auto"/>
              <w:right w:val="single" w:sz="4" w:space="0" w:color="auto"/>
            </w:tcBorders>
            <w:shd w:val="clear" w:color="auto" w:fill="595959"/>
            <w:vAlign w:val="center"/>
            <w:hideMark/>
          </w:tcPr>
          <w:p w14:paraId="319B86A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1077" w:type="dxa"/>
            <w:tcBorders>
              <w:top w:val="nil"/>
              <w:left w:val="nil"/>
              <w:bottom w:val="single" w:sz="2" w:space="0" w:color="auto"/>
              <w:right w:val="single" w:sz="4" w:space="0" w:color="auto"/>
            </w:tcBorders>
            <w:shd w:val="clear" w:color="auto" w:fill="595959"/>
            <w:noWrap/>
            <w:vAlign w:val="bottom"/>
            <w:hideMark/>
          </w:tcPr>
          <w:p w14:paraId="36888E7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r>
      <w:tr w:rsidR="00614438" w:rsidRPr="004F5BC1" w14:paraId="4A5E6706"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292E068D"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2" w:space="0" w:color="auto"/>
              <w:right w:val="single" w:sz="4" w:space="0" w:color="auto"/>
            </w:tcBorders>
            <w:hideMark/>
          </w:tcPr>
          <w:p w14:paraId="65BE0F4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PM_EE45</w:t>
            </w:r>
          </w:p>
        </w:tc>
        <w:tc>
          <w:tcPr>
            <w:tcW w:w="3620" w:type="dxa"/>
            <w:tcBorders>
              <w:top w:val="nil"/>
              <w:left w:val="nil"/>
              <w:bottom w:val="single" w:sz="2" w:space="0" w:color="auto"/>
              <w:right w:val="single" w:sz="4" w:space="0" w:color="auto"/>
            </w:tcBorders>
            <w:noWrap/>
            <w:hideMark/>
          </w:tcPr>
          <w:p w14:paraId="475D48F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Preparation of comprehensive assessment for promoting efficiency in heating and cooling </w:t>
            </w:r>
          </w:p>
        </w:tc>
        <w:tc>
          <w:tcPr>
            <w:tcW w:w="1079" w:type="dxa"/>
            <w:tcBorders>
              <w:top w:val="nil"/>
              <w:left w:val="nil"/>
              <w:bottom w:val="single" w:sz="2" w:space="0" w:color="auto"/>
              <w:right w:val="single" w:sz="4" w:space="0" w:color="auto"/>
            </w:tcBorders>
            <w:hideMark/>
          </w:tcPr>
          <w:p w14:paraId="60C5500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1072" w:type="dxa"/>
            <w:tcBorders>
              <w:top w:val="nil"/>
              <w:left w:val="nil"/>
              <w:bottom w:val="single" w:sz="2" w:space="0" w:color="auto"/>
              <w:right w:val="single" w:sz="4" w:space="0" w:color="auto"/>
            </w:tcBorders>
          </w:tcPr>
          <w:p w14:paraId="0C9CC32A" w14:textId="77777777" w:rsidR="00614438" w:rsidRPr="004F5BC1" w:rsidRDefault="00614438" w:rsidP="00614438">
            <w:pPr>
              <w:jc w:val="both"/>
              <w:rPr>
                <w:rFonts w:ascii="Times New Roman" w:hAnsi="Times New Roman" w:cs="Times New Roman"/>
                <w:sz w:val="14"/>
                <w:szCs w:val="14"/>
                <w:lang w:val="en-GB"/>
              </w:rPr>
            </w:pPr>
          </w:p>
        </w:tc>
        <w:tc>
          <w:tcPr>
            <w:tcW w:w="1227" w:type="dxa"/>
            <w:tcBorders>
              <w:top w:val="nil"/>
              <w:left w:val="nil"/>
              <w:bottom w:val="single" w:sz="2" w:space="0" w:color="auto"/>
              <w:right w:val="single" w:sz="4" w:space="0" w:color="auto"/>
            </w:tcBorders>
            <w:shd w:val="clear" w:color="auto" w:fill="E2EFD9" w:themeFill="accent6" w:themeFillTint="33"/>
            <w:vAlign w:val="center"/>
            <w:hideMark/>
          </w:tcPr>
          <w:p w14:paraId="74F7DDD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1140" w:type="dxa"/>
            <w:tcBorders>
              <w:top w:val="nil"/>
              <w:left w:val="nil"/>
              <w:bottom w:val="single" w:sz="2" w:space="0" w:color="auto"/>
              <w:right w:val="single" w:sz="4" w:space="0" w:color="auto"/>
            </w:tcBorders>
            <w:shd w:val="clear" w:color="auto" w:fill="E2EFD9" w:themeFill="accent6" w:themeFillTint="33"/>
            <w:vAlign w:val="center"/>
            <w:hideMark/>
          </w:tcPr>
          <w:p w14:paraId="6405D10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1145" w:type="dxa"/>
            <w:tcBorders>
              <w:top w:val="nil"/>
              <w:left w:val="nil"/>
              <w:bottom w:val="single" w:sz="2" w:space="0" w:color="auto"/>
              <w:right w:val="single" w:sz="4" w:space="0" w:color="auto"/>
            </w:tcBorders>
            <w:shd w:val="clear" w:color="auto" w:fill="E2EFD9" w:themeFill="accent6" w:themeFillTint="33"/>
            <w:noWrap/>
            <w:vAlign w:val="center"/>
            <w:hideMark/>
          </w:tcPr>
          <w:p w14:paraId="4E2FD5D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1322" w:type="dxa"/>
            <w:tcBorders>
              <w:top w:val="nil"/>
              <w:left w:val="nil"/>
              <w:bottom w:val="single" w:sz="2" w:space="0" w:color="auto"/>
              <w:right w:val="single" w:sz="4" w:space="0" w:color="auto"/>
            </w:tcBorders>
            <w:shd w:val="clear" w:color="auto" w:fill="E2EFD9" w:themeFill="accent6" w:themeFillTint="33"/>
            <w:vAlign w:val="center"/>
            <w:hideMark/>
          </w:tcPr>
          <w:p w14:paraId="1C2ADDE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1145" w:type="dxa"/>
            <w:tcBorders>
              <w:top w:val="nil"/>
              <w:left w:val="nil"/>
              <w:bottom w:val="single" w:sz="2" w:space="0" w:color="auto"/>
              <w:right w:val="single" w:sz="4" w:space="0" w:color="auto"/>
            </w:tcBorders>
            <w:shd w:val="clear" w:color="auto" w:fill="E2EFD9" w:themeFill="accent6" w:themeFillTint="33"/>
            <w:vAlign w:val="center"/>
            <w:hideMark/>
          </w:tcPr>
          <w:p w14:paraId="339020D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1077" w:type="dxa"/>
            <w:tcBorders>
              <w:top w:val="nil"/>
              <w:left w:val="nil"/>
              <w:bottom w:val="single" w:sz="2" w:space="0" w:color="auto"/>
              <w:right w:val="single" w:sz="4" w:space="0" w:color="auto"/>
            </w:tcBorders>
            <w:shd w:val="clear" w:color="auto" w:fill="E2EFD9" w:themeFill="accent6" w:themeFillTint="33"/>
            <w:noWrap/>
            <w:vAlign w:val="center"/>
            <w:hideMark/>
          </w:tcPr>
          <w:p w14:paraId="3B47BE5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r>
      <w:tr w:rsidR="00614438" w:rsidRPr="004F5BC1" w14:paraId="07445567" w14:textId="77777777" w:rsidTr="00614438">
        <w:trPr>
          <w:trHeight w:val="19"/>
        </w:trPr>
        <w:tc>
          <w:tcPr>
            <w:tcW w:w="924" w:type="dxa"/>
            <w:vMerge/>
            <w:tcBorders>
              <w:top w:val="nil"/>
              <w:left w:val="single" w:sz="4" w:space="0" w:color="auto"/>
              <w:bottom w:val="nil"/>
              <w:right w:val="single" w:sz="4" w:space="0" w:color="auto"/>
            </w:tcBorders>
            <w:vAlign w:val="center"/>
            <w:hideMark/>
          </w:tcPr>
          <w:p w14:paraId="22A33356"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nil"/>
              <w:left w:val="nil"/>
              <w:bottom w:val="single" w:sz="2" w:space="0" w:color="auto"/>
              <w:right w:val="single" w:sz="4" w:space="0" w:color="auto"/>
            </w:tcBorders>
            <w:hideMark/>
          </w:tcPr>
          <w:p w14:paraId="69F5422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PM_EE46</w:t>
            </w:r>
          </w:p>
        </w:tc>
        <w:tc>
          <w:tcPr>
            <w:tcW w:w="3620" w:type="dxa"/>
            <w:tcBorders>
              <w:top w:val="nil"/>
              <w:left w:val="nil"/>
              <w:bottom w:val="single" w:sz="2" w:space="0" w:color="auto"/>
              <w:right w:val="single" w:sz="4" w:space="0" w:color="auto"/>
            </w:tcBorders>
            <w:noWrap/>
            <w:hideMark/>
          </w:tcPr>
          <w:p w14:paraId="00F6EEAB" w14:textId="7C5D9B58"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Monitoring the provisions for metering</w:t>
            </w:r>
            <w:r w:rsidR="00554EAB" w:rsidRPr="004F5BC1">
              <w:rPr>
                <w:rFonts w:ascii="Times New Roman" w:hAnsi="Times New Roman" w:cs="Times New Roman"/>
                <w:sz w:val="14"/>
                <w:szCs w:val="14"/>
                <w:lang w:val="en-GB"/>
              </w:rPr>
              <w:t xml:space="preserve"> and</w:t>
            </w:r>
            <w:r w:rsidRPr="004F5BC1">
              <w:rPr>
                <w:rFonts w:ascii="Times New Roman" w:hAnsi="Times New Roman" w:cs="Times New Roman"/>
                <w:sz w:val="14"/>
                <w:szCs w:val="14"/>
                <w:lang w:val="en-GB"/>
              </w:rPr>
              <w:t xml:space="preserve"> billing information</w:t>
            </w:r>
          </w:p>
        </w:tc>
        <w:tc>
          <w:tcPr>
            <w:tcW w:w="1079" w:type="dxa"/>
            <w:tcBorders>
              <w:top w:val="nil"/>
              <w:left w:val="nil"/>
              <w:bottom w:val="single" w:sz="2" w:space="0" w:color="auto"/>
              <w:right w:val="single" w:sz="4" w:space="0" w:color="auto"/>
            </w:tcBorders>
            <w:hideMark/>
          </w:tcPr>
          <w:p w14:paraId="1C2EC13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1072" w:type="dxa"/>
            <w:tcBorders>
              <w:top w:val="nil"/>
              <w:left w:val="nil"/>
              <w:bottom w:val="single" w:sz="2" w:space="0" w:color="auto"/>
              <w:right w:val="single" w:sz="4" w:space="0" w:color="auto"/>
            </w:tcBorders>
          </w:tcPr>
          <w:p w14:paraId="48B6D2BD" w14:textId="77777777" w:rsidR="00614438" w:rsidRPr="004F5BC1" w:rsidRDefault="00614438" w:rsidP="00614438">
            <w:pPr>
              <w:jc w:val="both"/>
              <w:rPr>
                <w:rFonts w:ascii="Times New Roman" w:hAnsi="Times New Roman" w:cs="Times New Roman"/>
                <w:sz w:val="14"/>
                <w:szCs w:val="14"/>
                <w:lang w:val="en-GB"/>
              </w:rPr>
            </w:pPr>
          </w:p>
        </w:tc>
        <w:tc>
          <w:tcPr>
            <w:tcW w:w="1227" w:type="dxa"/>
            <w:tcBorders>
              <w:top w:val="nil"/>
              <w:left w:val="nil"/>
              <w:bottom w:val="single" w:sz="2" w:space="0" w:color="auto"/>
              <w:right w:val="single" w:sz="4" w:space="0" w:color="auto"/>
            </w:tcBorders>
            <w:shd w:val="clear" w:color="auto" w:fill="E2EFD9" w:themeFill="accent6" w:themeFillTint="33"/>
            <w:vAlign w:val="center"/>
            <w:hideMark/>
          </w:tcPr>
          <w:p w14:paraId="28BF82C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1140" w:type="dxa"/>
            <w:tcBorders>
              <w:top w:val="nil"/>
              <w:left w:val="nil"/>
              <w:bottom w:val="single" w:sz="2" w:space="0" w:color="auto"/>
              <w:right w:val="single" w:sz="4" w:space="0" w:color="auto"/>
            </w:tcBorders>
            <w:shd w:val="clear" w:color="auto" w:fill="E2EFD9" w:themeFill="accent6" w:themeFillTint="33"/>
            <w:vAlign w:val="center"/>
            <w:hideMark/>
          </w:tcPr>
          <w:p w14:paraId="5607D91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1145" w:type="dxa"/>
            <w:tcBorders>
              <w:top w:val="nil"/>
              <w:left w:val="nil"/>
              <w:bottom w:val="single" w:sz="2" w:space="0" w:color="auto"/>
              <w:right w:val="single" w:sz="4" w:space="0" w:color="auto"/>
            </w:tcBorders>
            <w:shd w:val="clear" w:color="auto" w:fill="E2EFD9" w:themeFill="accent6" w:themeFillTint="33"/>
            <w:noWrap/>
            <w:vAlign w:val="center"/>
            <w:hideMark/>
          </w:tcPr>
          <w:p w14:paraId="061F287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1322" w:type="dxa"/>
            <w:tcBorders>
              <w:top w:val="nil"/>
              <w:left w:val="nil"/>
              <w:bottom w:val="single" w:sz="2" w:space="0" w:color="auto"/>
              <w:right w:val="single" w:sz="4" w:space="0" w:color="auto"/>
            </w:tcBorders>
            <w:shd w:val="clear" w:color="auto" w:fill="E2EFD9" w:themeFill="accent6" w:themeFillTint="33"/>
            <w:vAlign w:val="center"/>
            <w:hideMark/>
          </w:tcPr>
          <w:p w14:paraId="745EFA3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1145" w:type="dxa"/>
            <w:tcBorders>
              <w:top w:val="nil"/>
              <w:left w:val="nil"/>
              <w:bottom w:val="single" w:sz="2" w:space="0" w:color="auto"/>
              <w:right w:val="single" w:sz="4" w:space="0" w:color="auto"/>
            </w:tcBorders>
            <w:shd w:val="clear" w:color="auto" w:fill="E2EFD9" w:themeFill="accent6" w:themeFillTint="33"/>
            <w:vAlign w:val="center"/>
            <w:hideMark/>
          </w:tcPr>
          <w:p w14:paraId="7AB1422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1077" w:type="dxa"/>
            <w:tcBorders>
              <w:top w:val="nil"/>
              <w:left w:val="nil"/>
              <w:bottom w:val="single" w:sz="2" w:space="0" w:color="auto"/>
              <w:right w:val="single" w:sz="4" w:space="0" w:color="auto"/>
            </w:tcBorders>
            <w:shd w:val="clear" w:color="auto" w:fill="E2EFD9" w:themeFill="accent6" w:themeFillTint="33"/>
            <w:noWrap/>
            <w:vAlign w:val="center"/>
            <w:hideMark/>
          </w:tcPr>
          <w:p w14:paraId="7D42D07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4769127E" w14:textId="77777777" w:rsidTr="00614438">
        <w:trPr>
          <w:trHeight w:val="19"/>
        </w:trPr>
        <w:tc>
          <w:tcPr>
            <w:tcW w:w="924" w:type="dxa"/>
            <w:tcBorders>
              <w:top w:val="nil"/>
              <w:left w:val="single" w:sz="4" w:space="0" w:color="auto"/>
              <w:bottom w:val="single" w:sz="2" w:space="0" w:color="auto"/>
              <w:right w:val="single" w:sz="4" w:space="0" w:color="auto"/>
            </w:tcBorders>
            <w:shd w:val="clear" w:color="auto" w:fill="BFBFBF"/>
            <w:vAlign w:val="center"/>
          </w:tcPr>
          <w:p w14:paraId="638D00BF" w14:textId="77777777" w:rsidR="00614438" w:rsidRPr="004F5BC1" w:rsidRDefault="00614438" w:rsidP="00614438">
            <w:pPr>
              <w:jc w:val="both"/>
              <w:rPr>
                <w:rFonts w:ascii="Times New Roman" w:hAnsi="Times New Roman" w:cs="Times New Roman"/>
                <w:sz w:val="14"/>
                <w:szCs w:val="14"/>
                <w:lang w:val="en-GB"/>
              </w:rPr>
            </w:pPr>
          </w:p>
        </w:tc>
        <w:tc>
          <w:tcPr>
            <w:tcW w:w="845" w:type="dxa"/>
            <w:tcBorders>
              <w:top w:val="single" w:sz="2" w:space="0" w:color="auto"/>
              <w:left w:val="nil"/>
              <w:bottom w:val="single" w:sz="2" w:space="0" w:color="auto"/>
              <w:right w:val="single" w:sz="4" w:space="0" w:color="auto"/>
            </w:tcBorders>
            <w:vAlign w:val="center"/>
          </w:tcPr>
          <w:p w14:paraId="33627F4C" w14:textId="77777777" w:rsidR="00614438" w:rsidRPr="004F5BC1" w:rsidRDefault="00614438" w:rsidP="00614438">
            <w:pPr>
              <w:jc w:val="both"/>
              <w:rPr>
                <w:rFonts w:ascii="Times New Roman" w:hAnsi="Times New Roman" w:cs="Times New Roman"/>
                <w:sz w:val="14"/>
                <w:szCs w:val="14"/>
                <w:lang w:val="en-GB"/>
              </w:rPr>
            </w:pPr>
          </w:p>
        </w:tc>
        <w:tc>
          <w:tcPr>
            <w:tcW w:w="3620" w:type="dxa"/>
            <w:tcBorders>
              <w:top w:val="single" w:sz="2" w:space="0" w:color="auto"/>
              <w:left w:val="nil"/>
              <w:bottom w:val="single" w:sz="2" w:space="0" w:color="auto"/>
              <w:right w:val="single" w:sz="4" w:space="0" w:color="auto"/>
            </w:tcBorders>
            <w:vAlign w:val="center"/>
            <w:hideMark/>
          </w:tcPr>
          <w:p w14:paraId="64BA4D4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TOTAL FOR ENERGY EFFICIENCY</w:t>
            </w:r>
          </w:p>
        </w:tc>
        <w:tc>
          <w:tcPr>
            <w:tcW w:w="1079" w:type="dxa"/>
            <w:tcBorders>
              <w:top w:val="single" w:sz="2" w:space="0" w:color="auto"/>
              <w:left w:val="nil"/>
              <w:bottom w:val="single" w:sz="2" w:space="0" w:color="auto"/>
              <w:right w:val="single" w:sz="4" w:space="0" w:color="auto"/>
            </w:tcBorders>
            <w:vAlign w:val="center"/>
          </w:tcPr>
          <w:p w14:paraId="5A330E8E" w14:textId="77777777" w:rsidR="00614438" w:rsidRPr="004F5BC1" w:rsidRDefault="00614438" w:rsidP="00614438">
            <w:pPr>
              <w:jc w:val="both"/>
              <w:rPr>
                <w:rFonts w:ascii="Times New Roman" w:hAnsi="Times New Roman" w:cs="Times New Roman"/>
                <w:sz w:val="14"/>
                <w:szCs w:val="14"/>
                <w:lang w:val="en-GB"/>
              </w:rPr>
            </w:pPr>
          </w:p>
        </w:tc>
        <w:tc>
          <w:tcPr>
            <w:tcW w:w="1072" w:type="dxa"/>
            <w:tcBorders>
              <w:top w:val="single" w:sz="2" w:space="0" w:color="auto"/>
              <w:left w:val="nil"/>
              <w:bottom w:val="single" w:sz="2" w:space="0" w:color="auto"/>
              <w:right w:val="single" w:sz="4" w:space="0" w:color="auto"/>
            </w:tcBorders>
            <w:vAlign w:val="center"/>
          </w:tcPr>
          <w:p w14:paraId="73C24A27" w14:textId="77777777" w:rsidR="00614438" w:rsidRPr="004F5BC1" w:rsidRDefault="00614438" w:rsidP="00614438">
            <w:pPr>
              <w:jc w:val="both"/>
              <w:rPr>
                <w:rFonts w:ascii="Times New Roman" w:hAnsi="Times New Roman" w:cs="Times New Roman"/>
                <w:sz w:val="14"/>
                <w:szCs w:val="14"/>
                <w:lang w:val="en-GB"/>
              </w:rPr>
            </w:pPr>
          </w:p>
        </w:tc>
        <w:tc>
          <w:tcPr>
            <w:tcW w:w="1227" w:type="dxa"/>
            <w:tcBorders>
              <w:top w:val="single" w:sz="2" w:space="0" w:color="auto"/>
              <w:left w:val="nil"/>
              <w:bottom w:val="single" w:sz="2" w:space="0" w:color="auto"/>
              <w:right w:val="single" w:sz="4" w:space="0" w:color="auto"/>
            </w:tcBorders>
            <w:shd w:val="clear" w:color="auto" w:fill="E2EFDA"/>
            <w:hideMark/>
          </w:tcPr>
          <w:p w14:paraId="7FA3C1E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20.01</w:t>
            </w:r>
          </w:p>
        </w:tc>
        <w:tc>
          <w:tcPr>
            <w:tcW w:w="1140" w:type="dxa"/>
            <w:tcBorders>
              <w:top w:val="single" w:sz="2" w:space="0" w:color="auto"/>
              <w:left w:val="nil"/>
              <w:bottom w:val="single" w:sz="2" w:space="0" w:color="auto"/>
              <w:right w:val="single" w:sz="4" w:space="0" w:color="auto"/>
            </w:tcBorders>
            <w:shd w:val="clear" w:color="auto" w:fill="E2EFDA"/>
            <w:hideMark/>
          </w:tcPr>
          <w:p w14:paraId="4853F31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7.88</w:t>
            </w:r>
          </w:p>
        </w:tc>
        <w:tc>
          <w:tcPr>
            <w:tcW w:w="1145" w:type="dxa"/>
            <w:tcBorders>
              <w:top w:val="single" w:sz="2" w:space="0" w:color="auto"/>
              <w:left w:val="nil"/>
              <w:bottom w:val="single" w:sz="2" w:space="0" w:color="auto"/>
              <w:right w:val="single" w:sz="4" w:space="0" w:color="auto"/>
            </w:tcBorders>
            <w:shd w:val="clear" w:color="auto" w:fill="E2EFDA"/>
            <w:hideMark/>
          </w:tcPr>
          <w:p w14:paraId="57A2CB7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12.12</w:t>
            </w:r>
          </w:p>
        </w:tc>
        <w:tc>
          <w:tcPr>
            <w:tcW w:w="1322" w:type="dxa"/>
            <w:tcBorders>
              <w:top w:val="single" w:sz="2" w:space="0" w:color="auto"/>
              <w:left w:val="nil"/>
              <w:bottom w:val="single" w:sz="2" w:space="0" w:color="auto"/>
              <w:right w:val="single" w:sz="4" w:space="0" w:color="auto"/>
            </w:tcBorders>
            <w:shd w:val="clear" w:color="auto" w:fill="E2EFDA"/>
          </w:tcPr>
          <w:p w14:paraId="1B659BCF" w14:textId="77777777" w:rsidR="00614438" w:rsidRPr="004F5BC1" w:rsidRDefault="00614438" w:rsidP="00614438">
            <w:pPr>
              <w:jc w:val="both"/>
              <w:rPr>
                <w:rFonts w:ascii="Times New Roman" w:hAnsi="Times New Roman" w:cs="Times New Roman"/>
                <w:sz w:val="14"/>
                <w:szCs w:val="14"/>
                <w:lang w:val="en-GB"/>
              </w:rPr>
            </w:pPr>
          </w:p>
        </w:tc>
        <w:tc>
          <w:tcPr>
            <w:tcW w:w="1145" w:type="dxa"/>
            <w:tcBorders>
              <w:top w:val="single" w:sz="2" w:space="0" w:color="auto"/>
              <w:left w:val="nil"/>
              <w:bottom w:val="single" w:sz="2" w:space="0" w:color="auto"/>
              <w:right w:val="single" w:sz="4" w:space="0" w:color="auto"/>
            </w:tcBorders>
            <w:shd w:val="clear" w:color="auto" w:fill="E2EFDA"/>
            <w:hideMark/>
          </w:tcPr>
          <w:p w14:paraId="2417116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12.38</w:t>
            </w:r>
          </w:p>
        </w:tc>
        <w:tc>
          <w:tcPr>
            <w:tcW w:w="1077" w:type="dxa"/>
            <w:tcBorders>
              <w:top w:val="single" w:sz="2" w:space="0" w:color="auto"/>
              <w:left w:val="nil"/>
              <w:bottom w:val="single" w:sz="2" w:space="0" w:color="auto"/>
              <w:right w:val="single" w:sz="2" w:space="0" w:color="auto"/>
            </w:tcBorders>
            <w:shd w:val="clear" w:color="auto" w:fill="E2EFDA"/>
            <w:hideMark/>
          </w:tcPr>
          <w:p w14:paraId="2403F8B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7.63</w:t>
            </w:r>
          </w:p>
        </w:tc>
      </w:tr>
    </w:tbl>
    <w:p w14:paraId="24F74457" w14:textId="77777777" w:rsidR="00614438" w:rsidRPr="004F5BC1" w:rsidRDefault="00614438" w:rsidP="00614438">
      <w:pPr>
        <w:jc w:val="both"/>
        <w:rPr>
          <w:rFonts w:ascii="Times New Roman" w:hAnsi="Times New Roman" w:cs="Times New Roman"/>
          <w:sz w:val="14"/>
          <w:szCs w:val="14"/>
          <w:lang w:val="da-DK"/>
        </w:rPr>
      </w:pPr>
    </w:p>
    <w:p w14:paraId="3D058BE8" w14:textId="77777777" w:rsidR="00614438" w:rsidRPr="004F5BC1" w:rsidRDefault="00614438" w:rsidP="00614438">
      <w:pPr>
        <w:jc w:val="both"/>
        <w:rPr>
          <w:rFonts w:ascii="Times New Roman" w:hAnsi="Times New Roman" w:cs="Times New Roman"/>
          <w:sz w:val="14"/>
          <w:szCs w:val="14"/>
        </w:rPr>
      </w:pPr>
      <w:bookmarkStart w:id="664" w:name="_Toc153545082"/>
      <w:r w:rsidRPr="004F5BC1">
        <w:rPr>
          <w:rFonts w:ascii="Times New Roman" w:hAnsi="Times New Roman" w:cs="Times New Roman"/>
          <w:sz w:val="14"/>
          <w:szCs w:val="14"/>
        </w:rPr>
        <w:t xml:space="preserve">Table </w:t>
      </w:r>
      <w:r w:rsidR="00C83251" w:rsidRPr="004F5BC1">
        <w:rPr>
          <w:rFonts w:ascii="Times New Roman" w:hAnsi="Times New Roman" w:cs="Times New Roman"/>
          <w:sz w:val="14"/>
          <w:szCs w:val="14"/>
        </w:rPr>
        <w:fldChar w:fldCharType="begin"/>
      </w:r>
      <w:r w:rsidRPr="004F5BC1">
        <w:rPr>
          <w:rFonts w:ascii="Times New Roman" w:hAnsi="Times New Roman" w:cs="Times New Roman"/>
          <w:sz w:val="14"/>
          <w:szCs w:val="14"/>
        </w:rPr>
        <w:instrText xml:space="preserve"> STYLEREF 1 \s </w:instrText>
      </w:r>
      <w:r w:rsidR="00C83251" w:rsidRPr="004F5BC1">
        <w:rPr>
          <w:rFonts w:ascii="Times New Roman" w:hAnsi="Times New Roman" w:cs="Times New Roman"/>
          <w:sz w:val="14"/>
          <w:szCs w:val="14"/>
        </w:rPr>
        <w:fldChar w:fldCharType="separate"/>
      </w:r>
      <w:r w:rsidRPr="004F5BC1">
        <w:rPr>
          <w:rFonts w:ascii="Times New Roman" w:hAnsi="Times New Roman" w:cs="Times New Roman"/>
          <w:sz w:val="14"/>
          <w:szCs w:val="14"/>
        </w:rPr>
        <w:t>I</w:t>
      </w:r>
      <w:r w:rsidR="00C83251" w:rsidRPr="004F5BC1">
        <w:rPr>
          <w:rFonts w:ascii="Times New Roman" w:hAnsi="Times New Roman" w:cs="Times New Roman"/>
          <w:sz w:val="14"/>
          <w:szCs w:val="14"/>
        </w:rPr>
        <w:fldChar w:fldCharType="end"/>
      </w:r>
      <w:r w:rsidRPr="004F5BC1">
        <w:rPr>
          <w:rFonts w:ascii="Times New Roman" w:hAnsi="Times New Roman" w:cs="Times New Roman"/>
          <w:sz w:val="14"/>
          <w:szCs w:val="14"/>
        </w:rPr>
        <w:t>.</w:t>
      </w:r>
      <w:r w:rsidR="00C83251" w:rsidRPr="004F5BC1">
        <w:rPr>
          <w:rFonts w:ascii="Times New Roman" w:hAnsi="Times New Roman" w:cs="Times New Roman"/>
          <w:sz w:val="14"/>
          <w:szCs w:val="14"/>
        </w:rPr>
        <w:fldChar w:fldCharType="begin"/>
      </w:r>
      <w:r w:rsidRPr="004F5BC1">
        <w:rPr>
          <w:rFonts w:ascii="Times New Roman" w:hAnsi="Times New Roman" w:cs="Times New Roman"/>
          <w:sz w:val="14"/>
          <w:szCs w:val="14"/>
        </w:rPr>
        <w:instrText xml:space="preserve"> SEQ Table \* ARABIC \s 1 </w:instrText>
      </w:r>
      <w:r w:rsidR="00C83251" w:rsidRPr="004F5BC1">
        <w:rPr>
          <w:rFonts w:ascii="Times New Roman" w:hAnsi="Times New Roman" w:cs="Times New Roman"/>
          <w:sz w:val="14"/>
          <w:szCs w:val="14"/>
        </w:rPr>
        <w:fldChar w:fldCharType="separate"/>
      </w:r>
      <w:r w:rsidRPr="004F5BC1">
        <w:rPr>
          <w:rFonts w:ascii="Times New Roman" w:hAnsi="Times New Roman" w:cs="Times New Roman"/>
          <w:sz w:val="14"/>
          <w:szCs w:val="14"/>
        </w:rPr>
        <w:t>3</w:t>
      </w:r>
      <w:r w:rsidR="00C83251" w:rsidRPr="004F5BC1">
        <w:rPr>
          <w:rFonts w:ascii="Times New Roman" w:hAnsi="Times New Roman" w:cs="Times New Roman"/>
          <w:sz w:val="14"/>
          <w:szCs w:val="14"/>
        </w:rPr>
        <w:fldChar w:fldCharType="end"/>
      </w:r>
      <w:r w:rsidRPr="004F5BC1">
        <w:rPr>
          <w:rFonts w:ascii="Times New Roman" w:hAnsi="Times New Roman" w:cs="Times New Roman"/>
          <w:sz w:val="14"/>
          <w:szCs w:val="14"/>
        </w:rPr>
        <w:t>: Energy Security policy measures</w:t>
      </w:r>
      <w:bookmarkEnd w:id="664"/>
    </w:p>
    <w:tbl>
      <w:tblPr>
        <w:tblW w:w="0" w:type="auto"/>
        <w:tblLook w:val="04A0" w:firstRow="1" w:lastRow="0" w:firstColumn="1" w:lastColumn="0" w:noHBand="0" w:noVBand="1"/>
      </w:tblPr>
      <w:tblGrid>
        <w:gridCol w:w="944"/>
        <w:gridCol w:w="883"/>
        <w:gridCol w:w="3363"/>
        <w:gridCol w:w="959"/>
        <w:gridCol w:w="971"/>
        <w:gridCol w:w="1466"/>
        <w:gridCol w:w="1147"/>
        <w:gridCol w:w="982"/>
        <w:gridCol w:w="1705"/>
        <w:gridCol w:w="1070"/>
        <w:gridCol w:w="1070"/>
      </w:tblGrid>
      <w:tr w:rsidR="00614438" w:rsidRPr="004F5BC1" w14:paraId="38F478B1" w14:textId="77777777" w:rsidTr="00614438">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BFBFBF"/>
            <w:vAlign w:val="center"/>
            <w:hideMark/>
          </w:tcPr>
          <w:p w14:paraId="18D5160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Dimension</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41B9EC3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PAM number</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14A8019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Name of policy or measure</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0C5241F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Type of measure</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4AB8A1F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Synergetic effects</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2829DA9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Implementation Cost (million €)</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68B3C19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Planned public aid (million €)</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5316F64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own Funds (million €)</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32F1F62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Projections scenario in which the PAM is included</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077C13A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CAPEX WEM (million €)</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3E0AA1F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CAPEX WAM (million €)</w:t>
            </w:r>
          </w:p>
        </w:tc>
      </w:tr>
      <w:tr w:rsidR="00614438" w:rsidRPr="004F5BC1" w14:paraId="020BE917" w14:textId="77777777" w:rsidTr="00614438">
        <w:trPr>
          <w:trHeight w:val="20"/>
        </w:trPr>
        <w:tc>
          <w:tcPr>
            <w:tcW w:w="0" w:type="auto"/>
            <w:vMerge w:val="restart"/>
            <w:tcBorders>
              <w:top w:val="nil"/>
              <w:left w:val="single" w:sz="4" w:space="0" w:color="auto"/>
              <w:bottom w:val="single" w:sz="4" w:space="0" w:color="000000"/>
              <w:right w:val="single" w:sz="4" w:space="0" w:color="auto"/>
            </w:tcBorders>
            <w:shd w:val="clear" w:color="auto" w:fill="BFBFBF"/>
            <w:vAlign w:val="center"/>
            <w:hideMark/>
          </w:tcPr>
          <w:p w14:paraId="15C6F0B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Energy Security</w:t>
            </w:r>
          </w:p>
        </w:tc>
        <w:tc>
          <w:tcPr>
            <w:tcW w:w="0" w:type="auto"/>
            <w:tcBorders>
              <w:top w:val="nil"/>
              <w:left w:val="nil"/>
              <w:bottom w:val="single" w:sz="4" w:space="0" w:color="auto"/>
              <w:right w:val="single" w:sz="4" w:space="0" w:color="auto"/>
            </w:tcBorders>
            <w:vAlign w:val="center"/>
            <w:hideMark/>
          </w:tcPr>
          <w:p w14:paraId="0C0DBB8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PM_ES2</w:t>
            </w:r>
          </w:p>
        </w:tc>
        <w:tc>
          <w:tcPr>
            <w:tcW w:w="0" w:type="auto"/>
            <w:tcBorders>
              <w:top w:val="nil"/>
              <w:left w:val="nil"/>
              <w:bottom w:val="single" w:sz="4" w:space="0" w:color="auto"/>
              <w:right w:val="single" w:sz="4" w:space="0" w:color="auto"/>
            </w:tcBorders>
            <w:vAlign w:val="center"/>
            <w:hideMark/>
          </w:tcPr>
          <w:p w14:paraId="05E101F8" w14:textId="77777777" w:rsidR="00614438" w:rsidRPr="004F5BC1" w:rsidRDefault="00614438" w:rsidP="00614438">
            <w:pPr>
              <w:jc w:val="both"/>
              <w:rPr>
                <w:rFonts w:ascii="Times New Roman" w:hAnsi="Times New Roman" w:cs="Times New Roman"/>
                <w:sz w:val="14"/>
                <w:szCs w:val="14"/>
              </w:rPr>
            </w:pPr>
            <w:r w:rsidRPr="004F5BC1">
              <w:rPr>
                <w:rFonts w:ascii="Times New Roman" w:hAnsi="Times New Roman" w:cs="Times New Roman"/>
                <w:sz w:val="14"/>
                <w:szCs w:val="14"/>
                <w:lang w:val="en-GB"/>
              </w:rPr>
              <w:t>Enhancement of regional electricity and gas interconnections</w:t>
            </w:r>
          </w:p>
        </w:tc>
        <w:tc>
          <w:tcPr>
            <w:tcW w:w="0" w:type="auto"/>
            <w:tcBorders>
              <w:top w:val="nil"/>
              <w:left w:val="nil"/>
              <w:bottom w:val="single" w:sz="4" w:space="0" w:color="auto"/>
              <w:right w:val="single" w:sz="4" w:space="0" w:color="auto"/>
            </w:tcBorders>
            <w:vAlign w:val="center"/>
            <w:hideMark/>
          </w:tcPr>
          <w:p w14:paraId="2415303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5BE8168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71B63E9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187.20</w:t>
            </w:r>
          </w:p>
        </w:tc>
        <w:tc>
          <w:tcPr>
            <w:tcW w:w="0" w:type="auto"/>
            <w:tcBorders>
              <w:top w:val="nil"/>
              <w:left w:val="nil"/>
              <w:bottom w:val="single" w:sz="4" w:space="0" w:color="auto"/>
              <w:right w:val="single" w:sz="4" w:space="0" w:color="auto"/>
            </w:tcBorders>
            <w:shd w:val="clear" w:color="auto" w:fill="E2EFDA"/>
            <w:vAlign w:val="center"/>
            <w:hideMark/>
          </w:tcPr>
          <w:p w14:paraId="778C347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28.08</w:t>
            </w:r>
          </w:p>
        </w:tc>
        <w:tc>
          <w:tcPr>
            <w:tcW w:w="0" w:type="auto"/>
            <w:tcBorders>
              <w:top w:val="nil"/>
              <w:left w:val="nil"/>
              <w:bottom w:val="single" w:sz="4" w:space="0" w:color="auto"/>
              <w:right w:val="single" w:sz="4" w:space="0" w:color="auto"/>
            </w:tcBorders>
            <w:shd w:val="clear" w:color="auto" w:fill="E2EFDA"/>
            <w:vAlign w:val="center"/>
            <w:hideMark/>
          </w:tcPr>
          <w:p w14:paraId="58C5C51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159.12</w:t>
            </w:r>
          </w:p>
        </w:tc>
        <w:tc>
          <w:tcPr>
            <w:tcW w:w="0" w:type="auto"/>
            <w:tcBorders>
              <w:top w:val="nil"/>
              <w:left w:val="nil"/>
              <w:bottom w:val="single" w:sz="4" w:space="0" w:color="auto"/>
              <w:right w:val="single" w:sz="4" w:space="0" w:color="auto"/>
            </w:tcBorders>
            <w:shd w:val="clear" w:color="auto" w:fill="ED7D31"/>
            <w:vAlign w:val="center"/>
            <w:hideMark/>
          </w:tcPr>
          <w:p w14:paraId="362814E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3AB67ED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187.20</w:t>
            </w:r>
          </w:p>
        </w:tc>
        <w:tc>
          <w:tcPr>
            <w:tcW w:w="0" w:type="auto"/>
            <w:tcBorders>
              <w:top w:val="nil"/>
              <w:left w:val="nil"/>
              <w:bottom w:val="single" w:sz="4" w:space="0" w:color="auto"/>
              <w:right w:val="single" w:sz="4" w:space="0" w:color="auto"/>
            </w:tcBorders>
            <w:shd w:val="clear" w:color="auto" w:fill="E2EFDA"/>
            <w:vAlign w:val="center"/>
            <w:hideMark/>
          </w:tcPr>
          <w:p w14:paraId="062CDC4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309FC5F3" w14:textId="77777777" w:rsidTr="00614438">
        <w:trPr>
          <w:trHeight w:val="20"/>
        </w:trPr>
        <w:tc>
          <w:tcPr>
            <w:tcW w:w="0" w:type="auto"/>
            <w:vMerge/>
            <w:tcBorders>
              <w:top w:val="nil"/>
              <w:left w:val="single" w:sz="4" w:space="0" w:color="auto"/>
              <w:bottom w:val="single" w:sz="4" w:space="0" w:color="000000"/>
              <w:right w:val="single" w:sz="4" w:space="0" w:color="auto"/>
            </w:tcBorders>
            <w:vAlign w:val="center"/>
            <w:hideMark/>
          </w:tcPr>
          <w:p w14:paraId="1DF9C18B"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1182AF1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PM_ES3</w:t>
            </w:r>
          </w:p>
        </w:tc>
        <w:tc>
          <w:tcPr>
            <w:tcW w:w="0" w:type="auto"/>
            <w:tcBorders>
              <w:top w:val="nil"/>
              <w:left w:val="nil"/>
              <w:bottom w:val="single" w:sz="4" w:space="0" w:color="auto"/>
              <w:right w:val="single" w:sz="4" w:space="0" w:color="auto"/>
            </w:tcBorders>
            <w:vAlign w:val="center"/>
            <w:hideMark/>
          </w:tcPr>
          <w:p w14:paraId="5D83DBA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Building capacities for electricity storage</w:t>
            </w:r>
          </w:p>
        </w:tc>
        <w:tc>
          <w:tcPr>
            <w:tcW w:w="0" w:type="auto"/>
            <w:tcBorders>
              <w:top w:val="nil"/>
              <w:left w:val="nil"/>
              <w:bottom w:val="single" w:sz="4" w:space="0" w:color="auto"/>
              <w:right w:val="single" w:sz="4" w:space="0" w:color="auto"/>
            </w:tcBorders>
            <w:vAlign w:val="center"/>
            <w:hideMark/>
          </w:tcPr>
          <w:p w14:paraId="268F38E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5F87444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6352EE0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1.00</w:t>
            </w:r>
          </w:p>
        </w:tc>
        <w:tc>
          <w:tcPr>
            <w:tcW w:w="0" w:type="auto"/>
            <w:tcBorders>
              <w:top w:val="nil"/>
              <w:left w:val="nil"/>
              <w:bottom w:val="single" w:sz="4" w:space="0" w:color="auto"/>
              <w:right w:val="single" w:sz="4" w:space="0" w:color="auto"/>
            </w:tcBorders>
            <w:shd w:val="clear" w:color="auto" w:fill="E2EFDA"/>
            <w:vAlign w:val="center"/>
            <w:hideMark/>
          </w:tcPr>
          <w:p w14:paraId="7F831A2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1.00</w:t>
            </w:r>
          </w:p>
        </w:tc>
        <w:tc>
          <w:tcPr>
            <w:tcW w:w="0" w:type="auto"/>
            <w:tcBorders>
              <w:top w:val="nil"/>
              <w:left w:val="nil"/>
              <w:bottom w:val="single" w:sz="4" w:space="0" w:color="auto"/>
              <w:right w:val="single" w:sz="4" w:space="0" w:color="auto"/>
            </w:tcBorders>
            <w:shd w:val="clear" w:color="auto" w:fill="E2EFDA"/>
            <w:vAlign w:val="center"/>
            <w:hideMark/>
          </w:tcPr>
          <w:p w14:paraId="639005B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27372CF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0AC40AF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1.00</w:t>
            </w:r>
          </w:p>
        </w:tc>
        <w:tc>
          <w:tcPr>
            <w:tcW w:w="0" w:type="auto"/>
            <w:tcBorders>
              <w:top w:val="nil"/>
              <w:left w:val="nil"/>
              <w:bottom w:val="single" w:sz="4" w:space="0" w:color="auto"/>
              <w:right w:val="single" w:sz="4" w:space="0" w:color="auto"/>
            </w:tcBorders>
            <w:shd w:val="clear" w:color="auto" w:fill="E2EFDA"/>
            <w:vAlign w:val="center"/>
            <w:hideMark/>
          </w:tcPr>
          <w:p w14:paraId="1DE68C4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40C3BAD6" w14:textId="77777777" w:rsidTr="00614438">
        <w:trPr>
          <w:trHeight w:val="20"/>
        </w:trPr>
        <w:tc>
          <w:tcPr>
            <w:tcW w:w="0" w:type="auto"/>
            <w:vMerge/>
            <w:tcBorders>
              <w:top w:val="nil"/>
              <w:left w:val="single" w:sz="4" w:space="0" w:color="auto"/>
              <w:bottom w:val="single" w:sz="4" w:space="0" w:color="000000"/>
              <w:right w:val="single" w:sz="4" w:space="0" w:color="auto"/>
            </w:tcBorders>
            <w:vAlign w:val="center"/>
            <w:hideMark/>
          </w:tcPr>
          <w:p w14:paraId="7C79CC6C"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67A4409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PM_ES3.1</w:t>
            </w:r>
          </w:p>
        </w:tc>
        <w:tc>
          <w:tcPr>
            <w:tcW w:w="0" w:type="auto"/>
            <w:tcBorders>
              <w:top w:val="nil"/>
              <w:left w:val="nil"/>
              <w:bottom w:val="single" w:sz="4" w:space="0" w:color="auto"/>
              <w:right w:val="single" w:sz="4" w:space="0" w:color="auto"/>
            </w:tcBorders>
            <w:vAlign w:val="center"/>
            <w:hideMark/>
          </w:tcPr>
          <w:p w14:paraId="234E0C4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Banatski dvor, natural gas storage expansion</w:t>
            </w:r>
          </w:p>
        </w:tc>
        <w:tc>
          <w:tcPr>
            <w:tcW w:w="0" w:type="auto"/>
            <w:tcBorders>
              <w:top w:val="nil"/>
              <w:left w:val="nil"/>
              <w:bottom w:val="single" w:sz="4" w:space="0" w:color="auto"/>
              <w:right w:val="single" w:sz="4" w:space="0" w:color="auto"/>
            </w:tcBorders>
            <w:vAlign w:val="center"/>
            <w:hideMark/>
          </w:tcPr>
          <w:p w14:paraId="04393D6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22F59B2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434E990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100.00</w:t>
            </w:r>
          </w:p>
        </w:tc>
        <w:tc>
          <w:tcPr>
            <w:tcW w:w="0" w:type="auto"/>
            <w:tcBorders>
              <w:top w:val="nil"/>
              <w:left w:val="nil"/>
              <w:bottom w:val="single" w:sz="4" w:space="0" w:color="auto"/>
              <w:right w:val="single" w:sz="4" w:space="0" w:color="auto"/>
            </w:tcBorders>
            <w:shd w:val="clear" w:color="auto" w:fill="E2EFDA"/>
            <w:vAlign w:val="center"/>
            <w:hideMark/>
          </w:tcPr>
          <w:p w14:paraId="3951D4F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15.00</w:t>
            </w:r>
          </w:p>
        </w:tc>
        <w:tc>
          <w:tcPr>
            <w:tcW w:w="0" w:type="auto"/>
            <w:tcBorders>
              <w:top w:val="nil"/>
              <w:left w:val="nil"/>
              <w:bottom w:val="single" w:sz="4" w:space="0" w:color="auto"/>
              <w:right w:val="single" w:sz="4" w:space="0" w:color="auto"/>
            </w:tcBorders>
            <w:shd w:val="clear" w:color="auto" w:fill="E2EFDA"/>
            <w:vAlign w:val="center"/>
            <w:hideMark/>
          </w:tcPr>
          <w:p w14:paraId="1365159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85.00</w:t>
            </w:r>
          </w:p>
        </w:tc>
        <w:tc>
          <w:tcPr>
            <w:tcW w:w="0" w:type="auto"/>
            <w:tcBorders>
              <w:top w:val="nil"/>
              <w:left w:val="nil"/>
              <w:bottom w:val="single" w:sz="4" w:space="0" w:color="auto"/>
              <w:right w:val="single" w:sz="4" w:space="0" w:color="auto"/>
            </w:tcBorders>
            <w:shd w:val="clear" w:color="auto" w:fill="ED7D31"/>
            <w:vAlign w:val="center"/>
            <w:hideMark/>
          </w:tcPr>
          <w:p w14:paraId="27FA7C0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4F75E70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100.00</w:t>
            </w:r>
          </w:p>
        </w:tc>
        <w:tc>
          <w:tcPr>
            <w:tcW w:w="0" w:type="auto"/>
            <w:tcBorders>
              <w:top w:val="nil"/>
              <w:left w:val="nil"/>
              <w:bottom w:val="single" w:sz="4" w:space="0" w:color="auto"/>
              <w:right w:val="single" w:sz="4" w:space="0" w:color="auto"/>
            </w:tcBorders>
            <w:shd w:val="clear" w:color="auto" w:fill="E2EFDA"/>
            <w:vAlign w:val="center"/>
            <w:hideMark/>
          </w:tcPr>
          <w:p w14:paraId="792CA50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649338FE" w14:textId="77777777" w:rsidTr="00614438">
        <w:trPr>
          <w:trHeight w:val="20"/>
        </w:trPr>
        <w:tc>
          <w:tcPr>
            <w:tcW w:w="0" w:type="auto"/>
            <w:vMerge/>
            <w:tcBorders>
              <w:top w:val="nil"/>
              <w:left w:val="single" w:sz="4" w:space="0" w:color="auto"/>
              <w:bottom w:val="single" w:sz="4" w:space="0" w:color="000000"/>
              <w:right w:val="single" w:sz="4" w:space="0" w:color="auto"/>
            </w:tcBorders>
            <w:vAlign w:val="center"/>
            <w:hideMark/>
          </w:tcPr>
          <w:p w14:paraId="2FE36DB3"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42F42A3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PM_ES3.2</w:t>
            </w:r>
          </w:p>
        </w:tc>
        <w:tc>
          <w:tcPr>
            <w:tcW w:w="0" w:type="auto"/>
            <w:tcBorders>
              <w:top w:val="nil"/>
              <w:left w:val="nil"/>
              <w:bottom w:val="single" w:sz="4" w:space="0" w:color="auto"/>
              <w:right w:val="single" w:sz="4" w:space="0" w:color="auto"/>
            </w:tcBorders>
            <w:vAlign w:val="center"/>
            <w:hideMark/>
          </w:tcPr>
          <w:p w14:paraId="2C04770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Creating mandatory reserves of oil and petroleum products</w:t>
            </w:r>
          </w:p>
        </w:tc>
        <w:tc>
          <w:tcPr>
            <w:tcW w:w="0" w:type="auto"/>
            <w:tcBorders>
              <w:top w:val="nil"/>
              <w:left w:val="nil"/>
              <w:bottom w:val="single" w:sz="4" w:space="0" w:color="auto"/>
              <w:right w:val="single" w:sz="4" w:space="0" w:color="auto"/>
            </w:tcBorders>
            <w:vAlign w:val="center"/>
            <w:hideMark/>
          </w:tcPr>
          <w:p w14:paraId="4257AC8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38826E1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7EC73BC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0" w:type="auto"/>
            <w:tcBorders>
              <w:top w:val="nil"/>
              <w:left w:val="nil"/>
              <w:bottom w:val="single" w:sz="4" w:space="0" w:color="auto"/>
              <w:right w:val="single" w:sz="4" w:space="0" w:color="auto"/>
            </w:tcBorders>
            <w:shd w:val="clear" w:color="auto" w:fill="E2EFDA"/>
            <w:vAlign w:val="center"/>
            <w:hideMark/>
          </w:tcPr>
          <w:p w14:paraId="3C4D3B0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0" w:type="auto"/>
            <w:tcBorders>
              <w:top w:val="nil"/>
              <w:left w:val="nil"/>
              <w:bottom w:val="single" w:sz="4" w:space="0" w:color="auto"/>
              <w:right w:val="single" w:sz="4" w:space="0" w:color="auto"/>
            </w:tcBorders>
            <w:shd w:val="clear" w:color="auto" w:fill="E2EFDA"/>
            <w:vAlign w:val="center"/>
            <w:hideMark/>
          </w:tcPr>
          <w:p w14:paraId="79DF420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04F409D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212B338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0" w:type="auto"/>
            <w:tcBorders>
              <w:top w:val="nil"/>
              <w:left w:val="nil"/>
              <w:bottom w:val="single" w:sz="4" w:space="0" w:color="auto"/>
              <w:right w:val="single" w:sz="4" w:space="0" w:color="auto"/>
            </w:tcBorders>
            <w:shd w:val="clear" w:color="auto" w:fill="E2EFDA"/>
            <w:vAlign w:val="center"/>
            <w:hideMark/>
          </w:tcPr>
          <w:p w14:paraId="1164D6D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64ADB3B6" w14:textId="77777777" w:rsidTr="00614438">
        <w:trPr>
          <w:trHeight w:val="20"/>
        </w:trPr>
        <w:tc>
          <w:tcPr>
            <w:tcW w:w="0" w:type="auto"/>
            <w:vMerge/>
            <w:tcBorders>
              <w:top w:val="nil"/>
              <w:left w:val="single" w:sz="4" w:space="0" w:color="auto"/>
              <w:bottom w:val="single" w:sz="4" w:space="0" w:color="000000"/>
              <w:right w:val="single" w:sz="4" w:space="0" w:color="auto"/>
            </w:tcBorders>
            <w:vAlign w:val="center"/>
            <w:hideMark/>
          </w:tcPr>
          <w:p w14:paraId="7EFE5344"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7DCD669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PM_ES4</w:t>
            </w:r>
          </w:p>
        </w:tc>
        <w:tc>
          <w:tcPr>
            <w:tcW w:w="0" w:type="auto"/>
            <w:tcBorders>
              <w:top w:val="nil"/>
              <w:left w:val="nil"/>
              <w:bottom w:val="single" w:sz="4" w:space="0" w:color="auto"/>
              <w:right w:val="single" w:sz="4" w:space="0" w:color="auto"/>
            </w:tcBorders>
            <w:vAlign w:val="center"/>
            <w:hideMark/>
          </w:tcPr>
          <w:p w14:paraId="4BE597A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Creating operational reserves of oil, coal and other energy derivatives</w:t>
            </w:r>
          </w:p>
        </w:tc>
        <w:tc>
          <w:tcPr>
            <w:tcW w:w="0" w:type="auto"/>
            <w:tcBorders>
              <w:top w:val="nil"/>
              <w:left w:val="nil"/>
              <w:bottom w:val="single" w:sz="4" w:space="0" w:color="auto"/>
              <w:right w:val="single" w:sz="4" w:space="0" w:color="auto"/>
            </w:tcBorders>
            <w:vAlign w:val="center"/>
            <w:hideMark/>
          </w:tcPr>
          <w:p w14:paraId="41F8CC8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00CBE4A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290F098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0" w:type="auto"/>
            <w:tcBorders>
              <w:top w:val="nil"/>
              <w:left w:val="nil"/>
              <w:bottom w:val="single" w:sz="4" w:space="0" w:color="auto"/>
              <w:right w:val="single" w:sz="4" w:space="0" w:color="auto"/>
            </w:tcBorders>
            <w:shd w:val="clear" w:color="auto" w:fill="E2EFDA"/>
            <w:vAlign w:val="center"/>
            <w:hideMark/>
          </w:tcPr>
          <w:p w14:paraId="40ED180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0" w:type="auto"/>
            <w:tcBorders>
              <w:top w:val="nil"/>
              <w:left w:val="nil"/>
              <w:bottom w:val="single" w:sz="4" w:space="0" w:color="auto"/>
              <w:right w:val="single" w:sz="4" w:space="0" w:color="auto"/>
            </w:tcBorders>
            <w:shd w:val="clear" w:color="auto" w:fill="E2EFDA"/>
            <w:vAlign w:val="center"/>
            <w:hideMark/>
          </w:tcPr>
          <w:p w14:paraId="62BF61F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631D9F9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028118F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0" w:type="auto"/>
            <w:tcBorders>
              <w:top w:val="nil"/>
              <w:left w:val="nil"/>
              <w:bottom w:val="single" w:sz="4" w:space="0" w:color="auto"/>
              <w:right w:val="single" w:sz="4" w:space="0" w:color="auto"/>
            </w:tcBorders>
            <w:shd w:val="clear" w:color="auto" w:fill="E2EFDA"/>
            <w:vAlign w:val="center"/>
            <w:hideMark/>
          </w:tcPr>
          <w:p w14:paraId="2DA66CE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2D9756A3" w14:textId="77777777" w:rsidTr="00614438">
        <w:trPr>
          <w:trHeight w:val="20"/>
        </w:trPr>
        <w:tc>
          <w:tcPr>
            <w:tcW w:w="0" w:type="auto"/>
            <w:vMerge/>
            <w:tcBorders>
              <w:top w:val="nil"/>
              <w:left w:val="single" w:sz="4" w:space="0" w:color="auto"/>
              <w:bottom w:val="single" w:sz="4" w:space="0" w:color="000000"/>
              <w:right w:val="single" w:sz="4" w:space="0" w:color="auto"/>
            </w:tcBorders>
            <w:vAlign w:val="center"/>
            <w:hideMark/>
          </w:tcPr>
          <w:p w14:paraId="76D4485F"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48E95CF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PM_ES5</w:t>
            </w:r>
          </w:p>
        </w:tc>
        <w:tc>
          <w:tcPr>
            <w:tcW w:w="0" w:type="auto"/>
            <w:tcBorders>
              <w:top w:val="nil"/>
              <w:left w:val="nil"/>
              <w:bottom w:val="single" w:sz="4" w:space="0" w:color="auto"/>
              <w:right w:val="single" w:sz="4" w:space="0" w:color="auto"/>
            </w:tcBorders>
            <w:vAlign w:val="center"/>
            <w:hideMark/>
          </w:tcPr>
          <w:p w14:paraId="3BA17F7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Creating mandatory natural gas reserves</w:t>
            </w:r>
          </w:p>
        </w:tc>
        <w:tc>
          <w:tcPr>
            <w:tcW w:w="0" w:type="auto"/>
            <w:tcBorders>
              <w:top w:val="nil"/>
              <w:left w:val="nil"/>
              <w:bottom w:val="single" w:sz="4" w:space="0" w:color="auto"/>
              <w:right w:val="single" w:sz="4" w:space="0" w:color="auto"/>
            </w:tcBorders>
            <w:vAlign w:val="center"/>
            <w:hideMark/>
          </w:tcPr>
          <w:p w14:paraId="3DA420D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5C8BE64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7E0E821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0" w:type="auto"/>
            <w:tcBorders>
              <w:top w:val="nil"/>
              <w:left w:val="nil"/>
              <w:bottom w:val="single" w:sz="4" w:space="0" w:color="auto"/>
              <w:right w:val="single" w:sz="4" w:space="0" w:color="auto"/>
            </w:tcBorders>
            <w:shd w:val="clear" w:color="auto" w:fill="E2EFDA"/>
            <w:vAlign w:val="center"/>
            <w:hideMark/>
          </w:tcPr>
          <w:p w14:paraId="0DA1AB1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0" w:type="auto"/>
            <w:tcBorders>
              <w:top w:val="nil"/>
              <w:left w:val="nil"/>
              <w:bottom w:val="single" w:sz="4" w:space="0" w:color="auto"/>
              <w:right w:val="single" w:sz="4" w:space="0" w:color="auto"/>
            </w:tcBorders>
            <w:shd w:val="clear" w:color="auto" w:fill="E2EFDA"/>
            <w:vAlign w:val="center"/>
            <w:hideMark/>
          </w:tcPr>
          <w:p w14:paraId="0E2C3E4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525E363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0352783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0" w:type="auto"/>
            <w:tcBorders>
              <w:top w:val="nil"/>
              <w:left w:val="nil"/>
              <w:bottom w:val="single" w:sz="4" w:space="0" w:color="auto"/>
              <w:right w:val="single" w:sz="4" w:space="0" w:color="auto"/>
            </w:tcBorders>
            <w:shd w:val="clear" w:color="auto" w:fill="E2EFDA"/>
            <w:vAlign w:val="center"/>
            <w:hideMark/>
          </w:tcPr>
          <w:p w14:paraId="0DDB354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6A3C559B" w14:textId="77777777" w:rsidTr="00614438">
        <w:trPr>
          <w:trHeight w:val="20"/>
        </w:trPr>
        <w:tc>
          <w:tcPr>
            <w:tcW w:w="0" w:type="auto"/>
            <w:vMerge/>
            <w:tcBorders>
              <w:top w:val="nil"/>
              <w:left w:val="single" w:sz="4" w:space="0" w:color="auto"/>
              <w:bottom w:val="single" w:sz="4" w:space="0" w:color="000000"/>
              <w:right w:val="single" w:sz="4" w:space="0" w:color="auto"/>
            </w:tcBorders>
            <w:vAlign w:val="center"/>
            <w:hideMark/>
          </w:tcPr>
          <w:p w14:paraId="21E36908"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2C412C2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PM_ES6</w:t>
            </w:r>
          </w:p>
        </w:tc>
        <w:tc>
          <w:tcPr>
            <w:tcW w:w="0" w:type="auto"/>
            <w:tcBorders>
              <w:top w:val="nil"/>
              <w:left w:val="nil"/>
              <w:bottom w:val="single" w:sz="4" w:space="0" w:color="auto"/>
              <w:right w:val="single" w:sz="4" w:space="0" w:color="auto"/>
            </w:tcBorders>
            <w:vAlign w:val="center"/>
            <w:hideMark/>
          </w:tcPr>
          <w:p w14:paraId="5B46A7C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Electricity Risk Preparedness plan</w:t>
            </w:r>
          </w:p>
        </w:tc>
        <w:tc>
          <w:tcPr>
            <w:tcW w:w="0" w:type="auto"/>
            <w:tcBorders>
              <w:top w:val="nil"/>
              <w:left w:val="nil"/>
              <w:bottom w:val="single" w:sz="4" w:space="0" w:color="auto"/>
              <w:right w:val="single" w:sz="4" w:space="0" w:color="auto"/>
            </w:tcBorders>
            <w:vAlign w:val="center"/>
            <w:hideMark/>
          </w:tcPr>
          <w:p w14:paraId="409E990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1F61ED2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0AD2ABF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0" w:type="auto"/>
            <w:tcBorders>
              <w:top w:val="nil"/>
              <w:left w:val="nil"/>
              <w:bottom w:val="single" w:sz="4" w:space="0" w:color="auto"/>
              <w:right w:val="single" w:sz="4" w:space="0" w:color="auto"/>
            </w:tcBorders>
            <w:shd w:val="clear" w:color="auto" w:fill="E2EFDA"/>
            <w:vAlign w:val="center"/>
            <w:hideMark/>
          </w:tcPr>
          <w:p w14:paraId="4F1BACD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0" w:type="auto"/>
            <w:tcBorders>
              <w:top w:val="nil"/>
              <w:left w:val="nil"/>
              <w:bottom w:val="single" w:sz="4" w:space="0" w:color="auto"/>
              <w:right w:val="single" w:sz="4" w:space="0" w:color="auto"/>
            </w:tcBorders>
            <w:shd w:val="clear" w:color="auto" w:fill="E2EFDA"/>
            <w:vAlign w:val="center"/>
            <w:hideMark/>
          </w:tcPr>
          <w:p w14:paraId="73C2C85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128B89D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0E33E2C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0" w:type="auto"/>
            <w:tcBorders>
              <w:top w:val="nil"/>
              <w:left w:val="nil"/>
              <w:bottom w:val="single" w:sz="4" w:space="0" w:color="auto"/>
              <w:right w:val="single" w:sz="4" w:space="0" w:color="auto"/>
            </w:tcBorders>
            <w:shd w:val="clear" w:color="auto" w:fill="E2EFDA"/>
            <w:vAlign w:val="center"/>
            <w:hideMark/>
          </w:tcPr>
          <w:p w14:paraId="778FFF2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5CBBCE6C" w14:textId="77777777" w:rsidTr="00614438">
        <w:trPr>
          <w:trHeight w:val="20"/>
        </w:trPr>
        <w:tc>
          <w:tcPr>
            <w:tcW w:w="0" w:type="auto"/>
            <w:vMerge/>
            <w:tcBorders>
              <w:top w:val="nil"/>
              <w:left w:val="single" w:sz="4" w:space="0" w:color="auto"/>
              <w:bottom w:val="single" w:sz="4" w:space="0" w:color="000000"/>
              <w:right w:val="single" w:sz="4" w:space="0" w:color="auto"/>
            </w:tcBorders>
            <w:vAlign w:val="center"/>
            <w:hideMark/>
          </w:tcPr>
          <w:p w14:paraId="27ACFE71"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32A9F47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PM_ES7</w:t>
            </w:r>
          </w:p>
        </w:tc>
        <w:tc>
          <w:tcPr>
            <w:tcW w:w="0" w:type="auto"/>
            <w:tcBorders>
              <w:top w:val="nil"/>
              <w:left w:val="nil"/>
              <w:bottom w:val="single" w:sz="4" w:space="0" w:color="auto"/>
              <w:right w:val="single" w:sz="4" w:space="0" w:color="auto"/>
            </w:tcBorders>
            <w:vAlign w:val="center"/>
            <w:hideMark/>
          </w:tcPr>
          <w:p w14:paraId="3D13602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Update in Security of supply regulation (at least at a national level)</w:t>
            </w:r>
          </w:p>
        </w:tc>
        <w:tc>
          <w:tcPr>
            <w:tcW w:w="0" w:type="auto"/>
            <w:tcBorders>
              <w:top w:val="nil"/>
              <w:left w:val="nil"/>
              <w:bottom w:val="single" w:sz="4" w:space="0" w:color="auto"/>
              <w:right w:val="single" w:sz="4" w:space="0" w:color="auto"/>
            </w:tcBorders>
            <w:vAlign w:val="center"/>
            <w:hideMark/>
          </w:tcPr>
          <w:p w14:paraId="2B5C8E7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18D30E7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73DF399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0" w:type="auto"/>
            <w:tcBorders>
              <w:top w:val="nil"/>
              <w:left w:val="nil"/>
              <w:bottom w:val="single" w:sz="4" w:space="0" w:color="auto"/>
              <w:right w:val="single" w:sz="4" w:space="0" w:color="auto"/>
            </w:tcBorders>
            <w:shd w:val="clear" w:color="auto" w:fill="E2EFDA"/>
            <w:vAlign w:val="center"/>
            <w:hideMark/>
          </w:tcPr>
          <w:p w14:paraId="55B0EC1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0" w:type="auto"/>
            <w:tcBorders>
              <w:top w:val="nil"/>
              <w:left w:val="nil"/>
              <w:bottom w:val="single" w:sz="4" w:space="0" w:color="auto"/>
              <w:right w:val="single" w:sz="4" w:space="0" w:color="auto"/>
            </w:tcBorders>
            <w:shd w:val="clear" w:color="auto" w:fill="E2EFDA"/>
            <w:vAlign w:val="center"/>
            <w:hideMark/>
          </w:tcPr>
          <w:p w14:paraId="7F5EC60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71E1301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67000D1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0.50</w:t>
            </w:r>
          </w:p>
        </w:tc>
        <w:tc>
          <w:tcPr>
            <w:tcW w:w="0" w:type="auto"/>
            <w:tcBorders>
              <w:top w:val="nil"/>
              <w:left w:val="nil"/>
              <w:bottom w:val="single" w:sz="4" w:space="0" w:color="auto"/>
              <w:right w:val="single" w:sz="4" w:space="0" w:color="auto"/>
            </w:tcBorders>
            <w:shd w:val="clear" w:color="auto" w:fill="E2EFDA"/>
            <w:vAlign w:val="center"/>
            <w:hideMark/>
          </w:tcPr>
          <w:p w14:paraId="0802567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4D830B67" w14:textId="77777777" w:rsidTr="00614438">
        <w:trPr>
          <w:trHeight w:val="20"/>
        </w:trPr>
        <w:tc>
          <w:tcPr>
            <w:tcW w:w="0" w:type="auto"/>
            <w:vMerge/>
            <w:tcBorders>
              <w:top w:val="nil"/>
              <w:left w:val="single" w:sz="4" w:space="0" w:color="auto"/>
              <w:bottom w:val="single" w:sz="4" w:space="0" w:color="000000"/>
              <w:right w:val="single" w:sz="4" w:space="0" w:color="auto"/>
            </w:tcBorders>
            <w:vAlign w:val="center"/>
            <w:hideMark/>
          </w:tcPr>
          <w:p w14:paraId="2BEAF21B"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6F56CCB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PM_ES8</w:t>
            </w:r>
          </w:p>
        </w:tc>
        <w:tc>
          <w:tcPr>
            <w:tcW w:w="0" w:type="auto"/>
            <w:tcBorders>
              <w:top w:val="nil"/>
              <w:left w:val="nil"/>
              <w:bottom w:val="single" w:sz="4" w:space="0" w:color="auto"/>
              <w:right w:val="single" w:sz="4" w:space="0" w:color="auto"/>
            </w:tcBorders>
            <w:vAlign w:val="center"/>
            <w:hideMark/>
          </w:tcPr>
          <w:p w14:paraId="6FF8CA0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Oil product pipeline from Pančevo refinery to Novi Sad, Sombor, Belgrade and Niš, through Smederevo and Jagodina</w:t>
            </w:r>
          </w:p>
        </w:tc>
        <w:tc>
          <w:tcPr>
            <w:tcW w:w="0" w:type="auto"/>
            <w:tcBorders>
              <w:top w:val="nil"/>
              <w:left w:val="nil"/>
              <w:bottom w:val="single" w:sz="4" w:space="0" w:color="auto"/>
              <w:right w:val="single" w:sz="4" w:space="0" w:color="auto"/>
            </w:tcBorders>
            <w:vAlign w:val="center"/>
            <w:hideMark/>
          </w:tcPr>
          <w:p w14:paraId="366B028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424DA1E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3748199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400.00</w:t>
            </w:r>
          </w:p>
        </w:tc>
        <w:tc>
          <w:tcPr>
            <w:tcW w:w="0" w:type="auto"/>
            <w:tcBorders>
              <w:top w:val="nil"/>
              <w:left w:val="nil"/>
              <w:bottom w:val="single" w:sz="4" w:space="0" w:color="auto"/>
              <w:right w:val="single" w:sz="4" w:space="0" w:color="auto"/>
            </w:tcBorders>
            <w:shd w:val="clear" w:color="auto" w:fill="E2EFDA"/>
            <w:vAlign w:val="center"/>
            <w:hideMark/>
          </w:tcPr>
          <w:p w14:paraId="640AA26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60.00</w:t>
            </w:r>
          </w:p>
        </w:tc>
        <w:tc>
          <w:tcPr>
            <w:tcW w:w="0" w:type="auto"/>
            <w:tcBorders>
              <w:top w:val="nil"/>
              <w:left w:val="nil"/>
              <w:bottom w:val="single" w:sz="4" w:space="0" w:color="auto"/>
              <w:right w:val="single" w:sz="4" w:space="0" w:color="auto"/>
            </w:tcBorders>
            <w:shd w:val="clear" w:color="auto" w:fill="E2EFDA"/>
            <w:vAlign w:val="center"/>
            <w:hideMark/>
          </w:tcPr>
          <w:p w14:paraId="0706110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340.00</w:t>
            </w:r>
          </w:p>
        </w:tc>
        <w:tc>
          <w:tcPr>
            <w:tcW w:w="0" w:type="auto"/>
            <w:tcBorders>
              <w:top w:val="nil"/>
              <w:left w:val="nil"/>
              <w:bottom w:val="single" w:sz="4" w:space="0" w:color="auto"/>
              <w:right w:val="single" w:sz="4" w:space="0" w:color="auto"/>
            </w:tcBorders>
            <w:shd w:val="clear" w:color="auto" w:fill="ED7D31"/>
            <w:vAlign w:val="center"/>
            <w:hideMark/>
          </w:tcPr>
          <w:p w14:paraId="0EC7324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0AE16CC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400.00</w:t>
            </w:r>
          </w:p>
        </w:tc>
        <w:tc>
          <w:tcPr>
            <w:tcW w:w="0" w:type="auto"/>
            <w:tcBorders>
              <w:top w:val="nil"/>
              <w:left w:val="nil"/>
              <w:bottom w:val="single" w:sz="4" w:space="0" w:color="auto"/>
              <w:right w:val="single" w:sz="4" w:space="0" w:color="auto"/>
            </w:tcBorders>
            <w:shd w:val="clear" w:color="auto" w:fill="E2EFDA"/>
            <w:vAlign w:val="center"/>
            <w:hideMark/>
          </w:tcPr>
          <w:p w14:paraId="05168F4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3DE1D5FB" w14:textId="77777777" w:rsidTr="00614438">
        <w:trPr>
          <w:trHeight w:val="20"/>
        </w:trPr>
        <w:tc>
          <w:tcPr>
            <w:tcW w:w="0" w:type="auto"/>
            <w:vMerge/>
            <w:tcBorders>
              <w:top w:val="nil"/>
              <w:left w:val="single" w:sz="4" w:space="0" w:color="auto"/>
              <w:bottom w:val="single" w:sz="4" w:space="0" w:color="000000"/>
              <w:right w:val="single" w:sz="4" w:space="0" w:color="auto"/>
            </w:tcBorders>
            <w:vAlign w:val="center"/>
            <w:hideMark/>
          </w:tcPr>
          <w:p w14:paraId="3759573E"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7974C3C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PM_ES9</w:t>
            </w:r>
          </w:p>
        </w:tc>
        <w:tc>
          <w:tcPr>
            <w:tcW w:w="0" w:type="auto"/>
            <w:tcBorders>
              <w:top w:val="nil"/>
              <w:left w:val="nil"/>
              <w:bottom w:val="single" w:sz="4" w:space="0" w:color="auto"/>
              <w:right w:val="single" w:sz="4" w:space="0" w:color="auto"/>
            </w:tcBorders>
            <w:vAlign w:val="center"/>
            <w:hideMark/>
          </w:tcPr>
          <w:p w14:paraId="0F87BCD4" w14:textId="53827464" w:rsidR="00614438" w:rsidRPr="004F5BC1" w:rsidRDefault="00984159"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Development of a reversible hydroelectric power plant project in Bistrica</w:t>
            </w:r>
          </w:p>
        </w:tc>
        <w:tc>
          <w:tcPr>
            <w:tcW w:w="0" w:type="auto"/>
            <w:tcBorders>
              <w:top w:val="nil"/>
              <w:left w:val="nil"/>
              <w:bottom w:val="single" w:sz="4" w:space="0" w:color="auto"/>
              <w:right w:val="single" w:sz="4" w:space="0" w:color="auto"/>
            </w:tcBorders>
            <w:vAlign w:val="center"/>
            <w:hideMark/>
          </w:tcPr>
          <w:p w14:paraId="6563DD8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4335FC4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091B014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sr-Cyrl-CS"/>
              </w:rPr>
              <w:t>1100</w:t>
            </w:r>
            <w:r w:rsidRPr="004F5BC1">
              <w:rPr>
                <w:rFonts w:ascii="Times New Roman" w:hAnsi="Times New Roman" w:cs="Times New Roman"/>
                <w:sz w:val="14"/>
                <w:szCs w:val="14"/>
                <w:lang w:val="en-GB"/>
              </w:rPr>
              <w:t>.00</w:t>
            </w:r>
          </w:p>
        </w:tc>
        <w:tc>
          <w:tcPr>
            <w:tcW w:w="0" w:type="auto"/>
            <w:tcBorders>
              <w:top w:val="nil"/>
              <w:left w:val="nil"/>
              <w:bottom w:val="single" w:sz="4" w:space="0" w:color="auto"/>
              <w:right w:val="single" w:sz="4" w:space="0" w:color="auto"/>
            </w:tcBorders>
            <w:shd w:val="clear" w:color="auto" w:fill="E2EFDA"/>
            <w:vAlign w:val="center"/>
            <w:hideMark/>
          </w:tcPr>
          <w:p w14:paraId="6C0D25C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sr-Cyrl-CS"/>
              </w:rPr>
              <w:t>682</w:t>
            </w:r>
            <w:r w:rsidRPr="004F5BC1">
              <w:rPr>
                <w:rFonts w:ascii="Times New Roman" w:hAnsi="Times New Roman" w:cs="Times New Roman"/>
                <w:sz w:val="14"/>
                <w:szCs w:val="14"/>
                <w:lang w:val="en-GB"/>
              </w:rPr>
              <w:t>.50</w:t>
            </w:r>
          </w:p>
        </w:tc>
        <w:tc>
          <w:tcPr>
            <w:tcW w:w="0" w:type="auto"/>
            <w:tcBorders>
              <w:top w:val="nil"/>
              <w:left w:val="nil"/>
              <w:bottom w:val="single" w:sz="4" w:space="0" w:color="auto"/>
              <w:right w:val="single" w:sz="4" w:space="0" w:color="auto"/>
            </w:tcBorders>
            <w:shd w:val="clear" w:color="auto" w:fill="E2EFDA"/>
            <w:vAlign w:val="center"/>
            <w:hideMark/>
          </w:tcPr>
          <w:p w14:paraId="4F6F68C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417.50</w:t>
            </w:r>
          </w:p>
        </w:tc>
        <w:tc>
          <w:tcPr>
            <w:tcW w:w="0" w:type="auto"/>
            <w:tcBorders>
              <w:top w:val="nil"/>
              <w:left w:val="nil"/>
              <w:bottom w:val="single" w:sz="4" w:space="0" w:color="auto"/>
              <w:right w:val="single" w:sz="4" w:space="0" w:color="auto"/>
            </w:tcBorders>
            <w:shd w:val="clear" w:color="auto" w:fill="ED7D31" w:themeFill="accent2"/>
            <w:vAlign w:val="center"/>
            <w:hideMark/>
          </w:tcPr>
          <w:p w14:paraId="0014B07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0" w:type="auto"/>
            <w:tcBorders>
              <w:top w:val="nil"/>
              <w:left w:val="nil"/>
              <w:bottom w:val="single" w:sz="4" w:space="0" w:color="auto"/>
              <w:right w:val="single" w:sz="4" w:space="0" w:color="auto"/>
            </w:tcBorders>
            <w:shd w:val="clear" w:color="auto" w:fill="E2EFDA"/>
            <w:vAlign w:val="center"/>
            <w:hideMark/>
          </w:tcPr>
          <w:p w14:paraId="34C32C0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other</w:t>
            </w:r>
          </w:p>
        </w:tc>
        <w:tc>
          <w:tcPr>
            <w:tcW w:w="0" w:type="auto"/>
            <w:tcBorders>
              <w:top w:val="nil"/>
              <w:left w:val="nil"/>
              <w:bottom w:val="single" w:sz="4" w:space="0" w:color="auto"/>
              <w:right w:val="single" w:sz="4" w:space="0" w:color="auto"/>
            </w:tcBorders>
            <w:shd w:val="clear" w:color="auto" w:fill="E2EFDA"/>
            <w:vAlign w:val="center"/>
            <w:hideMark/>
          </w:tcPr>
          <w:p w14:paraId="3E7C33F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sr-Cyrl-CS"/>
              </w:rPr>
              <w:t>1100</w:t>
            </w:r>
            <w:r w:rsidRPr="004F5BC1">
              <w:rPr>
                <w:rFonts w:ascii="Times New Roman" w:hAnsi="Times New Roman" w:cs="Times New Roman"/>
                <w:sz w:val="14"/>
                <w:szCs w:val="14"/>
                <w:lang w:val="en-GB"/>
              </w:rPr>
              <w:t>.00</w:t>
            </w:r>
          </w:p>
        </w:tc>
      </w:tr>
      <w:tr w:rsidR="00614438" w:rsidRPr="004F5BC1" w14:paraId="2A6968E5" w14:textId="77777777" w:rsidTr="00614438">
        <w:trPr>
          <w:trHeight w:val="20"/>
        </w:trPr>
        <w:tc>
          <w:tcPr>
            <w:tcW w:w="0" w:type="auto"/>
            <w:vMerge/>
            <w:tcBorders>
              <w:top w:val="nil"/>
              <w:left w:val="single" w:sz="4" w:space="0" w:color="auto"/>
              <w:bottom w:val="single" w:sz="4" w:space="0" w:color="000000"/>
              <w:right w:val="single" w:sz="4" w:space="0" w:color="auto"/>
            </w:tcBorders>
            <w:vAlign w:val="center"/>
            <w:hideMark/>
          </w:tcPr>
          <w:p w14:paraId="1BDADCD2"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3656279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PM_ES10</w:t>
            </w:r>
          </w:p>
        </w:tc>
        <w:tc>
          <w:tcPr>
            <w:tcW w:w="0" w:type="auto"/>
            <w:tcBorders>
              <w:top w:val="nil"/>
              <w:left w:val="nil"/>
              <w:bottom w:val="single" w:sz="4" w:space="0" w:color="auto"/>
              <w:right w:val="single" w:sz="4" w:space="0" w:color="auto"/>
            </w:tcBorders>
            <w:vAlign w:val="center"/>
            <w:hideMark/>
          </w:tcPr>
          <w:p w14:paraId="2239109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Development of additional dispatchable generation from natural gas</w:t>
            </w:r>
          </w:p>
        </w:tc>
        <w:tc>
          <w:tcPr>
            <w:tcW w:w="0" w:type="auto"/>
            <w:tcBorders>
              <w:top w:val="nil"/>
              <w:left w:val="nil"/>
              <w:bottom w:val="single" w:sz="4" w:space="0" w:color="auto"/>
              <w:right w:val="single" w:sz="4" w:space="0" w:color="auto"/>
            </w:tcBorders>
            <w:vAlign w:val="center"/>
            <w:hideMark/>
          </w:tcPr>
          <w:p w14:paraId="023E30B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26DEED3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513F149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300.00</w:t>
            </w:r>
          </w:p>
        </w:tc>
        <w:tc>
          <w:tcPr>
            <w:tcW w:w="0" w:type="auto"/>
            <w:tcBorders>
              <w:top w:val="nil"/>
              <w:left w:val="nil"/>
              <w:bottom w:val="single" w:sz="4" w:space="0" w:color="auto"/>
              <w:right w:val="single" w:sz="4" w:space="0" w:color="auto"/>
            </w:tcBorders>
            <w:shd w:val="clear" w:color="auto" w:fill="E2EFDA"/>
            <w:vAlign w:val="center"/>
            <w:hideMark/>
          </w:tcPr>
          <w:p w14:paraId="7C0521B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150.00</w:t>
            </w:r>
          </w:p>
        </w:tc>
        <w:tc>
          <w:tcPr>
            <w:tcW w:w="0" w:type="auto"/>
            <w:tcBorders>
              <w:top w:val="nil"/>
              <w:left w:val="nil"/>
              <w:bottom w:val="single" w:sz="4" w:space="0" w:color="auto"/>
              <w:right w:val="single" w:sz="4" w:space="0" w:color="auto"/>
            </w:tcBorders>
            <w:shd w:val="clear" w:color="auto" w:fill="E2EFDA"/>
            <w:vAlign w:val="center"/>
            <w:hideMark/>
          </w:tcPr>
          <w:p w14:paraId="6BEB734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150.00</w:t>
            </w:r>
          </w:p>
        </w:tc>
        <w:tc>
          <w:tcPr>
            <w:tcW w:w="0" w:type="auto"/>
            <w:tcBorders>
              <w:top w:val="nil"/>
              <w:left w:val="nil"/>
              <w:bottom w:val="single" w:sz="4" w:space="0" w:color="auto"/>
              <w:right w:val="single" w:sz="4" w:space="0" w:color="auto"/>
            </w:tcBorders>
            <w:shd w:val="clear" w:color="auto" w:fill="ED7D31" w:themeFill="accent2"/>
            <w:vAlign w:val="center"/>
            <w:hideMark/>
          </w:tcPr>
          <w:p w14:paraId="42B21FC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0" w:type="auto"/>
            <w:tcBorders>
              <w:top w:val="nil"/>
              <w:left w:val="nil"/>
              <w:bottom w:val="single" w:sz="4" w:space="0" w:color="auto"/>
              <w:right w:val="single" w:sz="4" w:space="0" w:color="auto"/>
            </w:tcBorders>
            <w:shd w:val="clear" w:color="auto" w:fill="E2EFDA"/>
            <w:vAlign w:val="center"/>
            <w:hideMark/>
          </w:tcPr>
          <w:p w14:paraId="46798C3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other</w:t>
            </w:r>
          </w:p>
        </w:tc>
        <w:tc>
          <w:tcPr>
            <w:tcW w:w="0" w:type="auto"/>
            <w:tcBorders>
              <w:top w:val="nil"/>
              <w:left w:val="nil"/>
              <w:bottom w:val="single" w:sz="4" w:space="0" w:color="auto"/>
              <w:right w:val="single" w:sz="4" w:space="0" w:color="auto"/>
            </w:tcBorders>
            <w:shd w:val="clear" w:color="auto" w:fill="E2EFDA"/>
            <w:vAlign w:val="center"/>
            <w:hideMark/>
          </w:tcPr>
          <w:p w14:paraId="400567B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300.00</w:t>
            </w:r>
          </w:p>
        </w:tc>
      </w:tr>
      <w:tr w:rsidR="00614438" w:rsidRPr="004F5BC1" w14:paraId="6904D918" w14:textId="77777777" w:rsidTr="00614438">
        <w:trPr>
          <w:trHeight w:val="20"/>
        </w:trPr>
        <w:tc>
          <w:tcPr>
            <w:tcW w:w="0" w:type="auto"/>
            <w:vMerge/>
            <w:tcBorders>
              <w:top w:val="nil"/>
              <w:left w:val="single" w:sz="4" w:space="0" w:color="auto"/>
              <w:bottom w:val="single" w:sz="4" w:space="0" w:color="000000"/>
              <w:right w:val="single" w:sz="4" w:space="0" w:color="auto"/>
            </w:tcBorders>
            <w:vAlign w:val="center"/>
            <w:hideMark/>
          </w:tcPr>
          <w:p w14:paraId="28E9EB9D"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3100B86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PM_ES11</w:t>
            </w:r>
          </w:p>
        </w:tc>
        <w:tc>
          <w:tcPr>
            <w:tcW w:w="0" w:type="auto"/>
            <w:tcBorders>
              <w:top w:val="nil"/>
              <w:left w:val="nil"/>
              <w:bottom w:val="single" w:sz="4" w:space="0" w:color="auto"/>
              <w:right w:val="single" w:sz="4" w:space="0" w:color="auto"/>
            </w:tcBorders>
            <w:vAlign w:val="center"/>
            <w:hideMark/>
          </w:tcPr>
          <w:p w14:paraId="03AE52F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Modernisation of the coal mining industry</w:t>
            </w:r>
          </w:p>
        </w:tc>
        <w:tc>
          <w:tcPr>
            <w:tcW w:w="0" w:type="auto"/>
            <w:tcBorders>
              <w:top w:val="nil"/>
              <w:left w:val="nil"/>
              <w:bottom w:val="single" w:sz="4" w:space="0" w:color="auto"/>
              <w:right w:val="single" w:sz="4" w:space="0" w:color="auto"/>
            </w:tcBorders>
            <w:vAlign w:val="center"/>
            <w:hideMark/>
          </w:tcPr>
          <w:p w14:paraId="51B236A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3CE8A6B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444FF3A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1300.00</w:t>
            </w:r>
          </w:p>
        </w:tc>
        <w:tc>
          <w:tcPr>
            <w:tcW w:w="0" w:type="auto"/>
            <w:tcBorders>
              <w:top w:val="nil"/>
              <w:left w:val="nil"/>
              <w:bottom w:val="single" w:sz="4" w:space="0" w:color="auto"/>
              <w:right w:val="single" w:sz="4" w:space="0" w:color="auto"/>
            </w:tcBorders>
            <w:shd w:val="clear" w:color="auto" w:fill="E2EFDA"/>
            <w:vAlign w:val="center"/>
            <w:hideMark/>
          </w:tcPr>
          <w:p w14:paraId="4A43F4B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650.00</w:t>
            </w:r>
          </w:p>
        </w:tc>
        <w:tc>
          <w:tcPr>
            <w:tcW w:w="0" w:type="auto"/>
            <w:tcBorders>
              <w:top w:val="nil"/>
              <w:left w:val="nil"/>
              <w:bottom w:val="single" w:sz="4" w:space="0" w:color="auto"/>
              <w:right w:val="single" w:sz="4" w:space="0" w:color="auto"/>
            </w:tcBorders>
            <w:shd w:val="clear" w:color="auto" w:fill="E2EFDA"/>
            <w:vAlign w:val="center"/>
            <w:hideMark/>
          </w:tcPr>
          <w:p w14:paraId="2C10B5A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650.00</w:t>
            </w:r>
          </w:p>
        </w:tc>
        <w:tc>
          <w:tcPr>
            <w:tcW w:w="0" w:type="auto"/>
            <w:tcBorders>
              <w:top w:val="nil"/>
              <w:left w:val="nil"/>
              <w:bottom w:val="single" w:sz="4" w:space="0" w:color="auto"/>
              <w:right w:val="single" w:sz="4" w:space="0" w:color="auto"/>
            </w:tcBorders>
            <w:shd w:val="clear" w:color="auto" w:fill="ED7D31"/>
            <w:vAlign w:val="center"/>
            <w:hideMark/>
          </w:tcPr>
          <w:p w14:paraId="18167E7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31FEAC8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1300.00</w:t>
            </w:r>
          </w:p>
        </w:tc>
        <w:tc>
          <w:tcPr>
            <w:tcW w:w="0" w:type="auto"/>
            <w:tcBorders>
              <w:top w:val="nil"/>
              <w:left w:val="nil"/>
              <w:bottom w:val="single" w:sz="4" w:space="0" w:color="auto"/>
              <w:right w:val="single" w:sz="4" w:space="0" w:color="auto"/>
            </w:tcBorders>
            <w:shd w:val="clear" w:color="auto" w:fill="E2EFDA"/>
            <w:vAlign w:val="center"/>
            <w:hideMark/>
          </w:tcPr>
          <w:p w14:paraId="122D258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49737D7C" w14:textId="77777777" w:rsidTr="00614438">
        <w:trPr>
          <w:trHeight w:val="20"/>
        </w:trPr>
        <w:tc>
          <w:tcPr>
            <w:tcW w:w="0" w:type="auto"/>
            <w:vMerge/>
            <w:tcBorders>
              <w:top w:val="nil"/>
              <w:left w:val="single" w:sz="4" w:space="0" w:color="auto"/>
              <w:bottom w:val="single" w:sz="4" w:space="0" w:color="000000"/>
              <w:right w:val="single" w:sz="4" w:space="0" w:color="auto"/>
            </w:tcBorders>
            <w:vAlign w:val="center"/>
            <w:hideMark/>
          </w:tcPr>
          <w:p w14:paraId="7A096AFF"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565AAD7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vAlign w:val="center"/>
            <w:hideMark/>
          </w:tcPr>
          <w:p w14:paraId="6FBCF58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TOTAL FOR ENERGY SECURITY</w:t>
            </w:r>
          </w:p>
        </w:tc>
        <w:tc>
          <w:tcPr>
            <w:tcW w:w="0" w:type="auto"/>
            <w:tcBorders>
              <w:top w:val="nil"/>
              <w:left w:val="nil"/>
              <w:bottom w:val="single" w:sz="4" w:space="0" w:color="auto"/>
              <w:right w:val="single" w:sz="4" w:space="0" w:color="auto"/>
            </w:tcBorders>
            <w:vAlign w:val="center"/>
            <w:hideMark/>
          </w:tcPr>
          <w:p w14:paraId="3F23692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vAlign w:val="center"/>
            <w:hideMark/>
          </w:tcPr>
          <w:p w14:paraId="4C869B0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62F5E715" w14:textId="77777777" w:rsidR="00614438" w:rsidRPr="004F5BC1" w:rsidRDefault="00614438" w:rsidP="00614438">
            <w:pPr>
              <w:jc w:val="both"/>
              <w:rPr>
                <w:rFonts w:ascii="Times New Roman" w:hAnsi="Times New Roman" w:cs="Times New Roman"/>
                <w:sz w:val="14"/>
                <w:szCs w:val="14"/>
                <w:lang w:val="sr-Cyrl-CS"/>
              </w:rPr>
            </w:pPr>
            <w:r w:rsidRPr="004F5BC1">
              <w:rPr>
                <w:rFonts w:ascii="Times New Roman" w:hAnsi="Times New Roman" w:cs="Times New Roman"/>
                <w:sz w:val="14"/>
                <w:szCs w:val="14"/>
                <w:lang w:val="en-GB"/>
              </w:rPr>
              <w:t>3.</w:t>
            </w:r>
            <w:r w:rsidRPr="004F5BC1">
              <w:rPr>
                <w:rFonts w:ascii="Times New Roman" w:hAnsi="Times New Roman" w:cs="Times New Roman"/>
                <w:sz w:val="14"/>
                <w:szCs w:val="14"/>
                <w:lang w:val="sr-Cyrl-CS"/>
              </w:rPr>
              <w:t>39</w:t>
            </w:r>
          </w:p>
        </w:tc>
        <w:tc>
          <w:tcPr>
            <w:tcW w:w="0" w:type="auto"/>
            <w:tcBorders>
              <w:top w:val="nil"/>
              <w:left w:val="nil"/>
              <w:bottom w:val="single" w:sz="4" w:space="0" w:color="auto"/>
              <w:right w:val="single" w:sz="4" w:space="0" w:color="auto"/>
            </w:tcBorders>
            <w:shd w:val="clear" w:color="auto" w:fill="E2EFDA"/>
            <w:vAlign w:val="center"/>
            <w:hideMark/>
          </w:tcPr>
          <w:p w14:paraId="0EAEE96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w:t>
            </w:r>
            <w:r w:rsidRPr="004F5BC1">
              <w:rPr>
                <w:rFonts w:ascii="Times New Roman" w:hAnsi="Times New Roman" w:cs="Times New Roman"/>
                <w:sz w:val="14"/>
                <w:szCs w:val="14"/>
                <w:lang w:val="sr-Cyrl-CS"/>
              </w:rPr>
              <w:t>59</w:t>
            </w:r>
          </w:p>
        </w:tc>
        <w:tc>
          <w:tcPr>
            <w:tcW w:w="0" w:type="auto"/>
            <w:tcBorders>
              <w:top w:val="nil"/>
              <w:left w:val="nil"/>
              <w:bottom w:val="single" w:sz="4" w:space="0" w:color="auto"/>
              <w:right w:val="single" w:sz="4" w:space="0" w:color="auto"/>
            </w:tcBorders>
            <w:shd w:val="clear" w:color="auto" w:fill="E2EFDA"/>
            <w:vAlign w:val="center"/>
            <w:hideMark/>
          </w:tcPr>
          <w:p w14:paraId="673D911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1.80</w:t>
            </w:r>
          </w:p>
        </w:tc>
        <w:tc>
          <w:tcPr>
            <w:tcW w:w="0" w:type="auto"/>
            <w:tcBorders>
              <w:top w:val="nil"/>
              <w:left w:val="nil"/>
              <w:bottom w:val="single" w:sz="4" w:space="0" w:color="auto"/>
              <w:right w:val="single" w:sz="4" w:space="0" w:color="auto"/>
            </w:tcBorders>
            <w:shd w:val="clear" w:color="auto" w:fill="E2EFDA"/>
            <w:vAlign w:val="center"/>
            <w:hideMark/>
          </w:tcPr>
          <w:p w14:paraId="3FF372A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79812D1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1.99</w:t>
            </w:r>
          </w:p>
        </w:tc>
        <w:tc>
          <w:tcPr>
            <w:tcW w:w="0" w:type="auto"/>
            <w:tcBorders>
              <w:top w:val="nil"/>
              <w:left w:val="nil"/>
              <w:bottom w:val="single" w:sz="4" w:space="0" w:color="auto"/>
              <w:right w:val="single" w:sz="4" w:space="0" w:color="auto"/>
            </w:tcBorders>
            <w:shd w:val="clear" w:color="auto" w:fill="E2EFDA"/>
            <w:vAlign w:val="center"/>
            <w:hideMark/>
          </w:tcPr>
          <w:p w14:paraId="6BAC3B8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w:t>
            </w:r>
            <w:r w:rsidRPr="004F5BC1">
              <w:rPr>
                <w:rFonts w:ascii="Times New Roman" w:hAnsi="Times New Roman" w:cs="Times New Roman"/>
                <w:sz w:val="14"/>
                <w:szCs w:val="14"/>
                <w:lang w:val="sr-Cyrl-CS"/>
              </w:rPr>
              <w:t>40</w:t>
            </w:r>
          </w:p>
        </w:tc>
      </w:tr>
    </w:tbl>
    <w:p w14:paraId="6EA1CBBF" w14:textId="77777777" w:rsidR="00614438" w:rsidRPr="004F5BC1" w:rsidRDefault="00614438" w:rsidP="00614438">
      <w:pPr>
        <w:jc w:val="both"/>
        <w:rPr>
          <w:rFonts w:ascii="Times New Roman" w:hAnsi="Times New Roman" w:cs="Times New Roman"/>
          <w:sz w:val="14"/>
          <w:szCs w:val="14"/>
          <w:lang w:val="en-GB"/>
        </w:rPr>
      </w:pPr>
    </w:p>
    <w:p w14:paraId="50124616" w14:textId="77777777" w:rsidR="00614438" w:rsidRPr="004F5BC1" w:rsidRDefault="00614438" w:rsidP="00614438">
      <w:pPr>
        <w:jc w:val="both"/>
        <w:rPr>
          <w:rFonts w:ascii="Times New Roman" w:hAnsi="Times New Roman" w:cs="Times New Roman"/>
          <w:sz w:val="14"/>
          <w:szCs w:val="14"/>
        </w:rPr>
      </w:pPr>
      <w:bookmarkStart w:id="665" w:name="_Toc153545083"/>
      <w:r w:rsidRPr="004F5BC1">
        <w:rPr>
          <w:rFonts w:ascii="Times New Roman" w:hAnsi="Times New Roman" w:cs="Times New Roman"/>
          <w:sz w:val="14"/>
          <w:szCs w:val="14"/>
        </w:rPr>
        <w:t xml:space="preserve">Table </w:t>
      </w:r>
      <w:r w:rsidR="00C83251" w:rsidRPr="004F5BC1">
        <w:rPr>
          <w:rFonts w:ascii="Times New Roman" w:hAnsi="Times New Roman" w:cs="Times New Roman"/>
          <w:sz w:val="14"/>
          <w:szCs w:val="14"/>
        </w:rPr>
        <w:fldChar w:fldCharType="begin"/>
      </w:r>
      <w:r w:rsidRPr="004F5BC1">
        <w:rPr>
          <w:rFonts w:ascii="Times New Roman" w:hAnsi="Times New Roman" w:cs="Times New Roman"/>
          <w:sz w:val="14"/>
          <w:szCs w:val="14"/>
        </w:rPr>
        <w:instrText xml:space="preserve"> STYLEREF 1 \s </w:instrText>
      </w:r>
      <w:r w:rsidR="00C83251" w:rsidRPr="004F5BC1">
        <w:rPr>
          <w:rFonts w:ascii="Times New Roman" w:hAnsi="Times New Roman" w:cs="Times New Roman"/>
          <w:sz w:val="14"/>
          <w:szCs w:val="14"/>
        </w:rPr>
        <w:fldChar w:fldCharType="separate"/>
      </w:r>
      <w:r w:rsidRPr="004F5BC1">
        <w:rPr>
          <w:rFonts w:ascii="Times New Roman" w:hAnsi="Times New Roman" w:cs="Times New Roman"/>
          <w:sz w:val="14"/>
          <w:szCs w:val="14"/>
        </w:rPr>
        <w:t>I</w:t>
      </w:r>
      <w:r w:rsidR="00C83251" w:rsidRPr="004F5BC1">
        <w:rPr>
          <w:rFonts w:ascii="Times New Roman" w:hAnsi="Times New Roman" w:cs="Times New Roman"/>
          <w:sz w:val="14"/>
          <w:szCs w:val="14"/>
        </w:rPr>
        <w:fldChar w:fldCharType="end"/>
      </w:r>
      <w:r w:rsidRPr="004F5BC1">
        <w:rPr>
          <w:rFonts w:ascii="Times New Roman" w:hAnsi="Times New Roman" w:cs="Times New Roman"/>
          <w:sz w:val="14"/>
          <w:szCs w:val="14"/>
        </w:rPr>
        <w:t>.</w:t>
      </w:r>
      <w:r w:rsidR="00C83251" w:rsidRPr="004F5BC1">
        <w:rPr>
          <w:rFonts w:ascii="Times New Roman" w:hAnsi="Times New Roman" w:cs="Times New Roman"/>
          <w:sz w:val="14"/>
          <w:szCs w:val="14"/>
        </w:rPr>
        <w:fldChar w:fldCharType="begin"/>
      </w:r>
      <w:r w:rsidRPr="004F5BC1">
        <w:rPr>
          <w:rFonts w:ascii="Times New Roman" w:hAnsi="Times New Roman" w:cs="Times New Roman"/>
          <w:sz w:val="14"/>
          <w:szCs w:val="14"/>
        </w:rPr>
        <w:instrText xml:space="preserve"> SEQ Table \* ARABIC \s 1 </w:instrText>
      </w:r>
      <w:r w:rsidR="00C83251" w:rsidRPr="004F5BC1">
        <w:rPr>
          <w:rFonts w:ascii="Times New Roman" w:hAnsi="Times New Roman" w:cs="Times New Roman"/>
          <w:sz w:val="14"/>
          <w:szCs w:val="14"/>
        </w:rPr>
        <w:fldChar w:fldCharType="separate"/>
      </w:r>
      <w:r w:rsidRPr="004F5BC1">
        <w:rPr>
          <w:rFonts w:ascii="Times New Roman" w:hAnsi="Times New Roman" w:cs="Times New Roman"/>
          <w:sz w:val="14"/>
          <w:szCs w:val="14"/>
        </w:rPr>
        <w:t>4</w:t>
      </w:r>
      <w:r w:rsidR="00C83251" w:rsidRPr="004F5BC1">
        <w:rPr>
          <w:rFonts w:ascii="Times New Roman" w:hAnsi="Times New Roman" w:cs="Times New Roman"/>
          <w:sz w:val="14"/>
          <w:szCs w:val="14"/>
        </w:rPr>
        <w:fldChar w:fldCharType="end"/>
      </w:r>
      <w:r w:rsidRPr="004F5BC1">
        <w:rPr>
          <w:rFonts w:ascii="Times New Roman" w:hAnsi="Times New Roman" w:cs="Times New Roman"/>
          <w:sz w:val="14"/>
          <w:szCs w:val="14"/>
        </w:rPr>
        <w:t>: Internal Energy Market policy measures</w:t>
      </w:r>
      <w:bookmarkEnd w:id="665"/>
    </w:p>
    <w:tbl>
      <w:tblPr>
        <w:tblW w:w="0" w:type="auto"/>
        <w:tblLook w:val="04A0" w:firstRow="1" w:lastRow="0" w:firstColumn="1" w:lastColumn="0" w:noHBand="0" w:noVBand="1"/>
      </w:tblPr>
      <w:tblGrid>
        <w:gridCol w:w="1004"/>
        <w:gridCol w:w="932"/>
        <w:gridCol w:w="4042"/>
        <w:gridCol w:w="916"/>
        <w:gridCol w:w="1219"/>
        <w:gridCol w:w="1334"/>
        <w:gridCol w:w="985"/>
        <w:gridCol w:w="880"/>
        <w:gridCol w:w="1394"/>
        <w:gridCol w:w="927"/>
        <w:gridCol w:w="927"/>
      </w:tblGrid>
      <w:tr w:rsidR="00614438" w:rsidRPr="004F5BC1" w14:paraId="1F2F1D64" w14:textId="77777777" w:rsidTr="00614438">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BFBFBF"/>
            <w:vAlign w:val="center"/>
            <w:hideMark/>
          </w:tcPr>
          <w:p w14:paraId="6817A2D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Dimension</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6DCE0A2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PAM number</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14699A3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Name of policy or measure</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324F2F6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Type of measure</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22D9D44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Synergetic effects</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19B0EC6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Implementation Cost (million €)</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3368F72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Planned public aid (million €)</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5CDDF8D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own Funds (million €)</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4AA13FD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Projections scenario in which the PAM is included</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271B7AE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CAPEX WEM (million €)</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6447525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CAPEX WAM (million €)</w:t>
            </w:r>
          </w:p>
        </w:tc>
      </w:tr>
      <w:tr w:rsidR="00614438" w:rsidRPr="004F5BC1" w14:paraId="664FCD04" w14:textId="77777777" w:rsidTr="00614438">
        <w:trPr>
          <w:trHeight w:val="20"/>
        </w:trPr>
        <w:tc>
          <w:tcPr>
            <w:tcW w:w="0" w:type="auto"/>
            <w:vMerge w:val="restart"/>
            <w:tcBorders>
              <w:top w:val="nil"/>
              <w:left w:val="single" w:sz="4" w:space="0" w:color="auto"/>
              <w:bottom w:val="single" w:sz="4" w:space="0" w:color="auto"/>
              <w:right w:val="single" w:sz="4" w:space="0" w:color="auto"/>
            </w:tcBorders>
            <w:shd w:val="clear" w:color="auto" w:fill="BFBFBF"/>
            <w:vAlign w:val="center"/>
            <w:hideMark/>
          </w:tcPr>
          <w:p w14:paraId="6D873ED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Internal Energy Market</w:t>
            </w:r>
          </w:p>
        </w:tc>
        <w:tc>
          <w:tcPr>
            <w:tcW w:w="0" w:type="auto"/>
            <w:tcBorders>
              <w:top w:val="nil"/>
              <w:left w:val="nil"/>
              <w:bottom w:val="single" w:sz="4" w:space="0" w:color="auto"/>
              <w:right w:val="single" w:sz="4" w:space="0" w:color="auto"/>
            </w:tcBorders>
            <w:vAlign w:val="center"/>
            <w:hideMark/>
          </w:tcPr>
          <w:p w14:paraId="7883DE0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PM_IEM2</w:t>
            </w:r>
          </w:p>
        </w:tc>
        <w:tc>
          <w:tcPr>
            <w:tcW w:w="0" w:type="auto"/>
            <w:tcBorders>
              <w:top w:val="nil"/>
              <w:left w:val="nil"/>
              <w:bottom w:val="single" w:sz="4" w:space="0" w:color="auto"/>
              <w:right w:val="single" w:sz="4" w:space="0" w:color="auto"/>
            </w:tcBorders>
            <w:vAlign w:val="center"/>
            <w:hideMark/>
          </w:tcPr>
          <w:p w14:paraId="75E9BDD5" w14:textId="22E6C22B"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Implementation of Trans</w:t>
            </w:r>
            <w:r w:rsidR="00984159" w:rsidRPr="004F5BC1">
              <w:rPr>
                <w:rFonts w:ascii="Times New Roman" w:hAnsi="Times New Roman" w:cs="Times New Roman"/>
                <w:sz w:val="14"/>
                <w:szCs w:val="14"/>
                <w:lang w:val="en-GB"/>
              </w:rPr>
              <w:t>-B</w:t>
            </w:r>
            <w:r w:rsidRPr="004F5BC1">
              <w:rPr>
                <w:rFonts w:ascii="Times New Roman" w:hAnsi="Times New Roman" w:cs="Times New Roman"/>
                <w:sz w:val="14"/>
                <w:szCs w:val="14"/>
                <w:lang w:val="en-GB"/>
              </w:rPr>
              <w:t>alkan Corridor: OHL Obrenovac (RS) - Bajina Basta (RS)</w:t>
            </w:r>
          </w:p>
        </w:tc>
        <w:tc>
          <w:tcPr>
            <w:tcW w:w="0" w:type="auto"/>
            <w:tcBorders>
              <w:top w:val="nil"/>
              <w:left w:val="nil"/>
              <w:bottom w:val="single" w:sz="4" w:space="0" w:color="auto"/>
              <w:right w:val="single" w:sz="4" w:space="0" w:color="auto"/>
            </w:tcBorders>
            <w:vAlign w:val="center"/>
            <w:hideMark/>
          </w:tcPr>
          <w:p w14:paraId="232487F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4B81FF9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5537991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89.68</w:t>
            </w:r>
          </w:p>
        </w:tc>
        <w:tc>
          <w:tcPr>
            <w:tcW w:w="0" w:type="auto"/>
            <w:tcBorders>
              <w:top w:val="nil"/>
              <w:left w:val="nil"/>
              <w:bottom w:val="single" w:sz="4" w:space="0" w:color="auto"/>
              <w:right w:val="single" w:sz="4" w:space="0" w:color="auto"/>
            </w:tcBorders>
            <w:shd w:val="clear" w:color="auto" w:fill="E2EFDA"/>
            <w:vAlign w:val="center"/>
            <w:hideMark/>
          </w:tcPr>
          <w:p w14:paraId="50F9525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13.45</w:t>
            </w:r>
          </w:p>
        </w:tc>
        <w:tc>
          <w:tcPr>
            <w:tcW w:w="0" w:type="auto"/>
            <w:tcBorders>
              <w:top w:val="nil"/>
              <w:left w:val="nil"/>
              <w:bottom w:val="single" w:sz="4" w:space="0" w:color="auto"/>
              <w:right w:val="single" w:sz="4" w:space="0" w:color="auto"/>
            </w:tcBorders>
            <w:shd w:val="clear" w:color="auto" w:fill="E2EFDA"/>
            <w:vAlign w:val="center"/>
            <w:hideMark/>
          </w:tcPr>
          <w:p w14:paraId="07D8898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76.23</w:t>
            </w:r>
          </w:p>
        </w:tc>
        <w:tc>
          <w:tcPr>
            <w:tcW w:w="0" w:type="auto"/>
            <w:tcBorders>
              <w:top w:val="nil"/>
              <w:left w:val="nil"/>
              <w:bottom w:val="single" w:sz="4" w:space="0" w:color="auto"/>
              <w:right w:val="single" w:sz="4" w:space="0" w:color="auto"/>
            </w:tcBorders>
            <w:shd w:val="clear" w:color="auto" w:fill="ED7D31"/>
            <w:vAlign w:val="center"/>
            <w:hideMark/>
          </w:tcPr>
          <w:p w14:paraId="1921DE0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434FC3C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89.68</w:t>
            </w:r>
          </w:p>
        </w:tc>
        <w:tc>
          <w:tcPr>
            <w:tcW w:w="0" w:type="auto"/>
            <w:tcBorders>
              <w:top w:val="nil"/>
              <w:left w:val="nil"/>
              <w:bottom w:val="single" w:sz="4" w:space="0" w:color="auto"/>
              <w:right w:val="single" w:sz="4" w:space="0" w:color="auto"/>
            </w:tcBorders>
            <w:shd w:val="clear" w:color="auto" w:fill="E2EFDA"/>
            <w:vAlign w:val="center"/>
            <w:hideMark/>
          </w:tcPr>
          <w:p w14:paraId="66159DB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5C52A9E4"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1E790F5C"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254F0E6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PM_IEM3</w:t>
            </w:r>
          </w:p>
        </w:tc>
        <w:tc>
          <w:tcPr>
            <w:tcW w:w="0" w:type="auto"/>
            <w:tcBorders>
              <w:top w:val="nil"/>
              <w:left w:val="nil"/>
              <w:bottom w:val="single" w:sz="4" w:space="0" w:color="auto"/>
              <w:right w:val="single" w:sz="4" w:space="0" w:color="auto"/>
            </w:tcBorders>
            <w:vAlign w:val="center"/>
            <w:hideMark/>
          </w:tcPr>
          <w:p w14:paraId="64E80797" w14:textId="6A6BBED0"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Implementation of Trans</w:t>
            </w:r>
            <w:r w:rsidR="00984159" w:rsidRPr="004F5BC1">
              <w:rPr>
                <w:rFonts w:ascii="Times New Roman" w:hAnsi="Times New Roman" w:cs="Times New Roman"/>
                <w:sz w:val="14"/>
                <w:szCs w:val="14"/>
                <w:lang w:val="en-GB"/>
              </w:rPr>
              <w:t>-B</w:t>
            </w:r>
            <w:r w:rsidRPr="004F5BC1">
              <w:rPr>
                <w:rFonts w:ascii="Times New Roman" w:hAnsi="Times New Roman" w:cs="Times New Roman"/>
                <w:sz w:val="14"/>
                <w:szCs w:val="14"/>
                <w:lang w:val="en-GB"/>
              </w:rPr>
              <w:t>alkan Corridor: OHL B.Basta (RS) – Visegrad (BA) – Pljevlja (ME)</w:t>
            </w:r>
          </w:p>
        </w:tc>
        <w:tc>
          <w:tcPr>
            <w:tcW w:w="0" w:type="auto"/>
            <w:tcBorders>
              <w:top w:val="nil"/>
              <w:left w:val="nil"/>
              <w:bottom w:val="single" w:sz="4" w:space="0" w:color="auto"/>
              <w:right w:val="single" w:sz="4" w:space="0" w:color="auto"/>
            </w:tcBorders>
            <w:vAlign w:val="center"/>
            <w:hideMark/>
          </w:tcPr>
          <w:p w14:paraId="34780FF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7D091D9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61C21AA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52.32</w:t>
            </w:r>
          </w:p>
        </w:tc>
        <w:tc>
          <w:tcPr>
            <w:tcW w:w="0" w:type="auto"/>
            <w:tcBorders>
              <w:top w:val="nil"/>
              <w:left w:val="nil"/>
              <w:bottom w:val="single" w:sz="4" w:space="0" w:color="auto"/>
              <w:right w:val="single" w:sz="4" w:space="0" w:color="auto"/>
            </w:tcBorders>
            <w:shd w:val="clear" w:color="auto" w:fill="E2EFDA"/>
            <w:vAlign w:val="center"/>
            <w:hideMark/>
          </w:tcPr>
          <w:p w14:paraId="6E85540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7.85</w:t>
            </w:r>
          </w:p>
        </w:tc>
        <w:tc>
          <w:tcPr>
            <w:tcW w:w="0" w:type="auto"/>
            <w:tcBorders>
              <w:top w:val="nil"/>
              <w:left w:val="nil"/>
              <w:bottom w:val="single" w:sz="4" w:space="0" w:color="auto"/>
              <w:right w:val="single" w:sz="4" w:space="0" w:color="auto"/>
            </w:tcBorders>
            <w:shd w:val="clear" w:color="auto" w:fill="E2EFDA"/>
            <w:vAlign w:val="center"/>
            <w:hideMark/>
          </w:tcPr>
          <w:p w14:paraId="0BF4945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44.47</w:t>
            </w:r>
          </w:p>
        </w:tc>
        <w:tc>
          <w:tcPr>
            <w:tcW w:w="0" w:type="auto"/>
            <w:tcBorders>
              <w:top w:val="nil"/>
              <w:left w:val="nil"/>
              <w:bottom w:val="single" w:sz="4" w:space="0" w:color="auto"/>
              <w:right w:val="single" w:sz="4" w:space="0" w:color="auto"/>
            </w:tcBorders>
            <w:shd w:val="clear" w:color="auto" w:fill="ED7D31"/>
            <w:vAlign w:val="center"/>
            <w:hideMark/>
          </w:tcPr>
          <w:p w14:paraId="40EA94E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025F6BF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52.32</w:t>
            </w:r>
          </w:p>
        </w:tc>
        <w:tc>
          <w:tcPr>
            <w:tcW w:w="0" w:type="auto"/>
            <w:tcBorders>
              <w:top w:val="nil"/>
              <w:left w:val="nil"/>
              <w:bottom w:val="single" w:sz="4" w:space="0" w:color="auto"/>
              <w:right w:val="single" w:sz="4" w:space="0" w:color="auto"/>
            </w:tcBorders>
            <w:shd w:val="clear" w:color="auto" w:fill="E2EFDA"/>
            <w:vAlign w:val="center"/>
            <w:hideMark/>
          </w:tcPr>
          <w:p w14:paraId="21BC9FF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2B0B3BA9"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6A4C7FC5"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13CE90A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PM_IEM4</w:t>
            </w:r>
          </w:p>
        </w:tc>
        <w:tc>
          <w:tcPr>
            <w:tcW w:w="0" w:type="auto"/>
            <w:tcBorders>
              <w:top w:val="nil"/>
              <w:left w:val="nil"/>
              <w:bottom w:val="single" w:sz="4" w:space="0" w:color="auto"/>
              <w:right w:val="single" w:sz="4" w:space="0" w:color="auto"/>
            </w:tcBorders>
            <w:vAlign w:val="center"/>
            <w:hideMark/>
          </w:tcPr>
          <w:p w14:paraId="768FC8E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Interconnection between Resita (RO) and Pancevo (RS) (PCI 3.22.1)</w:t>
            </w:r>
          </w:p>
        </w:tc>
        <w:tc>
          <w:tcPr>
            <w:tcW w:w="0" w:type="auto"/>
            <w:tcBorders>
              <w:top w:val="nil"/>
              <w:left w:val="nil"/>
              <w:bottom w:val="single" w:sz="4" w:space="0" w:color="auto"/>
              <w:right w:val="single" w:sz="4" w:space="0" w:color="auto"/>
            </w:tcBorders>
            <w:vAlign w:val="center"/>
            <w:hideMark/>
          </w:tcPr>
          <w:p w14:paraId="051A4FC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5D728E3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Project completed from the Serbian end</w:t>
            </w:r>
          </w:p>
        </w:tc>
        <w:tc>
          <w:tcPr>
            <w:tcW w:w="0" w:type="auto"/>
            <w:tcBorders>
              <w:top w:val="nil"/>
              <w:left w:val="nil"/>
              <w:bottom w:val="single" w:sz="4" w:space="0" w:color="auto"/>
              <w:right w:val="single" w:sz="4" w:space="0" w:color="auto"/>
            </w:tcBorders>
            <w:shd w:val="clear" w:color="auto" w:fill="595959"/>
            <w:vAlign w:val="center"/>
            <w:hideMark/>
          </w:tcPr>
          <w:p w14:paraId="0EC7559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595959"/>
            <w:vAlign w:val="center"/>
            <w:hideMark/>
          </w:tcPr>
          <w:p w14:paraId="102B216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None required</w:t>
            </w:r>
          </w:p>
        </w:tc>
        <w:tc>
          <w:tcPr>
            <w:tcW w:w="0" w:type="auto"/>
            <w:tcBorders>
              <w:top w:val="nil"/>
              <w:left w:val="nil"/>
              <w:bottom w:val="single" w:sz="4" w:space="0" w:color="auto"/>
              <w:right w:val="single" w:sz="4" w:space="0" w:color="auto"/>
            </w:tcBorders>
            <w:shd w:val="clear" w:color="auto" w:fill="595959"/>
            <w:vAlign w:val="center"/>
            <w:hideMark/>
          </w:tcPr>
          <w:p w14:paraId="61AD31F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None required</w:t>
            </w:r>
          </w:p>
        </w:tc>
        <w:tc>
          <w:tcPr>
            <w:tcW w:w="0" w:type="auto"/>
            <w:tcBorders>
              <w:top w:val="nil"/>
              <w:left w:val="nil"/>
              <w:bottom w:val="single" w:sz="4" w:space="0" w:color="auto"/>
              <w:right w:val="single" w:sz="4" w:space="0" w:color="auto"/>
            </w:tcBorders>
            <w:shd w:val="clear" w:color="auto" w:fill="595959"/>
            <w:vAlign w:val="center"/>
            <w:hideMark/>
          </w:tcPr>
          <w:p w14:paraId="4C6226B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595959"/>
            <w:vAlign w:val="center"/>
            <w:hideMark/>
          </w:tcPr>
          <w:p w14:paraId="6C73585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595959"/>
            <w:vAlign w:val="center"/>
            <w:hideMark/>
          </w:tcPr>
          <w:p w14:paraId="201043F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3BD84AB9"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68FC8454"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3A6D84B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PM_IEM5</w:t>
            </w:r>
          </w:p>
        </w:tc>
        <w:tc>
          <w:tcPr>
            <w:tcW w:w="0" w:type="auto"/>
            <w:tcBorders>
              <w:top w:val="nil"/>
              <w:left w:val="nil"/>
              <w:bottom w:val="single" w:sz="4" w:space="0" w:color="auto"/>
              <w:right w:val="single" w:sz="4" w:space="0" w:color="auto"/>
            </w:tcBorders>
            <w:vAlign w:val="center"/>
            <w:hideMark/>
          </w:tcPr>
          <w:p w14:paraId="168990D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Pannonian corridor</w:t>
            </w:r>
          </w:p>
        </w:tc>
        <w:tc>
          <w:tcPr>
            <w:tcW w:w="0" w:type="auto"/>
            <w:tcBorders>
              <w:top w:val="nil"/>
              <w:left w:val="nil"/>
              <w:bottom w:val="single" w:sz="4" w:space="0" w:color="auto"/>
              <w:right w:val="single" w:sz="4" w:space="0" w:color="auto"/>
            </w:tcBorders>
            <w:vAlign w:val="center"/>
            <w:hideMark/>
          </w:tcPr>
          <w:p w14:paraId="3687381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7C7FA0F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474F496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108.00</w:t>
            </w:r>
          </w:p>
        </w:tc>
        <w:tc>
          <w:tcPr>
            <w:tcW w:w="0" w:type="auto"/>
            <w:tcBorders>
              <w:top w:val="nil"/>
              <w:left w:val="nil"/>
              <w:bottom w:val="single" w:sz="4" w:space="0" w:color="auto"/>
              <w:right w:val="single" w:sz="4" w:space="0" w:color="auto"/>
            </w:tcBorders>
            <w:shd w:val="clear" w:color="auto" w:fill="E2EFDA"/>
            <w:vAlign w:val="center"/>
            <w:hideMark/>
          </w:tcPr>
          <w:p w14:paraId="47BF98E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16.20</w:t>
            </w:r>
          </w:p>
        </w:tc>
        <w:tc>
          <w:tcPr>
            <w:tcW w:w="0" w:type="auto"/>
            <w:tcBorders>
              <w:top w:val="nil"/>
              <w:left w:val="nil"/>
              <w:bottom w:val="single" w:sz="4" w:space="0" w:color="auto"/>
              <w:right w:val="single" w:sz="4" w:space="0" w:color="auto"/>
            </w:tcBorders>
            <w:shd w:val="clear" w:color="auto" w:fill="E2EFDA"/>
            <w:vAlign w:val="center"/>
            <w:hideMark/>
          </w:tcPr>
          <w:p w14:paraId="1C59E7B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91.80</w:t>
            </w:r>
          </w:p>
        </w:tc>
        <w:tc>
          <w:tcPr>
            <w:tcW w:w="0" w:type="auto"/>
            <w:tcBorders>
              <w:top w:val="nil"/>
              <w:left w:val="nil"/>
              <w:bottom w:val="single" w:sz="4" w:space="0" w:color="auto"/>
              <w:right w:val="single" w:sz="4" w:space="0" w:color="auto"/>
            </w:tcBorders>
            <w:shd w:val="clear" w:color="auto" w:fill="ED7D31"/>
            <w:vAlign w:val="center"/>
            <w:hideMark/>
          </w:tcPr>
          <w:p w14:paraId="401BB68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0236C28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108.00</w:t>
            </w:r>
          </w:p>
        </w:tc>
        <w:tc>
          <w:tcPr>
            <w:tcW w:w="0" w:type="auto"/>
            <w:tcBorders>
              <w:top w:val="nil"/>
              <w:left w:val="nil"/>
              <w:bottom w:val="single" w:sz="4" w:space="0" w:color="auto"/>
              <w:right w:val="single" w:sz="4" w:space="0" w:color="auto"/>
            </w:tcBorders>
            <w:shd w:val="clear" w:color="auto" w:fill="E2EFDA"/>
            <w:vAlign w:val="center"/>
            <w:hideMark/>
          </w:tcPr>
          <w:p w14:paraId="09D141D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5BEEC10A"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73B775B5"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602BA1D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PM_IEM6</w:t>
            </w:r>
          </w:p>
        </w:tc>
        <w:tc>
          <w:tcPr>
            <w:tcW w:w="0" w:type="auto"/>
            <w:tcBorders>
              <w:top w:val="nil"/>
              <w:left w:val="nil"/>
              <w:bottom w:val="single" w:sz="4" w:space="0" w:color="auto"/>
              <w:right w:val="single" w:sz="4" w:space="0" w:color="auto"/>
            </w:tcBorders>
            <w:vAlign w:val="center"/>
            <w:hideMark/>
          </w:tcPr>
          <w:p w14:paraId="04ED273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Central Balkan Corridor</w:t>
            </w:r>
          </w:p>
        </w:tc>
        <w:tc>
          <w:tcPr>
            <w:tcW w:w="0" w:type="auto"/>
            <w:tcBorders>
              <w:top w:val="nil"/>
              <w:left w:val="nil"/>
              <w:bottom w:val="single" w:sz="4" w:space="0" w:color="auto"/>
              <w:right w:val="single" w:sz="4" w:space="0" w:color="auto"/>
            </w:tcBorders>
            <w:vAlign w:val="center"/>
            <w:hideMark/>
          </w:tcPr>
          <w:p w14:paraId="1905A4C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088FF4B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15ABB25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214.07</w:t>
            </w:r>
          </w:p>
        </w:tc>
        <w:tc>
          <w:tcPr>
            <w:tcW w:w="0" w:type="auto"/>
            <w:tcBorders>
              <w:top w:val="nil"/>
              <w:left w:val="nil"/>
              <w:bottom w:val="single" w:sz="4" w:space="0" w:color="auto"/>
              <w:right w:val="single" w:sz="4" w:space="0" w:color="auto"/>
            </w:tcBorders>
            <w:shd w:val="clear" w:color="auto" w:fill="E2EFDA"/>
            <w:vAlign w:val="center"/>
            <w:hideMark/>
          </w:tcPr>
          <w:p w14:paraId="76E5DE1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32.11</w:t>
            </w:r>
          </w:p>
        </w:tc>
        <w:tc>
          <w:tcPr>
            <w:tcW w:w="0" w:type="auto"/>
            <w:tcBorders>
              <w:top w:val="nil"/>
              <w:left w:val="nil"/>
              <w:bottom w:val="single" w:sz="4" w:space="0" w:color="auto"/>
              <w:right w:val="single" w:sz="4" w:space="0" w:color="auto"/>
            </w:tcBorders>
            <w:shd w:val="clear" w:color="auto" w:fill="E2EFDA"/>
            <w:vAlign w:val="center"/>
            <w:hideMark/>
          </w:tcPr>
          <w:p w14:paraId="6B8514E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181.96</w:t>
            </w:r>
          </w:p>
        </w:tc>
        <w:tc>
          <w:tcPr>
            <w:tcW w:w="0" w:type="auto"/>
            <w:tcBorders>
              <w:top w:val="nil"/>
              <w:left w:val="nil"/>
              <w:bottom w:val="single" w:sz="4" w:space="0" w:color="auto"/>
              <w:right w:val="single" w:sz="4" w:space="0" w:color="auto"/>
            </w:tcBorders>
            <w:shd w:val="clear" w:color="auto" w:fill="ED7D31"/>
            <w:vAlign w:val="center"/>
            <w:hideMark/>
          </w:tcPr>
          <w:p w14:paraId="6B80D7E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48E6E8D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214.07</w:t>
            </w:r>
          </w:p>
        </w:tc>
        <w:tc>
          <w:tcPr>
            <w:tcW w:w="0" w:type="auto"/>
            <w:tcBorders>
              <w:top w:val="nil"/>
              <w:left w:val="nil"/>
              <w:bottom w:val="single" w:sz="4" w:space="0" w:color="auto"/>
              <w:right w:val="single" w:sz="4" w:space="0" w:color="auto"/>
            </w:tcBorders>
            <w:shd w:val="clear" w:color="auto" w:fill="E2EFDA"/>
            <w:vAlign w:val="center"/>
            <w:hideMark/>
          </w:tcPr>
          <w:p w14:paraId="5D7E938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47DBBE8B"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71708767"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0507746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PM_IEM7</w:t>
            </w:r>
          </w:p>
        </w:tc>
        <w:tc>
          <w:tcPr>
            <w:tcW w:w="0" w:type="auto"/>
            <w:tcBorders>
              <w:top w:val="nil"/>
              <w:left w:val="nil"/>
              <w:bottom w:val="single" w:sz="4" w:space="0" w:color="auto"/>
              <w:right w:val="single" w:sz="4" w:space="0" w:color="auto"/>
            </w:tcBorders>
            <w:vAlign w:val="center"/>
            <w:hideMark/>
          </w:tcPr>
          <w:p w14:paraId="0A09622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RES integration cluster of projects – North Corridor </w:t>
            </w:r>
          </w:p>
        </w:tc>
        <w:tc>
          <w:tcPr>
            <w:tcW w:w="0" w:type="auto"/>
            <w:tcBorders>
              <w:top w:val="nil"/>
              <w:left w:val="nil"/>
              <w:bottom w:val="single" w:sz="4" w:space="0" w:color="auto"/>
              <w:right w:val="single" w:sz="4" w:space="0" w:color="auto"/>
            </w:tcBorders>
            <w:vAlign w:val="center"/>
            <w:hideMark/>
          </w:tcPr>
          <w:p w14:paraId="2507E1C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3A6DD7E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22FF8FE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84.00</w:t>
            </w:r>
          </w:p>
        </w:tc>
        <w:tc>
          <w:tcPr>
            <w:tcW w:w="0" w:type="auto"/>
            <w:tcBorders>
              <w:top w:val="nil"/>
              <w:left w:val="nil"/>
              <w:bottom w:val="single" w:sz="4" w:space="0" w:color="auto"/>
              <w:right w:val="single" w:sz="4" w:space="0" w:color="auto"/>
            </w:tcBorders>
            <w:shd w:val="clear" w:color="auto" w:fill="E2EFDA"/>
            <w:vAlign w:val="center"/>
            <w:hideMark/>
          </w:tcPr>
          <w:p w14:paraId="413F8CF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12.60</w:t>
            </w:r>
          </w:p>
        </w:tc>
        <w:tc>
          <w:tcPr>
            <w:tcW w:w="0" w:type="auto"/>
            <w:tcBorders>
              <w:top w:val="nil"/>
              <w:left w:val="nil"/>
              <w:bottom w:val="single" w:sz="4" w:space="0" w:color="auto"/>
              <w:right w:val="single" w:sz="4" w:space="0" w:color="auto"/>
            </w:tcBorders>
            <w:shd w:val="clear" w:color="auto" w:fill="E2EFDA"/>
            <w:vAlign w:val="center"/>
            <w:hideMark/>
          </w:tcPr>
          <w:p w14:paraId="3E0FE4F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71.40</w:t>
            </w:r>
          </w:p>
        </w:tc>
        <w:tc>
          <w:tcPr>
            <w:tcW w:w="0" w:type="auto"/>
            <w:tcBorders>
              <w:top w:val="nil"/>
              <w:left w:val="nil"/>
              <w:bottom w:val="single" w:sz="4" w:space="0" w:color="auto"/>
              <w:right w:val="single" w:sz="4" w:space="0" w:color="auto"/>
            </w:tcBorders>
            <w:shd w:val="clear" w:color="auto" w:fill="ED7D31"/>
            <w:vAlign w:val="center"/>
            <w:hideMark/>
          </w:tcPr>
          <w:p w14:paraId="02CF3CD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635D893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84.00</w:t>
            </w:r>
          </w:p>
        </w:tc>
        <w:tc>
          <w:tcPr>
            <w:tcW w:w="0" w:type="auto"/>
            <w:tcBorders>
              <w:top w:val="nil"/>
              <w:left w:val="nil"/>
              <w:bottom w:val="single" w:sz="4" w:space="0" w:color="auto"/>
              <w:right w:val="single" w:sz="4" w:space="0" w:color="auto"/>
            </w:tcBorders>
            <w:shd w:val="clear" w:color="auto" w:fill="E2EFDA"/>
            <w:vAlign w:val="center"/>
            <w:hideMark/>
          </w:tcPr>
          <w:p w14:paraId="166550D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12C7AE3B"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5429C44B"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615C5D5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PM_IEM8</w:t>
            </w:r>
          </w:p>
        </w:tc>
        <w:tc>
          <w:tcPr>
            <w:tcW w:w="0" w:type="auto"/>
            <w:tcBorders>
              <w:top w:val="nil"/>
              <w:left w:val="nil"/>
              <w:bottom w:val="single" w:sz="4" w:space="0" w:color="auto"/>
              <w:right w:val="single" w:sz="4" w:space="0" w:color="auto"/>
            </w:tcBorders>
            <w:vAlign w:val="center"/>
            <w:hideMark/>
          </w:tcPr>
          <w:p w14:paraId="2F76BD1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Regional gas connection through the implementation of interconnection projects</w:t>
            </w:r>
          </w:p>
        </w:tc>
        <w:tc>
          <w:tcPr>
            <w:tcW w:w="0" w:type="auto"/>
            <w:tcBorders>
              <w:top w:val="nil"/>
              <w:left w:val="nil"/>
              <w:bottom w:val="single" w:sz="4" w:space="0" w:color="auto"/>
              <w:right w:val="single" w:sz="4" w:space="0" w:color="auto"/>
            </w:tcBorders>
            <w:vAlign w:val="center"/>
            <w:hideMark/>
          </w:tcPr>
          <w:p w14:paraId="7941AC7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6782548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0DF0BBB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224.00</w:t>
            </w:r>
          </w:p>
        </w:tc>
        <w:tc>
          <w:tcPr>
            <w:tcW w:w="0" w:type="auto"/>
            <w:tcBorders>
              <w:top w:val="nil"/>
              <w:left w:val="nil"/>
              <w:bottom w:val="single" w:sz="4" w:space="0" w:color="auto"/>
              <w:right w:val="single" w:sz="4" w:space="0" w:color="auto"/>
            </w:tcBorders>
            <w:shd w:val="clear" w:color="auto" w:fill="E2EFDA"/>
            <w:vAlign w:val="center"/>
            <w:hideMark/>
          </w:tcPr>
          <w:p w14:paraId="675D658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33.60</w:t>
            </w:r>
          </w:p>
        </w:tc>
        <w:tc>
          <w:tcPr>
            <w:tcW w:w="0" w:type="auto"/>
            <w:tcBorders>
              <w:top w:val="nil"/>
              <w:left w:val="nil"/>
              <w:bottom w:val="single" w:sz="4" w:space="0" w:color="auto"/>
              <w:right w:val="single" w:sz="4" w:space="0" w:color="auto"/>
            </w:tcBorders>
            <w:shd w:val="clear" w:color="auto" w:fill="E2EFDA"/>
            <w:vAlign w:val="center"/>
            <w:hideMark/>
          </w:tcPr>
          <w:p w14:paraId="050D631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190.40</w:t>
            </w:r>
          </w:p>
        </w:tc>
        <w:tc>
          <w:tcPr>
            <w:tcW w:w="0" w:type="auto"/>
            <w:tcBorders>
              <w:top w:val="nil"/>
              <w:left w:val="nil"/>
              <w:bottom w:val="single" w:sz="4" w:space="0" w:color="auto"/>
              <w:right w:val="single" w:sz="4" w:space="0" w:color="auto"/>
            </w:tcBorders>
            <w:shd w:val="clear" w:color="auto" w:fill="ED7D31"/>
            <w:vAlign w:val="center"/>
            <w:hideMark/>
          </w:tcPr>
          <w:p w14:paraId="6D9EF17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05A193E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224.00</w:t>
            </w:r>
          </w:p>
        </w:tc>
        <w:tc>
          <w:tcPr>
            <w:tcW w:w="0" w:type="auto"/>
            <w:tcBorders>
              <w:top w:val="nil"/>
              <w:left w:val="nil"/>
              <w:bottom w:val="single" w:sz="4" w:space="0" w:color="auto"/>
              <w:right w:val="single" w:sz="4" w:space="0" w:color="auto"/>
            </w:tcBorders>
            <w:shd w:val="clear" w:color="auto" w:fill="E2EFDA"/>
            <w:vAlign w:val="center"/>
            <w:hideMark/>
          </w:tcPr>
          <w:p w14:paraId="22B4F27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570597F4"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1173DAD6"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249F0F9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PM_IEM8.2</w:t>
            </w:r>
          </w:p>
        </w:tc>
        <w:tc>
          <w:tcPr>
            <w:tcW w:w="0" w:type="auto"/>
            <w:tcBorders>
              <w:top w:val="nil"/>
              <w:left w:val="nil"/>
              <w:bottom w:val="single" w:sz="4" w:space="0" w:color="auto"/>
              <w:right w:val="single" w:sz="4" w:space="0" w:color="auto"/>
            </w:tcBorders>
            <w:vAlign w:val="center"/>
            <w:hideMark/>
          </w:tcPr>
          <w:p w14:paraId="052526FD" w14:textId="1A420F49"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Project for Serbia-Romania gas interconnection 85.5 km </w:t>
            </w:r>
            <w:r w:rsidR="00984159" w:rsidRPr="004F5BC1">
              <w:rPr>
                <w:rFonts w:ascii="Times New Roman" w:hAnsi="Times New Roman" w:cs="Times New Roman"/>
                <w:sz w:val="14"/>
                <w:szCs w:val="14"/>
                <w:lang w:val="en-GB"/>
              </w:rPr>
              <w:t xml:space="preserve">long </w:t>
            </w:r>
            <w:r w:rsidRPr="004F5BC1">
              <w:rPr>
                <w:rFonts w:ascii="Times New Roman" w:hAnsi="Times New Roman" w:cs="Times New Roman"/>
                <w:sz w:val="14"/>
                <w:szCs w:val="14"/>
                <w:lang w:val="en-GB"/>
              </w:rPr>
              <w:t>(out of which 12.8 km is on the territory of the Republic of Serbia), with a capacity of 1.2 billion m3/year</w:t>
            </w:r>
          </w:p>
        </w:tc>
        <w:tc>
          <w:tcPr>
            <w:tcW w:w="0" w:type="auto"/>
            <w:tcBorders>
              <w:top w:val="nil"/>
              <w:left w:val="nil"/>
              <w:bottom w:val="single" w:sz="4" w:space="0" w:color="auto"/>
              <w:right w:val="single" w:sz="4" w:space="0" w:color="auto"/>
            </w:tcBorders>
            <w:vAlign w:val="center"/>
            <w:hideMark/>
          </w:tcPr>
          <w:p w14:paraId="7D556E4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5175A19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28C5166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16.00</w:t>
            </w:r>
          </w:p>
        </w:tc>
        <w:tc>
          <w:tcPr>
            <w:tcW w:w="0" w:type="auto"/>
            <w:tcBorders>
              <w:top w:val="nil"/>
              <w:left w:val="nil"/>
              <w:bottom w:val="single" w:sz="4" w:space="0" w:color="auto"/>
              <w:right w:val="single" w:sz="4" w:space="0" w:color="auto"/>
            </w:tcBorders>
            <w:shd w:val="clear" w:color="auto" w:fill="E2EFDA"/>
            <w:vAlign w:val="center"/>
            <w:hideMark/>
          </w:tcPr>
          <w:p w14:paraId="2BF9C45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2.40</w:t>
            </w:r>
          </w:p>
        </w:tc>
        <w:tc>
          <w:tcPr>
            <w:tcW w:w="0" w:type="auto"/>
            <w:tcBorders>
              <w:top w:val="nil"/>
              <w:left w:val="nil"/>
              <w:bottom w:val="single" w:sz="4" w:space="0" w:color="auto"/>
              <w:right w:val="single" w:sz="4" w:space="0" w:color="auto"/>
            </w:tcBorders>
            <w:shd w:val="clear" w:color="auto" w:fill="E2EFDA"/>
            <w:vAlign w:val="center"/>
            <w:hideMark/>
          </w:tcPr>
          <w:p w14:paraId="27ED08C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13.60</w:t>
            </w:r>
          </w:p>
        </w:tc>
        <w:tc>
          <w:tcPr>
            <w:tcW w:w="0" w:type="auto"/>
            <w:tcBorders>
              <w:top w:val="nil"/>
              <w:left w:val="nil"/>
              <w:bottom w:val="single" w:sz="4" w:space="0" w:color="auto"/>
              <w:right w:val="single" w:sz="4" w:space="0" w:color="auto"/>
            </w:tcBorders>
            <w:shd w:val="clear" w:color="auto" w:fill="ED7D31"/>
            <w:vAlign w:val="center"/>
            <w:hideMark/>
          </w:tcPr>
          <w:p w14:paraId="4B77953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45A4124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16.00</w:t>
            </w:r>
          </w:p>
        </w:tc>
        <w:tc>
          <w:tcPr>
            <w:tcW w:w="0" w:type="auto"/>
            <w:tcBorders>
              <w:top w:val="nil"/>
              <w:left w:val="nil"/>
              <w:bottom w:val="single" w:sz="4" w:space="0" w:color="auto"/>
              <w:right w:val="single" w:sz="4" w:space="0" w:color="auto"/>
            </w:tcBorders>
            <w:shd w:val="clear" w:color="auto" w:fill="E2EFDA"/>
            <w:vAlign w:val="center"/>
            <w:hideMark/>
          </w:tcPr>
          <w:p w14:paraId="425F246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1B75AE8C"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0CA35F7C"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7292C47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PM_IEM8.3</w:t>
            </w:r>
          </w:p>
        </w:tc>
        <w:tc>
          <w:tcPr>
            <w:tcW w:w="0" w:type="auto"/>
            <w:tcBorders>
              <w:top w:val="nil"/>
              <w:left w:val="nil"/>
              <w:bottom w:val="single" w:sz="4" w:space="0" w:color="auto"/>
              <w:right w:val="single" w:sz="4" w:space="0" w:color="auto"/>
            </w:tcBorders>
            <w:vAlign w:val="center"/>
            <w:hideMark/>
          </w:tcPr>
          <w:p w14:paraId="03887183" w14:textId="1D7F1BC3"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Project for Serbia-Croatia gas interconnection (95 km</w:t>
            </w:r>
            <w:r w:rsidR="00984159" w:rsidRPr="004F5BC1">
              <w:rPr>
                <w:rFonts w:ascii="Times New Roman" w:hAnsi="Times New Roman" w:cs="Times New Roman"/>
                <w:sz w:val="14"/>
                <w:szCs w:val="14"/>
                <w:lang w:val="en-GB"/>
              </w:rPr>
              <w:t xml:space="preserve"> long</w:t>
            </w:r>
            <w:r w:rsidRPr="004F5BC1">
              <w:rPr>
                <w:rFonts w:ascii="Times New Roman" w:hAnsi="Times New Roman" w:cs="Times New Roman"/>
                <w:sz w:val="14"/>
                <w:szCs w:val="14"/>
                <w:lang w:val="en-GB"/>
              </w:rPr>
              <w:t>, with a capacity of 1.5 billion m3/year)</w:t>
            </w:r>
          </w:p>
        </w:tc>
        <w:tc>
          <w:tcPr>
            <w:tcW w:w="0" w:type="auto"/>
            <w:tcBorders>
              <w:top w:val="nil"/>
              <w:left w:val="nil"/>
              <w:bottom w:val="single" w:sz="4" w:space="0" w:color="auto"/>
              <w:right w:val="single" w:sz="4" w:space="0" w:color="auto"/>
            </w:tcBorders>
            <w:vAlign w:val="center"/>
            <w:hideMark/>
          </w:tcPr>
          <w:p w14:paraId="2477655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1378722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0EC04C6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144.00</w:t>
            </w:r>
          </w:p>
        </w:tc>
        <w:tc>
          <w:tcPr>
            <w:tcW w:w="0" w:type="auto"/>
            <w:tcBorders>
              <w:top w:val="nil"/>
              <w:left w:val="nil"/>
              <w:bottom w:val="single" w:sz="4" w:space="0" w:color="auto"/>
              <w:right w:val="single" w:sz="4" w:space="0" w:color="auto"/>
            </w:tcBorders>
            <w:shd w:val="clear" w:color="auto" w:fill="E2EFDA"/>
            <w:vAlign w:val="center"/>
            <w:hideMark/>
          </w:tcPr>
          <w:p w14:paraId="024036D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21.60</w:t>
            </w:r>
          </w:p>
        </w:tc>
        <w:tc>
          <w:tcPr>
            <w:tcW w:w="0" w:type="auto"/>
            <w:tcBorders>
              <w:top w:val="nil"/>
              <w:left w:val="nil"/>
              <w:bottom w:val="single" w:sz="4" w:space="0" w:color="auto"/>
              <w:right w:val="single" w:sz="4" w:space="0" w:color="auto"/>
            </w:tcBorders>
            <w:shd w:val="clear" w:color="auto" w:fill="E2EFDA"/>
            <w:vAlign w:val="center"/>
            <w:hideMark/>
          </w:tcPr>
          <w:p w14:paraId="748539C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122.40</w:t>
            </w:r>
          </w:p>
        </w:tc>
        <w:tc>
          <w:tcPr>
            <w:tcW w:w="0" w:type="auto"/>
            <w:tcBorders>
              <w:top w:val="nil"/>
              <w:left w:val="nil"/>
              <w:bottom w:val="single" w:sz="4" w:space="0" w:color="auto"/>
              <w:right w:val="single" w:sz="4" w:space="0" w:color="auto"/>
            </w:tcBorders>
            <w:shd w:val="clear" w:color="auto" w:fill="ED7D31"/>
            <w:vAlign w:val="center"/>
            <w:hideMark/>
          </w:tcPr>
          <w:p w14:paraId="3607BAA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618F89C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144.00</w:t>
            </w:r>
          </w:p>
        </w:tc>
        <w:tc>
          <w:tcPr>
            <w:tcW w:w="0" w:type="auto"/>
            <w:tcBorders>
              <w:top w:val="nil"/>
              <w:left w:val="nil"/>
              <w:bottom w:val="single" w:sz="4" w:space="0" w:color="auto"/>
              <w:right w:val="single" w:sz="4" w:space="0" w:color="auto"/>
            </w:tcBorders>
            <w:shd w:val="clear" w:color="auto" w:fill="E2EFDA"/>
            <w:vAlign w:val="center"/>
            <w:hideMark/>
          </w:tcPr>
          <w:p w14:paraId="5AA5889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5519DBFB"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0CB5F25A"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3B1F10B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PM_IEM8.4</w:t>
            </w:r>
          </w:p>
        </w:tc>
        <w:tc>
          <w:tcPr>
            <w:tcW w:w="0" w:type="auto"/>
            <w:tcBorders>
              <w:top w:val="nil"/>
              <w:left w:val="nil"/>
              <w:bottom w:val="single" w:sz="4" w:space="0" w:color="auto"/>
              <w:right w:val="single" w:sz="4" w:space="0" w:color="auto"/>
            </w:tcBorders>
            <w:vAlign w:val="center"/>
            <w:hideMark/>
          </w:tcPr>
          <w:p w14:paraId="31D1ABF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Project for Serbia-BiH gas interconnection 90 km, with a capacity of 1.2 billion m3/year</w:t>
            </w:r>
          </w:p>
        </w:tc>
        <w:tc>
          <w:tcPr>
            <w:tcW w:w="0" w:type="auto"/>
            <w:tcBorders>
              <w:top w:val="nil"/>
              <w:left w:val="nil"/>
              <w:bottom w:val="single" w:sz="4" w:space="0" w:color="auto"/>
              <w:right w:val="single" w:sz="4" w:space="0" w:color="auto"/>
            </w:tcBorders>
            <w:vAlign w:val="center"/>
            <w:hideMark/>
          </w:tcPr>
          <w:p w14:paraId="53BE773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4CEFA4E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2096602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47.00</w:t>
            </w:r>
          </w:p>
        </w:tc>
        <w:tc>
          <w:tcPr>
            <w:tcW w:w="0" w:type="auto"/>
            <w:tcBorders>
              <w:top w:val="nil"/>
              <w:left w:val="nil"/>
              <w:bottom w:val="single" w:sz="4" w:space="0" w:color="auto"/>
              <w:right w:val="single" w:sz="4" w:space="0" w:color="auto"/>
            </w:tcBorders>
            <w:shd w:val="clear" w:color="auto" w:fill="E2EFDA"/>
            <w:vAlign w:val="center"/>
            <w:hideMark/>
          </w:tcPr>
          <w:p w14:paraId="43F2918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7.05</w:t>
            </w:r>
          </w:p>
        </w:tc>
        <w:tc>
          <w:tcPr>
            <w:tcW w:w="0" w:type="auto"/>
            <w:tcBorders>
              <w:top w:val="nil"/>
              <w:left w:val="nil"/>
              <w:bottom w:val="single" w:sz="4" w:space="0" w:color="auto"/>
              <w:right w:val="single" w:sz="4" w:space="0" w:color="auto"/>
            </w:tcBorders>
            <w:shd w:val="clear" w:color="auto" w:fill="E2EFDA"/>
            <w:vAlign w:val="center"/>
            <w:hideMark/>
          </w:tcPr>
          <w:p w14:paraId="4BC5C31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39.95</w:t>
            </w:r>
          </w:p>
        </w:tc>
        <w:tc>
          <w:tcPr>
            <w:tcW w:w="0" w:type="auto"/>
            <w:tcBorders>
              <w:top w:val="nil"/>
              <w:left w:val="nil"/>
              <w:bottom w:val="single" w:sz="4" w:space="0" w:color="auto"/>
              <w:right w:val="single" w:sz="4" w:space="0" w:color="auto"/>
            </w:tcBorders>
            <w:shd w:val="clear" w:color="auto" w:fill="ED7D31"/>
            <w:vAlign w:val="center"/>
            <w:hideMark/>
          </w:tcPr>
          <w:p w14:paraId="7CD9CAB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4A423F9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47.00</w:t>
            </w:r>
          </w:p>
        </w:tc>
        <w:tc>
          <w:tcPr>
            <w:tcW w:w="0" w:type="auto"/>
            <w:tcBorders>
              <w:top w:val="nil"/>
              <w:left w:val="nil"/>
              <w:bottom w:val="single" w:sz="4" w:space="0" w:color="auto"/>
              <w:right w:val="single" w:sz="4" w:space="0" w:color="auto"/>
            </w:tcBorders>
            <w:shd w:val="clear" w:color="auto" w:fill="E2EFDA"/>
            <w:vAlign w:val="center"/>
            <w:hideMark/>
          </w:tcPr>
          <w:p w14:paraId="6A8D985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12A49A12"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5C1903A0"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46ACE9F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PM_IEM8.5</w:t>
            </w:r>
          </w:p>
        </w:tc>
        <w:tc>
          <w:tcPr>
            <w:tcW w:w="0" w:type="auto"/>
            <w:tcBorders>
              <w:top w:val="nil"/>
              <w:left w:val="nil"/>
              <w:bottom w:val="single" w:sz="4" w:space="0" w:color="auto"/>
              <w:right w:val="single" w:sz="4" w:space="0" w:color="auto"/>
            </w:tcBorders>
            <w:vAlign w:val="center"/>
            <w:hideMark/>
          </w:tcPr>
          <w:p w14:paraId="72997915" w14:textId="47527714"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Distribution gas pipeline RG 11-02 Leskovac-Vladicin Han-Vranje 71 km</w:t>
            </w:r>
            <w:r w:rsidR="00984159" w:rsidRPr="004F5BC1">
              <w:rPr>
                <w:rFonts w:ascii="Times New Roman" w:hAnsi="Times New Roman" w:cs="Times New Roman"/>
                <w:sz w:val="14"/>
                <w:szCs w:val="14"/>
                <w:lang w:val="en-GB"/>
              </w:rPr>
              <w:t xml:space="preserve"> long</w:t>
            </w:r>
          </w:p>
        </w:tc>
        <w:tc>
          <w:tcPr>
            <w:tcW w:w="0" w:type="auto"/>
            <w:tcBorders>
              <w:top w:val="nil"/>
              <w:left w:val="nil"/>
              <w:bottom w:val="single" w:sz="4" w:space="0" w:color="auto"/>
              <w:right w:val="single" w:sz="4" w:space="0" w:color="auto"/>
            </w:tcBorders>
            <w:vAlign w:val="center"/>
            <w:hideMark/>
          </w:tcPr>
          <w:p w14:paraId="04C7033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61D3B7C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123E938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50.00</w:t>
            </w:r>
          </w:p>
        </w:tc>
        <w:tc>
          <w:tcPr>
            <w:tcW w:w="0" w:type="auto"/>
            <w:tcBorders>
              <w:top w:val="nil"/>
              <w:left w:val="nil"/>
              <w:bottom w:val="single" w:sz="4" w:space="0" w:color="auto"/>
              <w:right w:val="single" w:sz="4" w:space="0" w:color="auto"/>
            </w:tcBorders>
            <w:shd w:val="clear" w:color="auto" w:fill="E2EFDA"/>
            <w:vAlign w:val="center"/>
            <w:hideMark/>
          </w:tcPr>
          <w:p w14:paraId="05AF79E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7.50</w:t>
            </w:r>
          </w:p>
        </w:tc>
        <w:tc>
          <w:tcPr>
            <w:tcW w:w="0" w:type="auto"/>
            <w:tcBorders>
              <w:top w:val="nil"/>
              <w:left w:val="nil"/>
              <w:bottom w:val="single" w:sz="4" w:space="0" w:color="auto"/>
              <w:right w:val="single" w:sz="4" w:space="0" w:color="auto"/>
            </w:tcBorders>
            <w:shd w:val="clear" w:color="auto" w:fill="E2EFDA"/>
            <w:vAlign w:val="center"/>
            <w:hideMark/>
          </w:tcPr>
          <w:p w14:paraId="37E3E85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42.50</w:t>
            </w:r>
          </w:p>
        </w:tc>
        <w:tc>
          <w:tcPr>
            <w:tcW w:w="0" w:type="auto"/>
            <w:tcBorders>
              <w:top w:val="nil"/>
              <w:left w:val="nil"/>
              <w:bottom w:val="single" w:sz="4" w:space="0" w:color="auto"/>
              <w:right w:val="single" w:sz="4" w:space="0" w:color="auto"/>
            </w:tcBorders>
            <w:shd w:val="clear" w:color="auto" w:fill="ED7D31"/>
            <w:vAlign w:val="center"/>
            <w:hideMark/>
          </w:tcPr>
          <w:p w14:paraId="3D55E4A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2332466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50.00</w:t>
            </w:r>
          </w:p>
        </w:tc>
        <w:tc>
          <w:tcPr>
            <w:tcW w:w="0" w:type="auto"/>
            <w:tcBorders>
              <w:top w:val="nil"/>
              <w:left w:val="nil"/>
              <w:bottom w:val="single" w:sz="4" w:space="0" w:color="auto"/>
              <w:right w:val="single" w:sz="4" w:space="0" w:color="auto"/>
            </w:tcBorders>
            <w:shd w:val="clear" w:color="auto" w:fill="E2EFDA"/>
            <w:vAlign w:val="center"/>
            <w:hideMark/>
          </w:tcPr>
          <w:p w14:paraId="5AC3551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40C75547"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4FB74CED"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460EF64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PM_IEM8.6</w:t>
            </w:r>
          </w:p>
        </w:tc>
        <w:tc>
          <w:tcPr>
            <w:tcW w:w="0" w:type="auto"/>
            <w:tcBorders>
              <w:top w:val="nil"/>
              <w:left w:val="nil"/>
              <w:bottom w:val="single" w:sz="4" w:space="0" w:color="auto"/>
              <w:right w:val="single" w:sz="4" w:space="0" w:color="auto"/>
            </w:tcBorders>
            <w:vAlign w:val="center"/>
            <w:hideMark/>
          </w:tcPr>
          <w:p w14:paraId="470A643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Gas pipeline - interconnection with Montenegro</w:t>
            </w:r>
          </w:p>
        </w:tc>
        <w:tc>
          <w:tcPr>
            <w:tcW w:w="0" w:type="auto"/>
            <w:tcBorders>
              <w:top w:val="nil"/>
              <w:left w:val="nil"/>
              <w:bottom w:val="single" w:sz="4" w:space="0" w:color="auto"/>
              <w:right w:val="single" w:sz="4" w:space="0" w:color="auto"/>
            </w:tcBorders>
            <w:vAlign w:val="center"/>
            <w:hideMark/>
          </w:tcPr>
          <w:p w14:paraId="74B2B5A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06F0435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4A54B2A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60.00</w:t>
            </w:r>
          </w:p>
        </w:tc>
        <w:tc>
          <w:tcPr>
            <w:tcW w:w="0" w:type="auto"/>
            <w:tcBorders>
              <w:top w:val="nil"/>
              <w:left w:val="nil"/>
              <w:bottom w:val="single" w:sz="4" w:space="0" w:color="auto"/>
              <w:right w:val="single" w:sz="4" w:space="0" w:color="auto"/>
            </w:tcBorders>
            <w:shd w:val="clear" w:color="auto" w:fill="E2EFDA"/>
            <w:vAlign w:val="center"/>
            <w:hideMark/>
          </w:tcPr>
          <w:p w14:paraId="2E55A9A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9.00</w:t>
            </w:r>
          </w:p>
        </w:tc>
        <w:tc>
          <w:tcPr>
            <w:tcW w:w="0" w:type="auto"/>
            <w:tcBorders>
              <w:top w:val="nil"/>
              <w:left w:val="nil"/>
              <w:bottom w:val="single" w:sz="4" w:space="0" w:color="auto"/>
              <w:right w:val="single" w:sz="4" w:space="0" w:color="auto"/>
            </w:tcBorders>
            <w:shd w:val="clear" w:color="auto" w:fill="E2EFDA"/>
            <w:vAlign w:val="center"/>
            <w:hideMark/>
          </w:tcPr>
          <w:p w14:paraId="275A130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51.00</w:t>
            </w:r>
          </w:p>
        </w:tc>
        <w:tc>
          <w:tcPr>
            <w:tcW w:w="0" w:type="auto"/>
            <w:tcBorders>
              <w:top w:val="nil"/>
              <w:left w:val="nil"/>
              <w:bottom w:val="single" w:sz="4" w:space="0" w:color="auto"/>
              <w:right w:val="single" w:sz="4" w:space="0" w:color="auto"/>
            </w:tcBorders>
            <w:shd w:val="clear" w:color="auto" w:fill="ED7D31"/>
            <w:vAlign w:val="center"/>
            <w:hideMark/>
          </w:tcPr>
          <w:p w14:paraId="4597F51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71A14FA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60.00</w:t>
            </w:r>
          </w:p>
        </w:tc>
        <w:tc>
          <w:tcPr>
            <w:tcW w:w="0" w:type="auto"/>
            <w:tcBorders>
              <w:top w:val="nil"/>
              <w:left w:val="nil"/>
              <w:bottom w:val="single" w:sz="4" w:space="0" w:color="auto"/>
              <w:right w:val="single" w:sz="4" w:space="0" w:color="auto"/>
            </w:tcBorders>
            <w:shd w:val="clear" w:color="auto" w:fill="E2EFDA"/>
            <w:vAlign w:val="center"/>
            <w:hideMark/>
          </w:tcPr>
          <w:p w14:paraId="5478FE7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2A1EB031"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3A1F5F28"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60925D9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PM_IEM8.7</w:t>
            </w:r>
          </w:p>
        </w:tc>
        <w:tc>
          <w:tcPr>
            <w:tcW w:w="0" w:type="auto"/>
            <w:tcBorders>
              <w:top w:val="nil"/>
              <w:left w:val="nil"/>
              <w:bottom w:val="single" w:sz="4" w:space="0" w:color="auto"/>
              <w:right w:val="single" w:sz="4" w:space="0" w:color="auto"/>
            </w:tcBorders>
            <w:vAlign w:val="center"/>
            <w:hideMark/>
          </w:tcPr>
          <w:p w14:paraId="6A1E594D" w14:textId="411BCEED"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Project for Serbia-Macedonia gas interconnection 70.7 km</w:t>
            </w:r>
            <w:r w:rsidR="00984159" w:rsidRPr="004F5BC1">
              <w:rPr>
                <w:rFonts w:ascii="Times New Roman" w:hAnsi="Times New Roman" w:cs="Times New Roman"/>
                <w:sz w:val="14"/>
                <w:szCs w:val="14"/>
                <w:lang w:val="en-GB"/>
              </w:rPr>
              <w:t xml:space="preserve"> long</w:t>
            </w:r>
            <w:r w:rsidRPr="004F5BC1">
              <w:rPr>
                <w:rFonts w:ascii="Times New Roman" w:hAnsi="Times New Roman" w:cs="Times New Roman"/>
                <w:sz w:val="14"/>
                <w:szCs w:val="14"/>
                <w:lang w:val="en-GB"/>
              </w:rPr>
              <w:t>, with a capacity of 0.8 billion m3/year</w:t>
            </w:r>
          </w:p>
        </w:tc>
        <w:tc>
          <w:tcPr>
            <w:tcW w:w="0" w:type="auto"/>
            <w:tcBorders>
              <w:top w:val="nil"/>
              <w:left w:val="nil"/>
              <w:bottom w:val="single" w:sz="4" w:space="0" w:color="auto"/>
              <w:right w:val="single" w:sz="4" w:space="0" w:color="auto"/>
            </w:tcBorders>
            <w:vAlign w:val="center"/>
            <w:hideMark/>
          </w:tcPr>
          <w:p w14:paraId="2954D62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36A9A28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24CD5D5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20.00</w:t>
            </w:r>
          </w:p>
        </w:tc>
        <w:tc>
          <w:tcPr>
            <w:tcW w:w="0" w:type="auto"/>
            <w:tcBorders>
              <w:top w:val="nil"/>
              <w:left w:val="nil"/>
              <w:bottom w:val="single" w:sz="4" w:space="0" w:color="auto"/>
              <w:right w:val="single" w:sz="4" w:space="0" w:color="auto"/>
            </w:tcBorders>
            <w:shd w:val="clear" w:color="auto" w:fill="E2EFDA"/>
            <w:vAlign w:val="center"/>
            <w:hideMark/>
          </w:tcPr>
          <w:p w14:paraId="7582272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3.00</w:t>
            </w:r>
          </w:p>
        </w:tc>
        <w:tc>
          <w:tcPr>
            <w:tcW w:w="0" w:type="auto"/>
            <w:tcBorders>
              <w:top w:val="nil"/>
              <w:left w:val="nil"/>
              <w:bottom w:val="single" w:sz="4" w:space="0" w:color="auto"/>
              <w:right w:val="single" w:sz="4" w:space="0" w:color="auto"/>
            </w:tcBorders>
            <w:shd w:val="clear" w:color="auto" w:fill="E2EFDA"/>
            <w:vAlign w:val="center"/>
            <w:hideMark/>
          </w:tcPr>
          <w:p w14:paraId="1D24A92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17.00</w:t>
            </w:r>
          </w:p>
        </w:tc>
        <w:tc>
          <w:tcPr>
            <w:tcW w:w="0" w:type="auto"/>
            <w:tcBorders>
              <w:top w:val="nil"/>
              <w:left w:val="nil"/>
              <w:bottom w:val="single" w:sz="4" w:space="0" w:color="auto"/>
              <w:right w:val="single" w:sz="4" w:space="0" w:color="auto"/>
            </w:tcBorders>
            <w:shd w:val="clear" w:color="auto" w:fill="ED7D31"/>
            <w:vAlign w:val="center"/>
            <w:hideMark/>
          </w:tcPr>
          <w:p w14:paraId="227A40F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471B30F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20.00</w:t>
            </w:r>
          </w:p>
        </w:tc>
        <w:tc>
          <w:tcPr>
            <w:tcW w:w="0" w:type="auto"/>
            <w:tcBorders>
              <w:top w:val="nil"/>
              <w:left w:val="nil"/>
              <w:bottom w:val="single" w:sz="4" w:space="0" w:color="auto"/>
              <w:right w:val="single" w:sz="4" w:space="0" w:color="auto"/>
            </w:tcBorders>
            <w:shd w:val="clear" w:color="auto" w:fill="E2EFDA"/>
            <w:vAlign w:val="center"/>
            <w:hideMark/>
          </w:tcPr>
          <w:p w14:paraId="7932BA3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7AD324F1"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765A03F7"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7657157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PM_IEM8.8</w:t>
            </w:r>
          </w:p>
        </w:tc>
        <w:tc>
          <w:tcPr>
            <w:tcW w:w="0" w:type="auto"/>
            <w:tcBorders>
              <w:top w:val="nil"/>
              <w:left w:val="nil"/>
              <w:bottom w:val="single" w:sz="4" w:space="0" w:color="auto"/>
              <w:right w:val="single" w:sz="4" w:space="0" w:color="auto"/>
            </w:tcBorders>
            <w:vAlign w:val="center"/>
            <w:hideMark/>
          </w:tcPr>
          <w:p w14:paraId="05DF3E1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Project for Niš-Priština gas pipeline construction 65 km, with a capacity of 0.8 billion m3/year</w:t>
            </w:r>
          </w:p>
        </w:tc>
        <w:tc>
          <w:tcPr>
            <w:tcW w:w="0" w:type="auto"/>
            <w:tcBorders>
              <w:top w:val="nil"/>
              <w:left w:val="nil"/>
              <w:bottom w:val="single" w:sz="4" w:space="0" w:color="auto"/>
              <w:right w:val="single" w:sz="4" w:space="0" w:color="auto"/>
            </w:tcBorders>
            <w:vAlign w:val="center"/>
            <w:hideMark/>
          </w:tcPr>
          <w:p w14:paraId="605DB35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05B54F1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17A9152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30.00</w:t>
            </w:r>
          </w:p>
        </w:tc>
        <w:tc>
          <w:tcPr>
            <w:tcW w:w="0" w:type="auto"/>
            <w:tcBorders>
              <w:top w:val="nil"/>
              <w:left w:val="nil"/>
              <w:bottom w:val="single" w:sz="4" w:space="0" w:color="auto"/>
              <w:right w:val="single" w:sz="4" w:space="0" w:color="auto"/>
            </w:tcBorders>
            <w:shd w:val="clear" w:color="auto" w:fill="E2EFDA"/>
            <w:vAlign w:val="center"/>
            <w:hideMark/>
          </w:tcPr>
          <w:p w14:paraId="4C9E530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4.50</w:t>
            </w:r>
          </w:p>
        </w:tc>
        <w:tc>
          <w:tcPr>
            <w:tcW w:w="0" w:type="auto"/>
            <w:tcBorders>
              <w:top w:val="nil"/>
              <w:left w:val="nil"/>
              <w:bottom w:val="single" w:sz="4" w:space="0" w:color="auto"/>
              <w:right w:val="single" w:sz="4" w:space="0" w:color="auto"/>
            </w:tcBorders>
            <w:shd w:val="clear" w:color="auto" w:fill="E2EFDA"/>
            <w:vAlign w:val="center"/>
            <w:hideMark/>
          </w:tcPr>
          <w:p w14:paraId="70E46B7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25.50</w:t>
            </w:r>
          </w:p>
        </w:tc>
        <w:tc>
          <w:tcPr>
            <w:tcW w:w="0" w:type="auto"/>
            <w:tcBorders>
              <w:top w:val="nil"/>
              <w:left w:val="nil"/>
              <w:bottom w:val="single" w:sz="4" w:space="0" w:color="auto"/>
              <w:right w:val="single" w:sz="4" w:space="0" w:color="auto"/>
            </w:tcBorders>
            <w:shd w:val="clear" w:color="auto" w:fill="ED7D31"/>
            <w:vAlign w:val="center"/>
            <w:hideMark/>
          </w:tcPr>
          <w:p w14:paraId="05FC97D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4659EFA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30.00</w:t>
            </w:r>
          </w:p>
        </w:tc>
        <w:tc>
          <w:tcPr>
            <w:tcW w:w="0" w:type="auto"/>
            <w:tcBorders>
              <w:top w:val="nil"/>
              <w:left w:val="nil"/>
              <w:bottom w:val="single" w:sz="4" w:space="0" w:color="auto"/>
              <w:right w:val="single" w:sz="4" w:space="0" w:color="auto"/>
            </w:tcBorders>
            <w:shd w:val="clear" w:color="auto" w:fill="E2EFDA"/>
            <w:vAlign w:val="center"/>
            <w:hideMark/>
          </w:tcPr>
          <w:p w14:paraId="034B4CE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1F3E59AB"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113D33A2"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73F27EA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PM_IEM9</w:t>
            </w:r>
          </w:p>
        </w:tc>
        <w:tc>
          <w:tcPr>
            <w:tcW w:w="0" w:type="auto"/>
            <w:tcBorders>
              <w:top w:val="nil"/>
              <w:left w:val="nil"/>
              <w:bottom w:val="single" w:sz="4" w:space="0" w:color="auto"/>
              <w:right w:val="single" w:sz="4" w:space="0" w:color="auto"/>
            </w:tcBorders>
            <w:vAlign w:val="center"/>
            <w:hideMark/>
          </w:tcPr>
          <w:p w14:paraId="38F0C9D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Investments related to the digitalisation of the networks aiming at increasing RES integration and improvement of quality of supply</w:t>
            </w:r>
          </w:p>
        </w:tc>
        <w:tc>
          <w:tcPr>
            <w:tcW w:w="0" w:type="auto"/>
            <w:tcBorders>
              <w:top w:val="nil"/>
              <w:left w:val="nil"/>
              <w:bottom w:val="single" w:sz="4" w:space="0" w:color="auto"/>
              <w:right w:val="single" w:sz="4" w:space="0" w:color="auto"/>
            </w:tcBorders>
            <w:vAlign w:val="center"/>
            <w:hideMark/>
          </w:tcPr>
          <w:p w14:paraId="087C37E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2079DAA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7DC73AC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10.00</w:t>
            </w:r>
          </w:p>
        </w:tc>
        <w:tc>
          <w:tcPr>
            <w:tcW w:w="0" w:type="auto"/>
            <w:tcBorders>
              <w:top w:val="nil"/>
              <w:left w:val="nil"/>
              <w:bottom w:val="single" w:sz="4" w:space="0" w:color="auto"/>
              <w:right w:val="single" w:sz="4" w:space="0" w:color="auto"/>
            </w:tcBorders>
            <w:shd w:val="clear" w:color="auto" w:fill="E2EFDA"/>
            <w:vAlign w:val="center"/>
            <w:hideMark/>
          </w:tcPr>
          <w:p w14:paraId="5F26978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1.50</w:t>
            </w:r>
          </w:p>
        </w:tc>
        <w:tc>
          <w:tcPr>
            <w:tcW w:w="0" w:type="auto"/>
            <w:tcBorders>
              <w:top w:val="nil"/>
              <w:left w:val="nil"/>
              <w:bottom w:val="single" w:sz="4" w:space="0" w:color="auto"/>
              <w:right w:val="single" w:sz="4" w:space="0" w:color="auto"/>
            </w:tcBorders>
            <w:shd w:val="clear" w:color="auto" w:fill="E2EFDA"/>
            <w:vAlign w:val="center"/>
            <w:hideMark/>
          </w:tcPr>
          <w:p w14:paraId="669092A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8.50</w:t>
            </w:r>
          </w:p>
        </w:tc>
        <w:tc>
          <w:tcPr>
            <w:tcW w:w="0" w:type="auto"/>
            <w:tcBorders>
              <w:top w:val="nil"/>
              <w:left w:val="nil"/>
              <w:bottom w:val="single" w:sz="4" w:space="0" w:color="auto"/>
              <w:right w:val="single" w:sz="4" w:space="0" w:color="auto"/>
            </w:tcBorders>
            <w:shd w:val="clear" w:color="auto" w:fill="ED7D31"/>
            <w:vAlign w:val="center"/>
            <w:hideMark/>
          </w:tcPr>
          <w:p w14:paraId="5355E9E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21FA29D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10.00</w:t>
            </w:r>
          </w:p>
        </w:tc>
        <w:tc>
          <w:tcPr>
            <w:tcW w:w="0" w:type="auto"/>
            <w:tcBorders>
              <w:top w:val="nil"/>
              <w:left w:val="nil"/>
              <w:bottom w:val="single" w:sz="4" w:space="0" w:color="auto"/>
              <w:right w:val="single" w:sz="4" w:space="0" w:color="auto"/>
            </w:tcBorders>
            <w:shd w:val="clear" w:color="auto" w:fill="E2EFDA"/>
            <w:vAlign w:val="center"/>
            <w:hideMark/>
          </w:tcPr>
          <w:p w14:paraId="1523F36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2157724B"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3602AA05"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1F4164C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PM_IEM11</w:t>
            </w:r>
          </w:p>
        </w:tc>
        <w:tc>
          <w:tcPr>
            <w:tcW w:w="0" w:type="auto"/>
            <w:tcBorders>
              <w:top w:val="nil"/>
              <w:left w:val="nil"/>
              <w:bottom w:val="single" w:sz="4" w:space="0" w:color="auto"/>
              <w:right w:val="single" w:sz="4" w:space="0" w:color="auto"/>
            </w:tcBorders>
            <w:vAlign w:val="center"/>
            <w:hideMark/>
          </w:tcPr>
          <w:p w14:paraId="2AC4BDED" w14:textId="6CF40F81" w:rsidR="00614438" w:rsidRPr="004F5BC1" w:rsidRDefault="00984159"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S</w:t>
            </w:r>
            <w:r w:rsidR="00614438" w:rsidRPr="004F5BC1">
              <w:rPr>
                <w:rFonts w:ascii="Times New Roman" w:hAnsi="Times New Roman" w:cs="Times New Roman"/>
                <w:sz w:val="14"/>
                <w:szCs w:val="14"/>
                <w:lang w:val="en-GB"/>
              </w:rPr>
              <w:t xml:space="preserve">mart meters roll out in electricity Elektrodistribucija Srbije </w:t>
            </w:r>
            <w:r w:rsidRPr="004F5BC1">
              <w:rPr>
                <w:rFonts w:ascii="Times New Roman" w:hAnsi="Times New Roman" w:cs="Times New Roman"/>
                <w:sz w:val="14"/>
                <w:szCs w:val="14"/>
                <w:lang w:val="en-GB"/>
              </w:rPr>
              <w:t>ltd. Belgrade</w:t>
            </w:r>
            <w:r w:rsidR="00614438" w:rsidRPr="004F5BC1">
              <w:rPr>
                <w:rFonts w:ascii="Times New Roman" w:hAnsi="Times New Roman" w:cs="Times New Roman"/>
                <w:sz w:val="14"/>
                <w:szCs w:val="14"/>
                <w:lang w:val="en-GB"/>
              </w:rPr>
              <w:t xml:space="preserve"> EPS</w:t>
            </w:r>
          </w:p>
        </w:tc>
        <w:tc>
          <w:tcPr>
            <w:tcW w:w="0" w:type="auto"/>
            <w:tcBorders>
              <w:top w:val="nil"/>
              <w:left w:val="nil"/>
              <w:bottom w:val="single" w:sz="4" w:space="0" w:color="auto"/>
              <w:right w:val="single" w:sz="4" w:space="0" w:color="auto"/>
            </w:tcBorders>
            <w:vAlign w:val="center"/>
            <w:hideMark/>
          </w:tcPr>
          <w:p w14:paraId="58B7027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7FE57E9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22375DE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32.20</w:t>
            </w:r>
          </w:p>
        </w:tc>
        <w:tc>
          <w:tcPr>
            <w:tcW w:w="0" w:type="auto"/>
            <w:tcBorders>
              <w:top w:val="nil"/>
              <w:left w:val="nil"/>
              <w:bottom w:val="single" w:sz="4" w:space="0" w:color="auto"/>
              <w:right w:val="single" w:sz="4" w:space="0" w:color="auto"/>
            </w:tcBorders>
            <w:shd w:val="clear" w:color="auto" w:fill="E2EFDA"/>
            <w:vAlign w:val="center"/>
            <w:hideMark/>
          </w:tcPr>
          <w:p w14:paraId="4119123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2EFDA"/>
            <w:vAlign w:val="center"/>
            <w:hideMark/>
          </w:tcPr>
          <w:p w14:paraId="79DBEE5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32.20</w:t>
            </w:r>
          </w:p>
        </w:tc>
        <w:tc>
          <w:tcPr>
            <w:tcW w:w="0" w:type="auto"/>
            <w:tcBorders>
              <w:top w:val="nil"/>
              <w:left w:val="nil"/>
              <w:bottom w:val="single" w:sz="4" w:space="0" w:color="auto"/>
              <w:right w:val="single" w:sz="4" w:space="0" w:color="auto"/>
            </w:tcBorders>
            <w:shd w:val="clear" w:color="auto" w:fill="ED7D31"/>
            <w:vAlign w:val="center"/>
            <w:hideMark/>
          </w:tcPr>
          <w:p w14:paraId="05545CB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1074FCB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32.20</w:t>
            </w:r>
          </w:p>
        </w:tc>
        <w:tc>
          <w:tcPr>
            <w:tcW w:w="0" w:type="auto"/>
            <w:tcBorders>
              <w:top w:val="nil"/>
              <w:left w:val="nil"/>
              <w:bottom w:val="single" w:sz="4" w:space="0" w:color="auto"/>
              <w:right w:val="single" w:sz="4" w:space="0" w:color="auto"/>
            </w:tcBorders>
            <w:shd w:val="clear" w:color="auto" w:fill="E2EFDA"/>
            <w:vAlign w:val="center"/>
            <w:hideMark/>
          </w:tcPr>
          <w:p w14:paraId="730EFEF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1F742789"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32C85BC6"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4B757B1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PM_IEM12</w:t>
            </w:r>
          </w:p>
        </w:tc>
        <w:tc>
          <w:tcPr>
            <w:tcW w:w="0" w:type="auto"/>
            <w:tcBorders>
              <w:top w:val="nil"/>
              <w:left w:val="nil"/>
              <w:bottom w:val="single" w:sz="4" w:space="0" w:color="auto"/>
              <w:right w:val="single" w:sz="4" w:space="0" w:color="auto"/>
            </w:tcBorders>
            <w:vAlign w:val="center"/>
            <w:hideMark/>
          </w:tcPr>
          <w:p w14:paraId="74FF279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Feasibility studies for smart meters roll out in natural gas distribution</w:t>
            </w:r>
          </w:p>
        </w:tc>
        <w:tc>
          <w:tcPr>
            <w:tcW w:w="0" w:type="auto"/>
            <w:tcBorders>
              <w:top w:val="nil"/>
              <w:left w:val="nil"/>
              <w:bottom w:val="single" w:sz="4" w:space="0" w:color="auto"/>
              <w:right w:val="single" w:sz="4" w:space="0" w:color="auto"/>
            </w:tcBorders>
            <w:vAlign w:val="center"/>
            <w:hideMark/>
          </w:tcPr>
          <w:p w14:paraId="7B9EEC0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Reform </w:t>
            </w:r>
          </w:p>
        </w:tc>
        <w:tc>
          <w:tcPr>
            <w:tcW w:w="0" w:type="auto"/>
            <w:tcBorders>
              <w:top w:val="nil"/>
              <w:left w:val="nil"/>
              <w:bottom w:val="single" w:sz="4" w:space="0" w:color="auto"/>
              <w:right w:val="single" w:sz="4" w:space="0" w:color="auto"/>
            </w:tcBorders>
            <w:vAlign w:val="center"/>
            <w:hideMark/>
          </w:tcPr>
          <w:p w14:paraId="1AD2960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1BD336C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1.00</w:t>
            </w:r>
          </w:p>
        </w:tc>
        <w:tc>
          <w:tcPr>
            <w:tcW w:w="0" w:type="auto"/>
            <w:tcBorders>
              <w:top w:val="nil"/>
              <w:left w:val="nil"/>
              <w:bottom w:val="single" w:sz="4" w:space="0" w:color="auto"/>
              <w:right w:val="single" w:sz="4" w:space="0" w:color="auto"/>
            </w:tcBorders>
            <w:shd w:val="clear" w:color="auto" w:fill="E2EFDA"/>
            <w:vAlign w:val="center"/>
            <w:hideMark/>
          </w:tcPr>
          <w:p w14:paraId="10E96A2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2EFDA"/>
            <w:vAlign w:val="center"/>
            <w:hideMark/>
          </w:tcPr>
          <w:p w14:paraId="659934C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1.00</w:t>
            </w:r>
          </w:p>
        </w:tc>
        <w:tc>
          <w:tcPr>
            <w:tcW w:w="0" w:type="auto"/>
            <w:tcBorders>
              <w:top w:val="nil"/>
              <w:left w:val="nil"/>
              <w:bottom w:val="single" w:sz="4" w:space="0" w:color="auto"/>
              <w:right w:val="single" w:sz="4" w:space="0" w:color="auto"/>
            </w:tcBorders>
            <w:shd w:val="clear" w:color="auto" w:fill="ED7D31"/>
            <w:vAlign w:val="center"/>
            <w:hideMark/>
          </w:tcPr>
          <w:p w14:paraId="418B7AE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1EF604D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1.00</w:t>
            </w:r>
          </w:p>
        </w:tc>
        <w:tc>
          <w:tcPr>
            <w:tcW w:w="0" w:type="auto"/>
            <w:tcBorders>
              <w:top w:val="nil"/>
              <w:left w:val="nil"/>
              <w:bottom w:val="single" w:sz="4" w:space="0" w:color="auto"/>
              <w:right w:val="single" w:sz="4" w:space="0" w:color="auto"/>
            </w:tcBorders>
            <w:shd w:val="clear" w:color="auto" w:fill="E2EFDA"/>
            <w:vAlign w:val="center"/>
            <w:hideMark/>
          </w:tcPr>
          <w:p w14:paraId="5F24BD0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514E6612"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461D6785"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71192E5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PM_IEM13</w:t>
            </w:r>
          </w:p>
        </w:tc>
        <w:tc>
          <w:tcPr>
            <w:tcW w:w="0" w:type="auto"/>
            <w:tcBorders>
              <w:top w:val="nil"/>
              <w:left w:val="nil"/>
              <w:bottom w:val="single" w:sz="4" w:space="0" w:color="auto"/>
              <w:right w:val="single" w:sz="4" w:space="0" w:color="auto"/>
            </w:tcBorders>
            <w:vAlign w:val="center"/>
            <w:hideMark/>
          </w:tcPr>
          <w:p w14:paraId="6E145F7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Design and implement market and network data management model</w:t>
            </w:r>
          </w:p>
        </w:tc>
        <w:tc>
          <w:tcPr>
            <w:tcW w:w="0" w:type="auto"/>
            <w:tcBorders>
              <w:top w:val="nil"/>
              <w:left w:val="nil"/>
              <w:bottom w:val="single" w:sz="4" w:space="0" w:color="auto"/>
              <w:right w:val="single" w:sz="4" w:space="0" w:color="auto"/>
            </w:tcBorders>
            <w:vAlign w:val="center"/>
            <w:hideMark/>
          </w:tcPr>
          <w:p w14:paraId="1E9FC66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728C2E3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06D6066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0.40</w:t>
            </w:r>
          </w:p>
        </w:tc>
        <w:tc>
          <w:tcPr>
            <w:tcW w:w="0" w:type="auto"/>
            <w:tcBorders>
              <w:top w:val="nil"/>
              <w:left w:val="nil"/>
              <w:bottom w:val="single" w:sz="4" w:space="0" w:color="auto"/>
              <w:right w:val="single" w:sz="4" w:space="0" w:color="auto"/>
            </w:tcBorders>
            <w:shd w:val="clear" w:color="auto" w:fill="E2EFDA"/>
            <w:vAlign w:val="center"/>
            <w:hideMark/>
          </w:tcPr>
          <w:p w14:paraId="5BC0017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0.40</w:t>
            </w:r>
          </w:p>
        </w:tc>
        <w:tc>
          <w:tcPr>
            <w:tcW w:w="0" w:type="auto"/>
            <w:tcBorders>
              <w:top w:val="nil"/>
              <w:left w:val="nil"/>
              <w:bottom w:val="single" w:sz="4" w:space="0" w:color="auto"/>
              <w:right w:val="single" w:sz="4" w:space="0" w:color="auto"/>
            </w:tcBorders>
            <w:shd w:val="clear" w:color="auto" w:fill="E2EFDA"/>
            <w:vAlign w:val="center"/>
            <w:hideMark/>
          </w:tcPr>
          <w:p w14:paraId="70053BF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13D9AD9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20E4A13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0.40</w:t>
            </w:r>
          </w:p>
        </w:tc>
        <w:tc>
          <w:tcPr>
            <w:tcW w:w="0" w:type="auto"/>
            <w:tcBorders>
              <w:top w:val="nil"/>
              <w:left w:val="nil"/>
              <w:bottom w:val="single" w:sz="4" w:space="0" w:color="auto"/>
              <w:right w:val="single" w:sz="4" w:space="0" w:color="auto"/>
            </w:tcBorders>
            <w:shd w:val="clear" w:color="auto" w:fill="E2EFDA"/>
            <w:vAlign w:val="center"/>
            <w:hideMark/>
          </w:tcPr>
          <w:p w14:paraId="7E09996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26D76D71"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47AEAB29"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12E92FF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PM_IEM14</w:t>
            </w:r>
          </w:p>
        </w:tc>
        <w:tc>
          <w:tcPr>
            <w:tcW w:w="0" w:type="auto"/>
            <w:tcBorders>
              <w:top w:val="nil"/>
              <w:left w:val="nil"/>
              <w:bottom w:val="single" w:sz="4" w:space="0" w:color="auto"/>
              <w:right w:val="single" w:sz="4" w:space="0" w:color="auto"/>
            </w:tcBorders>
            <w:vAlign w:val="center"/>
            <w:hideMark/>
          </w:tcPr>
          <w:p w14:paraId="16E1078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Promotion of demand response for the end-users by use of the dynamic tariff system</w:t>
            </w:r>
          </w:p>
        </w:tc>
        <w:tc>
          <w:tcPr>
            <w:tcW w:w="0" w:type="auto"/>
            <w:tcBorders>
              <w:top w:val="nil"/>
              <w:left w:val="nil"/>
              <w:bottom w:val="single" w:sz="4" w:space="0" w:color="auto"/>
              <w:right w:val="single" w:sz="4" w:space="0" w:color="auto"/>
            </w:tcBorders>
            <w:vAlign w:val="center"/>
            <w:hideMark/>
          </w:tcPr>
          <w:p w14:paraId="51EB34E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4759D18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5BC8A7D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3BDC0E5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041E152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111DC62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3E47388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4D5090F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2E95F795"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318E439F"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39C4EDC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PM_IEM15</w:t>
            </w:r>
          </w:p>
        </w:tc>
        <w:tc>
          <w:tcPr>
            <w:tcW w:w="0" w:type="auto"/>
            <w:tcBorders>
              <w:top w:val="nil"/>
              <w:left w:val="nil"/>
              <w:bottom w:val="single" w:sz="4" w:space="0" w:color="auto"/>
              <w:right w:val="single" w:sz="4" w:space="0" w:color="auto"/>
            </w:tcBorders>
            <w:vAlign w:val="center"/>
            <w:hideMark/>
          </w:tcPr>
          <w:p w14:paraId="52E1A11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Equipping gas distribution systems with metering and data collection devices (measuring equipment, measuring and operational platform, SCADA) necessary for the functioning and development of the gas market</w:t>
            </w:r>
          </w:p>
        </w:tc>
        <w:tc>
          <w:tcPr>
            <w:tcW w:w="0" w:type="auto"/>
            <w:tcBorders>
              <w:top w:val="nil"/>
              <w:left w:val="nil"/>
              <w:bottom w:val="single" w:sz="4" w:space="0" w:color="auto"/>
              <w:right w:val="single" w:sz="4" w:space="0" w:color="auto"/>
            </w:tcBorders>
            <w:vAlign w:val="center"/>
            <w:hideMark/>
          </w:tcPr>
          <w:p w14:paraId="34ECB32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77A114C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79A66EE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3.50</w:t>
            </w:r>
          </w:p>
        </w:tc>
        <w:tc>
          <w:tcPr>
            <w:tcW w:w="0" w:type="auto"/>
            <w:tcBorders>
              <w:top w:val="nil"/>
              <w:left w:val="nil"/>
              <w:bottom w:val="single" w:sz="4" w:space="0" w:color="auto"/>
              <w:right w:val="single" w:sz="4" w:space="0" w:color="auto"/>
            </w:tcBorders>
            <w:shd w:val="clear" w:color="auto" w:fill="E2EFDA"/>
            <w:vAlign w:val="center"/>
            <w:hideMark/>
          </w:tcPr>
          <w:p w14:paraId="00F8994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2EFDA"/>
            <w:vAlign w:val="center"/>
            <w:hideMark/>
          </w:tcPr>
          <w:p w14:paraId="5C1C6BF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3.50</w:t>
            </w:r>
          </w:p>
        </w:tc>
        <w:tc>
          <w:tcPr>
            <w:tcW w:w="0" w:type="auto"/>
            <w:tcBorders>
              <w:top w:val="nil"/>
              <w:left w:val="nil"/>
              <w:bottom w:val="single" w:sz="4" w:space="0" w:color="auto"/>
              <w:right w:val="single" w:sz="4" w:space="0" w:color="auto"/>
            </w:tcBorders>
            <w:shd w:val="clear" w:color="auto" w:fill="ED7D31"/>
            <w:vAlign w:val="center"/>
            <w:hideMark/>
          </w:tcPr>
          <w:p w14:paraId="4967C22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2C8FE6B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3.50</w:t>
            </w:r>
          </w:p>
        </w:tc>
        <w:tc>
          <w:tcPr>
            <w:tcW w:w="0" w:type="auto"/>
            <w:tcBorders>
              <w:top w:val="nil"/>
              <w:left w:val="nil"/>
              <w:bottom w:val="single" w:sz="4" w:space="0" w:color="auto"/>
              <w:right w:val="single" w:sz="4" w:space="0" w:color="auto"/>
            </w:tcBorders>
            <w:shd w:val="clear" w:color="auto" w:fill="E2EFDA"/>
            <w:vAlign w:val="center"/>
            <w:hideMark/>
          </w:tcPr>
          <w:p w14:paraId="2792320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7B32845D"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4A47DC14"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41D2DA0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PM_IEM17</w:t>
            </w:r>
          </w:p>
        </w:tc>
        <w:tc>
          <w:tcPr>
            <w:tcW w:w="0" w:type="auto"/>
            <w:tcBorders>
              <w:top w:val="nil"/>
              <w:left w:val="nil"/>
              <w:bottom w:val="single" w:sz="4" w:space="0" w:color="auto"/>
              <w:right w:val="single" w:sz="4" w:space="0" w:color="auto"/>
            </w:tcBorders>
            <w:vAlign w:val="center"/>
            <w:hideMark/>
          </w:tcPr>
          <w:p w14:paraId="51026A66" w14:textId="35EFAEF5"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Development of the regulatory framework for the operation of the “producer-consumer” (prosumer) (Article 169 in accordance to the amendments of the Energy Law and Article</w:t>
            </w:r>
            <w:r w:rsidR="005C4076" w:rsidRPr="004F5BC1">
              <w:rPr>
                <w:rFonts w:ascii="Times New Roman" w:hAnsi="Times New Roman" w:cs="Times New Roman"/>
                <w:sz w:val="14"/>
                <w:szCs w:val="14"/>
                <w:lang w:val="en-GB"/>
              </w:rPr>
              <w:t>s</w:t>
            </w:r>
            <w:r w:rsidRPr="004F5BC1">
              <w:rPr>
                <w:rFonts w:ascii="Times New Roman" w:hAnsi="Times New Roman" w:cs="Times New Roman"/>
                <w:sz w:val="14"/>
                <w:szCs w:val="14"/>
                <w:lang w:val="en-GB"/>
              </w:rPr>
              <w:t xml:space="preserve"> 58 to 61 of the Law on the use of RES)</w:t>
            </w:r>
          </w:p>
        </w:tc>
        <w:tc>
          <w:tcPr>
            <w:tcW w:w="0" w:type="auto"/>
            <w:tcBorders>
              <w:top w:val="nil"/>
              <w:left w:val="nil"/>
              <w:bottom w:val="single" w:sz="4" w:space="0" w:color="auto"/>
              <w:right w:val="single" w:sz="4" w:space="0" w:color="auto"/>
            </w:tcBorders>
            <w:vAlign w:val="center"/>
            <w:hideMark/>
          </w:tcPr>
          <w:p w14:paraId="64B8A59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1AB495B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1CDFCEB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51092DE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6832A2F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79A3232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0288F40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5B0573A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1C11DE90"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5C0CEB8E"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76B5858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PM_IEM18</w:t>
            </w:r>
          </w:p>
        </w:tc>
        <w:tc>
          <w:tcPr>
            <w:tcW w:w="0" w:type="auto"/>
            <w:tcBorders>
              <w:top w:val="nil"/>
              <w:left w:val="nil"/>
              <w:bottom w:val="single" w:sz="4" w:space="0" w:color="auto"/>
              <w:right w:val="single" w:sz="4" w:space="0" w:color="auto"/>
            </w:tcBorders>
            <w:vAlign w:val="center"/>
            <w:hideMark/>
          </w:tcPr>
          <w:p w14:paraId="2CD01E7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Development of the regulatory framework for the operation of the “electricity storage” (Article 169 in accordance to the amendments of the Energy Law)</w:t>
            </w:r>
          </w:p>
        </w:tc>
        <w:tc>
          <w:tcPr>
            <w:tcW w:w="0" w:type="auto"/>
            <w:tcBorders>
              <w:top w:val="nil"/>
              <w:left w:val="nil"/>
              <w:bottom w:val="single" w:sz="4" w:space="0" w:color="auto"/>
              <w:right w:val="single" w:sz="4" w:space="0" w:color="auto"/>
            </w:tcBorders>
            <w:vAlign w:val="center"/>
            <w:hideMark/>
          </w:tcPr>
          <w:p w14:paraId="472DFC2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4A2FF34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2C940B9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468C4BF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0F4ADC2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45EBCDE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02480B8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20EF6C1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4AF8BC17"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7493F3A1"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6AF665F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PM_IEM19</w:t>
            </w:r>
          </w:p>
        </w:tc>
        <w:tc>
          <w:tcPr>
            <w:tcW w:w="0" w:type="auto"/>
            <w:tcBorders>
              <w:top w:val="nil"/>
              <w:left w:val="nil"/>
              <w:bottom w:val="single" w:sz="4" w:space="0" w:color="auto"/>
              <w:right w:val="single" w:sz="4" w:space="0" w:color="auto"/>
            </w:tcBorders>
            <w:vAlign w:val="center"/>
            <w:hideMark/>
          </w:tcPr>
          <w:p w14:paraId="09B2A5F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Development of the regulatory framework for the operation of the “aggregator” (Article 169 in accordance to the amendments of the Energy Law)</w:t>
            </w:r>
          </w:p>
        </w:tc>
        <w:tc>
          <w:tcPr>
            <w:tcW w:w="0" w:type="auto"/>
            <w:tcBorders>
              <w:top w:val="nil"/>
              <w:left w:val="nil"/>
              <w:bottom w:val="single" w:sz="4" w:space="0" w:color="auto"/>
              <w:right w:val="single" w:sz="4" w:space="0" w:color="auto"/>
            </w:tcBorders>
            <w:vAlign w:val="center"/>
            <w:hideMark/>
          </w:tcPr>
          <w:p w14:paraId="2595207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650A354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53AA3D9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450A3D3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34DB8C5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65A4079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60C46D8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6AAB5C1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5B98EC04"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4354A11C"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20B5987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PM_IEM20</w:t>
            </w:r>
          </w:p>
        </w:tc>
        <w:tc>
          <w:tcPr>
            <w:tcW w:w="0" w:type="auto"/>
            <w:tcBorders>
              <w:top w:val="nil"/>
              <w:left w:val="nil"/>
              <w:bottom w:val="single" w:sz="4" w:space="0" w:color="auto"/>
              <w:right w:val="single" w:sz="4" w:space="0" w:color="auto"/>
            </w:tcBorders>
            <w:vAlign w:val="center"/>
            <w:hideMark/>
          </w:tcPr>
          <w:p w14:paraId="71A62F1E" w14:textId="4717CB0A"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Development of the regulatory framework for the operation of the Renewable Energy Communities (RECs) and Citizen Energy Communities (CECs) (Article</w:t>
            </w:r>
            <w:r w:rsidR="005C4076" w:rsidRPr="004F5BC1">
              <w:rPr>
                <w:rFonts w:ascii="Times New Roman" w:hAnsi="Times New Roman" w:cs="Times New Roman"/>
                <w:sz w:val="14"/>
                <w:szCs w:val="14"/>
                <w:lang w:val="en-GB"/>
              </w:rPr>
              <w:t>s</w:t>
            </w:r>
            <w:r w:rsidRPr="004F5BC1">
              <w:rPr>
                <w:rFonts w:ascii="Times New Roman" w:hAnsi="Times New Roman" w:cs="Times New Roman"/>
                <w:sz w:val="14"/>
                <w:szCs w:val="14"/>
                <w:lang w:val="en-GB"/>
              </w:rPr>
              <w:t xml:space="preserve"> 62 to 66 and Article 77 of the Law on the use of RES)</w:t>
            </w:r>
          </w:p>
        </w:tc>
        <w:tc>
          <w:tcPr>
            <w:tcW w:w="0" w:type="auto"/>
            <w:tcBorders>
              <w:top w:val="nil"/>
              <w:left w:val="nil"/>
              <w:bottom w:val="single" w:sz="4" w:space="0" w:color="auto"/>
              <w:right w:val="single" w:sz="4" w:space="0" w:color="auto"/>
            </w:tcBorders>
            <w:vAlign w:val="center"/>
            <w:hideMark/>
          </w:tcPr>
          <w:p w14:paraId="0F6A8CB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05A4CA8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1DF98D0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09A4416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7D6DC98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77DA552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0E02A4A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16732D2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5148556F"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14A33909"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54CFD11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PM_IEM21</w:t>
            </w:r>
          </w:p>
        </w:tc>
        <w:tc>
          <w:tcPr>
            <w:tcW w:w="0" w:type="auto"/>
            <w:tcBorders>
              <w:top w:val="nil"/>
              <w:left w:val="nil"/>
              <w:bottom w:val="single" w:sz="4" w:space="0" w:color="auto"/>
              <w:right w:val="single" w:sz="4" w:space="0" w:color="auto"/>
            </w:tcBorders>
            <w:vAlign w:val="center"/>
            <w:hideMark/>
          </w:tcPr>
          <w:p w14:paraId="4395D38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Implementation of EU Network Codes and Guidelines on electricity through appropriate amendments of the secondary legislation and adoption of additional rules, decisions and acts, where applicable. </w:t>
            </w:r>
          </w:p>
        </w:tc>
        <w:tc>
          <w:tcPr>
            <w:tcW w:w="0" w:type="auto"/>
            <w:tcBorders>
              <w:top w:val="nil"/>
              <w:left w:val="nil"/>
              <w:bottom w:val="single" w:sz="4" w:space="0" w:color="auto"/>
              <w:right w:val="single" w:sz="4" w:space="0" w:color="auto"/>
            </w:tcBorders>
            <w:vAlign w:val="center"/>
            <w:hideMark/>
          </w:tcPr>
          <w:p w14:paraId="65E17A6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162275E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4311CB4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1CB02AA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2D61039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7DD27C4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0EF7CA1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5311146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6A247486"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5F026EFF"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7B69072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PM_IEM22</w:t>
            </w:r>
          </w:p>
        </w:tc>
        <w:tc>
          <w:tcPr>
            <w:tcW w:w="0" w:type="auto"/>
            <w:tcBorders>
              <w:top w:val="nil"/>
              <w:left w:val="nil"/>
              <w:bottom w:val="single" w:sz="4" w:space="0" w:color="auto"/>
              <w:right w:val="single" w:sz="4" w:space="0" w:color="auto"/>
            </w:tcBorders>
            <w:vAlign w:val="center"/>
            <w:hideMark/>
          </w:tcPr>
          <w:p w14:paraId="074426D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Unbundling and Certification of Transmission System Operators</w:t>
            </w:r>
          </w:p>
        </w:tc>
        <w:tc>
          <w:tcPr>
            <w:tcW w:w="0" w:type="auto"/>
            <w:tcBorders>
              <w:top w:val="nil"/>
              <w:left w:val="nil"/>
              <w:bottom w:val="single" w:sz="4" w:space="0" w:color="auto"/>
              <w:right w:val="single" w:sz="4" w:space="0" w:color="auto"/>
            </w:tcBorders>
            <w:vAlign w:val="center"/>
            <w:hideMark/>
          </w:tcPr>
          <w:p w14:paraId="5C926DC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78895DA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48DBAA8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2E29366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7E1842C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03C71C8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089DEBC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2D6A82B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5E7159EB"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139729AD"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2926820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PM_IEM23</w:t>
            </w:r>
          </w:p>
        </w:tc>
        <w:tc>
          <w:tcPr>
            <w:tcW w:w="0" w:type="auto"/>
            <w:tcBorders>
              <w:top w:val="nil"/>
              <w:left w:val="nil"/>
              <w:bottom w:val="single" w:sz="4" w:space="0" w:color="auto"/>
              <w:right w:val="single" w:sz="4" w:space="0" w:color="auto"/>
            </w:tcBorders>
            <w:vAlign w:val="center"/>
            <w:hideMark/>
          </w:tcPr>
          <w:p w14:paraId="4557188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Implementation of Regulation (EU) 2017/459</w:t>
            </w:r>
          </w:p>
        </w:tc>
        <w:tc>
          <w:tcPr>
            <w:tcW w:w="0" w:type="auto"/>
            <w:tcBorders>
              <w:top w:val="nil"/>
              <w:left w:val="nil"/>
              <w:bottom w:val="single" w:sz="4" w:space="0" w:color="auto"/>
              <w:right w:val="single" w:sz="4" w:space="0" w:color="auto"/>
            </w:tcBorders>
            <w:vAlign w:val="center"/>
            <w:hideMark/>
          </w:tcPr>
          <w:p w14:paraId="39544ED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7261E54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30A6883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7FC4D70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3D7A566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19526BA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09F8367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124E3C7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730AEF19"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3D938648"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5F933FF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PM_IEM24</w:t>
            </w:r>
          </w:p>
        </w:tc>
        <w:tc>
          <w:tcPr>
            <w:tcW w:w="0" w:type="auto"/>
            <w:tcBorders>
              <w:top w:val="nil"/>
              <w:left w:val="nil"/>
              <w:bottom w:val="single" w:sz="4" w:space="0" w:color="auto"/>
              <w:right w:val="single" w:sz="4" w:space="0" w:color="auto"/>
            </w:tcBorders>
            <w:vAlign w:val="center"/>
            <w:hideMark/>
          </w:tcPr>
          <w:p w14:paraId="2F08B47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Implementation of Regulation (EU) 2017/460</w:t>
            </w:r>
          </w:p>
        </w:tc>
        <w:tc>
          <w:tcPr>
            <w:tcW w:w="0" w:type="auto"/>
            <w:tcBorders>
              <w:top w:val="nil"/>
              <w:left w:val="nil"/>
              <w:bottom w:val="single" w:sz="4" w:space="0" w:color="auto"/>
              <w:right w:val="single" w:sz="4" w:space="0" w:color="auto"/>
            </w:tcBorders>
            <w:vAlign w:val="center"/>
            <w:hideMark/>
          </w:tcPr>
          <w:p w14:paraId="7C00816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3A728CB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578D190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5B06057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110DBED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575E1E0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50B3FFE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246C8A8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6EBBDB9E"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058389AC"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22453B1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PM_IEM25</w:t>
            </w:r>
          </w:p>
        </w:tc>
        <w:tc>
          <w:tcPr>
            <w:tcW w:w="0" w:type="auto"/>
            <w:tcBorders>
              <w:top w:val="nil"/>
              <w:left w:val="nil"/>
              <w:bottom w:val="single" w:sz="4" w:space="0" w:color="auto"/>
              <w:right w:val="single" w:sz="4" w:space="0" w:color="auto"/>
            </w:tcBorders>
            <w:vAlign w:val="center"/>
            <w:hideMark/>
          </w:tcPr>
          <w:p w14:paraId="54F7BBC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Implementation of Regulation (EU) 2014/312</w:t>
            </w:r>
          </w:p>
        </w:tc>
        <w:tc>
          <w:tcPr>
            <w:tcW w:w="0" w:type="auto"/>
            <w:tcBorders>
              <w:top w:val="nil"/>
              <w:left w:val="nil"/>
              <w:bottom w:val="single" w:sz="4" w:space="0" w:color="auto"/>
              <w:right w:val="single" w:sz="4" w:space="0" w:color="auto"/>
            </w:tcBorders>
            <w:vAlign w:val="center"/>
            <w:hideMark/>
          </w:tcPr>
          <w:p w14:paraId="3EEB17B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5BF95BD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0845F05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7E224F9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0555063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29DD21A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23611F8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600303F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40215022"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37E521C7"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6C4D9FF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PM_IEM26</w:t>
            </w:r>
          </w:p>
        </w:tc>
        <w:tc>
          <w:tcPr>
            <w:tcW w:w="0" w:type="auto"/>
            <w:tcBorders>
              <w:top w:val="nil"/>
              <w:left w:val="nil"/>
              <w:bottom w:val="single" w:sz="4" w:space="0" w:color="auto"/>
              <w:right w:val="single" w:sz="4" w:space="0" w:color="auto"/>
            </w:tcBorders>
            <w:vAlign w:val="center"/>
            <w:hideMark/>
          </w:tcPr>
          <w:p w14:paraId="78FF9EC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 of the Wholesale market to foster competition</w:t>
            </w:r>
          </w:p>
        </w:tc>
        <w:tc>
          <w:tcPr>
            <w:tcW w:w="0" w:type="auto"/>
            <w:tcBorders>
              <w:top w:val="nil"/>
              <w:left w:val="nil"/>
              <w:bottom w:val="single" w:sz="4" w:space="0" w:color="auto"/>
              <w:right w:val="single" w:sz="4" w:space="0" w:color="auto"/>
            </w:tcBorders>
            <w:vAlign w:val="center"/>
            <w:hideMark/>
          </w:tcPr>
          <w:p w14:paraId="017BFBE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0C7BE09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07644E5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2E1D144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2CA0261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16E1782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62CBA98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3A328B9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26E0EE2D"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590BF800"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3B35F51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PM_IEM27</w:t>
            </w:r>
          </w:p>
        </w:tc>
        <w:tc>
          <w:tcPr>
            <w:tcW w:w="0" w:type="auto"/>
            <w:tcBorders>
              <w:top w:val="nil"/>
              <w:left w:val="nil"/>
              <w:bottom w:val="single" w:sz="4" w:space="0" w:color="auto"/>
              <w:right w:val="single" w:sz="4" w:space="0" w:color="auto"/>
            </w:tcBorders>
            <w:vAlign w:val="center"/>
            <w:hideMark/>
          </w:tcPr>
          <w:p w14:paraId="2007313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Further development of Retail market opening</w:t>
            </w:r>
          </w:p>
        </w:tc>
        <w:tc>
          <w:tcPr>
            <w:tcW w:w="0" w:type="auto"/>
            <w:tcBorders>
              <w:top w:val="nil"/>
              <w:left w:val="nil"/>
              <w:bottom w:val="single" w:sz="4" w:space="0" w:color="auto"/>
              <w:right w:val="single" w:sz="4" w:space="0" w:color="auto"/>
            </w:tcBorders>
            <w:vAlign w:val="center"/>
            <w:hideMark/>
          </w:tcPr>
          <w:p w14:paraId="4EF7F2F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1931658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17106D1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6C35FA0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6DC59CE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512068B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635EDE0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49784AF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58884C93"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1E1E0546"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00BD088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PM_IEM28</w:t>
            </w:r>
          </w:p>
        </w:tc>
        <w:tc>
          <w:tcPr>
            <w:tcW w:w="0" w:type="auto"/>
            <w:tcBorders>
              <w:top w:val="nil"/>
              <w:left w:val="nil"/>
              <w:bottom w:val="single" w:sz="4" w:space="0" w:color="auto"/>
              <w:right w:val="single" w:sz="4" w:space="0" w:color="auto"/>
            </w:tcBorders>
            <w:vAlign w:val="center"/>
            <w:hideMark/>
          </w:tcPr>
          <w:p w14:paraId="6EFBE79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Development of the Grid Code of Transportgas Serbia. Development of a grid code for Yugorosgaz Transport</w:t>
            </w:r>
          </w:p>
        </w:tc>
        <w:tc>
          <w:tcPr>
            <w:tcW w:w="0" w:type="auto"/>
            <w:tcBorders>
              <w:top w:val="nil"/>
              <w:left w:val="nil"/>
              <w:bottom w:val="single" w:sz="4" w:space="0" w:color="auto"/>
              <w:right w:val="single" w:sz="4" w:space="0" w:color="auto"/>
            </w:tcBorders>
            <w:vAlign w:val="center"/>
            <w:hideMark/>
          </w:tcPr>
          <w:p w14:paraId="50EFBA6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17CF229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006EC98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3536359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7BB354E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29CDD05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57BF744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66DD72C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1A34EDBE"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7FEE83E8"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7C4759A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PM_IEM10</w:t>
            </w:r>
          </w:p>
        </w:tc>
        <w:tc>
          <w:tcPr>
            <w:tcW w:w="0" w:type="auto"/>
            <w:tcBorders>
              <w:top w:val="nil"/>
              <w:left w:val="nil"/>
              <w:bottom w:val="single" w:sz="4" w:space="0" w:color="auto"/>
              <w:right w:val="single" w:sz="4" w:space="0" w:color="auto"/>
            </w:tcBorders>
            <w:vAlign w:val="center"/>
            <w:hideMark/>
          </w:tcPr>
          <w:p w14:paraId="584878E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Intensify gasification efforts in Serbia</w:t>
            </w:r>
          </w:p>
        </w:tc>
        <w:tc>
          <w:tcPr>
            <w:tcW w:w="0" w:type="auto"/>
            <w:tcBorders>
              <w:top w:val="nil"/>
              <w:left w:val="nil"/>
              <w:bottom w:val="single" w:sz="4" w:space="0" w:color="auto"/>
              <w:right w:val="single" w:sz="4" w:space="0" w:color="auto"/>
            </w:tcBorders>
            <w:vAlign w:val="center"/>
            <w:hideMark/>
          </w:tcPr>
          <w:p w14:paraId="6F52DFC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5960A9E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6C636C5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3D3F585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422DA1D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6BA71FA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057551D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00D22DD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0B3756C2"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7B914FB0"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10AB0B1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PM_IEM29</w:t>
            </w:r>
          </w:p>
        </w:tc>
        <w:tc>
          <w:tcPr>
            <w:tcW w:w="0" w:type="auto"/>
            <w:tcBorders>
              <w:top w:val="nil"/>
              <w:left w:val="nil"/>
              <w:bottom w:val="single" w:sz="4" w:space="0" w:color="auto"/>
              <w:right w:val="single" w:sz="4" w:space="0" w:color="auto"/>
            </w:tcBorders>
            <w:vAlign w:val="center"/>
            <w:hideMark/>
          </w:tcPr>
          <w:p w14:paraId="0CD51BB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Development of regulatory framework for biomethane</w:t>
            </w:r>
          </w:p>
        </w:tc>
        <w:tc>
          <w:tcPr>
            <w:tcW w:w="0" w:type="auto"/>
            <w:tcBorders>
              <w:top w:val="nil"/>
              <w:left w:val="nil"/>
              <w:bottom w:val="single" w:sz="4" w:space="0" w:color="auto"/>
              <w:right w:val="single" w:sz="4" w:space="0" w:color="auto"/>
            </w:tcBorders>
            <w:vAlign w:val="center"/>
            <w:hideMark/>
          </w:tcPr>
          <w:p w14:paraId="669420D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5BBC427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604E230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30A2709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62C5979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51561E3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6FD1854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53F2230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61E7B230"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65080A52"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0080CE5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PM_IEM30</w:t>
            </w:r>
          </w:p>
        </w:tc>
        <w:tc>
          <w:tcPr>
            <w:tcW w:w="0" w:type="auto"/>
            <w:tcBorders>
              <w:top w:val="nil"/>
              <w:left w:val="nil"/>
              <w:bottom w:val="single" w:sz="4" w:space="0" w:color="auto"/>
              <w:right w:val="single" w:sz="4" w:space="0" w:color="auto"/>
            </w:tcBorders>
            <w:vAlign w:val="center"/>
            <w:hideMark/>
          </w:tcPr>
          <w:p w14:paraId="6877F42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Market coupling to the Single Day Ahead Market (SDAC) </w:t>
            </w:r>
          </w:p>
        </w:tc>
        <w:tc>
          <w:tcPr>
            <w:tcW w:w="0" w:type="auto"/>
            <w:tcBorders>
              <w:top w:val="nil"/>
              <w:left w:val="nil"/>
              <w:bottom w:val="single" w:sz="4" w:space="0" w:color="auto"/>
              <w:right w:val="single" w:sz="4" w:space="0" w:color="auto"/>
            </w:tcBorders>
            <w:vAlign w:val="center"/>
            <w:hideMark/>
          </w:tcPr>
          <w:p w14:paraId="5CDE909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615E42B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7832D12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508EC17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0FA125F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343B050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573C6DC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444D3B4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72D5107E"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10ABB967"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26F44F5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PM_IEM31</w:t>
            </w:r>
          </w:p>
        </w:tc>
        <w:tc>
          <w:tcPr>
            <w:tcW w:w="0" w:type="auto"/>
            <w:tcBorders>
              <w:top w:val="nil"/>
              <w:left w:val="nil"/>
              <w:bottom w:val="single" w:sz="4" w:space="0" w:color="auto"/>
              <w:right w:val="single" w:sz="4" w:space="0" w:color="auto"/>
            </w:tcBorders>
            <w:vAlign w:val="center"/>
            <w:hideMark/>
          </w:tcPr>
          <w:p w14:paraId="05950C9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Market coupling to the Single Intra Day Market (SIDC) </w:t>
            </w:r>
          </w:p>
        </w:tc>
        <w:tc>
          <w:tcPr>
            <w:tcW w:w="0" w:type="auto"/>
            <w:tcBorders>
              <w:top w:val="nil"/>
              <w:left w:val="nil"/>
              <w:bottom w:val="single" w:sz="4" w:space="0" w:color="auto"/>
              <w:right w:val="single" w:sz="4" w:space="0" w:color="auto"/>
            </w:tcBorders>
            <w:vAlign w:val="center"/>
            <w:hideMark/>
          </w:tcPr>
          <w:p w14:paraId="4211792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336123F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30AD4B9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0339B4A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57D51C0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25A00CF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081E058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02C5A19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215BE741"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72E6AE87"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16C2727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PM_IEM32</w:t>
            </w:r>
          </w:p>
        </w:tc>
        <w:tc>
          <w:tcPr>
            <w:tcW w:w="0" w:type="auto"/>
            <w:tcBorders>
              <w:top w:val="nil"/>
              <w:left w:val="nil"/>
              <w:bottom w:val="single" w:sz="4" w:space="0" w:color="auto"/>
              <w:right w:val="single" w:sz="4" w:space="0" w:color="auto"/>
            </w:tcBorders>
            <w:vAlign w:val="center"/>
            <w:hideMark/>
          </w:tcPr>
          <w:p w14:paraId="3CAD4D9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Preparation and adoption of an action plan to ensure achievement for energy poverty reduction</w:t>
            </w:r>
          </w:p>
        </w:tc>
        <w:tc>
          <w:tcPr>
            <w:tcW w:w="0" w:type="auto"/>
            <w:tcBorders>
              <w:top w:val="nil"/>
              <w:left w:val="nil"/>
              <w:bottom w:val="single" w:sz="4" w:space="0" w:color="auto"/>
              <w:right w:val="single" w:sz="4" w:space="0" w:color="auto"/>
            </w:tcBorders>
            <w:vAlign w:val="center"/>
            <w:hideMark/>
          </w:tcPr>
          <w:p w14:paraId="5F85787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1E6B16F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0D5CE23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3F60163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64408CC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1B65778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2EFDA"/>
            <w:vAlign w:val="center"/>
            <w:hideMark/>
          </w:tcPr>
          <w:p w14:paraId="1EA62EB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0.20</w:t>
            </w:r>
          </w:p>
        </w:tc>
        <w:tc>
          <w:tcPr>
            <w:tcW w:w="0" w:type="auto"/>
            <w:tcBorders>
              <w:top w:val="nil"/>
              <w:left w:val="nil"/>
              <w:bottom w:val="single" w:sz="4" w:space="0" w:color="auto"/>
              <w:right w:val="single" w:sz="4" w:space="0" w:color="auto"/>
            </w:tcBorders>
            <w:shd w:val="clear" w:color="auto" w:fill="E2EFDA"/>
            <w:vAlign w:val="center"/>
            <w:hideMark/>
          </w:tcPr>
          <w:p w14:paraId="685BB5D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4C1A296D"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5DC35C89"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2AC1EF4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PM_IEM33</w:t>
            </w:r>
          </w:p>
        </w:tc>
        <w:tc>
          <w:tcPr>
            <w:tcW w:w="0" w:type="auto"/>
            <w:tcBorders>
              <w:top w:val="nil"/>
              <w:left w:val="nil"/>
              <w:bottom w:val="single" w:sz="4" w:space="0" w:color="auto"/>
              <w:right w:val="single" w:sz="4" w:space="0" w:color="auto"/>
            </w:tcBorders>
            <w:vAlign w:val="center"/>
            <w:hideMark/>
          </w:tcPr>
          <w:p w14:paraId="6D04514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Regulatory measures for the protection of energy poor households and provision of allowances for the short-term alleviation of the energy poverty (i.e. energy card or social tariff)</w:t>
            </w:r>
          </w:p>
        </w:tc>
        <w:tc>
          <w:tcPr>
            <w:tcW w:w="0" w:type="auto"/>
            <w:tcBorders>
              <w:top w:val="nil"/>
              <w:left w:val="nil"/>
              <w:bottom w:val="single" w:sz="4" w:space="0" w:color="auto"/>
              <w:right w:val="single" w:sz="4" w:space="0" w:color="auto"/>
            </w:tcBorders>
            <w:vAlign w:val="center"/>
            <w:hideMark/>
          </w:tcPr>
          <w:p w14:paraId="59AEE14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2504CAD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D7D31"/>
            <w:vAlign w:val="center"/>
            <w:hideMark/>
          </w:tcPr>
          <w:p w14:paraId="43E66B7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Under examination</w:t>
            </w:r>
          </w:p>
        </w:tc>
        <w:tc>
          <w:tcPr>
            <w:tcW w:w="0" w:type="auto"/>
            <w:tcBorders>
              <w:top w:val="nil"/>
              <w:left w:val="nil"/>
              <w:bottom w:val="single" w:sz="4" w:space="0" w:color="auto"/>
              <w:right w:val="single" w:sz="4" w:space="0" w:color="auto"/>
            </w:tcBorders>
            <w:shd w:val="clear" w:color="auto" w:fill="ED7D31"/>
            <w:vAlign w:val="center"/>
            <w:hideMark/>
          </w:tcPr>
          <w:p w14:paraId="79B60B3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D7D31"/>
            <w:vAlign w:val="center"/>
            <w:hideMark/>
          </w:tcPr>
          <w:p w14:paraId="57D8823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D7D31"/>
            <w:vAlign w:val="center"/>
            <w:hideMark/>
          </w:tcPr>
          <w:p w14:paraId="2809286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0" w:type="auto"/>
            <w:tcBorders>
              <w:top w:val="nil"/>
              <w:left w:val="nil"/>
              <w:bottom w:val="single" w:sz="4" w:space="0" w:color="auto"/>
              <w:right w:val="single" w:sz="4" w:space="0" w:color="auto"/>
            </w:tcBorders>
            <w:shd w:val="clear" w:color="auto" w:fill="E2EFDA"/>
            <w:vAlign w:val="center"/>
            <w:hideMark/>
          </w:tcPr>
          <w:p w14:paraId="0260449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2EFDA"/>
            <w:vAlign w:val="center"/>
            <w:hideMark/>
          </w:tcPr>
          <w:p w14:paraId="42337B9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7334AA1C"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22B420F4"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7360E8C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PM_IEM34</w:t>
            </w:r>
          </w:p>
        </w:tc>
        <w:tc>
          <w:tcPr>
            <w:tcW w:w="0" w:type="auto"/>
            <w:tcBorders>
              <w:top w:val="nil"/>
              <w:left w:val="nil"/>
              <w:bottom w:val="single" w:sz="4" w:space="0" w:color="auto"/>
              <w:right w:val="single" w:sz="4" w:space="0" w:color="auto"/>
            </w:tcBorders>
            <w:vAlign w:val="center"/>
            <w:hideMark/>
          </w:tcPr>
          <w:p w14:paraId="67CE5C8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Preparation of special programs for the application of energy efficiency measures and the promotion of RES among energy vulnerable customers for the long-term confrontation of the energy poverty</w:t>
            </w:r>
          </w:p>
        </w:tc>
        <w:tc>
          <w:tcPr>
            <w:tcW w:w="0" w:type="auto"/>
            <w:tcBorders>
              <w:top w:val="nil"/>
              <w:left w:val="nil"/>
              <w:bottom w:val="single" w:sz="4" w:space="0" w:color="auto"/>
              <w:right w:val="single" w:sz="4" w:space="0" w:color="auto"/>
            </w:tcBorders>
            <w:vAlign w:val="center"/>
            <w:hideMark/>
          </w:tcPr>
          <w:p w14:paraId="72C173A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027E8CC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D7D31"/>
            <w:vAlign w:val="center"/>
            <w:hideMark/>
          </w:tcPr>
          <w:p w14:paraId="4BEAC63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Under examination</w:t>
            </w:r>
          </w:p>
        </w:tc>
        <w:tc>
          <w:tcPr>
            <w:tcW w:w="0" w:type="auto"/>
            <w:tcBorders>
              <w:top w:val="nil"/>
              <w:left w:val="nil"/>
              <w:bottom w:val="single" w:sz="4" w:space="0" w:color="auto"/>
              <w:right w:val="single" w:sz="4" w:space="0" w:color="auto"/>
            </w:tcBorders>
            <w:shd w:val="clear" w:color="auto" w:fill="ED7D31"/>
            <w:vAlign w:val="center"/>
            <w:hideMark/>
          </w:tcPr>
          <w:p w14:paraId="08C320B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D7D31"/>
            <w:vAlign w:val="center"/>
            <w:hideMark/>
          </w:tcPr>
          <w:p w14:paraId="40CB238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D7D31"/>
            <w:vAlign w:val="center"/>
            <w:hideMark/>
          </w:tcPr>
          <w:p w14:paraId="4C1F1FC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0" w:type="auto"/>
            <w:tcBorders>
              <w:top w:val="nil"/>
              <w:left w:val="nil"/>
              <w:bottom w:val="single" w:sz="4" w:space="0" w:color="auto"/>
              <w:right w:val="single" w:sz="4" w:space="0" w:color="auto"/>
            </w:tcBorders>
            <w:shd w:val="clear" w:color="auto" w:fill="E2EFDA"/>
            <w:vAlign w:val="center"/>
            <w:hideMark/>
          </w:tcPr>
          <w:p w14:paraId="6113DDE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2EFDA"/>
            <w:vAlign w:val="center"/>
            <w:hideMark/>
          </w:tcPr>
          <w:p w14:paraId="5235C0D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6CB744E9"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466EED7B"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2899648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PM_IEM35</w:t>
            </w:r>
          </w:p>
        </w:tc>
        <w:tc>
          <w:tcPr>
            <w:tcW w:w="0" w:type="auto"/>
            <w:tcBorders>
              <w:top w:val="nil"/>
              <w:left w:val="nil"/>
              <w:bottom w:val="single" w:sz="4" w:space="0" w:color="auto"/>
              <w:right w:val="single" w:sz="4" w:space="0" w:color="auto"/>
            </w:tcBorders>
            <w:vAlign w:val="center"/>
            <w:hideMark/>
          </w:tcPr>
          <w:p w14:paraId="1FB21E2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Facilitate access to alternative energy sources among energy vulnerable and other customers in order to reduce energy poverty</w:t>
            </w:r>
          </w:p>
        </w:tc>
        <w:tc>
          <w:tcPr>
            <w:tcW w:w="0" w:type="auto"/>
            <w:tcBorders>
              <w:top w:val="nil"/>
              <w:left w:val="nil"/>
              <w:bottom w:val="single" w:sz="4" w:space="0" w:color="auto"/>
              <w:right w:val="single" w:sz="4" w:space="0" w:color="auto"/>
            </w:tcBorders>
            <w:shd w:val="clear" w:color="auto" w:fill="FFFFFF"/>
            <w:vAlign w:val="center"/>
            <w:hideMark/>
          </w:tcPr>
          <w:p w14:paraId="0F3C98B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22BB5B5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D7D31"/>
            <w:vAlign w:val="center"/>
            <w:hideMark/>
          </w:tcPr>
          <w:p w14:paraId="08AB7DD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Under examination</w:t>
            </w:r>
          </w:p>
        </w:tc>
        <w:tc>
          <w:tcPr>
            <w:tcW w:w="0" w:type="auto"/>
            <w:tcBorders>
              <w:top w:val="nil"/>
              <w:left w:val="nil"/>
              <w:bottom w:val="single" w:sz="4" w:space="0" w:color="auto"/>
              <w:right w:val="single" w:sz="4" w:space="0" w:color="auto"/>
            </w:tcBorders>
            <w:shd w:val="clear" w:color="auto" w:fill="ED7D31"/>
            <w:vAlign w:val="center"/>
            <w:hideMark/>
          </w:tcPr>
          <w:p w14:paraId="36081A5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D7D31"/>
            <w:vAlign w:val="center"/>
            <w:hideMark/>
          </w:tcPr>
          <w:p w14:paraId="6FE6748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D7D31"/>
            <w:vAlign w:val="center"/>
            <w:hideMark/>
          </w:tcPr>
          <w:p w14:paraId="77108C5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0" w:type="auto"/>
            <w:tcBorders>
              <w:top w:val="nil"/>
              <w:left w:val="nil"/>
              <w:bottom w:val="single" w:sz="4" w:space="0" w:color="auto"/>
              <w:right w:val="single" w:sz="4" w:space="0" w:color="auto"/>
            </w:tcBorders>
            <w:shd w:val="clear" w:color="auto" w:fill="E2EFDA"/>
            <w:vAlign w:val="center"/>
            <w:hideMark/>
          </w:tcPr>
          <w:p w14:paraId="50E4119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2EFDA"/>
            <w:vAlign w:val="center"/>
            <w:hideMark/>
          </w:tcPr>
          <w:p w14:paraId="5884763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0DBD5FF0"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4DDB9C4C"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7D0800F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PM_IEM36</w:t>
            </w:r>
          </w:p>
        </w:tc>
        <w:tc>
          <w:tcPr>
            <w:tcW w:w="0" w:type="auto"/>
            <w:tcBorders>
              <w:top w:val="nil"/>
              <w:left w:val="nil"/>
              <w:bottom w:val="single" w:sz="4" w:space="0" w:color="auto"/>
              <w:right w:val="single" w:sz="4" w:space="0" w:color="auto"/>
            </w:tcBorders>
            <w:vAlign w:val="center"/>
            <w:hideMark/>
          </w:tcPr>
          <w:p w14:paraId="371A49D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Improvement of the tools and methodology for collecting data relevant to monitoring of energy poverty</w:t>
            </w:r>
          </w:p>
        </w:tc>
        <w:tc>
          <w:tcPr>
            <w:tcW w:w="0" w:type="auto"/>
            <w:tcBorders>
              <w:top w:val="nil"/>
              <w:left w:val="nil"/>
              <w:bottom w:val="single" w:sz="4" w:space="0" w:color="auto"/>
              <w:right w:val="single" w:sz="4" w:space="0" w:color="auto"/>
            </w:tcBorders>
            <w:shd w:val="clear" w:color="auto" w:fill="FFFFFF"/>
            <w:vAlign w:val="center"/>
            <w:hideMark/>
          </w:tcPr>
          <w:p w14:paraId="068FA0D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4F1A028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33DF547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1.50</w:t>
            </w:r>
          </w:p>
        </w:tc>
        <w:tc>
          <w:tcPr>
            <w:tcW w:w="0" w:type="auto"/>
            <w:tcBorders>
              <w:top w:val="nil"/>
              <w:left w:val="nil"/>
              <w:bottom w:val="single" w:sz="4" w:space="0" w:color="auto"/>
              <w:right w:val="single" w:sz="4" w:space="0" w:color="auto"/>
            </w:tcBorders>
            <w:shd w:val="clear" w:color="auto" w:fill="E2EFDA"/>
            <w:vAlign w:val="center"/>
            <w:hideMark/>
          </w:tcPr>
          <w:p w14:paraId="19B7991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1.50</w:t>
            </w:r>
          </w:p>
        </w:tc>
        <w:tc>
          <w:tcPr>
            <w:tcW w:w="0" w:type="auto"/>
            <w:tcBorders>
              <w:top w:val="nil"/>
              <w:left w:val="nil"/>
              <w:bottom w:val="single" w:sz="4" w:space="0" w:color="auto"/>
              <w:right w:val="single" w:sz="4" w:space="0" w:color="auto"/>
            </w:tcBorders>
            <w:shd w:val="clear" w:color="auto" w:fill="ED7D31"/>
            <w:vAlign w:val="center"/>
            <w:hideMark/>
          </w:tcPr>
          <w:p w14:paraId="3378F4F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D7D31"/>
            <w:vAlign w:val="center"/>
            <w:hideMark/>
          </w:tcPr>
          <w:p w14:paraId="425AEAB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0" w:type="auto"/>
            <w:tcBorders>
              <w:top w:val="nil"/>
              <w:left w:val="nil"/>
              <w:bottom w:val="single" w:sz="4" w:space="0" w:color="auto"/>
              <w:right w:val="single" w:sz="4" w:space="0" w:color="auto"/>
            </w:tcBorders>
            <w:shd w:val="clear" w:color="auto" w:fill="E2EFDA"/>
            <w:vAlign w:val="center"/>
            <w:hideMark/>
          </w:tcPr>
          <w:p w14:paraId="34EA7A4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2EFDA"/>
            <w:vAlign w:val="center"/>
            <w:hideMark/>
          </w:tcPr>
          <w:p w14:paraId="2261671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1.50</w:t>
            </w:r>
          </w:p>
        </w:tc>
      </w:tr>
      <w:tr w:rsidR="00614438" w:rsidRPr="004F5BC1" w14:paraId="0851703A"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35162798"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2DF9CEE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PM_IEM37</w:t>
            </w:r>
          </w:p>
        </w:tc>
        <w:tc>
          <w:tcPr>
            <w:tcW w:w="0" w:type="auto"/>
            <w:tcBorders>
              <w:top w:val="nil"/>
              <w:left w:val="nil"/>
              <w:bottom w:val="single" w:sz="4" w:space="0" w:color="auto"/>
              <w:right w:val="single" w:sz="4" w:space="0" w:color="auto"/>
            </w:tcBorders>
            <w:vAlign w:val="center"/>
            <w:hideMark/>
          </w:tcPr>
          <w:p w14:paraId="6383683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Awareness and information measures for the alleviation of energy poverty</w:t>
            </w:r>
          </w:p>
        </w:tc>
        <w:tc>
          <w:tcPr>
            <w:tcW w:w="0" w:type="auto"/>
            <w:tcBorders>
              <w:top w:val="nil"/>
              <w:left w:val="nil"/>
              <w:bottom w:val="single" w:sz="4" w:space="0" w:color="auto"/>
              <w:right w:val="single" w:sz="4" w:space="0" w:color="auto"/>
            </w:tcBorders>
            <w:vAlign w:val="center"/>
            <w:hideMark/>
          </w:tcPr>
          <w:p w14:paraId="43418F7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452AD79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179DE7F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0.70</w:t>
            </w:r>
          </w:p>
        </w:tc>
        <w:tc>
          <w:tcPr>
            <w:tcW w:w="0" w:type="auto"/>
            <w:tcBorders>
              <w:top w:val="nil"/>
              <w:left w:val="nil"/>
              <w:bottom w:val="single" w:sz="4" w:space="0" w:color="auto"/>
              <w:right w:val="single" w:sz="4" w:space="0" w:color="auto"/>
            </w:tcBorders>
            <w:shd w:val="clear" w:color="auto" w:fill="E2EFDA"/>
            <w:vAlign w:val="center"/>
            <w:hideMark/>
          </w:tcPr>
          <w:p w14:paraId="1FD8D15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0.35</w:t>
            </w:r>
          </w:p>
        </w:tc>
        <w:tc>
          <w:tcPr>
            <w:tcW w:w="0" w:type="auto"/>
            <w:tcBorders>
              <w:top w:val="nil"/>
              <w:left w:val="nil"/>
              <w:bottom w:val="single" w:sz="4" w:space="0" w:color="auto"/>
              <w:right w:val="single" w:sz="4" w:space="0" w:color="auto"/>
            </w:tcBorders>
            <w:shd w:val="clear" w:color="auto" w:fill="E2EFDA"/>
            <w:vAlign w:val="center"/>
            <w:hideMark/>
          </w:tcPr>
          <w:p w14:paraId="5BE3AB9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0.35</w:t>
            </w:r>
          </w:p>
        </w:tc>
        <w:tc>
          <w:tcPr>
            <w:tcW w:w="0" w:type="auto"/>
            <w:tcBorders>
              <w:top w:val="nil"/>
              <w:left w:val="nil"/>
              <w:bottom w:val="single" w:sz="4" w:space="0" w:color="auto"/>
              <w:right w:val="single" w:sz="4" w:space="0" w:color="auto"/>
            </w:tcBorders>
            <w:shd w:val="clear" w:color="auto" w:fill="ED7D31"/>
            <w:vAlign w:val="center"/>
            <w:hideMark/>
          </w:tcPr>
          <w:p w14:paraId="483A36B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WAM</w:t>
            </w:r>
          </w:p>
        </w:tc>
        <w:tc>
          <w:tcPr>
            <w:tcW w:w="0" w:type="auto"/>
            <w:tcBorders>
              <w:top w:val="nil"/>
              <w:left w:val="nil"/>
              <w:bottom w:val="single" w:sz="4" w:space="0" w:color="auto"/>
              <w:right w:val="single" w:sz="4" w:space="0" w:color="auto"/>
            </w:tcBorders>
            <w:shd w:val="clear" w:color="auto" w:fill="E2EFDA"/>
            <w:vAlign w:val="center"/>
            <w:hideMark/>
          </w:tcPr>
          <w:p w14:paraId="7C51DE2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2EFDA"/>
            <w:vAlign w:val="center"/>
            <w:hideMark/>
          </w:tcPr>
          <w:p w14:paraId="6BC53A1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0.70</w:t>
            </w:r>
          </w:p>
        </w:tc>
      </w:tr>
      <w:tr w:rsidR="00614438" w:rsidRPr="004F5BC1" w14:paraId="1B42FE92" w14:textId="77777777" w:rsidTr="00614438">
        <w:trPr>
          <w:trHeight w:val="20"/>
        </w:trPr>
        <w:tc>
          <w:tcPr>
            <w:tcW w:w="0" w:type="auto"/>
            <w:vMerge/>
            <w:tcBorders>
              <w:top w:val="nil"/>
              <w:left w:val="single" w:sz="4" w:space="0" w:color="auto"/>
              <w:bottom w:val="single" w:sz="4" w:space="0" w:color="auto"/>
              <w:right w:val="single" w:sz="4" w:space="0" w:color="auto"/>
            </w:tcBorders>
            <w:vAlign w:val="center"/>
            <w:hideMark/>
          </w:tcPr>
          <w:p w14:paraId="374B10A7"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55CA974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vAlign w:val="center"/>
            <w:hideMark/>
          </w:tcPr>
          <w:p w14:paraId="5819887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TOTAL FOR INTEGRATION ENERGY MARKETS</w:t>
            </w:r>
          </w:p>
        </w:tc>
        <w:tc>
          <w:tcPr>
            <w:tcW w:w="0" w:type="auto"/>
            <w:tcBorders>
              <w:top w:val="nil"/>
              <w:left w:val="nil"/>
              <w:bottom w:val="single" w:sz="4" w:space="0" w:color="auto"/>
              <w:right w:val="single" w:sz="4" w:space="0" w:color="auto"/>
            </w:tcBorders>
            <w:vAlign w:val="center"/>
            <w:hideMark/>
          </w:tcPr>
          <w:p w14:paraId="6695B7C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vAlign w:val="center"/>
            <w:hideMark/>
          </w:tcPr>
          <w:p w14:paraId="18B8A9C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7F57337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1.19</w:t>
            </w:r>
          </w:p>
        </w:tc>
        <w:tc>
          <w:tcPr>
            <w:tcW w:w="0" w:type="auto"/>
            <w:tcBorders>
              <w:top w:val="nil"/>
              <w:left w:val="nil"/>
              <w:bottom w:val="single" w:sz="4" w:space="0" w:color="auto"/>
              <w:right w:val="single" w:sz="4" w:space="0" w:color="auto"/>
            </w:tcBorders>
            <w:shd w:val="clear" w:color="auto" w:fill="E2EFDA"/>
            <w:vAlign w:val="center"/>
            <w:hideMark/>
          </w:tcPr>
          <w:p w14:paraId="4F5EC1E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0.18</w:t>
            </w:r>
          </w:p>
        </w:tc>
        <w:tc>
          <w:tcPr>
            <w:tcW w:w="0" w:type="auto"/>
            <w:tcBorders>
              <w:top w:val="nil"/>
              <w:left w:val="nil"/>
              <w:bottom w:val="single" w:sz="4" w:space="0" w:color="auto"/>
              <w:right w:val="single" w:sz="4" w:space="0" w:color="auto"/>
            </w:tcBorders>
            <w:shd w:val="clear" w:color="auto" w:fill="E2EFDA"/>
            <w:vAlign w:val="center"/>
            <w:hideMark/>
          </w:tcPr>
          <w:p w14:paraId="0140F0F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1.01</w:t>
            </w:r>
          </w:p>
        </w:tc>
        <w:tc>
          <w:tcPr>
            <w:tcW w:w="0" w:type="auto"/>
            <w:tcBorders>
              <w:top w:val="nil"/>
              <w:left w:val="nil"/>
              <w:bottom w:val="single" w:sz="4" w:space="0" w:color="auto"/>
              <w:right w:val="single" w:sz="4" w:space="0" w:color="auto"/>
            </w:tcBorders>
            <w:shd w:val="clear" w:color="auto" w:fill="E2EFDA"/>
            <w:vAlign w:val="center"/>
            <w:hideMark/>
          </w:tcPr>
          <w:p w14:paraId="336902D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5E9F5E3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1.19</w:t>
            </w:r>
          </w:p>
        </w:tc>
        <w:tc>
          <w:tcPr>
            <w:tcW w:w="0" w:type="auto"/>
            <w:tcBorders>
              <w:top w:val="nil"/>
              <w:left w:val="nil"/>
              <w:bottom w:val="single" w:sz="4" w:space="0" w:color="auto"/>
              <w:right w:val="single" w:sz="4" w:space="0" w:color="auto"/>
            </w:tcBorders>
            <w:shd w:val="clear" w:color="auto" w:fill="E2EFDA"/>
            <w:vAlign w:val="center"/>
            <w:hideMark/>
          </w:tcPr>
          <w:p w14:paraId="22EDE3A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bl>
    <w:p w14:paraId="742CE168" w14:textId="77777777" w:rsidR="00614438" w:rsidRPr="004F5BC1" w:rsidRDefault="00614438" w:rsidP="00614438">
      <w:pPr>
        <w:jc w:val="both"/>
        <w:rPr>
          <w:rFonts w:ascii="Times New Roman" w:hAnsi="Times New Roman" w:cs="Times New Roman"/>
          <w:sz w:val="14"/>
          <w:szCs w:val="14"/>
          <w:lang w:val="en-GB"/>
        </w:rPr>
      </w:pPr>
    </w:p>
    <w:p w14:paraId="78D03FB9" w14:textId="77777777" w:rsidR="00614438" w:rsidRPr="004F5BC1" w:rsidRDefault="00614438" w:rsidP="00614438">
      <w:pPr>
        <w:jc w:val="both"/>
        <w:rPr>
          <w:rFonts w:ascii="Times New Roman" w:hAnsi="Times New Roman" w:cs="Times New Roman"/>
          <w:sz w:val="14"/>
          <w:szCs w:val="14"/>
        </w:rPr>
      </w:pPr>
      <w:bookmarkStart w:id="666" w:name="_Toc153545084"/>
      <w:r w:rsidRPr="004F5BC1">
        <w:rPr>
          <w:rFonts w:ascii="Times New Roman" w:hAnsi="Times New Roman" w:cs="Times New Roman"/>
          <w:sz w:val="14"/>
          <w:szCs w:val="14"/>
        </w:rPr>
        <w:t xml:space="preserve">Table </w:t>
      </w:r>
      <w:r w:rsidR="00C83251" w:rsidRPr="004F5BC1">
        <w:rPr>
          <w:rFonts w:ascii="Times New Roman" w:hAnsi="Times New Roman" w:cs="Times New Roman"/>
          <w:sz w:val="14"/>
          <w:szCs w:val="14"/>
        </w:rPr>
        <w:fldChar w:fldCharType="begin"/>
      </w:r>
      <w:r w:rsidRPr="004F5BC1">
        <w:rPr>
          <w:rFonts w:ascii="Times New Roman" w:hAnsi="Times New Roman" w:cs="Times New Roman"/>
          <w:sz w:val="14"/>
          <w:szCs w:val="14"/>
        </w:rPr>
        <w:instrText xml:space="preserve"> STYLEREF 1 \s </w:instrText>
      </w:r>
      <w:r w:rsidR="00C83251" w:rsidRPr="004F5BC1">
        <w:rPr>
          <w:rFonts w:ascii="Times New Roman" w:hAnsi="Times New Roman" w:cs="Times New Roman"/>
          <w:sz w:val="14"/>
          <w:szCs w:val="14"/>
        </w:rPr>
        <w:fldChar w:fldCharType="separate"/>
      </w:r>
      <w:r w:rsidRPr="004F5BC1">
        <w:rPr>
          <w:rFonts w:ascii="Times New Roman" w:hAnsi="Times New Roman" w:cs="Times New Roman"/>
          <w:sz w:val="14"/>
          <w:szCs w:val="14"/>
        </w:rPr>
        <w:t>I</w:t>
      </w:r>
      <w:r w:rsidR="00C83251" w:rsidRPr="004F5BC1">
        <w:rPr>
          <w:rFonts w:ascii="Times New Roman" w:hAnsi="Times New Roman" w:cs="Times New Roman"/>
          <w:sz w:val="14"/>
          <w:szCs w:val="14"/>
        </w:rPr>
        <w:fldChar w:fldCharType="end"/>
      </w:r>
      <w:r w:rsidRPr="004F5BC1">
        <w:rPr>
          <w:rFonts w:ascii="Times New Roman" w:hAnsi="Times New Roman" w:cs="Times New Roman"/>
          <w:sz w:val="14"/>
          <w:szCs w:val="14"/>
        </w:rPr>
        <w:t>.</w:t>
      </w:r>
      <w:r w:rsidR="00C83251" w:rsidRPr="004F5BC1">
        <w:rPr>
          <w:rFonts w:ascii="Times New Roman" w:hAnsi="Times New Roman" w:cs="Times New Roman"/>
          <w:sz w:val="14"/>
          <w:szCs w:val="14"/>
        </w:rPr>
        <w:fldChar w:fldCharType="begin"/>
      </w:r>
      <w:r w:rsidRPr="004F5BC1">
        <w:rPr>
          <w:rFonts w:ascii="Times New Roman" w:hAnsi="Times New Roman" w:cs="Times New Roman"/>
          <w:sz w:val="14"/>
          <w:szCs w:val="14"/>
        </w:rPr>
        <w:instrText xml:space="preserve"> SEQ Table \* ARABIC \s 1 </w:instrText>
      </w:r>
      <w:r w:rsidR="00C83251" w:rsidRPr="004F5BC1">
        <w:rPr>
          <w:rFonts w:ascii="Times New Roman" w:hAnsi="Times New Roman" w:cs="Times New Roman"/>
          <w:sz w:val="14"/>
          <w:szCs w:val="14"/>
        </w:rPr>
        <w:fldChar w:fldCharType="separate"/>
      </w:r>
      <w:r w:rsidRPr="004F5BC1">
        <w:rPr>
          <w:rFonts w:ascii="Times New Roman" w:hAnsi="Times New Roman" w:cs="Times New Roman"/>
          <w:sz w:val="14"/>
          <w:szCs w:val="14"/>
        </w:rPr>
        <w:t>5</w:t>
      </w:r>
      <w:r w:rsidR="00C83251" w:rsidRPr="004F5BC1">
        <w:rPr>
          <w:rFonts w:ascii="Times New Roman" w:hAnsi="Times New Roman" w:cs="Times New Roman"/>
          <w:sz w:val="14"/>
          <w:szCs w:val="14"/>
        </w:rPr>
        <w:fldChar w:fldCharType="end"/>
      </w:r>
      <w:r w:rsidRPr="004F5BC1">
        <w:rPr>
          <w:rFonts w:ascii="Times New Roman" w:hAnsi="Times New Roman" w:cs="Times New Roman"/>
          <w:sz w:val="14"/>
          <w:szCs w:val="14"/>
        </w:rPr>
        <w:t>: Research, Innovation and Competitiveness policy measures</w:t>
      </w:r>
      <w:bookmarkEnd w:id="666"/>
    </w:p>
    <w:tbl>
      <w:tblPr>
        <w:tblW w:w="0" w:type="auto"/>
        <w:tblLook w:val="04A0" w:firstRow="1" w:lastRow="0" w:firstColumn="1" w:lastColumn="0" w:noHBand="0" w:noVBand="1"/>
      </w:tblPr>
      <w:tblGrid>
        <w:gridCol w:w="1499"/>
        <w:gridCol w:w="888"/>
        <w:gridCol w:w="4006"/>
        <w:gridCol w:w="912"/>
        <w:gridCol w:w="909"/>
        <w:gridCol w:w="1324"/>
        <w:gridCol w:w="960"/>
        <w:gridCol w:w="860"/>
        <w:gridCol w:w="1370"/>
        <w:gridCol w:w="916"/>
        <w:gridCol w:w="916"/>
      </w:tblGrid>
      <w:tr w:rsidR="00614438" w:rsidRPr="004F5BC1" w14:paraId="61670F34" w14:textId="77777777" w:rsidTr="00614438">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BFBFBF"/>
            <w:vAlign w:val="center"/>
            <w:hideMark/>
          </w:tcPr>
          <w:p w14:paraId="6829A09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Dimension</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200332A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PAM number</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35BAEA1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Name of policy or measure</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5EB246E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Type of measure</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7856AC4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Synergetic effects</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301C585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Implementation Cost (million €)</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4A75EA2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Planned public aid (million €)</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28A3DCB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own Funds (million €)</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315815F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Projections scenario in which the PAM is included</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1B4EFC9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CAPEX WEM (million €)</w:t>
            </w:r>
          </w:p>
        </w:tc>
        <w:tc>
          <w:tcPr>
            <w:tcW w:w="0" w:type="auto"/>
            <w:tcBorders>
              <w:top w:val="single" w:sz="4" w:space="0" w:color="auto"/>
              <w:left w:val="nil"/>
              <w:bottom w:val="single" w:sz="4" w:space="0" w:color="auto"/>
              <w:right w:val="single" w:sz="4" w:space="0" w:color="auto"/>
            </w:tcBorders>
            <w:shd w:val="clear" w:color="auto" w:fill="BFBFBF"/>
            <w:vAlign w:val="center"/>
            <w:hideMark/>
          </w:tcPr>
          <w:p w14:paraId="403C391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CAPEX WAM (million €)</w:t>
            </w:r>
          </w:p>
        </w:tc>
      </w:tr>
      <w:tr w:rsidR="00614438" w:rsidRPr="004F5BC1" w14:paraId="039AE8B2" w14:textId="77777777" w:rsidTr="00614438">
        <w:trPr>
          <w:trHeight w:val="20"/>
        </w:trPr>
        <w:tc>
          <w:tcPr>
            <w:tcW w:w="0" w:type="auto"/>
            <w:vMerge w:val="restart"/>
            <w:tcBorders>
              <w:top w:val="nil"/>
              <w:left w:val="single" w:sz="4" w:space="0" w:color="auto"/>
              <w:bottom w:val="single" w:sz="2" w:space="0" w:color="auto"/>
              <w:right w:val="single" w:sz="4" w:space="0" w:color="auto"/>
            </w:tcBorders>
            <w:shd w:val="clear" w:color="auto" w:fill="BFBFBF"/>
            <w:vAlign w:val="center"/>
            <w:hideMark/>
          </w:tcPr>
          <w:p w14:paraId="49BF34A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Research, Innovation and Competitiveness</w:t>
            </w:r>
          </w:p>
        </w:tc>
        <w:tc>
          <w:tcPr>
            <w:tcW w:w="0" w:type="auto"/>
            <w:tcBorders>
              <w:top w:val="nil"/>
              <w:left w:val="nil"/>
              <w:bottom w:val="single" w:sz="4" w:space="0" w:color="auto"/>
              <w:right w:val="single" w:sz="4" w:space="0" w:color="auto"/>
            </w:tcBorders>
            <w:vAlign w:val="center"/>
            <w:hideMark/>
          </w:tcPr>
          <w:p w14:paraId="4753C0A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PM_RIC1</w:t>
            </w:r>
          </w:p>
        </w:tc>
        <w:tc>
          <w:tcPr>
            <w:tcW w:w="0" w:type="auto"/>
            <w:tcBorders>
              <w:top w:val="nil"/>
              <w:left w:val="nil"/>
              <w:bottom w:val="single" w:sz="4" w:space="0" w:color="auto"/>
              <w:right w:val="single" w:sz="4" w:space="0" w:color="auto"/>
            </w:tcBorders>
            <w:vAlign w:val="center"/>
            <w:hideMark/>
          </w:tcPr>
          <w:p w14:paraId="7313E77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Enhancement of the legal framework to encourage Research and Innovation</w:t>
            </w:r>
          </w:p>
        </w:tc>
        <w:tc>
          <w:tcPr>
            <w:tcW w:w="0" w:type="auto"/>
            <w:tcBorders>
              <w:top w:val="nil"/>
              <w:left w:val="nil"/>
              <w:bottom w:val="single" w:sz="4" w:space="0" w:color="auto"/>
              <w:right w:val="single" w:sz="4" w:space="0" w:color="auto"/>
            </w:tcBorders>
            <w:vAlign w:val="center"/>
            <w:hideMark/>
          </w:tcPr>
          <w:p w14:paraId="5DA4B88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1347A7F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3F02E2C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0.10</w:t>
            </w:r>
          </w:p>
        </w:tc>
        <w:tc>
          <w:tcPr>
            <w:tcW w:w="0" w:type="auto"/>
            <w:tcBorders>
              <w:top w:val="nil"/>
              <w:left w:val="nil"/>
              <w:bottom w:val="single" w:sz="4" w:space="0" w:color="auto"/>
              <w:right w:val="single" w:sz="4" w:space="0" w:color="auto"/>
            </w:tcBorders>
            <w:shd w:val="clear" w:color="auto" w:fill="E2EFDA"/>
            <w:vAlign w:val="center"/>
            <w:hideMark/>
          </w:tcPr>
          <w:p w14:paraId="6CC1D8E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0.10</w:t>
            </w:r>
          </w:p>
        </w:tc>
        <w:tc>
          <w:tcPr>
            <w:tcW w:w="0" w:type="auto"/>
            <w:tcBorders>
              <w:top w:val="nil"/>
              <w:left w:val="nil"/>
              <w:bottom w:val="single" w:sz="4" w:space="0" w:color="auto"/>
              <w:right w:val="single" w:sz="4" w:space="0" w:color="auto"/>
            </w:tcBorders>
            <w:shd w:val="clear" w:color="auto" w:fill="E2EFDA"/>
            <w:vAlign w:val="center"/>
            <w:hideMark/>
          </w:tcPr>
          <w:p w14:paraId="63AB317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3995A5B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D7D31"/>
            <w:vAlign w:val="center"/>
            <w:hideMark/>
          </w:tcPr>
          <w:p w14:paraId="3D03C84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0.10</w:t>
            </w:r>
          </w:p>
        </w:tc>
        <w:tc>
          <w:tcPr>
            <w:tcW w:w="0" w:type="auto"/>
            <w:tcBorders>
              <w:top w:val="nil"/>
              <w:left w:val="nil"/>
              <w:bottom w:val="single" w:sz="4" w:space="0" w:color="auto"/>
              <w:right w:val="single" w:sz="4" w:space="0" w:color="auto"/>
            </w:tcBorders>
            <w:shd w:val="clear" w:color="auto" w:fill="ED7D31"/>
            <w:vAlign w:val="center"/>
            <w:hideMark/>
          </w:tcPr>
          <w:p w14:paraId="55283C3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1E4B0061" w14:textId="77777777" w:rsidTr="00614438">
        <w:trPr>
          <w:trHeight w:val="20"/>
        </w:trPr>
        <w:tc>
          <w:tcPr>
            <w:tcW w:w="0" w:type="auto"/>
            <w:vMerge/>
            <w:tcBorders>
              <w:top w:val="nil"/>
              <w:left w:val="single" w:sz="4" w:space="0" w:color="auto"/>
              <w:bottom w:val="single" w:sz="2" w:space="0" w:color="auto"/>
              <w:right w:val="single" w:sz="4" w:space="0" w:color="auto"/>
            </w:tcBorders>
            <w:vAlign w:val="center"/>
            <w:hideMark/>
          </w:tcPr>
          <w:p w14:paraId="68DD988D"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183259A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PM_RIC2</w:t>
            </w:r>
          </w:p>
        </w:tc>
        <w:tc>
          <w:tcPr>
            <w:tcW w:w="0" w:type="auto"/>
            <w:tcBorders>
              <w:top w:val="nil"/>
              <w:left w:val="nil"/>
              <w:bottom w:val="single" w:sz="4" w:space="0" w:color="auto"/>
              <w:right w:val="single" w:sz="4" w:space="0" w:color="auto"/>
            </w:tcBorders>
            <w:vAlign w:val="center"/>
            <w:hideMark/>
          </w:tcPr>
          <w:p w14:paraId="5EA61BE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Establishment of a Joint State Aid Action on Research and Innovation in the field of Εnergy</w:t>
            </w:r>
          </w:p>
        </w:tc>
        <w:tc>
          <w:tcPr>
            <w:tcW w:w="0" w:type="auto"/>
            <w:tcBorders>
              <w:top w:val="nil"/>
              <w:left w:val="nil"/>
              <w:bottom w:val="single" w:sz="4" w:space="0" w:color="auto"/>
              <w:right w:val="single" w:sz="4" w:space="0" w:color="auto"/>
            </w:tcBorders>
            <w:vAlign w:val="center"/>
            <w:hideMark/>
          </w:tcPr>
          <w:p w14:paraId="25887A2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7FC2135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536CB1C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2.70</w:t>
            </w:r>
          </w:p>
        </w:tc>
        <w:tc>
          <w:tcPr>
            <w:tcW w:w="0" w:type="auto"/>
            <w:tcBorders>
              <w:top w:val="nil"/>
              <w:left w:val="nil"/>
              <w:bottom w:val="single" w:sz="4" w:space="0" w:color="auto"/>
              <w:right w:val="single" w:sz="4" w:space="0" w:color="auto"/>
            </w:tcBorders>
            <w:shd w:val="clear" w:color="auto" w:fill="ED7D31"/>
            <w:vAlign w:val="center"/>
            <w:hideMark/>
          </w:tcPr>
          <w:p w14:paraId="0BED93C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2.70</w:t>
            </w:r>
          </w:p>
        </w:tc>
        <w:tc>
          <w:tcPr>
            <w:tcW w:w="0" w:type="auto"/>
            <w:tcBorders>
              <w:top w:val="nil"/>
              <w:left w:val="nil"/>
              <w:bottom w:val="single" w:sz="4" w:space="0" w:color="auto"/>
              <w:right w:val="single" w:sz="4" w:space="0" w:color="auto"/>
            </w:tcBorders>
            <w:shd w:val="clear" w:color="auto" w:fill="ED7D31"/>
            <w:vAlign w:val="center"/>
            <w:hideMark/>
          </w:tcPr>
          <w:p w14:paraId="344B541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48E600E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D7D31"/>
            <w:vAlign w:val="center"/>
            <w:hideMark/>
          </w:tcPr>
          <w:p w14:paraId="3ABD4BC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2.70</w:t>
            </w:r>
          </w:p>
        </w:tc>
        <w:tc>
          <w:tcPr>
            <w:tcW w:w="0" w:type="auto"/>
            <w:tcBorders>
              <w:top w:val="nil"/>
              <w:left w:val="nil"/>
              <w:bottom w:val="single" w:sz="4" w:space="0" w:color="auto"/>
              <w:right w:val="single" w:sz="4" w:space="0" w:color="auto"/>
            </w:tcBorders>
            <w:shd w:val="clear" w:color="auto" w:fill="ED7D31"/>
            <w:vAlign w:val="center"/>
            <w:hideMark/>
          </w:tcPr>
          <w:p w14:paraId="0B10CB1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75016184" w14:textId="77777777" w:rsidTr="00614438">
        <w:trPr>
          <w:trHeight w:val="20"/>
        </w:trPr>
        <w:tc>
          <w:tcPr>
            <w:tcW w:w="0" w:type="auto"/>
            <w:vMerge/>
            <w:tcBorders>
              <w:top w:val="nil"/>
              <w:left w:val="single" w:sz="4" w:space="0" w:color="auto"/>
              <w:bottom w:val="single" w:sz="2" w:space="0" w:color="auto"/>
              <w:right w:val="single" w:sz="4" w:space="0" w:color="auto"/>
            </w:tcBorders>
            <w:vAlign w:val="center"/>
            <w:hideMark/>
          </w:tcPr>
          <w:p w14:paraId="3E5A3B5E"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26A44C7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PM_RIC3</w:t>
            </w:r>
          </w:p>
        </w:tc>
        <w:tc>
          <w:tcPr>
            <w:tcW w:w="0" w:type="auto"/>
            <w:tcBorders>
              <w:top w:val="nil"/>
              <w:left w:val="nil"/>
              <w:bottom w:val="single" w:sz="4" w:space="0" w:color="auto"/>
              <w:right w:val="single" w:sz="4" w:space="0" w:color="auto"/>
            </w:tcBorders>
            <w:vAlign w:val="center"/>
            <w:hideMark/>
          </w:tcPr>
          <w:p w14:paraId="0816E187" w14:textId="67DC4E58"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Establishment of a Multiannual Investment Plan for the strengthening of R&amp;</w:t>
            </w:r>
            <w:r w:rsidR="005C4076" w:rsidRPr="004F5BC1">
              <w:rPr>
                <w:rFonts w:ascii="Times New Roman" w:hAnsi="Times New Roman" w:cs="Times New Roman"/>
                <w:sz w:val="14"/>
                <w:szCs w:val="14"/>
                <w:lang w:val="en-GB"/>
              </w:rPr>
              <w:t>D</w:t>
            </w:r>
            <w:r w:rsidRPr="004F5BC1">
              <w:rPr>
                <w:rFonts w:ascii="Times New Roman" w:hAnsi="Times New Roman" w:cs="Times New Roman"/>
                <w:sz w:val="14"/>
                <w:szCs w:val="14"/>
                <w:lang w:val="en-GB"/>
              </w:rPr>
              <w:t xml:space="preserve"> infrastructures</w:t>
            </w:r>
          </w:p>
        </w:tc>
        <w:tc>
          <w:tcPr>
            <w:tcW w:w="0" w:type="auto"/>
            <w:tcBorders>
              <w:top w:val="nil"/>
              <w:left w:val="nil"/>
              <w:bottom w:val="single" w:sz="4" w:space="0" w:color="auto"/>
              <w:right w:val="single" w:sz="4" w:space="0" w:color="auto"/>
            </w:tcBorders>
            <w:vAlign w:val="center"/>
            <w:hideMark/>
          </w:tcPr>
          <w:p w14:paraId="70D6BF8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797E5C7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7FADDA2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0.10</w:t>
            </w:r>
          </w:p>
        </w:tc>
        <w:tc>
          <w:tcPr>
            <w:tcW w:w="0" w:type="auto"/>
            <w:tcBorders>
              <w:top w:val="nil"/>
              <w:left w:val="nil"/>
              <w:bottom w:val="single" w:sz="4" w:space="0" w:color="auto"/>
              <w:right w:val="single" w:sz="4" w:space="0" w:color="auto"/>
            </w:tcBorders>
            <w:shd w:val="clear" w:color="auto" w:fill="E2EFDA"/>
            <w:vAlign w:val="center"/>
            <w:hideMark/>
          </w:tcPr>
          <w:p w14:paraId="4B98034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0.10</w:t>
            </w:r>
          </w:p>
        </w:tc>
        <w:tc>
          <w:tcPr>
            <w:tcW w:w="0" w:type="auto"/>
            <w:tcBorders>
              <w:top w:val="nil"/>
              <w:left w:val="nil"/>
              <w:bottom w:val="single" w:sz="4" w:space="0" w:color="auto"/>
              <w:right w:val="single" w:sz="4" w:space="0" w:color="auto"/>
            </w:tcBorders>
            <w:shd w:val="clear" w:color="auto" w:fill="E2EFDA"/>
            <w:vAlign w:val="center"/>
            <w:hideMark/>
          </w:tcPr>
          <w:p w14:paraId="21C2C2A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47B1CD1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D7D31"/>
            <w:vAlign w:val="center"/>
            <w:hideMark/>
          </w:tcPr>
          <w:p w14:paraId="0B16D2F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0.10</w:t>
            </w:r>
          </w:p>
        </w:tc>
        <w:tc>
          <w:tcPr>
            <w:tcW w:w="0" w:type="auto"/>
            <w:tcBorders>
              <w:top w:val="nil"/>
              <w:left w:val="nil"/>
              <w:bottom w:val="single" w:sz="4" w:space="0" w:color="auto"/>
              <w:right w:val="single" w:sz="4" w:space="0" w:color="auto"/>
            </w:tcBorders>
            <w:shd w:val="clear" w:color="auto" w:fill="ED7D31"/>
            <w:vAlign w:val="center"/>
            <w:hideMark/>
          </w:tcPr>
          <w:p w14:paraId="05A70F4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6D24FBA0" w14:textId="77777777" w:rsidTr="00614438">
        <w:trPr>
          <w:trHeight w:val="20"/>
        </w:trPr>
        <w:tc>
          <w:tcPr>
            <w:tcW w:w="0" w:type="auto"/>
            <w:vMerge/>
            <w:tcBorders>
              <w:top w:val="nil"/>
              <w:left w:val="single" w:sz="4" w:space="0" w:color="auto"/>
              <w:bottom w:val="single" w:sz="2" w:space="0" w:color="auto"/>
              <w:right w:val="single" w:sz="4" w:space="0" w:color="auto"/>
            </w:tcBorders>
            <w:vAlign w:val="center"/>
            <w:hideMark/>
          </w:tcPr>
          <w:p w14:paraId="5106FF89"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14860AE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PM_RIC4</w:t>
            </w:r>
          </w:p>
        </w:tc>
        <w:tc>
          <w:tcPr>
            <w:tcW w:w="0" w:type="auto"/>
            <w:tcBorders>
              <w:top w:val="nil"/>
              <w:left w:val="nil"/>
              <w:bottom w:val="single" w:sz="4" w:space="0" w:color="auto"/>
              <w:right w:val="single" w:sz="4" w:space="0" w:color="auto"/>
            </w:tcBorders>
            <w:vAlign w:val="center"/>
            <w:hideMark/>
          </w:tcPr>
          <w:p w14:paraId="755D1B7A" w14:textId="35F08994"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Integration of Serbia into the European Research Area and enhanced participation in EU’s funded Energy R&amp;</w:t>
            </w:r>
            <w:r w:rsidR="005C4076" w:rsidRPr="004F5BC1">
              <w:rPr>
                <w:rFonts w:ascii="Times New Roman" w:hAnsi="Times New Roman" w:cs="Times New Roman"/>
                <w:sz w:val="14"/>
                <w:szCs w:val="14"/>
                <w:lang w:val="en-GB"/>
              </w:rPr>
              <w:t>D</w:t>
            </w:r>
            <w:r w:rsidRPr="004F5BC1">
              <w:rPr>
                <w:rFonts w:ascii="Times New Roman" w:hAnsi="Times New Roman" w:cs="Times New Roman"/>
                <w:sz w:val="14"/>
                <w:szCs w:val="14"/>
                <w:lang w:val="en-GB"/>
              </w:rPr>
              <w:t xml:space="preserve"> Programs </w:t>
            </w:r>
          </w:p>
        </w:tc>
        <w:tc>
          <w:tcPr>
            <w:tcW w:w="0" w:type="auto"/>
            <w:tcBorders>
              <w:top w:val="nil"/>
              <w:left w:val="nil"/>
              <w:bottom w:val="single" w:sz="4" w:space="0" w:color="auto"/>
              <w:right w:val="single" w:sz="4" w:space="0" w:color="auto"/>
            </w:tcBorders>
            <w:vAlign w:val="center"/>
            <w:hideMark/>
          </w:tcPr>
          <w:p w14:paraId="0FF4162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220383C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7BE260E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0.10</w:t>
            </w:r>
          </w:p>
        </w:tc>
        <w:tc>
          <w:tcPr>
            <w:tcW w:w="0" w:type="auto"/>
            <w:tcBorders>
              <w:top w:val="nil"/>
              <w:left w:val="nil"/>
              <w:bottom w:val="single" w:sz="4" w:space="0" w:color="auto"/>
              <w:right w:val="single" w:sz="4" w:space="0" w:color="auto"/>
            </w:tcBorders>
            <w:shd w:val="clear" w:color="auto" w:fill="E2EFDA"/>
            <w:vAlign w:val="center"/>
            <w:hideMark/>
          </w:tcPr>
          <w:p w14:paraId="36AD277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0.10</w:t>
            </w:r>
          </w:p>
        </w:tc>
        <w:tc>
          <w:tcPr>
            <w:tcW w:w="0" w:type="auto"/>
            <w:tcBorders>
              <w:top w:val="nil"/>
              <w:left w:val="nil"/>
              <w:bottom w:val="single" w:sz="4" w:space="0" w:color="auto"/>
              <w:right w:val="single" w:sz="4" w:space="0" w:color="auto"/>
            </w:tcBorders>
            <w:shd w:val="clear" w:color="auto" w:fill="E2EFDA"/>
            <w:vAlign w:val="center"/>
            <w:hideMark/>
          </w:tcPr>
          <w:p w14:paraId="2BCF98B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562326F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D7D31"/>
            <w:vAlign w:val="center"/>
            <w:hideMark/>
          </w:tcPr>
          <w:p w14:paraId="1D9B5E5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0.10</w:t>
            </w:r>
          </w:p>
        </w:tc>
        <w:tc>
          <w:tcPr>
            <w:tcW w:w="0" w:type="auto"/>
            <w:tcBorders>
              <w:top w:val="nil"/>
              <w:left w:val="nil"/>
              <w:bottom w:val="single" w:sz="4" w:space="0" w:color="auto"/>
              <w:right w:val="single" w:sz="4" w:space="0" w:color="auto"/>
            </w:tcBorders>
            <w:shd w:val="clear" w:color="auto" w:fill="ED7D31"/>
            <w:vAlign w:val="center"/>
            <w:hideMark/>
          </w:tcPr>
          <w:p w14:paraId="6C7F5D2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11C2EF86" w14:textId="77777777" w:rsidTr="00614438">
        <w:trPr>
          <w:trHeight w:val="20"/>
        </w:trPr>
        <w:tc>
          <w:tcPr>
            <w:tcW w:w="0" w:type="auto"/>
            <w:vMerge/>
            <w:tcBorders>
              <w:top w:val="nil"/>
              <w:left w:val="single" w:sz="4" w:space="0" w:color="auto"/>
              <w:bottom w:val="single" w:sz="2" w:space="0" w:color="auto"/>
              <w:right w:val="single" w:sz="4" w:space="0" w:color="auto"/>
            </w:tcBorders>
            <w:vAlign w:val="center"/>
            <w:hideMark/>
          </w:tcPr>
          <w:p w14:paraId="3ED62954"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38FC4D4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PM_RIC5</w:t>
            </w:r>
          </w:p>
        </w:tc>
        <w:tc>
          <w:tcPr>
            <w:tcW w:w="0" w:type="auto"/>
            <w:tcBorders>
              <w:top w:val="nil"/>
              <w:left w:val="nil"/>
              <w:bottom w:val="single" w:sz="4" w:space="0" w:color="auto"/>
              <w:right w:val="single" w:sz="4" w:space="0" w:color="auto"/>
            </w:tcBorders>
            <w:vAlign w:val="center"/>
            <w:hideMark/>
          </w:tcPr>
          <w:p w14:paraId="422CE3B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Development of Innovation Hubs / Clusters, Start-ups, Spin-offs/Spin-outs</w:t>
            </w:r>
          </w:p>
        </w:tc>
        <w:tc>
          <w:tcPr>
            <w:tcW w:w="0" w:type="auto"/>
            <w:tcBorders>
              <w:top w:val="nil"/>
              <w:left w:val="nil"/>
              <w:bottom w:val="single" w:sz="4" w:space="0" w:color="auto"/>
              <w:right w:val="single" w:sz="4" w:space="0" w:color="auto"/>
            </w:tcBorders>
            <w:vAlign w:val="center"/>
            <w:hideMark/>
          </w:tcPr>
          <w:p w14:paraId="4F28142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4F99287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41B2BF2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5.40</w:t>
            </w:r>
          </w:p>
        </w:tc>
        <w:tc>
          <w:tcPr>
            <w:tcW w:w="0" w:type="auto"/>
            <w:tcBorders>
              <w:top w:val="nil"/>
              <w:left w:val="nil"/>
              <w:bottom w:val="single" w:sz="4" w:space="0" w:color="auto"/>
              <w:right w:val="single" w:sz="4" w:space="0" w:color="auto"/>
            </w:tcBorders>
            <w:shd w:val="clear" w:color="auto" w:fill="ED7D31"/>
            <w:vAlign w:val="center"/>
            <w:hideMark/>
          </w:tcPr>
          <w:p w14:paraId="015B945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2.70</w:t>
            </w:r>
          </w:p>
        </w:tc>
        <w:tc>
          <w:tcPr>
            <w:tcW w:w="0" w:type="auto"/>
            <w:tcBorders>
              <w:top w:val="nil"/>
              <w:left w:val="nil"/>
              <w:bottom w:val="single" w:sz="4" w:space="0" w:color="auto"/>
              <w:right w:val="single" w:sz="4" w:space="0" w:color="auto"/>
            </w:tcBorders>
            <w:shd w:val="clear" w:color="auto" w:fill="ED7D31"/>
            <w:vAlign w:val="center"/>
            <w:hideMark/>
          </w:tcPr>
          <w:p w14:paraId="31573D7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2.70</w:t>
            </w:r>
          </w:p>
        </w:tc>
        <w:tc>
          <w:tcPr>
            <w:tcW w:w="0" w:type="auto"/>
            <w:tcBorders>
              <w:top w:val="nil"/>
              <w:left w:val="nil"/>
              <w:bottom w:val="single" w:sz="4" w:space="0" w:color="auto"/>
              <w:right w:val="single" w:sz="4" w:space="0" w:color="auto"/>
            </w:tcBorders>
            <w:shd w:val="clear" w:color="auto" w:fill="ED7D31"/>
            <w:vAlign w:val="center"/>
            <w:hideMark/>
          </w:tcPr>
          <w:p w14:paraId="7ADD4F2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D7D31"/>
            <w:vAlign w:val="center"/>
            <w:hideMark/>
          </w:tcPr>
          <w:p w14:paraId="173353F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5.40</w:t>
            </w:r>
          </w:p>
        </w:tc>
        <w:tc>
          <w:tcPr>
            <w:tcW w:w="0" w:type="auto"/>
            <w:tcBorders>
              <w:top w:val="nil"/>
              <w:left w:val="nil"/>
              <w:bottom w:val="single" w:sz="4" w:space="0" w:color="auto"/>
              <w:right w:val="single" w:sz="4" w:space="0" w:color="auto"/>
            </w:tcBorders>
            <w:shd w:val="clear" w:color="auto" w:fill="ED7D31"/>
            <w:vAlign w:val="center"/>
            <w:hideMark/>
          </w:tcPr>
          <w:p w14:paraId="272A030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76D17358" w14:textId="77777777" w:rsidTr="00614438">
        <w:trPr>
          <w:trHeight w:val="20"/>
        </w:trPr>
        <w:tc>
          <w:tcPr>
            <w:tcW w:w="0" w:type="auto"/>
            <w:vMerge/>
            <w:tcBorders>
              <w:top w:val="nil"/>
              <w:left w:val="single" w:sz="4" w:space="0" w:color="auto"/>
              <w:bottom w:val="single" w:sz="2" w:space="0" w:color="auto"/>
              <w:right w:val="single" w:sz="4" w:space="0" w:color="auto"/>
            </w:tcBorders>
            <w:vAlign w:val="center"/>
            <w:hideMark/>
          </w:tcPr>
          <w:p w14:paraId="7E6BA232"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023A530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PM_RIC6</w:t>
            </w:r>
          </w:p>
        </w:tc>
        <w:tc>
          <w:tcPr>
            <w:tcW w:w="0" w:type="auto"/>
            <w:tcBorders>
              <w:top w:val="nil"/>
              <w:left w:val="nil"/>
              <w:bottom w:val="single" w:sz="4" w:space="0" w:color="auto"/>
              <w:right w:val="single" w:sz="4" w:space="0" w:color="auto"/>
            </w:tcBorders>
            <w:vAlign w:val="center"/>
            <w:hideMark/>
          </w:tcPr>
          <w:p w14:paraId="1290C90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Development of specialised Competence Centers</w:t>
            </w:r>
          </w:p>
        </w:tc>
        <w:tc>
          <w:tcPr>
            <w:tcW w:w="0" w:type="auto"/>
            <w:tcBorders>
              <w:top w:val="nil"/>
              <w:left w:val="nil"/>
              <w:bottom w:val="single" w:sz="4" w:space="0" w:color="auto"/>
              <w:right w:val="single" w:sz="4" w:space="0" w:color="auto"/>
            </w:tcBorders>
            <w:vAlign w:val="center"/>
            <w:hideMark/>
          </w:tcPr>
          <w:p w14:paraId="577BF67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49AA3E0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231B028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3.60</w:t>
            </w:r>
          </w:p>
        </w:tc>
        <w:tc>
          <w:tcPr>
            <w:tcW w:w="0" w:type="auto"/>
            <w:tcBorders>
              <w:top w:val="nil"/>
              <w:left w:val="nil"/>
              <w:bottom w:val="single" w:sz="4" w:space="0" w:color="auto"/>
              <w:right w:val="single" w:sz="4" w:space="0" w:color="auto"/>
            </w:tcBorders>
            <w:shd w:val="clear" w:color="auto" w:fill="ED7D31"/>
            <w:vAlign w:val="center"/>
            <w:hideMark/>
          </w:tcPr>
          <w:p w14:paraId="5E3D3A1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1.80</w:t>
            </w:r>
          </w:p>
        </w:tc>
        <w:tc>
          <w:tcPr>
            <w:tcW w:w="0" w:type="auto"/>
            <w:tcBorders>
              <w:top w:val="nil"/>
              <w:left w:val="nil"/>
              <w:bottom w:val="single" w:sz="4" w:space="0" w:color="auto"/>
              <w:right w:val="single" w:sz="4" w:space="0" w:color="auto"/>
            </w:tcBorders>
            <w:shd w:val="clear" w:color="auto" w:fill="ED7D31"/>
            <w:vAlign w:val="center"/>
            <w:hideMark/>
          </w:tcPr>
          <w:p w14:paraId="6DEAECB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1.80</w:t>
            </w:r>
          </w:p>
        </w:tc>
        <w:tc>
          <w:tcPr>
            <w:tcW w:w="0" w:type="auto"/>
            <w:tcBorders>
              <w:top w:val="nil"/>
              <w:left w:val="nil"/>
              <w:bottom w:val="single" w:sz="4" w:space="0" w:color="auto"/>
              <w:right w:val="single" w:sz="4" w:space="0" w:color="auto"/>
            </w:tcBorders>
            <w:shd w:val="clear" w:color="auto" w:fill="ED7D31"/>
            <w:vAlign w:val="center"/>
            <w:hideMark/>
          </w:tcPr>
          <w:p w14:paraId="6887BFD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D7D31"/>
            <w:vAlign w:val="center"/>
            <w:hideMark/>
          </w:tcPr>
          <w:p w14:paraId="3AD8282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3.60</w:t>
            </w:r>
          </w:p>
        </w:tc>
        <w:tc>
          <w:tcPr>
            <w:tcW w:w="0" w:type="auto"/>
            <w:tcBorders>
              <w:top w:val="nil"/>
              <w:left w:val="nil"/>
              <w:bottom w:val="single" w:sz="4" w:space="0" w:color="auto"/>
              <w:right w:val="single" w:sz="4" w:space="0" w:color="auto"/>
            </w:tcBorders>
            <w:shd w:val="clear" w:color="auto" w:fill="ED7D31"/>
            <w:vAlign w:val="center"/>
            <w:hideMark/>
          </w:tcPr>
          <w:p w14:paraId="118A043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5967E2A0" w14:textId="77777777" w:rsidTr="00614438">
        <w:trPr>
          <w:trHeight w:val="20"/>
        </w:trPr>
        <w:tc>
          <w:tcPr>
            <w:tcW w:w="0" w:type="auto"/>
            <w:vMerge/>
            <w:tcBorders>
              <w:top w:val="nil"/>
              <w:left w:val="single" w:sz="4" w:space="0" w:color="auto"/>
              <w:bottom w:val="single" w:sz="2" w:space="0" w:color="auto"/>
              <w:right w:val="single" w:sz="4" w:space="0" w:color="auto"/>
            </w:tcBorders>
            <w:vAlign w:val="center"/>
            <w:hideMark/>
          </w:tcPr>
          <w:p w14:paraId="5C42F958"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106480E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PM_RIC7</w:t>
            </w:r>
          </w:p>
        </w:tc>
        <w:tc>
          <w:tcPr>
            <w:tcW w:w="0" w:type="auto"/>
            <w:tcBorders>
              <w:top w:val="nil"/>
              <w:left w:val="nil"/>
              <w:bottom w:val="single" w:sz="4" w:space="0" w:color="auto"/>
              <w:right w:val="single" w:sz="4" w:space="0" w:color="auto"/>
            </w:tcBorders>
            <w:vAlign w:val="center"/>
            <w:hideMark/>
          </w:tcPr>
          <w:p w14:paraId="7AB2193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Facilitation of the establishment of regional centres of research excellence</w:t>
            </w:r>
          </w:p>
        </w:tc>
        <w:tc>
          <w:tcPr>
            <w:tcW w:w="0" w:type="auto"/>
            <w:tcBorders>
              <w:top w:val="nil"/>
              <w:left w:val="nil"/>
              <w:bottom w:val="single" w:sz="4" w:space="0" w:color="auto"/>
              <w:right w:val="single" w:sz="4" w:space="0" w:color="auto"/>
            </w:tcBorders>
            <w:vAlign w:val="center"/>
            <w:hideMark/>
          </w:tcPr>
          <w:p w14:paraId="1D7F855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402B336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545F8CE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3.40</w:t>
            </w:r>
          </w:p>
        </w:tc>
        <w:tc>
          <w:tcPr>
            <w:tcW w:w="0" w:type="auto"/>
            <w:tcBorders>
              <w:top w:val="nil"/>
              <w:left w:val="nil"/>
              <w:bottom w:val="single" w:sz="4" w:space="0" w:color="auto"/>
              <w:right w:val="single" w:sz="4" w:space="0" w:color="auto"/>
            </w:tcBorders>
            <w:shd w:val="clear" w:color="auto" w:fill="ED7D31"/>
            <w:vAlign w:val="center"/>
            <w:hideMark/>
          </w:tcPr>
          <w:p w14:paraId="70AD19E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1.70</w:t>
            </w:r>
          </w:p>
        </w:tc>
        <w:tc>
          <w:tcPr>
            <w:tcW w:w="0" w:type="auto"/>
            <w:tcBorders>
              <w:top w:val="nil"/>
              <w:left w:val="nil"/>
              <w:bottom w:val="single" w:sz="4" w:space="0" w:color="auto"/>
              <w:right w:val="single" w:sz="4" w:space="0" w:color="auto"/>
            </w:tcBorders>
            <w:shd w:val="clear" w:color="auto" w:fill="ED7D31"/>
            <w:vAlign w:val="center"/>
            <w:hideMark/>
          </w:tcPr>
          <w:p w14:paraId="3BC7EEF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1.70</w:t>
            </w:r>
          </w:p>
        </w:tc>
        <w:tc>
          <w:tcPr>
            <w:tcW w:w="0" w:type="auto"/>
            <w:tcBorders>
              <w:top w:val="nil"/>
              <w:left w:val="nil"/>
              <w:bottom w:val="single" w:sz="4" w:space="0" w:color="auto"/>
              <w:right w:val="single" w:sz="4" w:space="0" w:color="auto"/>
            </w:tcBorders>
            <w:shd w:val="clear" w:color="auto" w:fill="ED7D31"/>
            <w:vAlign w:val="center"/>
            <w:hideMark/>
          </w:tcPr>
          <w:p w14:paraId="002836C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D7D31"/>
            <w:vAlign w:val="center"/>
            <w:hideMark/>
          </w:tcPr>
          <w:p w14:paraId="21C9519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3.40</w:t>
            </w:r>
          </w:p>
        </w:tc>
        <w:tc>
          <w:tcPr>
            <w:tcW w:w="0" w:type="auto"/>
            <w:tcBorders>
              <w:top w:val="nil"/>
              <w:left w:val="nil"/>
              <w:bottom w:val="single" w:sz="4" w:space="0" w:color="auto"/>
              <w:right w:val="single" w:sz="4" w:space="0" w:color="auto"/>
            </w:tcBorders>
            <w:shd w:val="clear" w:color="auto" w:fill="ED7D31"/>
            <w:vAlign w:val="center"/>
            <w:hideMark/>
          </w:tcPr>
          <w:p w14:paraId="434C190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5A524CAF" w14:textId="77777777" w:rsidTr="00614438">
        <w:trPr>
          <w:trHeight w:val="20"/>
        </w:trPr>
        <w:tc>
          <w:tcPr>
            <w:tcW w:w="0" w:type="auto"/>
            <w:vMerge/>
            <w:tcBorders>
              <w:top w:val="nil"/>
              <w:left w:val="single" w:sz="4" w:space="0" w:color="auto"/>
              <w:bottom w:val="single" w:sz="2" w:space="0" w:color="auto"/>
              <w:right w:val="single" w:sz="4" w:space="0" w:color="auto"/>
            </w:tcBorders>
            <w:vAlign w:val="center"/>
            <w:hideMark/>
          </w:tcPr>
          <w:p w14:paraId="016DF4DD"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7257628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PM_RIC8</w:t>
            </w:r>
          </w:p>
        </w:tc>
        <w:tc>
          <w:tcPr>
            <w:tcW w:w="0" w:type="auto"/>
            <w:tcBorders>
              <w:top w:val="nil"/>
              <w:left w:val="nil"/>
              <w:bottom w:val="single" w:sz="4" w:space="0" w:color="auto"/>
              <w:right w:val="single" w:sz="4" w:space="0" w:color="auto"/>
            </w:tcBorders>
            <w:vAlign w:val="center"/>
            <w:hideMark/>
          </w:tcPr>
          <w:p w14:paraId="1D6ACCC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Establishment and networking of Technology Transfer Offices of research organisations / institutes and Science Technology Parks</w:t>
            </w:r>
          </w:p>
        </w:tc>
        <w:tc>
          <w:tcPr>
            <w:tcW w:w="0" w:type="auto"/>
            <w:tcBorders>
              <w:top w:val="nil"/>
              <w:left w:val="nil"/>
              <w:bottom w:val="single" w:sz="4" w:space="0" w:color="auto"/>
              <w:right w:val="single" w:sz="4" w:space="0" w:color="auto"/>
            </w:tcBorders>
            <w:vAlign w:val="center"/>
            <w:hideMark/>
          </w:tcPr>
          <w:p w14:paraId="253DB7B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4BBCE84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2926CF1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15.30</w:t>
            </w:r>
          </w:p>
        </w:tc>
        <w:tc>
          <w:tcPr>
            <w:tcW w:w="0" w:type="auto"/>
            <w:tcBorders>
              <w:top w:val="nil"/>
              <w:left w:val="nil"/>
              <w:bottom w:val="single" w:sz="4" w:space="0" w:color="auto"/>
              <w:right w:val="single" w:sz="4" w:space="0" w:color="auto"/>
            </w:tcBorders>
            <w:shd w:val="clear" w:color="auto" w:fill="ED7D31"/>
            <w:vAlign w:val="center"/>
            <w:hideMark/>
          </w:tcPr>
          <w:p w14:paraId="50E4930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7.65</w:t>
            </w:r>
          </w:p>
        </w:tc>
        <w:tc>
          <w:tcPr>
            <w:tcW w:w="0" w:type="auto"/>
            <w:tcBorders>
              <w:top w:val="nil"/>
              <w:left w:val="nil"/>
              <w:bottom w:val="single" w:sz="4" w:space="0" w:color="auto"/>
              <w:right w:val="single" w:sz="4" w:space="0" w:color="auto"/>
            </w:tcBorders>
            <w:shd w:val="clear" w:color="auto" w:fill="ED7D31"/>
            <w:vAlign w:val="center"/>
            <w:hideMark/>
          </w:tcPr>
          <w:p w14:paraId="6BE876C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7.65</w:t>
            </w:r>
          </w:p>
        </w:tc>
        <w:tc>
          <w:tcPr>
            <w:tcW w:w="0" w:type="auto"/>
            <w:tcBorders>
              <w:top w:val="nil"/>
              <w:left w:val="nil"/>
              <w:bottom w:val="single" w:sz="4" w:space="0" w:color="auto"/>
              <w:right w:val="single" w:sz="4" w:space="0" w:color="auto"/>
            </w:tcBorders>
            <w:shd w:val="clear" w:color="auto" w:fill="ED7D31"/>
            <w:vAlign w:val="center"/>
            <w:hideMark/>
          </w:tcPr>
          <w:p w14:paraId="5021ECA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D7D31"/>
            <w:vAlign w:val="center"/>
            <w:hideMark/>
          </w:tcPr>
          <w:p w14:paraId="4081021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15.30</w:t>
            </w:r>
          </w:p>
        </w:tc>
        <w:tc>
          <w:tcPr>
            <w:tcW w:w="0" w:type="auto"/>
            <w:tcBorders>
              <w:top w:val="nil"/>
              <w:left w:val="nil"/>
              <w:bottom w:val="single" w:sz="4" w:space="0" w:color="auto"/>
              <w:right w:val="single" w:sz="4" w:space="0" w:color="auto"/>
            </w:tcBorders>
            <w:shd w:val="clear" w:color="auto" w:fill="ED7D31"/>
            <w:vAlign w:val="center"/>
            <w:hideMark/>
          </w:tcPr>
          <w:p w14:paraId="303AC98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310C15BE" w14:textId="77777777" w:rsidTr="00614438">
        <w:trPr>
          <w:trHeight w:val="20"/>
        </w:trPr>
        <w:tc>
          <w:tcPr>
            <w:tcW w:w="0" w:type="auto"/>
            <w:vMerge/>
            <w:tcBorders>
              <w:top w:val="nil"/>
              <w:left w:val="single" w:sz="4" w:space="0" w:color="auto"/>
              <w:bottom w:val="single" w:sz="2" w:space="0" w:color="auto"/>
              <w:right w:val="single" w:sz="4" w:space="0" w:color="auto"/>
            </w:tcBorders>
            <w:vAlign w:val="center"/>
            <w:hideMark/>
          </w:tcPr>
          <w:p w14:paraId="2254AD18"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25812B3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PM_RIC9</w:t>
            </w:r>
          </w:p>
        </w:tc>
        <w:tc>
          <w:tcPr>
            <w:tcW w:w="0" w:type="auto"/>
            <w:tcBorders>
              <w:top w:val="nil"/>
              <w:left w:val="nil"/>
              <w:bottom w:val="single" w:sz="4" w:space="0" w:color="auto"/>
              <w:right w:val="single" w:sz="4" w:space="0" w:color="auto"/>
            </w:tcBorders>
            <w:vAlign w:val="center"/>
            <w:hideMark/>
          </w:tcPr>
          <w:p w14:paraId="6762B67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Support the cooperation between research institutes and businesses in the technology transfer and exploitation of research results</w:t>
            </w:r>
          </w:p>
        </w:tc>
        <w:tc>
          <w:tcPr>
            <w:tcW w:w="0" w:type="auto"/>
            <w:tcBorders>
              <w:top w:val="nil"/>
              <w:left w:val="nil"/>
              <w:bottom w:val="single" w:sz="4" w:space="0" w:color="auto"/>
              <w:right w:val="single" w:sz="4" w:space="0" w:color="auto"/>
            </w:tcBorders>
            <w:vAlign w:val="center"/>
            <w:hideMark/>
          </w:tcPr>
          <w:p w14:paraId="50FFC26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7ED115C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363E180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3.20</w:t>
            </w:r>
          </w:p>
        </w:tc>
        <w:tc>
          <w:tcPr>
            <w:tcW w:w="0" w:type="auto"/>
            <w:tcBorders>
              <w:top w:val="nil"/>
              <w:left w:val="nil"/>
              <w:bottom w:val="single" w:sz="4" w:space="0" w:color="auto"/>
              <w:right w:val="single" w:sz="4" w:space="0" w:color="auto"/>
            </w:tcBorders>
            <w:shd w:val="clear" w:color="auto" w:fill="ED7D31"/>
            <w:vAlign w:val="center"/>
            <w:hideMark/>
          </w:tcPr>
          <w:p w14:paraId="072D04E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3.20</w:t>
            </w:r>
          </w:p>
        </w:tc>
        <w:tc>
          <w:tcPr>
            <w:tcW w:w="0" w:type="auto"/>
            <w:tcBorders>
              <w:top w:val="nil"/>
              <w:left w:val="nil"/>
              <w:bottom w:val="single" w:sz="4" w:space="0" w:color="auto"/>
              <w:right w:val="single" w:sz="4" w:space="0" w:color="auto"/>
            </w:tcBorders>
            <w:shd w:val="clear" w:color="auto" w:fill="ED7D31"/>
            <w:vAlign w:val="center"/>
            <w:hideMark/>
          </w:tcPr>
          <w:p w14:paraId="6521365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462F1C3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D7D31"/>
            <w:vAlign w:val="center"/>
            <w:hideMark/>
          </w:tcPr>
          <w:p w14:paraId="185B78E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3.20</w:t>
            </w:r>
          </w:p>
        </w:tc>
        <w:tc>
          <w:tcPr>
            <w:tcW w:w="0" w:type="auto"/>
            <w:tcBorders>
              <w:top w:val="nil"/>
              <w:left w:val="nil"/>
              <w:bottom w:val="single" w:sz="4" w:space="0" w:color="auto"/>
              <w:right w:val="single" w:sz="4" w:space="0" w:color="auto"/>
            </w:tcBorders>
            <w:shd w:val="clear" w:color="auto" w:fill="ED7D31"/>
            <w:vAlign w:val="center"/>
            <w:hideMark/>
          </w:tcPr>
          <w:p w14:paraId="0839EB7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2EE8C1A4" w14:textId="77777777" w:rsidTr="00614438">
        <w:trPr>
          <w:trHeight w:val="20"/>
        </w:trPr>
        <w:tc>
          <w:tcPr>
            <w:tcW w:w="0" w:type="auto"/>
            <w:vMerge/>
            <w:tcBorders>
              <w:top w:val="nil"/>
              <w:left w:val="single" w:sz="4" w:space="0" w:color="auto"/>
              <w:bottom w:val="single" w:sz="2" w:space="0" w:color="auto"/>
              <w:right w:val="single" w:sz="4" w:space="0" w:color="auto"/>
            </w:tcBorders>
            <w:vAlign w:val="center"/>
            <w:hideMark/>
          </w:tcPr>
          <w:p w14:paraId="37AAF31D"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343D784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PM_RIC10</w:t>
            </w:r>
          </w:p>
        </w:tc>
        <w:tc>
          <w:tcPr>
            <w:tcW w:w="0" w:type="auto"/>
            <w:tcBorders>
              <w:top w:val="nil"/>
              <w:left w:val="nil"/>
              <w:bottom w:val="single" w:sz="4" w:space="0" w:color="auto"/>
              <w:right w:val="single" w:sz="4" w:space="0" w:color="auto"/>
            </w:tcBorders>
            <w:vAlign w:val="center"/>
            <w:hideMark/>
          </w:tcPr>
          <w:p w14:paraId="353B0B7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Development of innovative energy-saving technologies</w:t>
            </w:r>
          </w:p>
        </w:tc>
        <w:tc>
          <w:tcPr>
            <w:tcW w:w="0" w:type="auto"/>
            <w:tcBorders>
              <w:top w:val="nil"/>
              <w:left w:val="nil"/>
              <w:bottom w:val="single" w:sz="4" w:space="0" w:color="auto"/>
              <w:right w:val="single" w:sz="4" w:space="0" w:color="auto"/>
            </w:tcBorders>
            <w:vAlign w:val="center"/>
            <w:hideMark/>
          </w:tcPr>
          <w:p w14:paraId="353484E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3ADAE76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7AED678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7.20</w:t>
            </w:r>
          </w:p>
        </w:tc>
        <w:tc>
          <w:tcPr>
            <w:tcW w:w="0" w:type="auto"/>
            <w:tcBorders>
              <w:top w:val="nil"/>
              <w:left w:val="nil"/>
              <w:bottom w:val="single" w:sz="4" w:space="0" w:color="auto"/>
              <w:right w:val="single" w:sz="4" w:space="0" w:color="auto"/>
            </w:tcBorders>
            <w:shd w:val="clear" w:color="auto" w:fill="ED7D31"/>
            <w:vAlign w:val="center"/>
            <w:hideMark/>
          </w:tcPr>
          <w:p w14:paraId="00A9E74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2.16</w:t>
            </w:r>
          </w:p>
        </w:tc>
        <w:tc>
          <w:tcPr>
            <w:tcW w:w="0" w:type="auto"/>
            <w:tcBorders>
              <w:top w:val="nil"/>
              <w:left w:val="nil"/>
              <w:bottom w:val="single" w:sz="4" w:space="0" w:color="auto"/>
              <w:right w:val="single" w:sz="4" w:space="0" w:color="auto"/>
            </w:tcBorders>
            <w:shd w:val="clear" w:color="auto" w:fill="ED7D31"/>
            <w:vAlign w:val="center"/>
            <w:hideMark/>
          </w:tcPr>
          <w:p w14:paraId="111AA06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5.04</w:t>
            </w:r>
          </w:p>
        </w:tc>
        <w:tc>
          <w:tcPr>
            <w:tcW w:w="0" w:type="auto"/>
            <w:tcBorders>
              <w:top w:val="nil"/>
              <w:left w:val="nil"/>
              <w:bottom w:val="single" w:sz="4" w:space="0" w:color="auto"/>
              <w:right w:val="single" w:sz="4" w:space="0" w:color="auto"/>
            </w:tcBorders>
            <w:shd w:val="clear" w:color="auto" w:fill="ED7D31"/>
            <w:vAlign w:val="center"/>
            <w:hideMark/>
          </w:tcPr>
          <w:p w14:paraId="4587804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D7D31"/>
            <w:vAlign w:val="center"/>
            <w:hideMark/>
          </w:tcPr>
          <w:p w14:paraId="7A52183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7.20</w:t>
            </w:r>
          </w:p>
        </w:tc>
        <w:tc>
          <w:tcPr>
            <w:tcW w:w="0" w:type="auto"/>
            <w:tcBorders>
              <w:top w:val="nil"/>
              <w:left w:val="nil"/>
              <w:bottom w:val="single" w:sz="4" w:space="0" w:color="auto"/>
              <w:right w:val="single" w:sz="4" w:space="0" w:color="auto"/>
            </w:tcBorders>
            <w:shd w:val="clear" w:color="auto" w:fill="ED7D31"/>
            <w:vAlign w:val="center"/>
            <w:hideMark/>
          </w:tcPr>
          <w:p w14:paraId="3A7829C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449CB757" w14:textId="77777777" w:rsidTr="00614438">
        <w:trPr>
          <w:trHeight w:val="20"/>
        </w:trPr>
        <w:tc>
          <w:tcPr>
            <w:tcW w:w="0" w:type="auto"/>
            <w:vMerge/>
            <w:tcBorders>
              <w:top w:val="nil"/>
              <w:left w:val="single" w:sz="4" w:space="0" w:color="auto"/>
              <w:bottom w:val="single" w:sz="2" w:space="0" w:color="auto"/>
              <w:right w:val="single" w:sz="4" w:space="0" w:color="auto"/>
            </w:tcBorders>
            <w:vAlign w:val="center"/>
            <w:hideMark/>
          </w:tcPr>
          <w:p w14:paraId="32598972"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2FFA9E3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PM_RIC11</w:t>
            </w:r>
          </w:p>
        </w:tc>
        <w:tc>
          <w:tcPr>
            <w:tcW w:w="0" w:type="auto"/>
            <w:tcBorders>
              <w:top w:val="nil"/>
              <w:left w:val="nil"/>
              <w:bottom w:val="single" w:sz="4" w:space="0" w:color="auto"/>
              <w:right w:val="single" w:sz="4" w:space="0" w:color="auto"/>
            </w:tcBorders>
            <w:vAlign w:val="center"/>
            <w:hideMark/>
          </w:tcPr>
          <w:p w14:paraId="3C94D94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Development of innovative decarbonisation technologies, with emphasis on RES for electricity, heating/cooling production, hydrogen production, detection of emissions, carbon capture, storage and utilisation (CCUS) technologies</w:t>
            </w:r>
          </w:p>
        </w:tc>
        <w:tc>
          <w:tcPr>
            <w:tcW w:w="0" w:type="auto"/>
            <w:tcBorders>
              <w:top w:val="nil"/>
              <w:left w:val="nil"/>
              <w:bottom w:val="single" w:sz="4" w:space="0" w:color="auto"/>
              <w:right w:val="single" w:sz="4" w:space="0" w:color="auto"/>
            </w:tcBorders>
            <w:vAlign w:val="center"/>
            <w:hideMark/>
          </w:tcPr>
          <w:p w14:paraId="3561750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76D46D4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4E70484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25.20</w:t>
            </w:r>
          </w:p>
        </w:tc>
        <w:tc>
          <w:tcPr>
            <w:tcW w:w="0" w:type="auto"/>
            <w:tcBorders>
              <w:top w:val="nil"/>
              <w:left w:val="nil"/>
              <w:bottom w:val="single" w:sz="4" w:space="0" w:color="auto"/>
              <w:right w:val="single" w:sz="4" w:space="0" w:color="auto"/>
            </w:tcBorders>
            <w:shd w:val="clear" w:color="auto" w:fill="ED7D31"/>
            <w:vAlign w:val="center"/>
            <w:hideMark/>
          </w:tcPr>
          <w:p w14:paraId="4491BAC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12.60</w:t>
            </w:r>
          </w:p>
        </w:tc>
        <w:tc>
          <w:tcPr>
            <w:tcW w:w="0" w:type="auto"/>
            <w:tcBorders>
              <w:top w:val="nil"/>
              <w:left w:val="nil"/>
              <w:bottom w:val="single" w:sz="4" w:space="0" w:color="auto"/>
              <w:right w:val="single" w:sz="4" w:space="0" w:color="auto"/>
            </w:tcBorders>
            <w:shd w:val="clear" w:color="auto" w:fill="ED7D31"/>
            <w:vAlign w:val="center"/>
            <w:hideMark/>
          </w:tcPr>
          <w:p w14:paraId="25B6A50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12.60</w:t>
            </w:r>
          </w:p>
        </w:tc>
        <w:tc>
          <w:tcPr>
            <w:tcW w:w="0" w:type="auto"/>
            <w:tcBorders>
              <w:top w:val="nil"/>
              <w:left w:val="nil"/>
              <w:bottom w:val="single" w:sz="4" w:space="0" w:color="auto"/>
              <w:right w:val="single" w:sz="4" w:space="0" w:color="auto"/>
            </w:tcBorders>
            <w:shd w:val="clear" w:color="auto" w:fill="ED7D31"/>
            <w:vAlign w:val="center"/>
            <w:hideMark/>
          </w:tcPr>
          <w:p w14:paraId="6AE6D83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D7D31"/>
            <w:vAlign w:val="center"/>
            <w:hideMark/>
          </w:tcPr>
          <w:p w14:paraId="350260F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25.20</w:t>
            </w:r>
          </w:p>
        </w:tc>
        <w:tc>
          <w:tcPr>
            <w:tcW w:w="0" w:type="auto"/>
            <w:tcBorders>
              <w:top w:val="nil"/>
              <w:left w:val="nil"/>
              <w:bottom w:val="single" w:sz="4" w:space="0" w:color="auto"/>
              <w:right w:val="single" w:sz="4" w:space="0" w:color="auto"/>
            </w:tcBorders>
            <w:shd w:val="clear" w:color="auto" w:fill="ED7D31"/>
            <w:vAlign w:val="center"/>
            <w:hideMark/>
          </w:tcPr>
          <w:p w14:paraId="374DF42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76C05FB7" w14:textId="77777777" w:rsidTr="00614438">
        <w:trPr>
          <w:trHeight w:val="20"/>
        </w:trPr>
        <w:tc>
          <w:tcPr>
            <w:tcW w:w="0" w:type="auto"/>
            <w:vMerge/>
            <w:tcBorders>
              <w:top w:val="nil"/>
              <w:left w:val="single" w:sz="4" w:space="0" w:color="auto"/>
              <w:bottom w:val="single" w:sz="2" w:space="0" w:color="auto"/>
              <w:right w:val="single" w:sz="4" w:space="0" w:color="auto"/>
            </w:tcBorders>
            <w:vAlign w:val="center"/>
            <w:hideMark/>
          </w:tcPr>
          <w:p w14:paraId="4B325467"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64DCDE6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PM_RIC12</w:t>
            </w:r>
          </w:p>
        </w:tc>
        <w:tc>
          <w:tcPr>
            <w:tcW w:w="0" w:type="auto"/>
            <w:tcBorders>
              <w:top w:val="nil"/>
              <w:left w:val="nil"/>
              <w:bottom w:val="single" w:sz="4" w:space="0" w:color="auto"/>
              <w:right w:val="single" w:sz="4" w:space="0" w:color="auto"/>
            </w:tcBorders>
            <w:vAlign w:val="center"/>
            <w:hideMark/>
          </w:tcPr>
          <w:p w14:paraId="084D710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Research on the digitization of energy networks and the development of smart grids</w:t>
            </w:r>
          </w:p>
        </w:tc>
        <w:tc>
          <w:tcPr>
            <w:tcW w:w="0" w:type="auto"/>
            <w:tcBorders>
              <w:top w:val="nil"/>
              <w:left w:val="nil"/>
              <w:bottom w:val="single" w:sz="4" w:space="0" w:color="auto"/>
              <w:right w:val="single" w:sz="4" w:space="0" w:color="auto"/>
            </w:tcBorders>
            <w:vAlign w:val="center"/>
            <w:hideMark/>
          </w:tcPr>
          <w:p w14:paraId="1DF628A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07828C5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364E171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9.00</w:t>
            </w:r>
          </w:p>
        </w:tc>
        <w:tc>
          <w:tcPr>
            <w:tcW w:w="0" w:type="auto"/>
            <w:tcBorders>
              <w:top w:val="nil"/>
              <w:left w:val="nil"/>
              <w:bottom w:val="single" w:sz="4" w:space="0" w:color="auto"/>
              <w:right w:val="single" w:sz="4" w:space="0" w:color="auto"/>
            </w:tcBorders>
            <w:shd w:val="clear" w:color="auto" w:fill="ED7D31"/>
            <w:vAlign w:val="center"/>
            <w:hideMark/>
          </w:tcPr>
          <w:p w14:paraId="6CD84CA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4.50</w:t>
            </w:r>
          </w:p>
        </w:tc>
        <w:tc>
          <w:tcPr>
            <w:tcW w:w="0" w:type="auto"/>
            <w:tcBorders>
              <w:top w:val="nil"/>
              <w:left w:val="nil"/>
              <w:bottom w:val="single" w:sz="4" w:space="0" w:color="auto"/>
              <w:right w:val="single" w:sz="4" w:space="0" w:color="auto"/>
            </w:tcBorders>
            <w:shd w:val="clear" w:color="auto" w:fill="ED7D31"/>
            <w:vAlign w:val="center"/>
            <w:hideMark/>
          </w:tcPr>
          <w:p w14:paraId="4102971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4.50</w:t>
            </w:r>
          </w:p>
        </w:tc>
        <w:tc>
          <w:tcPr>
            <w:tcW w:w="0" w:type="auto"/>
            <w:tcBorders>
              <w:top w:val="nil"/>
              <w:left w:val="nil"/>
              <w:bottom w:val="single" w:sz="4" w:space="0" w:color="auto"/>
              <w:right w:val="single" w:sz="4" w:space="0" w:color="auto"/>
            </w:tcBorders>
            <w:shd w:val="clear" w:color="auto" w:fill="ED7D31"/>
            <w:vAlign w:val="center"/>
            <w:hideMark/>
          </w:tcPr>
          <w:p w14:paraId="1B6A115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D7D31"/>
            <w:vAlign w:val="center"/>
            <w:hideMark/>
          </w:tcPr>
          <w:p w14:paraId="4F28DA6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9.00</w:t>
            </w:r>
          </w:p>
        </w:tc>
        <w:tc>
          <w:tcPr>
            <w:tcW w:w="0" w:type="auto"/>
            <w:tcBorders>
              <w:top w:val="nil"/>
              <w:left w:val="nil"/>
              <w:bottom w:val="single" w:sz="4" w:space="0" w:color="auto"/>
              <w:right w:val="single" w:sz="4" w:space="0" w:color="auto"/>
            </w:tcBorders>
            <w:shd w:val="clear" w:color="auto" w:fill="ED7D31"/>
            <w:vAlign w:val="center"/>
            <w:hideMark/>
          </w:tcPr>
          <w:p w14:paraId="6D4E7A8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046E6831" w14:textId="77777777" w:rsidTr="00614438">
        <w:trPr>
          <w:trHeight w:val="20"/>
        </w:trPr>
        <w:tc>
          <w:tcPr>
            <w:tcW w:w="0" w:type="auto"/>
            <w:vMerge/>
            <w:tcBorders>
              <w:top w:val="nil"/>
              <w:left w:val="single" w:sz="4" w:space="0" w:color="auto"/>
              <w:bottom w:val="single" w:sz="2" w:space="0" w:color="auto"/>
              <w:right w:val="single" w:sz="4" w:space="0" w:color="auto"/>
            </w:tcBorders>
            <w:vAlign w:val="center"/>
            <w:hideMark/>
          </w:tcPr>
          <w:p w14:paraId="4D24F048"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1D22DD4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PM_RIC13</w:t>
            </w:r>
          </w:p>
        </w:tc>
        <w:tc>
          <w:tcPr>
            <w:tcW w:w="0" w:type="auto"/>
            <w:tcBorders>
              <w:top w:val="nil"/>
              <w:left w:val="nil"/>
              <w:bottom w:val="single" w:sz="4" w:space="0" w:color="auto"/>
              <w:right w:val="single" w:sz="4" w:space="0" w:color="auto"/>
            </w:tcBorders>
            <w:vAlign w:val="center"/>
            <w:hideMark/>
          </w:tcPr>
          <w:p w14:paraId="5D901F4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Development of innovative technologies in transport and applications for micro-mobility</w:t>
            </w:r>
          </w:p>
        </w:tc>
        <w:tc>
          <w:tcPr>
            <w:tcW w:w="0" w:type="auto"/>
            <w:tcBorders>
              <w:top w:val="nil"/>
              <w:left w:val="nil"/>
              <w:bottom w:val="single" w:sz="4" w:space="0" w:color="auto"/>
              <w:right w:val="single" w:sz="4" w:space="0" w:color="auto"/>
            </w:tcBorders>
            <w:vAlign w:val="center"/>
            <w:hideMark/>
          </w:tcPr>
          <w:p w14:paraId="7D0C8D8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659E70B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0A574CA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10.90</w:t>
            </w:r>
          </w:p>
        </w:tc>
        <w:tc>
          <w:tcPr>
            <w:tcW w:w="0" w:type="auto"/>
            <w:tcBorders>
              <w:top w:val="nil"/>
              <w:left w:val="nil"/>
              <w:bottom w:val="single" w:sz="4" w:space="0" w:color="auto"/>
              <w:right w:val="single" w:sz="4" w:space="0" w:color="auto"/>
            </w:tcBorders>
            <w:shd w:val="clear" w:color="auto" w:fill="ED7D31"/>
            <w:vAlign w:val="center"/>
            <w:hideMark/>
          </w:tcPr>
          <w:p w14:paraId="5223E47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5.45</w:t>
            </w:r>
          </w:p>
        </w:tc>
        <w:tc>
          <w:tcPr>
            <w:tcW w:w="0" w:type="auto"/>
            <w:tcBorders>
              <w:top w:val="nil"/>
              <w:left w:val="nil"/>
              <w:bottom w:val="single" w:sz="4" w:space="0" w:color="auto"/>
              <w:right w:val="single" w:sz="4" w:space="0" w:color="auto"/>
            </w:tcBorders>
            <w:shd w:val="clear" w:color="auto" w:fill="ED7D31"/>
            <w:vAlign w:val="center"/>
            <w:hideMark/>
          </w:tcPr>
          <w:p w14:paraId="4600FF4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5.45</w:t>
            </w:r>
          </w:p>
        </w:tc>
        <w:tc>
          <w:tcPr>
            <w:tcW w:w="0" w:type="auto"/>
            <w:tcBorders>
              <w:top w:val="nil"/>
              <w:left w:val="nil"/>
              <w:bottom w:val="single" w:sz="4" w:space="0" w:color="auto"/>
              <w:right w:val="single" w:sz="4" w:space="0" w:color="auto"/>
            </w:tcBorders>
            <w:shd w:val="clear" w:color="auto" w:fill="ED7D31"/>
            <w:vAlign w:val="center"/>
            <w:hideMark/>
          </w:tcPr>
          <w:p w14:paraId="2F4F04C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D7D31"/>
            <w:vAlign w:val="center"/>
            <w:hideMark/>
          </w:tcPr>
          <w:p w14:paraId="05778EB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10.90</w:t>
            </w:r>
          </w:p>
        </w:tc>
        <w:tc>
          <w:tcPr>
            <w:tcW w:w="0" w:type="auto"/>
            <w:tcBorders>
              <w:top w:val="nil"/>
              <w:left w:val="nil"/>
              <w:bottom w:val="single" w:sz="4" w:space="0" w:color="auto"/>
              <w:right w:val="single" w:sz="4" w:space="0" w:color="auto"/>
            </w:tcBorders>
            <w:shd w:val="clear" w:color="auto" w:fill="ED7D31"/>
            <w:vAlign w:val="center"/>
            <w:hideMark/>
          </w:tcPr>
          <w:p w14:paraId="56AB4B2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4AC459BD" w14:textId="77777777" w:rsidTr="00614438">
        <w:trPr>
          <w:trHeight w:val="20"/>
        </w:trPr>
        <w:tc>
          <w:tcPr>
            <w:tcW w:w="0" w:type="auto"/>
            <w:vMerge/>
            <w:tcBorders>
              <w:top w:val="nil"/>
              <w:left w:val="single" w:sz="4" w:space="0" w:color="auto"/>
              <w:bottom w:val="single" w:sz="2" w:space="0" w:color="auto"/>
              <w:right w:val="single" w:sz="4" w:space="0" w:color="auto"/>
            </w:tcBorders>
            <w:vAlign w:val="center"/>
            <w:hideMark/>
          </w:tcPr>
          <w:p w14:paraId="1A9FD78D"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011CF51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PM_RIC14</w:t>
            </w:r>
          </w:p>
        </w:tc>
        <w:tc>
          <w:tcPr>
            <w:tcW w:w="0" w:type="auto"/>
            <w:tcBorders>
              <w:top w:val="nil"/>
              <w:left w:val="nil"/>
              <w:bottom w:val="single" w:sz="4" w:space="0" w:color="auto"/>
              <w:right w:val="single" w:sz="4" w:space="0" w:color="auto"/>
            </w:tcBorders>
            <w:vAlign w:val="center"/>
            <w:hideMark/>
          </w:tcPr>
          <w:p w14:paraId="4EF36E6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Development of innovative energy storage applications</w:t>
            </w:r>
          </w:p>
        </w:tc>
        <w:tc>
          <w:tcPr>
            <w:tcW w:w="0" w:type="auto"/>
            <w:tcBorders>
              <w:top w:val="nil"/>
              <w:left w:val="nil"/>
              <w:bottom w:val="single" w:sz="4" w:space="0" w:color="auto"/>
              <w:right w:val="single" w:sz="4" w:space="0" w:color="auto"/>
            </w:tcBorders>
            <w:vAlign w:val="center"/>
            <w:hideMark/>
          </w:tcPr>
          <w:p w14:paraId="6BDEAF8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59015C2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243963B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9.00</w:t>
            </w:r>
          </w:p>
        </w:tc>
        <w:tc>
          <w:tcPr>
            <w:tcW w:w="0" w:type="auto"/>
            <w:tcBorders>
              <w:top w:val="nil"/>
              <w:left w:val="nil"/>
              <w:bottom w:val="single" w:sz="4" w:space="0" w:color="auto"/>
              <w:right w:val="single" w:sz="4" w:space="0" w:color="auto"/>
            </w:tcBorders>
            <w:shd w:val="clear" w:color="auto" w:fill="ED7D31"/>
            <w:vAlign w:val="center"/>
            <w:hideMark/>
          </w:tcPr>
          <w:p w14:paraId="48B24C2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4.50</w:t>
            </w:r>
          </w:p>
        </w:tc>
        <w:tc>
          <w:tcPr>
            <w:tcW w:w="0" w:type="auto"/>
            <w:tcBorders>
              <w:top w:val="nil"/>
              <w:left w:val="nil"/>
              <w:bottom w:val="single" w:sz="4" w:space="0" w:color="auto"/>
              <w:right w:val="single" w:sz="4" w:space="0" w:color="auto"/>
            </w:tcBorders>
            <w:shd w:val="clear" w:color="auto" w:fill="ED7D31"/>
            <w:vAlign w:val="center"/>
            <w:hideMark/>
          </w:tcPr>
          <w:p w14:paraId="7B1F44C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4.50</w:t>
            </w:r>
          </w:p>
        </w:tc>
        <w:tc>
          <w:tcPr>
            <w:tcW w:w="0" w:type="auto"/>
            <w:tcBorders>
              <w:top w:val="nil"/>
              <w:left w:val="nil"/>
              <w:bottom w:val="single" w:sz="4" w:space="0" w:color="auto"/>
              <w:right w:val="single" w:sz="4" w:space="0" w:color="auto"/>
            </w:tcBorders>
            <w:shd w:val="clear" w:color="auto" w:fill="ED7D31"/>
            <w:vAlign w:val="center"/>
            <w:hideMark/>
          </w:tcPr>
          <w:p w14:paraId="799DBE3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D7D31"/>
            <w:vAlign w:val="center"/>
            <w:hideMark/>
          </w:tcPr>
          <w:p w14:paraId="339701A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9.00</w:t>
            </w:r>
          </w:p>
        </w:tc>
        <w:tc>
          <w:tcPr>
            <w:tcW w:w="0" w:type="auto"/>
            <w:tcBorders>
              <w:top w:val="nil"/>
              <w:left w:val="nil"/>
              <w:bottom w:val="single" w:sz="4" w:space="0" w:color="auto"/>
              <w:right w:val="single" w:sz="4" w:space="0" w:color="auto"/>
            </w:tcBorders>
            <w:shd w:val="clear" w:color="auto" w:fill="ED7D31"/>
            <w:vAlign w:val="center"/>
            <w:hideMark/>
          </w:tcPr>
          <w:p w14:paraId="432703A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362FD3EF" w14:textId="77777777" w:rsidTr="00614438">
        <w:trPr>
          <w:trHeight w:val="20"/>
        </w:trPr>
        <w:tc>
          <w:tcPr>
            <w:tcW w:w="0" w:type="auto"/>
            <w:vMerge/>
            <w:tcBorders>
              <w:top w:val="nil"/>
              <w:left w:val="single" w:sz="4" w:space="0" w:color="auto"/>
              <w:bottom w:val="single" w:sz="2" w:space="0" w:color="auto"/>
              <w:right w:val="single" w:sz="4" w:space="0" w:color="auto"/>
            </w:tcBorders>
            <w:vAlign w:val="center"/>
            <w:hideMark/>
          </w:tcPr>
          <w:p w14:paraId="69B37E5A"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2603229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PM_RIC15</w:t>
            </w:r>
          </w:p>
        </w:tc>
        <w:tc>
          <w:tcPr>
            <w:tcW w:w="0" w:type="auto"/>
            <w:tcBorders>
              <w:top w:val="nil"/>
              <w:left w:val="nil"/>
              <w:bottom w:val="single" w:sz="4" w:space="0" w:color="auto"/>
              <w:right w:val="single" w:sz="4" w:space="0" w:color="auto"/>
            </w:tcBorders>
            <w:vAlign w:val="center"/>
            <w:hideMark/>
          </w:tcPr>
          <w:p w14:paraId="61535AF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Promote the inter-sectoral and geographical mobility of researchers</w:t>
            </w:r>
          </w:p>
        </w:tc>
        <w:tc>
          <w:tcPr>
            <w:tcW w:w="0" w:type="auto"/>
            <w:tcBorders>
              <w:top w:val="nil"/>
              <w:left w:val="nil"/>
              <w:bottom w:val="single" w:sz="4" w:space="0" w:color="auto"/>
              <w:right w:val="single" w:sz="4" w:space="0" w:color="auto"/>
            </w:tcBorders>
            <w:vAlign w:val="center"/>
            <w:hideMark/>
          </w:tcPr>
          <w:p w14:paraId="55D59A9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7E9832B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2FDDDE6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1.60</w:t>
            </w:r>
          </w:p>
        </w:tc>
        <w:tc>
          <w:tcPr>
            <w:tcW w:w="0" w:type="auto"/>
            <w:tcBorders>
              <w:top w:val="nil"/>
              <w:left w:val="nil"/>
              <w:bottom w:val="single" w:sz="4" w:space="0" w:color="auto"/>
              <w:right w:val="single" w:sz="4" w:space="0" w:color="auto"/>
            </w:tcBorders>
            <w:shd w:val="clear" w:color="auto" w:fill="ED7D31"/>
            <w:vAlign w:val="center"/>
            <w:hideMark/>
          </w:tcPr>
          <w:p w14:paraId="6DAB274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1.60</w:t>
            </w:r>
          </w:p>
        </w:tc>
        <w:tc>
          <w:tcPr>
            <w:tcW w:w="0" w:type="auto"/>
            <w:tcBorders>
              <w:top w:val="nil"/>
              <w:left w:val="nil"/>
              <w:bottom w:val="single" w:sz="4" w:space="0" w:color="auto"/>
              <w:right w:val="single" w:sz="4" w:space="0" w:color="auto"/>
            </w:tcBorders>
            <w:shd w:val="clear" w:color="auto" w:fill="ED7D31"/>
            <w:vAlign w:val="center"/>
            <w:hideMark/>
          </w:tcPr>
          <w:p w14:paraId="5A0DEE2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63758290"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D7D31"/>
            <w:vAlign w:val="center"/>
            <w:hideMark/>
          </w:tcPr>
          <w:p w14:paraId="2E1EC3F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1.60</w:t>
            </w:r>
          </w:p>
        </w:tc>
        <w:tc>
          <w:tcPr>
            <w:tcW w:w="0" w:type="auto"/>
            <w:tcBorders>
              <w:top w:val="nil"/>
              <w:left w:val="nil"/>
              <w:bottom w:val="single" w:sz="4" w:space="0" w:color="auto"/>
              <w:right w:val="single" w:sz="4" w:space="0" w:color="auto"/>
            </w:tcBorders>
            <w:shd w:val="clear" w:color="auto" w:fill="ED7D31"/>
            <w:vAlign w:val="center"/>
            <w:hideMark/>
          </w:tcPr>
          <w:p w14:paraId="6D5021D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7584FA4E" w14:textId="77777777" w:rsidTr="00614438">
        <w:trPr>
          <w:trHeight w:val="20"/>
        </w:trPr>
        <w:tc>
          <w:tcPr>
            <w:tcW w:w="0" w:type="auto"/>
            <w:vMerge/>
            <w:tcBorders>
              <w:top w:val="nil"/>
              <w:left w:val="single" w:sz="4" w:space="0" w:color="auto"/>
              <w:bottom w:val="single" w:sz="2" w:space="0" w:color="auto"/>
              <w:right w:val="single" w:sz="4" w:space="0" w:color="auto"/>
            </w:tcBorders>
            <w:vAlign w:val="center"/>
            <w:hideMark/>
          </w:tcPr>
          <w:p w14:paraId="63E23796"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787B656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PM_RIC16</w:t>
            </w:r>
          </w:p>
        </w:tc>
        <w:tc>
          <w:tcPr>
            <w:tcW w:w="0" w:type="auto"/>
            <w:tcBorders>
              <w:top w:val="nil"/>
              <w:left w:val="nil"/>
              <w:bottom w:val="single" w:sz="4" w:space="0" w:color="auto"/>
              <w:right w:val="single" w:sz="4" w:space="0" w:color="auto"/>
            </w:tcBorders>
            <w:vAlign w:val="center"/>
            <w:hideMark/>
          </w:tcPr>
          <w:p w14:paraId="30EF3B6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Enhancing education / training to support the energy transition</w:t>
            </w:r>
          </w:p>
        </w:tc>
        <w:tc>
          <w:tcPr>
            <w:tcW w:w="0" w:type="auto"/>
            <w:tcBorders>
              <w:top w:val="nil"/>
              <w:left w:val="nil"/>
              <w:bottom w:val="single" w:sz="4" w:space="0" w:color="auto"/>
              <w:right w:val="single" w:sz="4" w:space="0" w:color="auto"/>
            </w:tcBorders>
            <w:vAlign w:val="center"/>
            <w:hideMark/>
          </w:tcPr>
          <w:p w14:paraId="64C69D6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32927BF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38A9DDD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2.20</w:t>
            </w:r>
          </w:p>
        </w:tc>
        <w:tc>
          <w:tcPr>
            <w:tcW w:w="0" w:type="auto"/>
            <w:tcBorders>
              <w:top w:val="nil"/>
              <w:left w:val="nil"/>
              <w:bottom w:val="single" w:sz="4" w:space="0" w:color="auto"/>
              <w:right w:val="single" w:sz="4" w:space="0" w:color="auto"/>
            </w:tcBorders>
            <w:shd w:val="clear" w:color="auto" w:fill="ED7D31"/>
            <w:vAlign w:val="center"/>
            <w:hideMark/>
          </w:tcPr>
          <w:p w14:paraId="67B03C4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2.20</w:t>
            </w:r>
          </w:p>
        </w:tc>
        <w:tc>
          <w:tcPr>
            <w:tcW w:w="0" w:type="auto"/>
            <w:tcBorders>
              <w:top w:val="nil"/>
              <w:left w:val="nil"/>
              <w:bottom w:val="single" w:sz="4" w:space="0" w:color="auto"/>
              <w:right w:val="single" w:sz="4" w:space="0" w:color="auto"/>
            </w:tcBorders>
            <w:shd w:val="clear" w:color="auto" w:fill="ED7D31"/>
            <w:vAlign w:val="center"/>
            <w:hideMark/>
          </w:tcPr>
          <w:p w14:paraId="6F061C7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587F719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D7D31"/>
            <w:vAlign w:val="center"/>
            <w:hideMark/>
          </w:tcPr>
          <w:p w14:paraId="2C35EF6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2.20</w:t>
            </w:r>
          </w:p>
        </w:tc>
        <w:tc>
          <w:tcPr>
            <w:tcW w:w="0" w:type="auto"/>
            <w:tcBorders>
              <w:top w:val="nil"/>
              <w:left w:val="nil"/>
              <w:bottom w:val="single" w:sz="4" w:space="0" w:color="auto"/>
              <w:right w:val="single" w:sz="4" w:space="0" w:color="auto"/>
            </w:tcBorders>
            <w:shd w:val="clear" w:color="auto" w:fill="ED7D31"/>
            <w:vAlign w:val="center"/>
            <w:hideMark/>
          </w:tcPr>
          <w:p w14:paraId="2C2DD65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7F5EDBCC" w14:textId="77777777" w:rsidTr="00614438">
        <w:trPr>
          <w:trHeight w:val="20"/>
        </w:trPr>
        <w:tc>
          <w:tcPr>
            <w:tcW w:w="0" w:type="auto"/>
            <w:vMerge/>
            <w:tcBorders>
              <w:top w:val="nil"/>
              <w:left w:val="single" w:sz="4" w:space="0" w:color="auto"/>
              <w:bottom w:val="single" w:sz="2" w:space="0" w:color="auto"/>
              <w:right w:val="single" w:sz="4" w:space="0" w:color="auto"/>
            </w:tcBorders>
            <w:vAlign w:val="center"/>
            <w:hideMark/>
          </w:tcPr>
          <w:p w14:paraId="09838AB6"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166D0BB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PM_RIC17</w:t>
            </w:r>
          </w:p>
        </w:tc>
        <w:tc>
          <w:tcPr>
            <w:tcW w:w="0" w:type="auto"/>
            <w:tcBorders>
              <w:top w:val="nil"/>
              <w:left w:val="nil"/>
              <w:bottom w:val="single" w:sz="4" w:space="0" w:color="auto"/>
              <w:right w:val="single" w:sz="4" w:space="0" w:color="auto"/>
            </w:tcBorders>
            <w:vAlign w:val="center"/>
            <w:hideMark/>
          </w:tcPr>
          <w:p w14:paraId="7067034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Promotion of entrepreneurship through research and innovation actions which are embedded in market functions</w:t>
            </w:r>
          </w:p>
        </w:tc>
        <w:tc>
          <w:tcPr>
            <w:tcW w:w="0" w:type="auto"/>
            <w:tcBorders>
              <w:top w:val="nil"/>
              <w:left w:val="nil"/>
              <w:bottom w:val="single" w:sz="4" w:space="0" w:color="auto"/>
              <w:right w:val="single" w:sz="4" w:space="0" w:color="auto"/>
            </w:tcBorders>
            <w:vAlign w:val="center"/>
            <w:hideMark/>
          </w:tcPr>
          <w:p w14:paraId="3AF6BE6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4" w:space="0" w:color="auto"/>
              <w:right w:val="single" w:sz="4" w:space="0" w:color="auto"/>
            </w:tcBorders>
            <w:vAlign w:val="center"/>
            <w:hideMark/>
          </w:tcPr>
          <w:p w14:paraId="26F31AA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5752836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1.80</w:t>
            </w:r>
          </w:p>
        </w:tc>
        <w:tc>
          <w:tcPr>
            <w:tcW w:w="0" w:type="auto"/>
            <w:tcBorders>
              <w:top w:val="nil"/>
              <w:left w:val="nil"/>
              <w:bottom w:val="single" w:sz="4" w:space="0" w:color="auto"/>
              <w:right w:val="single" w:sz="4" w:space="0" w:color="auto"/>
            </w:tcBorders>
            <w:shd w:val="clear" w:color="auto" w:fill="ED7D31"/>
            <w:vAlign w:val="center"/>
            <w:hideMark/>
          </w:tcPr>
          <w:p w14:paraId="1389227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1.80</w:t>
            </w:r>
          </w:p>
        </w:tc>
        <w:tc>
          <w:tcPr>
            <w:tcW w:w="0" w:type="auto"/>
            <w:tcBorders>
              <w:top w:val="nil"/>
              <w:left w:val="nil"/>
              <w:bottom w:val="single" w:sz="4" w:space="0" w:color="auto"/>
              <w:right w:val="single" w:sz="4" w:space="0" w:color="auto"/>
            </w:tcBorders>
            <w:shd w:val="clear" w:color="auto" w:fill="ED7D31"/>
            <w:vAlign w:val="center"/>
            <w:hideMark/>
          </w:tcPr>
          <w:p w14:paraId="0EFB698D"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5E0CFC8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D7D31"/>
            <w:vAlign w:val="center"/>
            <w:hideMark/>
          </w:tcPr>
          <w:p w14:paraId="334154C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1.80</w:t>
            </w:r>
          </w:p>
        </w:tc>
        <w:tc>
          <w:tcPr>
            <w:tcW w:w="0" w:type="auto"/>
            <w:tcBorders>
              <w:top w:val="nil"/>
              <w:left w:val="nil"/>
              <w:bottom w:val="single" w:sz="4" w:space="0" w:color="auto"/>
              <w:right w:val="single" w:sz="4" w:space="0" w:color="auto"/>
            </w:tcBorders>
            <w:shd w:val="clear" w:color="auto" w:fill="ED7D31"/>
            <w:vAlign w:val="center"/>
            <w:hideMark/>
          </w:tcPr>
          <w:p w14:paraId="6C5E794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3D68DD95" w14:textId="77777777" w:rsidTr="00614438">
        <w:trPr>
          <w:trHeight w:val="20"/>
        </w:trPr>
        <w:tc>
          <w:tcPr>
            <w:tcW w:w="0" w:type="auto"/>
            <w:vMerge/>
            <w:tcBorders>
              <w:top w:val="nil"/>
              <w:left w:val="single" w:sz="4" w:space="0" w:color="auto"/>
              <w:bottom w:val="single" w:sz="2" w:space="0" w:color="auto"/>
              <w:right w:val="single" w:sz="4" w:space="0" w:color="auto"/>
            </w:tcBorders>
            <w:vAlign w:val="center"/>
            <w:hideMark/>
          </w:tcPr>
          <w:p w14:paraId="75232701"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609C41F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PM_RIC18</w:t>
            </w:r>
          </w:p>
        </w:tc>
        <w:tc>
          <w:tcPr>
            <w:tcW w:w="0" w:type="auto"/>
            <w:tcBorders>
              <w:top w:val="nil"/>
              <w:left w:val="nil"/>
              <w:bottom w:val="single" w:sz="4" w:space="0" w:color="auto"/>
              <w:right w:val="single" w:sz="4" w:space="0" w:color="auto"/>
            </w:tcBorders>
            <w:vAlign w:val="center"/>
            <w:hideMark/>
          </w:tcPr>
          <w:p w14:paraId="659C1452" w14:textId="1AE7FD83"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xml:space="preserve">Optimising support framework and schemes for promoting investments with a </w:t>
            </w:r>
            <w:r w:rsidR="00AD4843" w:rsidRPr="004F5BC1">
              <w:rPr>
                <w:rFonts w:ascii="Times New Roman" w:hAnsi="Times New Roman" w:cs="Times New Roman"/>
                <w:sz w:val="14"/>
                <w:szCs w:val="14"/>
                <w:lang w:val="en-GB"/>
              </w:rPr>
              <w:t>goal</w:t>
            </w:r>
            <w:r w:rsidRPr="004F5BC1">
              <w:rPr>
                <w:rFonts w:ascii="Times New Roman" w:hAnsi="Times New Roman" w:cs="Times New Roman"/>
                <w:sz w:val="14"/>
                <w:szCs w:val="14"/>
                <w:lang w:val="en-GB"/>
              </w:rPr>
              <w:t xml:space="preserve"> to strengthen competitiveness</w:t>
            </w:r>
          </w:p>
        </w:tc>
        <w:tc>
          <w:tcPr>
            <w:tcW w:w="0" w:type="auto"/>
            <w:tcBorders>
              <w:top w:val="nil"/>
              <w:left w:val="nil"/>
              <w:bottom w:val="single" w:sz="4" w:space="0" w:color="auto"/>
              <w:right w:val="single" w:sz="4" w:space="0" w:color="auto"/>
            </w:tcBorders>
            <w:vAlign w:val="center"/>
            <w:hideMark/>
          </w:tcPr>
          <w:p w14:paraId="2FC47B5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1FBC5B2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1801908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0.10</w:t>
            </w:r>
          </w:p>
        </w:tc>
        <w:tc>
          <w:tcPr>
            <w:tcW w:w="0" w:type="auto"/>
            <w:tcBorders>
              <w:top w:val="nil"/>
              <w:left w:val="nil"/>
              <w:bottom w:val="single" w:sz="4" w:space="0" w:color="auto"/>
              <w:right w:val="single" w:sz="4" w:space="0" w:color="auto"/>
            </w:tcBorders>
            <w:shd w:val="clear" w:color="auto" w:fill="ED7D31"/>
            <w:vAlign w:val="center"/>
            <w:hideMark/>
          </w:tcPr>
          <w:p w14:paraId="0F126F1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0.10</w:t>
            </w:r>
          </w:p>
        </w:tc>
        <w:tc>
          <w:tcPr>
            <w:tcW w:w="0" w:type="auto"/>
            <w:tcBorders>
              <w:top w:val="nil"/>
              <w:left w:val="nil"/>
              <w:bottom w:val="single" w:sz="4" w:space="0" w:color="auto"/>
              <w:right w:val="single" w:sz="4" w:space="0" w:color="auto"/>
            </w:tcBorders>
            <w:shd w:val="clear" w:color="auto" w:fill="ED7D31"/>
            <w:vAlign w:val="center"/>
            <w:hideMark/>
          </w:tcPr>
          <w:p w14:paraId="513BF22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03C6DD7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D7D31"/>
            <w:vAlign w:val="center"/>
            <w:hideMark/>
          </w:tcPr>
          <w:p w14:paraId="7F2A5F9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0.10</w:t>
            </w:r>
          </w:p>
        </w:tc>
        <w:tc>
          <w:tcPr>
            <w:tcW w:w="0" w:type="auto"/>
            <w:tcBorders>
              <w:top w:val="nil"/>
              <w:left w:val="nil"/>
              <w:bottom w:val="single" w:sz="4" w:space="0" w:color="auto"/>
              <w:right w:val="single" w:sz="4" w:space="0" w:color="auto"/>
            </w:tcBorders>
            <w:shd w:val="clear" w:color="auto" w:fill="ED7D31"/>
            <w:vAlign w:val="center"/>
            <w:hideMark/>
          </w:tcPr>
          <w:p w14:paraId="17A2036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37EEF36F" w14:textId="77777777" w:rsidTr="00614438">
        <w:trPr>
          <w:trHeight w:val="20"/>
        </w:trPr>
        <w:tc>
          <w:tcPr>
            <w:tcW w:w="0" w:type="auto"/>
            <w:vMerge/>
            <w:tcBorders>
              <w:top w:val="nil"/>
              <w:left w:val="single" w:sz="4" w:space="0" w:color="auto"/>
              <w:bottom w:val="single" w:sz="2" w:space="0" w:color="auto"/>
              <w:right w:val="single" w:sz="4" w:space="0" w:color="auto"/>
            </w:tcBorders>
            <w:vAlign w:val="center"/>
            <w:hideMark/>
          </w:tcPr>
          <w:p w14:paraId="7B097730"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4" w:space="0" w:color="auto"/>
              <w:right w:val="single" w:sz="4" w:space="0" w:color="auto"/>
            </w:tcBorders>
            <w:vAlign w:val="center"/>
            <w:hideMark/>
          </w:tcPr>
          <w:p w14:paraId="352E796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PM_RIC19</w:t>
            </w:r>
          </w:p>
        </w:tc>
        <w:tc>
          <w:tcPr>
            <w:tcW w:w="0" w:type="auto"/>
            <w:tcBorders>
              <w:top w:val="nil"/>
              <w:left w:val="nil"/>
              <w:bottom w:val="single" w:sz="4" w:space="0" w:color="auto"/>
              <w:right w:val="single" w:sz="4" w:space="0" w:color="auto"/>
            </w:tcBorders>
            <w:vAlign w:val="center"/>
            <w:hideMark/>
          </w:tcPr>
          <w:p w14:paraId="52F34B5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Strengthening competitiveness through the establishment and operation of Special Target Funds</w:t>
            </w:r>
          </w:p>
        </w:tc>
        <w:tc>
          <w:tcPr>
            <w:tcW w:w="0" w:type="auto"/>
            <w:tcBorders>
              <w:top w:val="nil"/>
              <w:left w:val="nil"/>
              <w:bottom w:val="single" w:sz="4" w:space="0" w:color="auto"/>
              <w:right w:val="single" w:sz="4" w:space="0" w:color="auto"/>
            </w:tcBorders>
            <w:vAlign w:val="center"/>
            <w:hideMark/>
          </w:tcPr>
          <w:p w14:paraId="5A9E1EE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Reform</w:t>
            </w:r>
          </w:p>
        </w:tc>
        <w:tc>
          <w:tcPr>
            <w:tcW w:w="0" w:type="auto"/>
            <w:tcBorders>
              <w:top w:val="nil"/>
              <w:left w:val="nil"/>
              <w:bottom w:val="single" w:sz="4" w:space="0" w:color="auto"/>
              <w:right w:val="single" w:sz="4" w:space="0" w:color="auto"/>
            </w:tcBorders>
            <w:vAlign w:val="center"/>
            <w:hideMark/>
          </w:tcPr>
          <w:p w14:paraId="7F15272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4" w:space="0" w:color="auto"/>
              <w:right w:val="single" w:sz="4" w:space="0" w:color="auto"/>
            </w:tcBorders>
            <w:shd w:val="clear" w:color="auto" w:fill="E2EFDA"/>
            <w:vAlign w:val="center"/>
            <w:hideMark/>
          </w:tcPr>
          <w:p w14:paraId="698C5185"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0.10</w:t>
            </w:r>
          </w:p>
        </w:tc>
        <w:tc>
          <w:tcPr>
            <w:tcW w:w="0" w:type="auto"/>
            <w:tcBorders>
              <w:top w:val="nil"/>
              <w:left w:val="nil"/>
              <w:bottom w:val="single" w:sz="4" w:space="0" w:color="auto"/>
              <w:right w:val="single" w:sz="4" w:space="0" w:color="auto"/>
            </w:tcBorders>
            <w:shd w:val="clear" w:color="auto" w:fill="ED7D31"/>
            <w:vAlign w:val="center"/>
            <w:hideMark/>
          </w:tcPr>
          <w:p w14:paraId="47203E7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0.10</w:t>
            </w:r>
          </w:p>
        </w:tc>
        <w:tc>
          <w:tcPr>
            <w:tcW w:w="0" w:type="auto"/>
            <w:tcBorders>
              <w:top w:val="nil"/>
              <w:left w:val="nil"/>
              <w:bottom w:val="single" w:sz="4" w:space="0" w:color="auto"/>
              <w:right w:val="single" w:sz="4" w:space="0" w:color="auto"/>
            </w:tcBorders>
            <w:shd w:val="clear" w:color="auto" w:fill="ED7D31"/>
            <w:vAlign w:val="center"/>
            <w:hideMark/>
          </w:tcPr>
          <w:p w14:paraId="3B08812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c>
          <w:tcPr>
            <w:tcW w:w="0" w:type="auto"/>
            <w:tcBorders>
              <w:top w:val="nil"/>
              <w:left w:val="nil"/>
              <w:bottom w:val="single" w:sz="4" w:space="0" w:color="auto"/>
              <w:right w:val="single" w:sz="4" w:space="0" w:color="auto"/>
            </w:tcBorders>
            <w:shd w:val="clear" w:color="auto" w:fill="ED7D31"/>
            <w:vAlign w:val="center"/>
            <w:hideMark/>
          </w:tcPr>
          <w:p w14:paraId="50501BB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4" w:space="0" w:color="auto"/>
              <w:right w:val="single" w:sz="4" w:space="0" w:color="auto"/>
            </w:tcBorders>
            <w:shd w:val="clear" w:color="auto" w:fill="ED7D31"/>
            <w:vAlign w:val="center"/>
            <w:hideMark/>
          </w:tcPr>
          <w:p w14:paraId="2C445E87"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0.10</w:t>
            </w:r>
          </w:p>
        </w:tc>
        <w:tc>
          <w:tcPr>
            <w:tcW w:w="0" w:type="auto"/>
            <w:tcBorders>
              <w:top w:val="nil"/>
              <w:left w:val="nil"/>
              <w:bottom w:val="single" w:sz="4" w:space="0" w:color="auto"/>
              <w:right w:val="single" w:sz="4" w:space="0" w:color="auto"/>
            </w:tcBorders>
            <w:shd w:val="clear" w:color="auto" w:fill="ED7D31"/>
            <w:vAlign w:val="center"/>
            <w:hideMark/>
          </w:tcPr>
          <w:p w14:paraId="55EB1E1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0A8F7C66" w14:textId="77777777" w:rsidTr="00614438">
        <w:trPr>
          <w:trHeight w:val="20"/>
        </w:trPr>
        <w:tc>
          <w:tcPr>
            <w:tcW w:w="0" w:type="auto"/>
            <w:vMerge/>
            <w:tcBorders>
              <w:top w:val="nil"/>
              <w:left w:val="single" w:sz="4" w:space="0" w:color="auto"/>
              <w:bottom w:val="single" w:sz="2" w:space="0" w:color="auto"/>
              <w:right w:val="single" w:sz="4" w:space="0" w:color="auto"/>
            </w:tcBorders>
            <w:vAlign w:val="center"/>
            <w:hideMark/>
          </w:tcPr>
          <w:p w14:paraId="64FDCC4D" w14:textId="77777777" w:rsidR="00614438" w:rsidRPr="004F5BC1" w:rsidRDefault="00614438" w:rsidP="00614438">
            <w:pPr>
              <w:jc w:val="both"/>
              <w:rPr>
                <w:rFonts w:ascii="Times New Roman" w:hAnsi="Times New Roman" w:cs="Times New Roman"/>
                <w:sz w:val="14"/>
                <w:szCs w:val="14"/>
                <w:lang w:val="en-GB"/>
              </w:rPr>
            </w:pPr>
          </w:p>
        </w:tc>
        <w:tc>
          <w:tcPr>
            <w:tcW w:w="0" w:type="auto"/>
            <w:tcBorders>
              <w:top w:val="nil"/>
              <w:left w:val="nil"/>
              <w:bottom w:val="single" w:sz="2" w:space="0" w:color="auto"/>
              <w:right w:val="single" w:sz="4" w:space="0" w:color="auto"/>
            </w:tcBorders>
            <w:vAlign w:val="center"/>
            <w:hideMark/>
          </w:tcPr>
          <w:p w14:paraId="7793A426"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PM_RIC20</w:t>
            </w:r>
          </w:p>
        </w:tc>
        <w:tc>
          <w:tcPr>
            <w:tcW w:w="0" w:type="auto"/>
            <w:tcBorders>
              <w:top w:val="nil"/>
              <w:left w:val="nil"/>
              <w:bottom w:val="single" w:sz="2" w:space="0" w:color="auto"/>
              <w:right w:val="single" w:sz="4" w:space="0" w:color="auto"/>
            </w:tcBorders>
            <w:vAlign w:val="center"/>
            <w:hideMark/>
          </w:tcPr>
          <w:p w14:paraId="760D418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Promoting innovative circular economy technologies to improve businesses competitiveness</w:t>
            </w:r>
          </w:p>
        </w:tc>
        <w:tc>
          <w:tcPr>
            <w:tcW w:w="0" w:type="auto"/>
            <w:tcBorders>
              <w:top w:val="nil"/>
              <w:left w:val="nil"/>
              <w:bottom w:val="single" w:sz="2" w:space="0" w:color="auto"/>
              <w:right w:val="single" w:sz="4" w:space="0" w:color="auto"/>
            </w:tcBorders>
            <w:vAlign w:val="center"/>
            <w:hideMark/>
          </w:tcPr>
          <w:p w14:paraId="7597143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Investment</w:t>
            </w:r>
          </w:p>
        </w:tc>
        <w:tc>
          <w:tcPr>
            <w:tcW w:w="0" w:type="auto"/>
            <w:tcBorders>
              <w:top w:val="nil"/>
              <w:left w:val="nil"/>
              <w:bottom w:val="single" w:sz="2" w:space="0" w:color="auto"/>
              <w:right w:val="single" w:sz="4" w:space="0" w:color="auto"/>
            </w:tcBorders>
            <w:vAlign w:val="center"/>
            <w:hideMark/>
          </w:tcPr>
          <w:p w14:paraId="3FF00CF3"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nil"/>
              <w:left w:val="nil"/>
              <w:bottom w:val="single" w:sz="2" w:space="0" w:color="auto"/>
              <w:right w:val="single" w:sz="4" w:space="0" w:color="auto"/>
            </w:tcBorders>
            <w:shd w:val="clear" w:color="auto" w:fill="E2EFDA"/>
            <w:vAlign w:val="center"/>
            <w:hideMark/>
          </w:tcPr>
          <w:p w14:paraId="772DA74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4.50</w:t>
            </w:r>
          </w:p>
        </w:tc>
        <w:tc>
          <w:tcPr>
            <w:tcW w:w="0" w:type="auto"/>
            <w:tcBorders>
              <w:top w:val="nil"/>
              <w:left w:val="nil"/>
              <w:bottom w:val="single" w:sz="2" w:space="0" w:color="auto"/>
              <w:right w:val="single" w:sz="4" w:space="0" w:color="auto"/>
            </w:tcBorders>
            <w:shd w:val="clear" w:color="auto" w:fill="ED7D31"/>
            <w:vAlign w:val="center"/>
            <w:hideMark/>
          </w:tcPr>
          <w:p w14:paraId="2D78642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2.25</w:t>
            </w:r>
          </w:p>
        </w:tc>
        <w:tc>
          <w:tcPr>
            <w:tcW w:w="0" w:type="auto"/>
            <w:tcBorders>
              <w:top w:val="nil"/>
              <w:left w:val="nil"/>
              <w:bottom w:val="single" w:sz="2" w:space="0" w:color="auto"/>
              <w:right w:val="single" w:sz="4" w:space="0" w:color="auto"/>
            </w:tcBorders>
            <w:shd w:val="clear" w:color="auto" w:fill="ED7D31"/>
            <w:vAlign w:val="center"/>
            <w:hideMark/>
          </w:tcPr>
          <w:p w14:paraId="7EA7201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2.25</w:t>
            </w:r>
          </w:p>
        </w:tc>
        <w:tc>
          <w:tcPr>
            <w:tcW w:w="0" w:type="auto"/>
            <w:tcBorders>
              <w:top w:val="nil"/>
              <w:left w:val="nil"/>
              <w:bottom w:val="single" w:sz="2" w:space="0" w:color="auto"/>
              <w:right w:val="single" w:sz="4" w:space="0" w:color="auto"/>
            </w:tcBorders>
            <w:shd w:val="clear" w:color="auto" w:fill="ED7D31"/>
            <w:vAlign w:val="center"/>
            <w:hideMark/>
          </w:tcPr>
          <w:p w14:paraId="6C869F6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WEM</w:t>
            </w:r>
          </w:p>
        </w:tc>
        <w:tc>
          <w:tcPr>
            <w:tcW w:w="0" w:type="auto"/>
            <w:tcBorders>
              <w:top w:val="nil"/>
              <w:left w:val="nil"/>
              <w:bottom w:val="single" w:sz="2" w:space="0" w:color="auto"/>
              <w:right w:val="single" w:sz="4" w:space="0" w:color="auto"/>
            </w:tcBorders>
            <w:shd w:val="clear" w:color="auto" w:fill="ED7D31"/>
            <w:vAlign w:val="center"/>
            <w:hideMark/>
          </w:tcPr>
          <w:p w14:paraId="039DB08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4.50</w:t>
            </w:r>
          </w:p>
        </w:tc>
        <w:tc>
          <w:tcPr>
            <w:tcW w:w="0" w:type="auto"/>
            <w:tcBorders>
              <w:top w:val="nil"/>
              <w:left w:val="nil"/>
              <w:bottom w:val="single" w:sz="2" w:space="0" w:color="auto"/>
              <w:right w:val="single" w:sz="4" w:space="0" w:color="auto"/>
            </w:tcBorders>
            <w:shd w:val="clear" w:color="auto" w:fill="ED7D31"/>
            <w:vAlign w:val="center"/>
            <w:hideMark/>
          </w:tcPr>
          <w:p w14:paraId="538AB004"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r w:rsidR="00614438" w:rsidRPr="004F5BC1" w14:paraId="79DE11FE" w14:textId="77777777" w:rsidTr="00614438">
        <w:trPr>
          <w:trHeight w:val="20"/>
        </w:trPr>
        <w:tc>
          <w:tcPr>
            <w:tcW w:w="0" w:type="auto"/>
            <w:tcBorders>
              <w:top w:val="single" w:sz="2" w:space="0" w:color="auto"/>
              <w:left w:val="single" w:sz="2" w:space="0" w:color="auto"/>
              <w:bottom w:val="single" w:sz="2" w:space="0" w:color="auto"/>
              <w:right w:val="single" w:sz="2" w:space="0" w:color="auto"/>
            </w:tcBorders>
            <w:shd w:val="clear" w:color="auto" w:fill="BFBFBF"/>
            <w:vAlign w:val="center"/>
            <w:hideMark/>
          </w:tcPr>
          <w:p w14:paraId="3DA3FA9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single" w:sz="2" w:space="0" w:color="auto"/>
              <w:left w:val="single" w:sz="2" w:space="0" w:color="auto"/>
              <w:bottom w:val="single" w:sz="2" w:space="0" w:color="auto"/>
              <w:right w:val="single" w:sz="2" w:space="0" w:color="auto"/>
            </w:tcBorders>
            <w:vAlign w:val="center"/>
            <w:hideMark/>
          </w:tcPr>
          <w:p w14:paraId="56D17322"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single" w:sz="2" w:space="0" w:color="auto"/>
              <w:left w:val="single" w:sz="2" w:space="0" w:color="auto"/>
              <w:bottom w:val="single" w:sz="2" w:space="0" w:color="auto"/>
              <w:right w:val="single" w:sz="2" w:space="0" w:color="auto"/>
            </w:tcBorders>
            <w:vAlign w:val="center"/>
            <w:hideMark/>
          </w:tcPr>
          <w:p w14:paraId="3C3AB7F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TOTAL FOR RIC</w:t>
            </w:r>
          </w:p>
        </w:tc>
        <w:tc>
          <w:tcPr>
            <w:tcW w:w="0" w:type="auto"/>
            <w:tcBorders>
              <w:top w:val="single" w:sz="2" w:space="0" w:color="auto"/>
              <w:left w:val="single" w:sz="2" w:space="0" w:color="auto"/>
              <w:bottom w:val="single" w:sz="2" w:space="0" w:color="auto"/>
              <w:right w:val="single" w:sz="2" w:space="0" w:color="auto"/>
            </w:tcBorders>
            <w:vAlign w:val="center"/>
            <w:hideMark/>
          </w:tcPr>
          <w:p w14:paraId="33B1608B"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single" w:sz="2" w:space="0" w:color="auto"/>
              <w:left w:val="single" w:sz="2" w:space="0" w:color="auto"/>
              <w:bottom w:val="single" w:sz="2" w:space="0" w:color="auto"/>
              <w:right w:val="single" w:sz="2" w:space="0" w:color="auto"/>
            </w:tcBorders>
            <w:vAlign w:val="center"/>
            <w:hideMark/>
          </w:tcPr>
          <w:p w14:paraId="36D18319"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single" w:sz="2" w:space="0" w:color="auto"/>
              <w:left w:val="single" w:sz="2" w:space="0" w:color="auto"/>
              <w:bottom w:val="single" w:sz="2" w:space="0" w:color="auto"/>
              <w:right w:val="single" w:sz="2" w:space="0" w:color="auto"/>
            </w:tcBorders>
            <w:shd w:val="clear" w:color="auto" w:fill="E2EFDA"/>
            <w:vAlign w:val="center"/>
            <w:hideMark/>
          </w:tcPr>
          <w:p w14:paraId="1E9F1E51"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0.11</w:t>
            </w:r>
          </w:p>
        </w:tc>
        <w:tc>
          <w:tcPr>
            <w:tcW w:w="0" w:type="auto"/>
            <w:tcBorders>
              <w:top w:val="single" w:sz="2" w:space="0" w:color="auto"/>
              <w:left w:val="single" w:sz="2" w:space="0" w:color="auto"/>
              <w:bottom w:val="single" w:sz="2" w:space="0" w:color="auto"/>
              <w:right w:val="single" w:sz="2" w:space="0" w:color="auto"/>
            </w:tcBorders>
            <w:shd w:val="clear" w:color="auto" w:fill="E2EFDA"/>
            <w:vAlign w:val="center"/>
            <w:hideMark/>
          </w:tcPr>
          <w:p w14:paraId="595AC0CC"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0.06</w:t>
            </w:r>
          </w:p>
        </w:tc>
        <w:tc>
          <w:tcPr>
            <w:tcW w:w="0" w:type="auto"/>
            <w:tcBorders>
              <w:top w:val="single" w:sz="2" w:space="0" w:color="auto"/>
              <w:left w:val="single" w:sz="2" w:space="0" w:color="auto"/>
              <w:bottom w:val="single" w:sz="2" w:space="0" w:color="auto"/>
              <w:right w:val="single" w:sz="2" w:space="0" w:color="auto"/>
            </w:tcBorders>
            <w:shd w:val="clear" w:color="auto" w:fill="E2EFDA"/>
            <w:vAlign w:val="center"/>
            <w:hideMark/>
          </w:tcPr>
          <w:p w14:paraId="09A334DE"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0.05</w:t>
            </w:r>
          </w:p>
        </w:tc>
        <w:tc>
          <w:tcPr>
            <w:tcW w:w="0" w:type="auto"/>
            <w:tcBorders>
              <w:top w:val="single" w:sz="2" w:space="0" w:color="auto"/>
              <w:left w:val="single" w:sz="2" w:space="0" w:color="auto"/>
              <w:bottom w:val="single" w:sz="2" w:space="0" w:color="auto"/>
              <w:right w:val="single" w:sz="2" w:space="0" w:color="auto"/>
            </w:tcBorders>
            <w:shd w:val="clear" w:color="auto" w:fill="E2EFDA"/>
            <w:vAlign w:val="center"/>
            <w:hideMark/>
          </w:tcPr>
          <w:p w14:paraId="552FEB8F"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 </w:t>
            </w:r>
          </w:p>
        </w:tc>
        <w:tc>
          <w:tcPr>
            <w:tcW w:w="0" w:type="auto"/>
            <w:tcBorders>
              <w:top w:val="single" w:sz="2" w:space="0" w:color="auto"/>
              <w:left w:val="single" w:sz="2" w:space="0" w:color="auto"/>
              <w:bottom w:val="single" w:sz="2" w:space="0" w:color="auto"/>
              <w:right w:val="single" w:sz="2" w:space="0" w:color="auto"/>
            </w:tcBorders>
            <w:shd w:val="clear" w:color="auto" w:fill="E2EFDA"/>
            <w:vAlign w:val="center"/>
            <w:hideMark/>
          </w:tcPr>
          <w:p w14:paraId="2A6CAEA8"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0.11</w:t>
            </w:r>
          </w:p>
        </w:tc>
        <w:tc>
          <w:tcPr>
            <w:tcW w:w="0" w:type="auto"/>
            <w:tcBorders>
              <w:top w:val="single" w:sz="2" w:space="0" w:color="auto"/>
              <w:left w:val="single" w:sz="2" w:space="0" w:color="auto"/>
              <w:bottom w:val="single" w:sz="2" w:space="0" w:color="auto"/>
              <w:right w:val="single" w:sz="2" w:space="0" w:color="auto"/>
            </w:tcBorders>
            <w:shd w:val="clear" w:color="auto" w:fill="E2EFDA"/>
            <w:vAlign w:val="center"/>
            <w:hideMark/>
          </w:tcPr>
          <w:p w14:paraId="2675377A" w14:textId="77777777" w:rsidR="00614438" w:rsidRPr="004F5BC1" w:rsidRDefault="00614438" w:rsidP="00614438">
            <w:pPr>
              <w:jc w:val="both"/>
              <w:rPr>
                <w:rFonts w:ascii="Times New Roman" w:hAnsi="Times New Roman" w:cs="Times New Roman"/>
                <w:sz w:val="14"/>
                <w:szCs w:val="14"/>
                <w:lang w:val="en-GB"/>
              </w:rPr>
            </w:pPr>
            <w:r w:rsidRPr="004F5BC1">
              <w:rPr>
                <w:rFonts w:ascii="Times New Roman" w:hAnsi="Times New Roman" w:cs="Times New Roman"/>
                <w:sz w:val="14"/>
                <w:szCs w:val="14"/>
                <w:lang w:val="en-GB"/>
              </w:rPr>
              <w:t>0.00</w:t>
            </w:r>
          </w:p>
        </w:tc>
      </w:tr>
    </w:tbl>
    <w:p w14:paraId="576532D6" w14:textId="77777777" w:rsidR="00614438" w:rsidRPr="004F5BC1" w:rsidRDefault="00614438" w:rsidP="00614438">
      <w:pPr>
        <w:jc w:val="both"/>
        <w:rPr>
          <w:rFonts w:ascii="Times New Roman" w:hAnsi="Times New Roman" w:cs="Times New Roman"/>
          <w:sz w:val="14"/>
          <w:szCs w:val="14"/>
          <w:lang w:val="en-GB"/>
        </w:rPr>
      </w:pPr>
    </w:p>
    <w:p w14:paraId="605C156E" w14:textId="77777777" w:rsidR="00614438" w:rsidRPr="00614438" w:rsidRDefault="00614438" w:rsidP="00614438">
      <w:pPr>
        <w:jc w:val="both"/>
        <w:rPr>
          <w:rFonts w:ascii="Times New Roman" w:hAnsi="Times New Roman" w:cs="Times New Roman"/>
          <w:sz w:val="24"/>
          <w:szCs w:val="24"/>
          <w:lang w:val="en-GB"/>
        </w:rPr>
        <w:sectPr w:rsidR="00614438" w:rsidRPr="00614438" w:rsidSect="00614438">
          <w:pgSz w:w="16838" w:h="11906" w:orient="landscape"/>
          <w:pgMar w:top="1134" w:right="1134" w:bottom="1134" w:left="1134" w:header="720" w:footer="720" w:gutter="0"/>
          <w:cols w:space="720"/>
        </w:sectPr>
      </w:pPr>
    </w:p>
    <w:p w14:paraId="47AF070F" w14:textId="77777777" w:rsidR="00614438" w:rsidRPr="00614438" w:rsidRDefault="00614438" w:rsidP="00614438">
      <w:pPr>
        <w:jc w:val="both"/>
        <w:rPr>
          <w:rFonts w:ascii="Times New Roman" w:hAnsi="Times New Roman" w:cs="Times New Roman"/>
          <w:sz w:val="24"/>
          <w:szCs w:val="24"/>
          <w:lang w:val="en-GB"/>
        </w:rPr>
      </w:pPr>
    </w:p>
    <w:p w14:paraId="20AEAC15" w14:textId="77777777" w:rsidR="00614438" w:rsidRPr="00614438" w:rsidRDefault="00614438" w:rsidP="00485CA7">
      <w:pPr>
        <w:numPr>
          <w:ilvl w:val="0"/>
          <w:numId w:val="249"/>
        </w:numPr>
        <w:jc w:val="both"/>
        <w:rPr>
          <w:rFonts w:ascii="Times New Roman" w:hAnsi="Times New Roman" w:cs="Times New Roman"/>
          <w:sz w:val="24"/>
          <w:szCs w:val="24"/>
          <w:lang w:val="en-GB"/>
        </w:rPr>
      </w:pPr>
      <w:bookmarkStart w:id="667" w:name="_Hlk148602304"/>
      <w:r w:rsidRPr="00614438">
        <w:rPr>
          <w:rFonts w:ascii="Times New Roman" w:hAnsi="Times New Roman" w:cs="Times New Roman"/>
          <w:sz w:val="24"/>
          <w:szCs w:val="24"/>
          <w:lang w:val="en-GB"/>
        </w:rPr>
        <w:t xml:space="preserve"> </w:t>
      </w:r>
      <w:bookmarkStart w:id="668" w:name="_Toc153545063"/>
      <w:r w:rsidRPr="00614438">
        <w:rPr>
          <w:rFonts w:ascii="Times New Roman" w:hAnsi="Times New Roman" w:cs="Times New Roman"/>
          <w:sz w:val="24"/>
          <w:szCs w:val="24"/>
          <w:lang w:val="en-GB"/>
        </w:rPr>
        <w:t>Annex: Detailed analysis of the power system operation</w:t>
      </w:r>
      <w:bookmarkEnd w:id="668"/>
    </w:p>
    <w:bookmarkEnd w:id="667"/>
    <w:p w14:paraId="680C6F1A" w14:textId="55560D9B" w:rsidR="00614438" w:rsidRPr="00614438" w:rsidRDefault="00614438" w:rsidP="00AD4843">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“High</w:t>
      </w:r>
      <w:r w:rsidR="00AD4843">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RES penetration market tool” (RES-Tool) developed in ANTARES has been used to verify the feasibility of system configurations according to scenarios developed with SEMS. Target Years are 2030 and 2040, with more emphasis on the former, as it is the final year of the INECP under development. The modelled perimeter in the RES Tool </w:t>
      </w:r>
      <w:r w:rsidR="00AD4843">
        <w:rPr>
          <w:rFonts w:ascii="Times New Roman" w:hAnsi="Times New Roman" w:cs="Times New Roman"/>
          <w:sz w:val="24"/>
          <w:szCs w:val="24"/>
          <w:lang w:val="en-GB"/>
        </w:rPr>
        <w:t>includes</w:t>
      </w:r>
      <w:r w:rsidRPr="00614438">
        <w:rPr>
          <w:rFonts w:ascii="Times New Roman" w:hAnsi="Times New Roman" w:cs="Times New Roman"/>
          <w:sz w:val="24"/>
          <w:szCs w:val="24"/>
          <w:lang w:val="en-GB"/>
        </w:rPr>
        <w:t xml:space="preserve"> the South-East Europe region. Such an extensive regional model allows for the adequate representation of the high interconnectivity of the Serbian electricity system and its participation in the European electricity market. The models of the market zones except Serbia are based on publicly available data of ENTSO-E for TYNDP 2020, NT (National Trends) scenario for target years 2030 and 2040. The following sections present the key results for Scenario S for 2030 and 2040.</w:t>
      </w:r>
    </w:p>
    <w:p w14:paraId="400F319B" w14:textId="77777777" w:rsidR="00614438" w:rsidRPr="00614438" w:rsidRDefault="00614438" w:rsidP="00485CA7">
      <w:pPr>
        <w:numPr>
          <w:ilvl w:val="0"/>
          <w:numId w:val="250"/>
        </w:num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Scenario-S analysis for 2030</w:t>
      </w:r>
    </w:p>
    <w:p w14:paraId="6299B37C" w14:textId="2617A796" w:rsidR="00614438" w:rsidRPr="00614438" w:rsidRDefault="00614438" w:rsidP="00DD1698">
      <w:pPr>
        <w:ind w:firstLine="360"/>
        <w:jc w:val="both"/>
        <w:rPr>
          <w:rFonts w:ascii="Times New Roman" w:hAnsi="Times New Roman" w:cs="Times New Roman"/>
          <w:sz w:val="24"/>
          <w:szCs w:val="24"/>
        </w:rPr>
      </w:pPr>
      <w:r w:rsidRPr="00614438">
        <w:rPr>
          <w:rFonts w:ascii="Times New Roman" w:hAnsi="Times New Roman" w:cs="Times New Roman"/>
          <w:sz w:val="24"/>
          <w:szCs w:val="24"/>
          <w:lang w:val="en-GB"/>
        </w:rPr>
        <w:t>The main input parameters to the RES Tool are the net capacities of all the power plants in the Serbian system. According to the scenario results</w:t>
      </w:r>
      <w:bookmarkStart w:id="669" w:name="_heading=h.p49hy1"/>
      <w:bookmarkEnd w:id="669"/>
      <w:r w:rsidRPr="00614438">
        <w:rPr>
          <w:rFonts w:ascii="Times New Roman" w:hAnsi="Times New Roman" w:cs="Times New Roman"/>
          <w:sz w:val="24"/>
          <w:szCs w:val="24"/>
          <w:lang w:val="en-GB"/>
        </w:rPr>
        <w:t xml:space="preserve"> there is one Pump-Storage Plant (PSP) available, namely</w:t>
      </w:r>
      <w:r w:rsidR="00DD1698">
        <w:rPr>
          <w:rFonts w:ascii="Times New Roman" w:hAnsi="Times New Roman" w:cs="Times New Roman"/>
          <w:sz w:val="24"/>
          <w:szCs w:val="24"/>
          <w:lang w:val="en-GB"/>
        </w:rPr>
        <w:t xml:space="preserve">, </w:t>
      </w:r>
      <w:r w:rsidRPr="00614438">
        <w:rPr>
          <w:rFonts w:ascii="Times New Roman" w:hAnsi="Times New Roman" w:cs="Times New Roman"/>
          <w:sz w:val="24"/>
          <w:szCs w:val="24"/>
        </w:rPr>
        <w:t>PHPP Bajina Basta (616 MW turbining capacity)</w:t>
      </w:r>
      <w:r w:rsidR="00DD1698">
        <w:rPr>
          <w:rFonts w:ascii="Times New Roman" w:hAnsi="Times New Roman" w:cs="Times New Roman"/>
          <w:sz w:val="24"/>
          <w:szCs w:val="24"/>
        </w:rPr>
        <w:t>.</w:t>
      </w:r>
    </w:p>
    <w:p w14:paraId="3D8793C8" w14:textId="772B9716" w:rsidR="00614438" w:rsidRPr="00614438" w:rsidRDefault="00614438" w:rsidP="00DD1698">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Based on the RES capacities and the recent study on RES integration in Serbia (D. Orlic et al. “Large-Scale RES Integration in Serbia”, EKC, prepared for USAID and USEA, Jul</w:t>
      </w:r>
      <w:r w:rsidR="00DD1698">
        <w:rPr>
          <w:rFonts w:ascii="Times New Roman" w:hAnsi="Times New Roman" w:cs="Times New Roman"/>
          <w:sz w:val="24"/>
          <w:szCs w:val="24"/>
          <w:lang w:val="en-GB"/>
        </w:rPr>
        <w:t>y,</w:t>
      </w:r>
      <w:r w:rsidRPr="00614438">
        <w:rPr>
          <w:rFonts w:ascii="Times New Roman" w:hAnsi="Times New Roman" w:cs="Times New Roman"/>
          <w:sz w:val="24"/>
          <w:szCs w:val="24"/>
          <w:lang w:val="en-GB"/>
        </w:rPr>
        <w:t xml:space="preserve"> 2022), the value of the hourly day-ahead reserves requirements provided to the model was 1250 MW.</w:t>
      </w:r>
    </w:p>
    <w:p w14:paraId="3341DCFE" w14:textId="4F7F657D" w:rsidR="00DD1698" w:rsidRDefault="00614438" w:rsidP="00DD1698">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main results can be seen in </w:t>
      </w:r>
      <w:r w:rsidR="00FA29EF">
        <w:fldChar w:fldCharType="begin"/>
      </w:r>
      <w:r w:rsidR="00FA29EF">
        <w:instrText xml:space="preserve"> REF _Ref153533347 \h  \* MERGEFORMAT </w:instrText>
      </w:r>
      <w:r w:rsidR="00FA29EF">
        <w:fldChar w:fldCharType="separate"/>
      </w:r>
      <w:r w:rsidRPr="00614438">
        <w:rPr>
          <w:rFonts w:ascii="Times New Roman" w:hAnsi="Times New Roman" w:cs="Times New Roman"/>
          <w:sz w:val="24"/>
          <w:szCs w:val="24"/>
          <w:lang w:val="en-GB"/>
        </w:rPr>
        <w:t>Table II.1</w:t>
      </w:r>
      <w:r w:rsidR="00FA29EF">
        <w:fldChar w:fldCharType="end"/>
      </w:r>
      <w:r w:rsidRPr="00614438">
        <w:rPr>
          <w:rFonts w:ascii="Times New Roman" w:hAnsi="Times New Roman" w:cs="Times New Roman"/>
          <w:sz w:val="24"/>
          <w:szCs w:val="24"/>
          <w:lang w:val="en-GB"/>
        </w:rPr>
        <w:t xml:space="preserve">. All results shown refer to the Serbian power system, except for the total simulated region cost, which is also the target cost minimized by the simulation algorithm. Unsupplied energy is practically zero, signifying generation adequacy of the system. </w:t>
      </w:r>
      <w:r w:rsidR="00DD1698" w:rsidRPr="00DD1698">
        <w:rPr>
          <w:rFonts w:ascii="Times New Roman" w:hAnsi="Times New Roman" w:cs="Times New Roman"/>
          <w:sz w:val="24"/>
          <w:szCs w:val="24"/>
          <w:lang w:val="en-GB"/>
        </w:rPr>
        <w:t xml:space="preserve">Annual production based on lignite amounts to 17 TWh. It should be kept in mind that hydro </w:t>
      </w:r>
      <w:r w:rsidR="00DD1698" w:rsidRPr="00614438">
        <w:rPr>
          <w:rFonts w:ascii="Times New Roman" w:hAnsi="Times New Roman" w:cs="Times New Roman"/>
          <w:sz w:val="24"/>
          <w:szCs w:val="24"/>
          <w:lang w:val="en-GB"/>
        </w:rPr>
        <w:t xml:space="preserve">generation </w:t>
      </w:r>
      <w:r w:rsidR="00DD1698" w:rsidRPr="00DD1698">
        <w:rPr>
          <w:rFonts w:ascii="Times New Roman" w:hAnsi="Times New Roman" w:cs="Times New Roman"/>
          <w:sz w:val="24"/>
          <w:szCs w:val="24"/>
          <w:lang w:val="en-GB"/>
        </w:rPr>
        <w:t>refers to production only from hydro inflows (</w:t>
      </w:r>
      <w:r w:rsidR="00DD1698">
        <w:rPr>
          <w:rFonts w:ascii="Times New Roman" w:hAnsi="Times New Roman" w:cs="Times New Roman"/>
          <w:sz w:val="24"/>
          <w:szCs w:val="24"/>
          <w:lang w:val="en-GB"/>
        </w:rPr>
        <w:t>reversible hydroplants</w:t>
      </w:r>
      <w:r w:rsidR="00DD1698" w:rsidRPr="00DD1698">
        <w:rPr>
          <w:rFonts w:ascii="Times New Roman" w:hAnsi="Times New Roman" w:cs="Times New Roman"/>
          <w:sz w:val="24"/>
          <w:szCs w:val="24"/>
          <w:lang w:val="en-GB"/>
        </w:rPr>
        <w:t xml:space="preserve"> are not included). It can be seen that no energy wastage occurs at all, which makes the system flexible enough to accommodate mode</w:t>
      </w:r>
      <w:r w:rsidR="00DD1698">
        <w:rPr>
          <w:rFonts w:ascii="Times New Roman" w:hAnsi="Times New Roman" w:cs="Times New Roman"/>
          <w:sz w:val="24"/>
          <w:szCs w:val="24"/>
          <w:lang w:val="en-GB"/>
        </w:rPr>
        <w:t>l</w:t>
      </w:r>
      <w:r w:rsidR="00DD1698" w:rsidRPr="00DD1698">
        <w:rPr>
          <w:rFonts w:ascii="Times New Roman" w:hAnsi="Times New Roman" w:cs="Times New Roman"/>
          <w:sz w:val="24"/>
          <w:szCs w:val="24"/>
          <w:lang w:val="en-GB"/>
        </w:rPr>
        <w:t>led variable RES capacities, at least at the day-ahead market level. The interconnectivity of Serbia's electric power system provides considerable flexibility. On an annual basis, the Serbian system exports 0.6 TWh, or an average of 73 MWh per hour.</w:t>
      </w:r>
    </w:p>
    <w:p w14:paraId="6A54BD7A" w14:textId="77777777" w:rsidR="00614438" w:rsidRPr="004F5BC1" w:rsidRDefault="00614438" w:rsidP="004F5BC1">
      <w:pPr>
        <w:spacing w:after="0"/>
        <w:jc w:val="both"/>
        <w:rPr>
          <w:rFonts w:ascii="Times New Roman" w:hAnsi="Times New Roman" w:cs="Times New Roman"/>
          <w:sz w:val="20"/>
          <w:szCs w:val="20"/>
        </w:rPr>
      </w:pPr>
      <w:bookmarkStart w:id="670" w:name="_heading=h.393x0lu"/>
      <w:bookmarkStart w:id="671" w:name="_Ref153533347"/>
      <w:bookmarkStart w:id="672" w:name="_Toc153545085"/>
      <w:bookmarkEnd w:id="670"/>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II</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bookmarkEnd w:id="671"/>
      <w:r w:rsidRPr="00614438">
        <w:rPr>
          <w:rFonts w:ascii="Times New Roman" w:hAnsi="Times New Roman" w:cs="Times New Roman"/>
          <w:sz w:val="24"/>
          <w:szCs w:val="24"/>
        </w:rPr>
        <w:t>: Scenario S average general results for Target Year 2030</w:t>
      </w:r>
      <w:bookmarkEnd w:id="672"/>
    </w:p>
    <w:tbl>
      <w:tblPr>
        <w:tblW w:w="6522" w:type="dxa"/>
        <w:jc w:val="center"/>
        <w:tblLook w:val="04A0" w:firstRow="1" w:lastRow="0" w:firstColumn="1" w:lastColumn="0" w:noHBand="0" w:noVBand="1"/>
      </w:tblPr>
      <w:tblGrid>
        <w:gridCol w:w="3850"/>
        <w:gridCol w:w="2672"/>
      </w:tblGrid>
      <w:tr w:rsidR="00614438" w:rsidRPr="004F5BC1" w14:paraId="690313D3" w14:textId="77777777" w:rsidTr="00614438">
        <w:trPr>
          <w:trHeight w:val="20"/>
          <w:jc w:val="center"/>
        </w:trPr>
        <w:tc>
          <w:tcPr>
            <w:tcW w:w="3850" w:type="dxa"/>
            <w:tcBorders>
              <w:top w:val="single" w:sz="8" w:space="0" w:color="auto"/>
              <w:left w:val="single" w:sz="8" w:space="0" w:color="auto"/>
              <w:bottom w:val="single" w:sz="4" w:space="0" w:color="auto"/>
              <w:right w:val="nil"/>
            </w:tcBorders>
            <w:shd w:val="clear" w:color="auto" w:fill="404040"/>
            <w:noWrap/>
            <w:vAlign w:val="center"/>
            <w:hideMark/>
          </w:tcPr>
          <w:p w14:paraId="4FF5E1F0"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Title</w:t>
            </w:r>
          </w:p>
        </w:tc>
        <w:tc>
          <w:tcPr>
            <w:tcW w:w="2672" w:type="dxa"/>
            <w:tcBorders>
              <w:top w:val="single" w:sz="8" w:space="0" w:color="auto"/>
              <w:left w:val="nil"/>
              <w:bottom w:val="single" w:sz="4" w:space="0" w:color="auto"/>
              <w:right w:val="single" w:sz="8" w:space="0" w:color="auto"/>
            </w:tcBorders>
            <w:shd w:val="clear" w:color="auto" w:fill="1F497D"/>
            <w:vAlign w:val="center"/>
            <w:hideMark/>
          </w:tcPr>
          <w:p w14:paraId="26E98E41"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Scenario S</w:t>
            </w:r>
          </w:p>
        </w:tc>
      </w:tr>
      <w:tr w:rsidR="00614438" w:rsidRPr="004F5BC1" w14:paraId="5D689985" w14:textId="77777777" w:rsidTr="00614438">
        <w:trPr>
          <w:trHeight w:val="20"/>
          <w:jc w:val="center"/>
        </w:trPr>
        <w:tc>
          <w:tcPr>
            <w:tcW w:w="3850" w:type="dxa"/>
            <w:tcBorders>
              <w:top w:val="nil"/>
              <w:left w:val="single" w:sz="8" w:space="0" w:color="auto"/>
              <w:bottom w:val="single" w:sz="4" w:space="0" w:color="auto"/>
              <w:right w:val="nil"/>
            </w:tcBorders>
            <w:shd w:val="clear" w:color="auto" w:fill="F2F2F2"/>
            <w:noWrap/>
            <w:vAlign w:val="center"/>
            <w:hideMark/>
          </w:tcPr>
          <w:p w14:paraId="361C790B"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 </w:t>
            </w:r>
          </w:p>
        </w:tc>
        <w:tc>
          <w:tcPr>
            <w:tcW w:w="2672" w:type="dxa"/>
            <w:tcBorders>
              <w:top w:val="nil"/>
              <w:left w:val="nil"/>
              <w:bottom w:val="single" w:sz="4" w:space="0" w:color="auto"/>
              <w:right w:val="single" w:sz="8" w:space="0" w:color="auto"/>
            </w:tcBorders>
            <w:noWrap/>
            <w:vAlign w:val="center"/>
            <w:hideMark/>
          </w:tcPr>
          <w:p w14:paraId="7D5C6A57"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GWh</w:t>
            </w:r>
          </w:p>
        </w:tc>
      </w:tr>
      <w:tr w:rsidR="00614438" w:rsidRPr="004F5BC1" w14:paraId="7E28D787" w14:textId="77777777" w:rsidTr="00614438">
        <w:trPr>
          <w:trHeight w:val="20"/>
          <w:jc w:val="center"/>
        </w:trPr>
        <w:tc>
          <w:tcPr>
            <w:tcW w:w="3850" w:type="dxa"/>
            <w:tcBorders>
              <w:top w:val="nil"/>
              <w:left w:val="single" w:sz="8" w:space="0" w:color="auto"/>
              <w:bottom w:val="single" w:sz="4" w:space="0" w:color="auto"/>
              <w:right w:val="nil"/>
            </w:tcBorders>
            <w:shd w:val="clear" w:color="auto" w:fill="F2F2F2"/>
            <w:noWrap/>
            <w:vAlign w:val="center"/>
            <w:hideMark/>
          </w:tcPr>
          <w:p w14:paraId="10D65E5C"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Demand</w:t>
            </w:r>
          </w:p>
        </w:tc>
        <w:tc>
          <w:tcPr>
            <w:tcW w:w="2672" w:type="dxa"/>
            <w:tcBorders>
              <w:top w:val="nil"/>
              <w:left w:val="nil"/>
              <w:bottom w:val="single" w:sz="4" w:space="0" w:color="auto"/>
              <w:right w:val="single" w:sz="8" w:space="0" w:color="auto"/>
            </w:tcBorders>
            <w:shd w:val="clear" w:color="auto" w:fill="DDEBF7"/>
            <w:noWrap/>
            <w:vAlign w:val="center"/>
            <w:hideMark/>
          </w:tcPr>
          <w:p w14:paraId="0AEE9723"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37,685.9</w:t>
            </w:r>
          </w:p>
        </w:tc>
      </w:tr>
      <w:tr w:rsidR="00614438" w:rsidRPr="004F5BC1" w14:paraId="5FCDC19D" w14:textId="77777777" w:rsidTr="00614438">
        <w:trPr>
          <w:trHeight w:val="20"/>
          <w:jc w:val="center"/>
        </w:trPr>
        <w:tc>
          <w:tcPr>
            <w:tcW w:w="3850" w:type="dxa"/>
            <w:tcBorders>
              <w:top w:val="nil"/>
              <w:left w:val="single" w:sz="8" w:space="0" w:color="auto"/>
              <w:bottom w:val="single" w:sz="4" w:space="0" w:color="auto"/>
              <w:right w:val="nil"/>
            </w:tcBorders>
            <w:shd w:val="clear" w:color="auto" w:fill="F2F2F2"/>
            <w:noWrap/>
            <w:vAlign w:val="center"/>
            <w:hideMark/>
          </w:tcPr>
          <w:p w14:paraId="7FE1509F"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Lignite</w:t>
            </w:r>
          </w:p>
        </w:tc>
        <w:tc>
          <w:tcPr>
            <w:tcW w:w="2672" w:type="dxa"/>
            <w:tcBorders>
              <w:top w:val="nil"/>
              <w:left w:val="nil"/>
              <w:bottom w:val="single" w:sz="4" w:space="0" w:color="auto"/>
              <w:right w:val="single" w:sz="8" w:space="0" w:color="auto"/>
            </w:tcBorders>
            <w:noWrap/>
            <w:vAlign w:val="center"/>
            <w:hideMark/>
          </w:tcPr>
          <w:p w14:paraId="01DEEA43"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16,832.9</w:t>
            </w:r>
          </w:p>
        </w:tc>
      </w:tr>
      <w:tr w:rsidR="00614438" w:rsidRPr="004F5BC1" w14:paraId="2AEA3FD9" w14:textId="77777777" w:rsidTr="00614438">
        <w:trPr>
          <w:trHeight w:val="20"/>
          <w:jc w:val="center"/>
        </w:trPr>
        <w:tc>
          <w:tcPr>
            <w:tcW w:w="3850" w:type="dxa"/>
            <w:tcBorders>
              <w:top w:val="nil"/>
              <w:left w:val="single" w:sz="8" w:space="0" w:color="auto"/>
              <w:bottom w:val="single" w:sz="4" w:space="0" w:color="auto"/>
              <w:right w:val="nil"/>
            </w:tcBorders>
            <w:shd w:val="clear" w:color="auto" w:fill="F2F2F2"/>
            <w:noWrap/>
            <w:vAlign w:val="center"/>
            <w:hideMark/>
          </w:tcPr>
          <w:p w14:paraId="7389837E"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Gas</w:t>
            </w:r>
          </w:p>
        </w:tc>
        <w:tc>
          <w:tcPr>
            <w:tcW w:w="2672" w:type="dxa"/>
            <w:tcBorders>
              <w:top w:val="nil"/>
              <w:left w:val="nil"/>
              <w:bottom w:val="single" w:sz="4" w:space="0" w:color="auto"/>
              <w:right w:val="single" w:sz="8" w:space="0" w:color="auto"/>
            </w:tcBorders>
            <w:shd w:val="clear" w:color="auto" w:fill="DDEBF7"/>
            <w:noWrap/>
            <w:vAlign w:val="center"/>
            <w:hideMark/>
          </w:tcPr>
          <w:p w14:paraId="7D867959"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2,679.5</w:t>
            </w:r>
          </w:p>
        </w:tc>
      </w:tr>
      <w:tr w:rsidR="00614438" w:rsidRPr="004F5BC1" w14:paraId="517447AF" w14:textId="77777777" w:rsidTr="00614438">
        <w:trPr>
          <w:trHeight w:val="20"/>
          <w:jc w:val="center"/>
        </w:trPr>
        <w:tc>
          <w:tcPr>
            <w:tcW w:w="3850" w:type="dxa"/>
            <w:tcBorders>
              <w:top w:val="nil"/>
              <w:left w:val="single" w:sz="8" w:space="0" w:color="auto"/>
              <w:bottom w:val="single" w:sz="4" w:space="0" w:color="auto"/>
              <w:right w:val="nil"/>
            </w:tcBorders>
            <w:shd w:val="clear" w:color="auto" w:fill="F2F2F2"/>
            <w:noWrap/>
            <w:vAlign w:val="center"/>
            <w:hideMark/>
          </w:tcPr>
          <w:p w14:paraId="77A02CB0"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Hydro</w:t>
            </w:r>
          </w:p>
        </w:tc>
        <w:tc>
          <w:tcPr>
            <w:tcW w:w="2672" w:type="dxa"/>
            <w:tcBorders>
              <w:top w:val="nil"/>
              <w:left w:val="nil"/>
              <w:bottom w:val="single" w:sz="4" w:space="0" w:color="auto"/>
              <w:right w:val="single" w:sz="8" w:space="0" w:color="auto"/>
            </w:tcBorders>
            <w:noWrap/>
            <w:vAlign w:val="center"/>
            <w:hideMark/>
          </w:tcPr>
          <w:p w14:paraId="56DF595E"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10,818.5</w:t>
            </w:r>
          </w:p>
        </w:tc>
      </w:tr>
      <w:tr w:rsidR="00614438" w:rsidRPr="004F5BC1" w14:paraId="729A83EA" w14:textId="77777777" w:rsidTr="00614438">
        <w:trPr>
          <w:trHeight w:val="20"/>
          <w:jc w:val="center"/>
        </w:trPr>
        <w:tc>
          <w:tcPr>
            <w:tcW w:w="3850" w:type="dxa"/>
            <w:tcBorders>
              <w:top w:val="nil"/>
              <w:left w:val="single" w:sz="8" w:space="0" w:color="auto"/>
              <w:bottom w:val="single" w:sz="4" w:space="0" w:color="auto"/>
              <w:right w:val="nil"/>
            </w:tcBorders>
            <w:shd w:val="clear" w:color="auto" w:fill="F2F2F2"/>
            <w:noWrap/>
            <w:vAlign w:val="center"/>
            <w:hideMark/>
          </w:tcPr>
          <w:p w14:paraId="74EEEAEC"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Wind</w:t>
            </w:r>
          </w:p>
        </w:tc>
        <w:tc>
          <w:tcPr>
            <w:tcW w:w="2672" w:type="dxa"/>
            <w:tcBorders>
              <w:top w:val="nil"/>
              <w:left w:val="nil"/>
              <w:bottom w:val="single" w:sz="4" w:space="0" w:color="auto"/>
              <w:right w:val="single" w:sz="8" w:space="0" w:color="auto"/>
            </w:tcBorders>
            <w:shd w:val="clear" w:color="auto" w:fill="DDEBF7"/>
            <w:noWrap/>
            <w:vAlign w:val="center"/>
            <w:hideMark/>
          </w:tcPr>
          <w:p w14:paraId="0CB76496"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4,608.8</w:t>
            </w:r>
          </w:p>
        </w:tc>
      </w:tr>
      <w:tr w:rsidR="00614438" w:rsidRPr="004F5BC1" w14:paraId="5DE3AAB7" w14:textId="77777777" w:rsidTr="00614438">
        <w:trPr>
          <w:trHeight w:val="20"/>
          <w:jc w:val="center"/>
        </w:trPr>
        <w:tc>
          <w:tcPr>
            <w:tcW w:w="3850" w:type="dxa"/>
            <w:tcBorders>
              <w:top w:val="nil"/>
              <w:left w:val="single" w:sz="8" w:space="0" w:color="auto"/>
              <w:bottom w:val="single" w:sz="4" w:space="0" w:color="auto"/>
              <w:right w:val="nil"/>
            </w:tcBorders>
            <w:shd w:val="clear" w:color="auto" w:fill="F2F2F2"/>
            <w:noWrap/>
            <w:vAlign w:val="center"/>
            <w:hideMark/>
          </w:tcPr>
          <w:p w14:paraId="2CC39568"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Solar</w:t>
            </w:r>
          </w:p>
        </w:tc>
        <w:tc>
          <w:tcPr>
            <w:tcW w:w="2672" w:type="dxa"/>
            <w:tcBorders>
              <w:top w:val="nil"/>
              <w:left w:val="nil"/>
              <w:bottom w:val="single" w:sz="4" w:space="0" w:color="auto"/>
              <w:right w:val="single" w:sz="8" w:space="0" w:color="auto"/>
            </w:tcBorders>
            <w:noWrap/>
            <w:vAlign w:val="center"/>
            <w:hideMark/>
          </w:tcPr>
          <w:p w14:paraId="664771BF"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2,335.6</w:t>
            </w:r>
          </w:p>
        </w:tc>
      </w:tr>
      <w:tr w:rsidR="00614438" w:rsidRPr="004F5BC1" w14:paraId="0C76BD7C" w14:textId="77777777" w:rsidTr="00614438">
        <w:trPr>
          <w:trHeight w:val="20"/>
          <w:jc w:val="center"/>
        </w:trPr>
        <w:tc>
          <w:tcPr>
            <w:tcW w:w="3850" w:type="dxa"/>
            <w:tcBorders>
              <w:top w:val="nil"/>
              <w:left w:val="single" w:sz="8" w:space="0" w:color="auto"/>
              <w:bottom w:val="single" w:sz="4" w:space="0" w:color="auto"/>
              <w:right w:val="nil"/>
            </w:tcBorders>
            <w:shd w:val="clear" w:color="auto" w:fill="F2F2F2"/>
            <w:noWrap/>
            <w:vAlign w:val="center"/>
            <w:hideMark/>
          </w:tcPr>
          <w:p w14:paraId="021911C4"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Small CHP, Biomass, etc.</w:t>
            </w:r>
          </w:p>
        </w:tc>
        <w:tc>
          <w:tcPr>
            <w:tcW w:w="2672" w:type="dxa"/>
            <w:tcBorders>
              <w:top w:val="nil"/>
              <w:left w:val="nil"/>
              <w:bottom w:val="single" w:sz="4" w:space="0" w:color="auto"/>
              <w:right w:val="single" w:sz="8" w:space="0" w:color="auto"/>
            </w:tcBorders>
            <w:shd w:val="clear" w:color="auto" w:fill="DDEBF7"/>
            <w:vAlign w:val="center"/>
            <w:hideMark/>
          </w:tcPr>
          <w:p w14:paraId="16CB332B"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1,058.7</w:t>
            </w:r>
          </w:p>
        </w:tc>
      </w:tr>
      <w:tr w:rsidR="00614438" w:rsidRPr="004F5BC1" w14:paraId="0B26CB91" w14:textId="77777777" w:rsidTr="00614438">
        <w:trPr>
          <w:trHeight w:val="20"/>
          <w:jc w:val="center"/>
        </w:trPr>
        <w:tc>
          <w:tcPr>
            <w:tcW w:w="3850" w:type="dxa"/>
            <w:tcBorders>
              <w:top w:val="nil"/>
              <w:left w:val="single" w:sz="8" w:space="0" w:color="auto"/>
              <w:bottom w:val="single" w:sz="4" w:space="0" w:color="auto"/>
              <w:right w:val="nil"/>
            </w:tcBorders>
            <w:shd w:val="clear" w:color="auto" w:fill="F2F2F2"/>
            <w:noWrap/>
            <w:vAlign w:val="center"/>
            <w:hideMark/>
          </w:tcPr>
          <w:p w14:paraId="425005C1"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 </w:t>
            </w:r>
          </w:p>
        </w:tc>
        <w:tc>
          <w:tcPr>
            <w:tcW w:w="2672" w:type="dxa"/>
            <w:tcBorders>
              <w:top w:val="nil"/>
              <w:left w:val="nil"/>
              <w:bottom w:val="single" w:sz="4" w:space="0" w:color="auto"/>
              <w:right w:val="single" w:sz="8" w:space="0" w:color="auto"/>
            </w:tcBorders>
            <w:noWrap/>
            <w:vAlign w:val="center"/>
            <w:hideMark/>
          </w:tcPr>
          <w:p w14:paraId="12F99070"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GWh</w:t>
            </w:r>
          </w:p>
        </w:tc>
      </w:tr>
      <w:tr w:rsidR="00614438" w:rsidRPr="004F5BC1" w14:paraId="01AB86CD" w14:textId="77777777" w:rsidTr="00614438">
        <w:trPr>
          <w:trHeight w:val="20"/>
          <w:jc w:val="center"/>
        </w:trPr>
        <w:tc>
          <w:tcPr>
            <w:tcW w:w="3850" w:type="dxa"/>
            <w:tcBorders>
              <w:top w:val="nil"/>
              <w:left w:val="single" w:sz="8" w:space="0" w:color="auto"/>
              <w:bottom w:val="single" w:sz="4" w:space="0" w:color="auto"/>
              <w:right w:val="nil"/>
            </w:tcBorders>
            <w:shd w:val="clear" w:color="auto" w:fill="F2F2F2"/>
            <w:noWrap/>
            <w:vAlign w:val="center"/>
            <w:hideMark/>
          </w:tcPr>
          <w:p w14:paraId="6A5C39F6"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Spilled Energy</w:t>
            </w:r>
          </w:p>
        </w:tc>
        <w:tc>
          <w:tcPr>
            <w:tcW w:w="2672" w:type="dxa"/>
            <w:tcBorders>
              <w:top w:val="nil"/>
              <w:left w:val="nil"/>
              <w:bottom w:val="single" w:sz="4" w:space="0" w:color="auto"/>
              <w:right w:val="single" w:sz="8" w:space="0" w:color="auto"/>
            </w:tcBorders>
            <w:shd w:val="clear" w:color="auto" w:fill="DDEBF7"/>
            <w:noWrap/>
            <w:vAlign w:val="center"/>
            <w:hideMark/>
          </w:tcPr>
          <w:p w14:paraId="6F288CB9"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0.0</w:t>
            </w:r>
          </w:p>
        </w:tc>
      </w:tr>
      <w:tr w:rsidR="00614438" w:rsidRPr="004F5BC1" w14:paraId="79AB2E1C" w14:textId="77777777" w:rsidTr="00614438">
        <w:trPr>
          <w:trHeight w:val="20"/>
          <w:jc w:val="center"/>
        </w:trPr>
        <w:tc>
          <w:tcPr>
            <w:tcW w:w="3850" w:type="dxa"/>
            <w:tcBorders>
              <w:top w:val="nil"/>
              <w:left w:val="single" w:sz="8" w:space="0" w:color="auto"/>
              <w:bottom w:val="single" w:sz="4" w:space="0" w:color="auto"/>
              <w:right w:val="nil"/>
            </w:tcBorders>
            <w:shd w:val="clear" w:color="auto" w:fill="F2F2F2"/>
            <w:noWrap/>
            <w:vAlign w:val="center"/>
            <w:hideMark/>
          </w:tcPr>
          <w:p w14:paraId="2C5F2809"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Storage losses</w:t>
            </w:r>
          </w:p>
        </w:tc>
        <w:tc>
          <w:tcPr>
            <w:tcW w:w="2672" w:type="dxa"/>
            <w:tcBorders>
              <w:top w:val="nil"/>
              <w:left w:val="nil"/>
              <w:bottom w:val="single" w:sz="4" w:space="0" w:color="auto"/>
              <w:right w:val="single" w:sz="8" w:space="0" w:color="auto"/>
            </w:tcBorders>
            <w:noWrap/>
            <w:vAlign w:val="center"/>
            <w:hideMark/>
          </w:tcPr>
          <w:p w14:paraId="598FB8A3"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13.8</w:t>
            </w:r>
          </w:p>
        </w:tc>
      </w:tr>
      <w:tr w:rsidR="00614438" w:rsidRPr="004F5BC1" w14:paraId="3E3F9F80" w14:textId="77777777" w:rsidTr="00614438">
        <w:trPr>
          <w:trHeight w:val="20"/>
          <w:jc w:val="center"/>
        </w:trPr>
        <w:tc>
          <w:tcPr>
            <w:tcW w:w="3850" w:type="dxa"/>
            <w:tcBorders>
              <w:top w:val="nil"/>
              <w:left w:val="single" w:sz="8" w:space="0" w:color="auto"/>
              <w:bottom w:val="single" w:sz="4" w:space="0" w:color="auto"/>
              <w:right w:val="nil"/>
            </w:tcBorders>
            <w:shd w:val="clear" w:color="auto" w:fill="F2F2F2"/>
            <w:noWrap/>
            <w:vAlign w:val="center"/>
            <w:hideMark/>
          </w:tcPr>
          <w:p w14:paraId="3714F3C4"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Unsupplied Energy</w:t>
            </w:r>
          </w:p>
        </w:tc>
        <w:tc>
          <w:tcPr>
            <w:tcW w:w="2672" w:type="dxa"/>
            <w:tcBorders>
              <w:top w:val="nil"/>
              <w:left w:val="nil"/>
              <w:bottom w:val="single" w:sz="4" w:space="0" w:color="auto"/>
              <w:right w:val="single" w:sz="8" w:space="0" w:color="auto"/>
            </w:tcBorders>
            <w:shd w:val="clear" w:color="auto" w:fill="DDEBF7"/>
            <w:noWrap/>
            <w:vAlign w:val="center"/>
            <w:hideMark/>
          </w:tcPr>
          <w:p w14:paraId="39D868F7"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0.1</w:t>
            </w:r>
          </w:p>
        </w:tc>
      </w:tr>
      <w:tr w:rsidR="00614438" w:rsidRPr="004F5BC1" w14:paraId="0AF62708" w14:textId="77777777" w:rsidTr="00614438">
        <w:trPr>
          <w:trHeight w:val="20"/>
          <w:jc w:val="center"/>
        </w:trPr>
        <w:tc>
          <w:tcPr>
            <w:tcW w:w="3850" w:type="dxa"/>
            <w:tcBorders>
              <w:top w:val="nil"/>
              <w:left w:val="single" w:sz="8" w:space="0" w:color="auto"/>
              <w:bottom w:val="single" w:sz="4" w:space="0" w:color="auto"/>
              <w:right w:val="nil"/>
            </w:tcBorders>
            <w:shd w:val="clear" w:color="auto" w:fill="F2F2F2"/>
            <w:noWrap/>
            <w:vAlign w:val="center"/>
            <w:hideMark/>
          </w:tcPr>
          <w:p w14:paraId="29D6CE30"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Net annual exports</w:t>
            </w:r>
          </w:p>
        </w:tc>
        <w:tc>
          <w:tcPr>
            <w:tcW w:w="2672" w:type="dxa"/>
            <w:tcBorders>
              <w:top w:val="nil"/>
              <w:left w:val="nil"/>
              <w:bottom w:val="single" w:sz="4" w:space="0" w:color="auto"/>
              <w:right w:val="single" w:sz="8" w:space="0" w:color="auto"/>
            </w:tcBorders>
            <w:noWrap/>
            <w:vAlign w:val="center"/>
            <w:hideMark/>
          </w:tcPr>
          <w:p w14:paraId="30B0D55D"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634.2</w:t>
            </w:r>
          </w:p>
        </w:tc>
      </w:tr>
      <w:tr w:rsidR="00614438" w:rsidRPr="004F5BC1" w14:paraId="61DA06FE" w14:textId="77777777" w:rsidTr="00614438">
        <w:trPr>
          <w:trHeight w:val="20"/>
          <w:jc w:val="center"/>
        </w:trPr>
        <w:tc>
          <w:tcPr>
            <w:tcW w:w="3850" w:type="dxa"/>
            <w:tcBorders>
              <w:top w:val="nil"/>
              <w:left w:val="single" w:sz="8" w:space="0" w:color="auto"/>
              <w:bottom w:val="single" w:sz="4" w:space="0" w:color="auto"/>
              <w:right w:val="nil"/>
            </w:tcBorders>
            <w:shd w:val="clear" w:color="auto" w:fill="F2F2F2"/>
            <w:noWrap/>
            <w:vAlign w:val="center"/>
            <w:hideMark/>
          </w:tcPr>
          <w:p w14:paraId="20441402"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 </w:t>
            </w:r>
          </w:p>
        </w:tc>
        <w:tc>
          <w:tcPr>
            <w:tcW w:w="2672" w:type="dxa"/>
            <w:tcBorders>
              <w:top w:val="nil"/>
              <w:left w:val="nil"/>
              <w:bottom w:val="single" w:sz="4" w:space="0" w:color="auto"/>
              <w:right w:val="single" w:sz="8" w:space="0" w:color="auto"/>
            </w:tcBorders>
            <w:noWrap/>
            <w:vAlign w:val="center"/>
            <w:hideMark/>
          </w:tcPr>
          <w:p w14:paraId="6EC049BF"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MW</w:t>
            </w:r>
          </w:p>
        </w:tc>
      </w:tr>
      <w:tr w:rsidR="00614438" w:rsidRPr="004F5BC1" w14:paraId="51BB2A75" w14:textId="77777777" w:rsidTr="00614438">
        <w:trPr>
          <w:trHeight w:val="20"/>
          <w:jc w:val="center"/>
        </w:trPr>
        <w:tc>
          <w:tcPr>
            <w:tcW w:w="3850" w:type="dxa"/>
            <w:tcBorders>
              <w:top w:val="nil"/>
              <w:left w:val="single" w:sz="8" w:space="0" w:color="auto"/>
              <w:bottom w:val="single" w:sz="4" w:space="0" w:color="auto"/>
              <w:right w:val="nil"/>
            </w:tcBorders>
            <w:shd w:val="clear" w:color="auto" w:fill="F2F2F2"/>
            <w:noWrap/>
            <w:vAlign w:val="center"/>
            <w:hideMark/>
          </w:tcPr>
          <w:p w14:paraId="044B199D"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Average Net Exports</w:t>
            </w:r>
          </w:p>
        </w:tc>
        <w:tc>
          <w:tcPr>
            <w:tcW w:w="2672" w:type="dxa"/>
            <w:tcBorders>
              <w:top w:val="nil"/>
              <w:left w:val="nil"/>
              <w:bottom w:val="single" w:sz="4" w:space="0" w:color="auto"/>
              <w:right w:val="single" w:sz="8" w:space="0" w:color="auto"/>
            </w:tcBorders>
            <w:shd w:val="clear" w:color="auto" w:fill="DDEBF7"/>
            <w:noWrap/>
            <w:vAlign w:val="center"/>
            <w:hideMark/>
          </w:tcPr>
          <w:p w14:paraId="50225F9F"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72.6</w:t>
            </w:r>
          </w:p>
        </w:tc>
      </w:tr>
      <w:tr w:rsidR="00614438" w:rsidRPr="004F5BC1" w14:paraId="6549CDFB" w14:textId="77777777" w:rsidTr="00614438">
        <w:trPr>
          <w:trHeight w:val="20"/>
          <w:jc w:val="center"/>
        </w:trPr>
        <w:tc>
          <w:tcPr>
            <w:tcW w:w="3850" w:type="dxa"/>
            <w:tcBorders>
              <w:top w:val="nil"/>
              <w:left w:val="single" w:sz="8" w:space="0" w:color="auto"/>
              <w:bottom w:val="single" w:sz="4" w:space="0" w:color="auto"/>
              <w:right w:val="nil"/>
            </w:tcBorders>
            <w:shd w:val="clear" w:color="auto" w:fill="F2F2F2"/>
            <w:noWrap/>
            <w:vAlign w:val="center"/>
            <w:hideMark/>
          </w:tcPr>
          <w:p w14:paraId="1458A03A"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 </w:t>
            </w:r>
          </w:p>
        </w:tc>
        <w:tc>
          <w:tcPr>
            <w:tcW w:w="2672" w:type="dxa"/>
            <w:tcBorders>
              <w:top w:val="nil"/>
              <w:left w:val="nil"/>
              <w:bottom w:val="single" w:sz="4" w:space="0" w:color="auto"/>
              <w:right w:val="single" w:sz="8" w:space="0" w:color="auto"/>
            </w:tcBorders>
            <w:noWrap/>
            <w:vAlign w:val="center"/>
            <w:hideMark/>
          </w:tcPr>
          <w:p w14:paraId="27077CC1"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Tons</w:t>
            </w:r>
          </w:p>
        </w:tc>
      </w:tr>
      <w:tr w:rsidR="00614438" w:rsidRPr="004F5BC1" w14:paraId="49F45A9E" w14:textId="77777777" w:rsidTr="00614438">
        <w:trPr>
          <w:trHeight w:val="20"/>
          <w:jc w:val="center"/>
        </w:trPr>
        <w:tc>
          <w:tcPr>
            <w:tcW w:w="3850" w:type="dxa"/>
            <w:tcBorders>
              <w:top w:val="nil"/>
              <w:left w:val="single" w:sz="8" w:space="0" w:color="auto"/>
              <w:bottom w:val="single" w:sz="4" w:space="0" w:color="auto"/>
              <w:right w:val="nil"/>
            </w:tcBorders>
            <w:shd w:val="clear" w:color="auto" w:fill="F2F2F2"/>
            <w:noWrap/>
            <w:vAlign w:val="center"/>
            <w:hideMark/>
          </w:tcPr>
          <w:p w14:paraId="5B6FF62A"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CO2 Emissions</w:t>
            </w:r>
          </w:p>
        </w:tc>
        <w:tc>
          <w:tcPr>
            <w:tcW w:w="2672" w:type="dxa"/>
            <w:tcBorders>
              <w:top w:val="nil"/>
              <w:left w:val="nil"/>
              <w:bottom w:val="single" w:sz="4" w:space="0" w:color="auto"/>
              <w:right w:val="single" w:sz="8" w:space="0" w:color="auto"/>
            </w:tcBorders>
            <w:shd w:val="clear" w:color="auto" w:fill="DDEBF7"/>
            <w:noWrap/>
            <w:vAlign w:val="center"/>
            <w:hideMark/>
          </w:tcPr>
          <w:p w14:paraId="71439D3E"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20,146,493</w:t>
            </w:r>
          </w:p>
        </w:tc>
      </w:tr>
      <w:tr w:rsidR="00614438" w:rsidRPr="004F5BC1" w14:paraId="015D6AC8" w14:textId="77777777" w:rsidTr="00614438">
        <w:trPr>
          <w:trHeight w:val="20"/>
          <w:jc w:val="center"/>
        </w:trPr>
        <w:tc>
          <w:tcPr>
            <w:tcW w:w="3850" w:type="dxa"/>
            <w:tcBorders>
              <w:top w:val="nil"/>
              <w:left w:val="single" w:sz="8" w:space="0" w:color="auto"/>
              <w:bottom w:val="single" w:sz="4" w:space="0" w:color="auto"/>
              <w:right w:val="nil"/>
            </w:tcBorders>
            <w:shd w:val="clear" w:color="auto" w:fill="F2F2F2"/>
            <w:noWrap/>
            <w:vAlign w:val="center"/>
            <w:hideMark/>
          </w:tcPr>
          <w:p w14:paraId="3E454C6B"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 </w:t>
            </w:r>
          </w:p>
        </w:tc>
        <w:tc>
          <w:tcPr>
            <w:tcW w:w="2672" w:type="dxa"/>
            <w:tcBorders>
              <w:top w:val="nil"/>
              <w:left w:val="nil"/>
              <w:bottom w:val="single" w:sz="4" w:space="0" w:color="auto"/>
              <w:right w:val="single" w:sz="8" w:space="0" w:color="auto"/>
            </w:tcBorders>
            <w:noWrap/>
            <w:vAlign w:val="center"/>
            <w:hideMark/>
          </w:tcPr>
          <w:p w14:paraId="039189BB"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M€</w:t>
            </w:r>
          </w:p>
        </w:tc>
      </w:tr>
      <w:tr w:rsidR="00614438" w:rsidRPr="004F5BC1" w14:paraId="2433B224" w14:textId="77777777" w:rsidTr="00614438">
        <w:trPr>
          <w:trHeight w:val="20"/>
          <w:jc w:val="center"/>
        </w:trPr>
        <w:tc>
          <w:tcPr>
            <w:tcW w:w="3850" w:type="dxa"/>
            <w:tcBorders>
              <w:top w:val="nil"/>
              <w:left w:val="single" w:sz="8" w:space="0" w:color="auto"/>
              <w:bottom w:val="single" w:sz="8" w:space="0" w:color="auto"/>
              <w:right w:val="nil"/>
            </w:tcBorders>
            <w:shd w:val="clear" w:color="auto" w:fill="F2F2F2"/>
            <w:vAlign w:val="center"/>
            <w:hideMark/>
          </w:tcPr>
          <w:p w14:paraId="77D635B2"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lastRenderedPageBreak/>
              <w:t>Total simulated region annual Operational Cost</w:t>
            </w:r>
          </w:p>
        </w:tc>
        <w:tc>
          <w:tcPr>
            <w:tcW w:w="2672" w:type="dxa"/>
            <w:tcBorders>
              <w:top w:val="nil"/>
              <w:left w:val="nil"/>
              <w:bottom w:val="single" w:sz="8" w:space="0" w:color="auto"/>
              <w:right w:val="single" w:sz="8" w:space="0" w:color="auto"/>
            </w:tcBorders>
            <w:shd w:val="clear" w:color="auto" w:fill="DDEBF7"/>
            <w:noWrap/>
            <w:vAlign w:val="center"/>
            <w:hideMark/>
          </w:tcPr>
          <w:p w14:paraId="6FD6F2F6"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8,820</w:t>
            </w:r>
          </w:p>
        </w:tc>
      </w:tr>
    </w:tbl>
    <w:p w14:paraId="6E45E2C5" w14:textId="77777777" w:rsidR="00614438" w:rsidRPr="00614438" w:rsidRDefault="00614438" w:rsidP="00614438">
      <w:pPr>
        <w:jc w:val="both"/>
        <w:rPr>
          <w:rFonts w:ascii="Times New Roman" w:hAnsi="Times New Roman" w:cs="Times New Roman"/>
          <w:sz w:val="24"/>
          <w:szCs w:val="24"/>
          <w:lang w:val="en-GB"/>
        </w:rPr>
      </w:pPr>
      <w:bookmarkStart w:id="673" w:name="_Toc153545086"/>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II</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Scenario S PSP average annual results for Target Year 2030</w:t>
      </w:r>
      <w:bookmarkEnd w:id="673"/>
    </w:p>
    <w:tbl>
      <w:tblPr>
        <w:tblW w:w="70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86"/>
        <w:gridCol w:w="1706"/>
        <w:gridCol w:w="1903"/>
      </w:tblGrid>
      <w:tr w:rsidR="00614438" w:rsidRPr="004F5BC1" w14:paraId="4379074C" w14:textId="77777777" w:rsidTr="00614438">
        <w:trPr>
          <w:trHeight w:val="58"/>
          <w:jc w:val="center"/>
        </w:trPr>
        <w:tc>
          <w:tcPr>
            <w:tcW w:w="3483" w:type="dxa"/>
            <w:tcBorders>
              <w:top w:val="single" w:sz="4" w:space="0" w:color="auto"/>
              <w:left w:val="single" w:sz="4" w:space="0" w:color="auto"/>
              <w:bottom w:val="single" w:sz="4" w:space="0" w:color="auto"/>
              <w:right w:val="single" w:sz="4" w:space="0" w:color="auto"/>
            </w:tcBorders>
            <w:shd w:val="clear" w:color="auto" w:fill="D0CECE"/>
            <w:noWrap/>
            <w:vAlign w:val="bottom"/>
            <w:hideMark/>
          </w:tcPr>
          <w:p w14:paraId="0A199BA7"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 </w:t>
            </w:r>
          </w:p>
        </w:tc>
        <w:tc>
          <w:tcPr>
            <w:tcW w:w="1705"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1375015B"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Turbine Power [MW]</w:t>
            </w:r>
          </w:p>
        </w:tc>
        <w:tc>
          <w:tcPr>
            <w:tcW w:w="1901"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0AC1AF91"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Annual turbining [MWh]</w:t>
            </w:r>
          </w:p>
        </w:tc>
      </w:tr>
      <w:tr w:rsidR="00614438" w:rsidRPr="004F5BC1" w14:paraId="6579ECCB" w14:textId="77777777" w:rsidTr="00614438">
        <w:trPr>
          <w:trHeight w:val="300"/>
          <w:jc w:val="center"/>
        </w:trPr>
        <w:tc>
          <w:tcPr>
            <w:tcW w:w="3483"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1519BC3D"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PSP</w:t>
            </w:r>
          </w:p>
        </w:tc>
        <w:tc>
          <w:tcPr>
            <w:tcW w:w="1705"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17572A88"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 </w:t>
            </w:r>
          </w:p>
        </w:tc>
        <w:tc>
          <w:tcPr>
            <w:tcW w:w="1901"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060769FE"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 </w:t>
            </w:r>
          </w:p>
        </w:tc>
      </w:tr>
      <w:tr w:rsidR="00614438" w:rsidRPr="004F5BC1" w14:paraId="636E015F" w14:textId="77777777" w:rsidTr="00614438">
        <w:trPr>
          <w:trHeight w:val="288"/>
          <w:jc w:val="center"/>
        </w:trPr>
        <w:tc>
          <w:tcPr>
            <w:tcW w:w="3483" w:type="dxa"/>
            <w:tcBorders>
              <w:top w:val="single" w:sz="4" w:space="0" w:color="auto"/>
              <w:left w:val="single" w:sz="4" w:space="0" w:color="auto"/>
              <w:bottom w:val="single" w:sz="4" w:space="0" w:color="auto"/>
              <w:right w:val="single" w:sz="4" w:space="0" w:color="auto"/>
            </w:tcBorders>
            <w:shd w:val="clear" w:color="auto" w:fill="D0CECE"/>
            <w:noWrap/>
            <w:vAlign w:val="bottom"/>
            <w:hideMark/>
          </w:tcPr>
          <w:p w14:paraId="117E1871"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PHPP Bajina Basta</w:t>
            </w:r>
          </w:p>
        </w:tc>
        <w:tc>
          <w:tcPr>
            <w:tcW w:w="1705" w:type="dxa"/>
            <w:tcBorders>
              <w:top w:val="single" w:sz="4" w:space="0" w:color="auto"/>
              <w:left w:val="single" w:sz="4" w:space="0" w:color="auto"/>
              <w:bottom w:val="single" w:sz="4" w:space="0" w:color="auto"/>
              <w:right w:val="single" w:sz="4" w:space="0" w:color="auto"/>
            </w:tcBorders>
            <w:noWrap/>
            <w:vAlign w:val="bottom"/>
            <w:hideMark/>
          </w:tcPr>
          <w:p w14:paraId="2D7C61B9"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616</w:t>
            </w:r>
          </w:p>
        </w:tc>
        <w:tc>
          <w:tcPr>
            <w:tcW w:w="1901" w:type="dxa"/>
            <w:tcBorders>
              <w:top w:val="single" w:sz="4" w:space="0" w:color="auto"/>
              <w:left w:val="single" w:sz="4" w:space="0" w:color="auto"/>
              <w:bottom w:val="single" w:sz="4" w:space="0" w:color="auto"/>
              <w:right w:val="single" w:sz="4" w:space="0" w:color="auto"/>
            </w:tcBorders>
            <w:noWrap/>
            <w:vAlign w:val="bottom"/>
            <w:hideMark/>
          </w:tcPr>
          <w:p w14:paraId="17BDB24D"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33,855</w:t>
            </w:r>
          </w:p>
        </w:tc>
      </w:tr>
    </w:tbl>
    <w:p w14:paraId="6B140669" w14:textId="77777777" w:rsidR="00DD1698" w:rsidRDefault="00DD1698" w:rsidP="00DD1698">
      <w:pPr>
        <w:jc w:val="center"/>
        <w:rPr>
          <w:rFonts w:ascii="Times New Roman" w:hAnsi="Times New Roman" w:cs="Times New Roman"/>
          <w:sz w:val="24"/>
          <w:szCs w:val="24"/>
          <w:lang w:val="en-GB"/>
        </w:rPr>
      </w:pPr>
    </w:p>
    <w:p w14:paraId="0E378BB5" w14:textId="6EFFEC2A" w:rsidR="00614438" w:rsidRPr="00614438" w:rsidRDefault="00DD1698" w:rsidP="00DD1698">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II.2 </w:t>
      </w:r>
      <w:r w:rsidR="00614438" w:rsidRPr="00614438">
        <w:rPr>
          <w:rFonts w:ascii="Times New Roman" w:hAnsi="Times New Roman" w:cs="Times New Roman"/>
          <w:sz w:val="24"/>
          <w:szCs w:val="24"/>
          <w:lang w:val="en-GB"/>
        </w:rPr>
        <w:t>Scenario-S analysis for 2040</w:t>
      </w:r>
    </w:p>
    <w:p w14:paraId="03F74B57" w14:textId="249511E4" w:rsidR="00614438" w:rsidRPr="00614438" w:rsidRDefault="00DD1698" w:rsidP="00DD1698">
      <w:pPr>
        <w:ind w:firstLine="720"/>
        <w:jc w:val="both"/>
        <w:rPr>
          <w:rFonts w:ascii="Times New Roman" w:hAnsi="Times New Roman" w:cs="Times New Roman"/>
          <w:sz w:val="24"/>
          <w:szCs w:val="24"/>
        </w:rPr>
      </w:pPr>
      <w:r>
        <w:rPr>
          <w:rFonts w:ascii="Times New Roman" w:hAnsi="Times New Roman" w:cs="Times New Roman"/>
          <w:sz w:val="24"/>
          <w:szCs w:val="24"/>
        </w:rPr>
        <w:t>V</w:t>
      </w:r>
      <w:r w:rsidR="00614438" w:rsidRPr="00614438">
        <w:rPr>
          <w:rFonts w:ascii="Times New Roman" w:hAnsi="Times New Roman" w:cs="Times New Roman"/>
          <w:sz w:val="24"/>
          <w:szCs w:val="24"/>
        </w:rPr>
        <w:t>ariable RES capacities, lignite capacities and net annual generation of lignite plants are used as an input to the hourly model.</w:t>
      </w:r>
    </w:p>
    <w:p w14:paraId="4111FF01" w14:textId="77777777" w:rsidR="00614438" w:rsidRPr="00614438" w:rsidRDefault="00614438" w:rsidP="00DD1698">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There are three pump-hydro storage units available in the system in 2040:</w:t>
      </w:r>
    </w:p>
    <w:p w14:paraId="6A709E41" w14:textId="685B23A0" w:rsidR="00614438" w:rsidRPr="00DD1698" w:rsidRDefault="00614438" w:rsidP="00DD1698">
      <w:pPr>
        <w:pStyle w:val="ListParagraph"/>
        <w:numPr>
          <w:ilvl w:val="0"/>
          <w:numId w:val="261"/>
        </w:numPr>
        <w:jc w:val="both"/>
        <w:rPr>
          <w:rFonts w:ascii="Times New Roman" w:hAnsi="Times New Roman" w:cs="Times New Roman"/>
          <w:sz w:val="24"/>
          <w:szCs w:val="24"/>
        </w:rPr>
      </w:pPr>
      <w:r w:rsidRPr="00DD1698">
        <w:rPr>
          <w:rFonts w:ascii="Times New Roman" w:hAnsi="Times New Roman" w:cs="Times New Roman"/>
          <w:sz w:val="24"/>
          <w:szCs w:val="24"/>
        </w:rPr>
        <w:t>PHPP Bajina Basta (616 MW turbining capacity)</w:t>
      </w:r>
    </w:p>
    <w:p w14:paraId="7D741C18" w14:textId="55E9DAFF" w:rsidR="00614438" w:rsidRPr="00DD1698" w:rsidRDefault="00614438" w:rsidP="00DD1698">
      <w:pPr>
        <w:pStyle w:val="ListParagraph"/>
        <w:numPr>
          <w:ilvl w:val="0"/>
          <w:numId w:val="261"/>
        </w:numPr>
        <w:jc w:val="both"/>
        <w:rPr>
          <w:rFonts w:ascii="Times New Roman" w:hAnsi="Times New Roman" w:cs="Times New Roman"/>
          <w:sz w:val="24"/>
          <w:szCs w:val="24"/>
        </w:rPr>
      </w:pPr>
      <w:r w:rsidRPr="00DD1698">
        <w:rPr>
          <w:rFonts w:ascii="Times New Roman" w:hAnsi="Times New Roman" w:cs="Times New Roman"/>
          <w:sz w:val="24"/>
          <w:szCs w:val="24"/>
        </w:rPr>
        <w:t>PHPP Bistrica (680 MW turbining capacity)</w:t>
      </w:r>
    </w:p>
    <w:p w14:paraId="6A66C7EA" w14:textId="2BF504B1" w:rsidR="00614438" w:rsidRPr="00DD1698" w:rsidRDefault="00614438" w:rsidP="00DD1698">
      <w:pPr>
        <w:pStyle w:val="ListParagraph"/>
        <w:numPr>
          <w:ilvl w:val="0"/>
          <w:numId w:val="261"/>
        </w:numPr>
        <w:jc w:val="both"/>
        <w:rPr>
          <w:rFonts w:ascii="Times New Roman" w:hAnsi="Times New Roman" w:cs="Times New Roman"/>
          <w:sz w:val="24"/>
          <w:szCs w:val="24"/>
        </w:rPr>
      </w:pPr>
      <w:r w:rsidRPr="00DD1698">
        <w:rPr>
          <w:rFonts w:ascii="Times New Roman" w:hAnsi="Times New Roman" w:cs="Times New Roman"/>
          <w:sz w:val="24"/>
          <w:szCs w:val="24"/>
        </w:rPr>
        <w:t>Djerdap 3 (600MW turbining capacity)</w:t>
      </w:r>
    </w:p>
    <w:p w14:paraId="04105E50" w14:textId="315B2A1B" w:rsidR="00614438" w:rsidRPr="00614438" w:rsidRDefault="00614438" w:rsidP="00DD1698">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main results can be seen in </w:t>
      </w:r>
      <w:r w:rsidR="00FA29EF">
        <w:fldChar w:fldCharType="begin"/>
      </w:r>
      <w:r w:rsidR="00FA29EF">
        <w:instrText xml:space="preserve"> REF _Ref153533612 \h  \* MERGEFORMAT </w:instrText>
      </w:r>
      <w:r w:rsidR="00FA29EF">
        <w:fldChar w:fldCharType="separate"/>
      </w:r>
      <w:r w:rsidRPr="00614438">
        <w:rPr>
          <w:rFonts w:ascii="Times New Roman" w:hAnsi="Times New Roman" w:cs="Times New Roman"/>
          <w:sz w:val="24"/>
          <w:szCs w:val="24"/>
          <w:lang w:val="en-GB"/>
        </w:rPr>
        <w:t>Table II.3</w:t>
      </w:r>
      <w:r w:rsidR="00FA29EF">
        <w:fldChar w:fldCharType="end"/>
      </w:r>
      <w:r w:rsidRPr="00614438">
        <w:rPr>
          <w:rFonts w:ascii="Times New Roman" w:hAnsi="Times New Roman" w:cs="Times New Roman"/>
          <w:sz w:val="24"/>
          <w:szCs w:val="24"/>
          <w:lang w:val="en-GB"/>
        </w:rPr>
        <w:t>. Unsupplied energy is zero, signifying generation adequacy of the system</w:t>
      </w:r>
      <w:r w:rsidR="00DD1698">
        <w:rPr>
          <w:rFonts w:ascii="Times New Roman" w:hAnsi="Times New Roman" w:cs="Times New Roman"/>
          <w:sz w:val="24"/>
          <w:szCs w:val="24"/>
          <w:lang w:val="en-GB"/>
        </w:rPr>
        <w:t xml:space="preserve"> production</w:t>
      </w:r>
      <w:r w:rsidRPr="00614438">
        <w:rPr>
          <w:rFonts w:ascii="Times New Roman" w:hAnsi="Times New Roman" w:cs="Times New Roman"/>
          <w:sz w:val="24"/>
          <w:szCs w:val="24"/>
          <w:lang w:val="en-GB"/>
        </w:rPr>
        <w:t>. The annual lignite-based generation is 10.6 TWh. It can be seen that the spilled energy is negligible (0.01% of the total available wind and solar generation), therefore the system is flexible enough to accommodate the modelled variable RES capacities, at least at the Day-Ahead market level. On an annual basis, the Serbian system exports 1.1 TWh, or 128 MWh on average hourly.</w:t>
      </w:r>
    </w:p>
    <w:p w14:paraId="02FED1AC" w14:textId="77777777" w:rsidR="00614438" w:rsidRPr="004F5BC1" w:rsidRDefault="00614438" w:rsidP="004F5BC1">
      <w:pPr>
        <w:spacing w:after="0"/>
        <w:jc w:val="both"/>
        <w:rPr>
          <w:rFonts w:ascii="Times New Roman" w:hAnsi="Times New Roman" w:cs="Times New Roman"/>
          <w:sz w:val="20"/>
          <w:szCs w:val="20"/>
        </w:rPr>
      </w:pPr>
      <w:bookmarkStart w:id="674" w:name="_Ref153533612"/>
      <w:bookmarkStart w:id="675" w:name="_Toc153545087"/>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II</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w:t>
      </w:r>
      <w:r w:rsidR="00C83251" w:rsidRPr="00614438">
        <w:rPr>
          <w:rFonts w:ascii="Times New Roman" w:hAnsi="Times New Roman" w:cs="Times New Roman"/>
          <w:sz w:val="24"/>
          <w:szCs w:val="24"/>
        </w:rPr>
        <w:fldChar w:fldCharType="end"/>
      </w:r>
      <w:bookmarkEnd w:id="674"/>
      <w:r w:rsidRPr="00614438">
        <w:rPr>
          <w:rFonts w:ascii="Times New Roman" w:hAnsi="Times New Roman" w:cs="Times New Roman"/>
          <w:sz w:val="24"/>
          <w:szCs w:val="24"/>
        </w:rPr>
        <w:t>: Scenario S average general results for Target Year 2040</w:t>
      </w:r>
      <w:bookmarkEnd w:id="675"/>
    </w:p>
    <w:tbl>
      <w:tblPr>
        <w:tblW w:w="6011" w:type="dxa"/>
        <w:jc w:val="center"/>
        <w:tblLook w:val="04A0" w:firstRow="1" w:lastRow="0" w:firstColumn="1" w:lastColumn="0" w:noHBand="0" w:noVBand="1"/>
      </w:tblPr>
      <w:tblGrid>
        <w:gridCol w:w="4108"/>
        <w:gridCol w:w="1903"/>
      </w:tblGrid>
      <w:tr w:rsidR="00614438" w:rsidRPr="004F5BC1" w14:paraId="7220F61B" w14:textId="77777777" w:rsidTr="00614438">
        <w:trPr>
          <w:trHeight w:val="20"/>
          <w:jc w:val="center"/>
        </w:trPr>
        <w:tc>
          <w:tcPr>
            <w:tcW w:w="4108" w:type="dxa"/>
            <w:tcBorders>
              <w:top w:val="single" w:sz="4" w:space="0" w:color="auto"/>
              <w:left w:val="nil"/>
              <w:bottom w:val="nil"/>
              <w:right w:val="single" w:sz="8" w:space="0" w:color="auto"/>
            </w:tcBorders>
            <w:shd w:val="clear" w:color="auto" w:fill="404040"/>
            <w:noWrap/>
            <w:vAlign w:val="center"/>
            <w:hideMark/>
          </w:tcPr>
          <w:p w14:paraId="04BE6637"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Title</w:t>
            </w:r>
          </w:p>
        </w:tc>
        <w:tc>
          <w:tcPr>
            <w:tcW w:w="1903" w:type="dxa"/>
            <w:tcBorders>
              <w:top w:val="single" w:sz="8" w:space="0" w:color="auto"/>
              <w:left w:val="single" w:sz="8" w:space="0" w:color="auto"/>
              <w:bottom w:val="single" w:sz="4" w:space="0" w:color="auto"/>
              <w:right w:val="single" w:sz="8" w:space="0" w:color="auto"/>
            </w:tcBorders>
            <w:shd w:val="clear" w:color="auto" w:fill="1F497D"/>
            <w:vAlign w:val="center"/>
            <w:hideMark/>
          </w:tcPr>
          <w:p w14:paraId="1763FE56"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Scenario S</w:t>
            </w:r>
          </w:p>
        </w:tc>
      </w:tr>
      <w:tr w:rsidR="00614438" w:rsidRPr="004F5BC1" w14:paraId="64583327" w14:textId="77777777" w:rsidTr="00614438">
        <w:trPr>
          <w:trHeight w:val="20"/>
          <w:jc w:val="center"/>
        </w:trPr>
        <w:tc>
          <w:tcPr>
            <w:tcW w:w="4108"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758E68B2"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 </w:t>
            </w:r>
          </w:p>
        </w:tc>
        <w:tc>
          <w:tcPr>
            <w:tcW w:w="1903" w:type="dxa"/>
            <w:tcBorders>
              <w:top w:val="nil"/>
              <w:left w:val="single" w:sz="8" w:space="0" w:color="auto"/>
              <w:bottom w:val="single" w:sz="4" w:space="0" w:color="auto"/>
              <w:right w:val="single" w:sz="8" w:space="0" w:color="auto"/>
            </w:tcBorders>
            <w:noWrap/>
            <w:vAlign w:val="bottom"/>
            <w:hideMark/>
          </w:tcPr>
          <w:p w14:paraId="7353790F"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GWh</w:t>
            </w:r>
          </w:p>
        </w:tc>
      </w:tr>
      <w:tr w:rsidR="00614438" w:rsidRPr="004F5BC1" w14:paraId="1AFDE0B3" w14:textId="77777777" w:rsidTr="00614438">
        <w:trPr>
          <w:trHeight w:val="20"/>
          <w:jc w:val="center"/>
        </w:trPr>
        <w:tc>
          <w:tcPr>
            <w:tcW w:w="4108" w:type="dxa"/>
            <w:tcBorders>
              <w:top w:val="nil"/>
              <w:left w:val="single" w:sz="4" w:space="0" w:color="auto"/>
              <w:bottom w:val="single" w:sz="4" w:space="0" w:color="auto"/>
              <w:right w:val="single" w:sz="4" w:space="0" w:color="auto"/>
            </w:tcBorders>
            <w:shd w:val="clear" w:color="auto" w:fill="E7E6E6"/>
            <w:noWrap/>
            <w:vAlign w:val="bottom"/>
            <w:hideMark/>
          </w:tcPr>
          <w:p w14:paraId="26AF3F01"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Demand</w:t>
            </w:r>
          </w:p>
        </w:tc>
        <w:tc>
          <w:tcPr>
            <w:tcW w:w="1903" w:type="dxa"/>
            <w:tcBorders>
              <w:top w:val="nil"/>
              <w:left w:val="nil"/>
              <w:bottom w:val="single" w:sz="4" w:space="0" w:color="auto"/>
              <w:right w:val="single" w:sz="4" w:space="0" w:color="auto"/>
            </w:tcBorders>
            <w:shd w:val="clear" w:color="auto" w:fill="DDEBF7"/>
            <w:noWrap/>
            <w:vAlign w:val="bottom"/>
            <w:hideMark/>
          </w:tcPr>
          <w:p w14:paraId="2C10C90E"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44,575.7</w:t>
            </w:r>
          </w:p>
        </w:tc>
      </w:tr>
      <w:tr w:rsidR="00614438" w:rsidRPr="004F5BC1" w14:paraId="3CC21C5F" w14:textId="77777777" w:rsidTr="00614438">
        <w:trPr>
          <w:trHeight w:val="20"/>
          <w:jc w:val="center"/>
        </w:trPr>
        <w:tc>
          <w:tcPr>
            <w:tcW w:w="4108" w:type="dxa"/>
            <w:tcBorders>
              <w:top w:val="nil"/>
              <w:left w:val="single" w:sz="4" w:space="0" w:color="auto"/>
              <w:bottom w:val="single" w:sz="4" w:space="0" w:color="auto"/>
              <w:right w:val="single" w:sz="4" w:space="0" w:color="auto"/>
            </w:tcBorders>
            <w:shd w:val="clear" w:color="auto" w:fill="E7E6E6"/>
            <w:noWrap/>
            <w:vAlign w:val="bottom"/>
            <w:hideMark/>
          </w:tcPr>
          <w:p w14:paraId="18A1F8DD"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Lignite</w:t>
            </w:r>
          </w:p>
        </w:tc>
        <w:tc>
          <w:tcPr>
            <w:tcW w:w="1903" w:type="dxa"/>
            <w:tcBorders>
              <w:top w:val="nil"/>
              <w:left w:val="nil"/>
              <w:bottom w:val="single" w:sz="4" w:space="0" w:color="auto"/>
              <w:right w:val="single" w:sz="4" w:space="0" w:color="auto"/>
            </w:tcBorders>
            <w:noWrap/>
            <w:vAlign w:val="bottom"/>
            <w:hideMark/>
          </w:tcPr>
          <w:p w14:paraId="18D4F4DA"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10,630.9</w:t>
            </w:r>
          </w:p>
        </w:tc>
      </w:tr>
      <w:tr w:rsidR="00614438" w:rsidRPr="004F5BC1" w14:paraId="47111E82" w14:textId="77777777" w:rsidTr="00614438">
        <w:trPr>
          <w:trHeight w:val="20"/>
          <w:jc w:val="center"/>
        </w:trPr>
        <w:tc>
          <w:tcPr>
            <w:tcW w:w="4108" w:type="dxa"/>
            <w:tcBorders>
              <w:top w:val="nil"/>
              <w:left w:val="single" w:sz="4" w:space="0" w:color="auto"/>
              <w:bottom w:val="single" w:sz="4" w:space="0" w:color="auto"/>
              <w:right w:val="single" w:sz="4" w:space="0" w:color="auto"/>
            </w:tcBorders>
            <w:shd w:val="clear" w:color="auto" w:fill="E7E6E6"/>
            <w:noWrap/>
            <w:vAlign w:val="bottom"/>
            <w:hideMark/>
          </w:tcPr>
          <w:p w14:paraId="7DC745CB"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Gas</w:t>
            </w:r>
          </w:p>
        </w:tc>
        <w:tc>
          <w:tcPr>
            <w:tcW w:w="1903" w:type="dxa"/>
            <w:tcBorders>
              <w:top w:val="nil"/>
              <w:left w:val="nil"/>
              <w:bottom w:val="single" w:sz="4" w:space="0" w:color="auto"/>
              <w:right w:val="single" w:sz="4" w:space="0" w:color="auto"/>
            </w:tcBorders>
            <w:shd w:val="clear" w:color="auto" w:fill="DDEBF7"/>
            <w:noWrap/>
            <w:vAlign w:val="bottom"/>
            <w:hideMark/>
          </w:tcPr>
          <w:p w14:paraId="60CD826B"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2,837.7</w:t>
            </w:r>
          </w:p>
        </w:tc>
      </w:tr>
      <w:tr w:rsidR="00614438" w:rsidRPr="004F5BC1" w14:paraId="191A8019" w14:textId="77777777" w:rsidTr="00614438">
        <w:trPr>
          <w:trHeight w:val="20"/>
          <w:jc w:val="center"/>
        </w:trPr>
        <w:tc>
          <w:tcPr>
            <w:tcW w:w="4108" w:type="dxa"/>
            <w:tcBorders>
              <w:top w:val="nil"/>
              <w:left w:val="single" w:sz="4" w:space="0" w:color="auto"/>
              <w:bottom w:val="single" w:sz="4" w:space="0" w:color="auto"/>
              <w:right w:val="single" w:sz="4" w:space="0" w:color="auto"/>
            </w:tcBorders>
            <w:shd w:val="clear" w:color="auto" w:fill="E7E6E6"/>
            <w:noWrap/>
            <w:vAlign w:val="bottom"/>
            <w:hideMark/>
          </w:tcPr>
          <w:p w14:paraId="76CC40AF"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Hydro</w:t>
            </w:r>
          </w:p>
        </w:tc>
        <w:tc>
          <w:tcPr>
            <w:tcW w:w="1903" w:type="dxa"/>
            <w:tcBorders>
              <w:top w:val="nil"/>
              <w:left w:val="nil"/>
              <w:bottom w:val="single" w:sz="4" w:space="0" w:color="auto"/>
              <w:right w:val="single" w:sz="4" w:space="0" w:color="auto"/>
            </w:tcBorders>
            <w:noWrap/>
            <w:vAlign w:val="bottom"/>
            <w:hideMark/>
          </w:tcPr>
          <w:p w14:paraId="14DA6327"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13,604.0</w:t>
            </w:r>
          </w:p>
        </w:tc>
      </w:tr>
      <w:tr w:rsidR="00614438" w:rsidRPr="004F5BC1" w14:paraId="039F09EF" w14:textId="77777777" w:rsidTr="00614438">
        <w:trPr>
          <w:trHeight w:val="20"/>
          <w:jc w:val="center"/>
        </w:trPr>
        <w:tc>
          <w:tcPr>
            <w:tcW w:w="4108" w:type="dxa"/>
            <w:tcBorders>
              <w:top w:val="nil"/>
              <w:left w:val="single" w:sz="4" w:space="0" w:color="auto"/>
              <w:bottom w:val="single" w:sz="4" w:space="0" w:color="auto"/>
              <w:right w:val="single" w:sz="4" w:space="0" w:color="auto"/>
            </w:tcBorders>
            <w:shd w:val="clear" w:color="auto" w:fill="E7E6E6"/>
            <w:noWrap/>
            <w:vAlign w:val="bottom"/>
            <w:hideMark/>
          </w:tcPr>
          <w:p w14:paraId="28B10A03"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Wind</w:t>
            </w:r>
          </w:p>
        </w:tc>
        <w:tc>
          <w:tcPr>
            <w:tcW w:w="1903" w:type="dxa"/>
            <w:tcBorders>
              <w:top w:val="nil"/>
              <w:left w:val="nil"/>
              <w:bottom w:val="single" w:sz="4" w:space="0" w:color="auto"/>
              <w:right w:val="single" w:sz="4" w:space="0" w:color="auto"/>
            </w:tcBorders>
            <w:shd w:val="clear" w:color="auto" w:fill="DDEBF7"/>
            <w:noWrap/>
            <w:vAlign w:val="bottom"/>
            <w:hideMark/>
          </w:tcPr>
          <w:p w14:paraId="2AD9E125"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8,114.0</w:t>
            </w:r>
          </w:p>
        </w:tc>
      </w:tr>
      <w:tr w:rsidR="00614438" w:rsidRPr="004F5BC1" w14:paraId="2C87551C" w14:textId="77777777" w:rsidTr="00614438">
        <w:trPr>
          <w:trHeight w:val="20"/>
          <w:jc w:val="center"/>
        </w:trPr>
        <w:tc>
          <w:tcPr>
            <w:tcW w:w="4108" w:type="dxa"/>
            <w:tcBorders>
              <w:top w:val="nil"/>
              <w:left w:val="single" w:sz="4" w:space="0" w:color="auto"/>
              <w:bottom w:val="single" w:sz="4" w:space="0" w:color="auto"/>
              <w:right w:val="single" w:sz="4" w:space="0" w:color="auto"/>
            </w:tcBorders>
            <w:shd w:val="clear" w:color="auto" w:fill="E7E6E6"/>
            <w:noWrap/>
            <w:vAlign w:val="bottom"/>
            <w:hideMark/>
          </w:tcPr>
          <w:p w14:paraId="074CBFDD"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Solar</w:t>
            </w:r>
          </w:p>
        </w:tc>
        <w:tc>
          <w:tcPr>
            <w:tcW w:w="1903" w:type="dxa"/>
            <w:tcBorders>
              <w:top w:val="nil"/>
              <w:left w:val="nil"/>
              <w:bottom w:val="single" w:sz="4" w:space="0" w:color="auto"/>
              <w:right w:val="single" w:sz="4" w:space="0" w:color="auto"/>
            </w:tcBorders>
            <w:noWrap/>
            <w:vAlign w:val="bottom"/>
            <w:hideMark/>
          </w:tcPr>
          <w:p w14:paraId="266930F1"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9,939.5</w:t>
            </w:r>
          </w:p>
        </w:tc>
      </w:tr>
      <w:tr w:rsidR="00614438" w:rsidRPr="004F5BC1" w14:paraId="4047EF14" w14:textId="77777777" w:rsidTr="00614438">
        <w:trPr>
          <w:trHeight w:val="20"/>
          <w:jc w:val="center"/>
        </w:trPr>
        <w:tc>
          <w:tcPr>
            <w:tcW w:w="4108" w:type="dxa"/>
            <w:tcBorders>
              <w:top w:val="nil"/>
              <w:left w:val="single" w:sz="4" w:space="0" w:color="auto"/>
              <w:bottom w:val="single" w:sz="4" w:space="0" w:color="auto"/>
              <w:right w:val="single" w:sz="4" w:space="0" w:color="auto"/>
            </w:tcBorders>
            <w:shd w:val="clear" w:color="auto" w:fill="E7E6E6"/>
            <w:vAlign w:val="bottom"/>
            <w:hideMark/>
          </w:tcPr>
          <w:p w14:paraId="5ED8D88E" w14:textId="116B2182"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Small CHP, Biomas, etc.</w:t>
            </w:r>
          </w:p>
        </w:tc>
        <w:tc>
          <w:tcPr>
            <w:tcW w:w="1903" w:type="dxa"/>
            <w:tcBorders>
              <w:top w:val="nil"/>
              <w:left w:val="nil"/>
              <w:bottom w:val="single" w:sz="4" w:space="0" w:color="auto"/>
              <w:right w:val="single" w:sz="4" w:space="0" w:color="auto"/>
            </w:tcBorders>
            <w:shd w:val="clear" w:color="auto" w:fill="DDEBF7"/>
            <w:noWrap/>
            <w:vAlign w:val="bottom"/>
            <w:hideMark/>
          </w:tcPr>
          <w:p w14:paraId="3FF8A111"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1,501.7</w:t>
            </w:r>
          </w:p>
        </w:tc>
      </w:tr>
      <w:tr w:rsidR="00614438" w:rsidRPr="004F5BC1" w14:paraId="203A3B53" w14:textId="77777777" w:rsidTr="00614438">
        <w:trPr>
          <w:trHeight w:val="20"/>
          <w:jc w:val="center"/>
        </w:trPr>
        <w:tc>
          <w:tcPr>
            <w:tcW w:w="4108" w:type="dxa"/>
            <w:tcBorders>
              <w:top w:val="nil"/>
              <w:left w:val="single" w:sz="4" w:space="0" w:color="auto"/>
              <w:bottom w:val="single" w:sz="4" w:space="0" w:color="auto"/>
              <w:right w:val="single" w:sz="4" w:space="0" w:color="auto"/>
            </w:tcBorders>
            <w:shd w:val="clear" w:color="auto" w:fill="E7E6E6"/>
            <w:noWrap/>
            <w:vAlign w:val="bottom"/>
            <w:hideMark/>
          </w:tcPr>
          <w:p w14:paraId="22ABAD4E"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 </w:t>
            </w:r>
          </w:p>
        </w:tc>
        <w:tc>
          <w:tcPr>
            <w:tcW w:w="1903" w:type="dxa"/>
            <w:tcBorders>
              <w:top w:val="nil"/>
              <w:left w:val="nil"/>
              <w:bottom w:val="single" w:sz="4" w:space="0" w:color="auto"/>
              <w:right w:val="single" w:sz="4" w:space="0" w:color="auto"/>
            </w:tcBorders>
            <w:noWrap/>
            <w:vAlign w:val="bottom"/>
            <w:hideMark/>
          </w:tcPr>
          <w:p w14:paraId="2F24576A"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GWh</w:t>
            </w:r>
          </w:p>
        </w:tc>
      </w:tr>
      <w:tr w:rsidR="00614438" w:rsidRPr="004F5BC1" w14:paraId="646C4C94" w14:textId="77777777" w:rsidTr="00614438">
        <w:trPr>
          <w:trHeight w:val="20"/>
          <w:jc w:val="center"/>
        </w:trPr>
        <w:tc>
          <w:tcPr>
            <w:tcW w:w="4108" w:type="dxa"/>
            <w:tcBorders>
              <w:top w:val="nil"/>
              <w:left w:val="single" w:sz="4" w:space="0" w:color="auto"/>
              <w:bottom w:val="single" w:sz="4" w:space="0" w:color="auto"/>
              <w:right w:val="single" w:sz="4" w:space="0" w:color="auto"/>
            </w:tcBorders>
            <w:shd w:val="clear" w:color="auto" w:fill="E7E6E6"/>
            <w:noWrap/>
            <w:vAlign w:val="bottom"/>
            <w:hideMark/>
          </w:tcPr>
          <w:p w14:paraId="7502B35E"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Spilled Energy</w:t>
            </w:r>
          </w:p>
        </w:tc>
        <w:tc>
          <w:tcPr>
            <w:tcW w:w="1903" w:type="dxa"/>
            <w:tcBorders>
              <w:top w:val="nil"/>
              <w:left w:val="nil"/>
              <w:bottom w:val="single" w:sz="4" w:space="0" w:color="auto"/>
              <w:right w:val="single" w:sz="4" w:space="0" w:color="auto"/>
            </w:tcBorders>
            <w:shd w:val="clear" w:color="auto" w:fill="DDEBF7"/>
            <w:noWrap/>
            <w:vAlign w:val="bottom"/>
            <w:hideMark/>
          </w:tcPr>
          <w:p w14:paraId="03A823A6"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2.5</w:t>
            </w:r>
          </w:p>
        </w:tc>
      </w:tr>
      <w:tr w:rsidR="00614438" w:rsidRPr="004F5BC1" w14:paraId="38B67660" w14:textId="77777777" w:rsidTr="00614438">
        <w:trPr>
          <w:trHeight w:val="20"/>
          <w:jc w:val="center"/>
        </w:trPr>
        <w:tc>
          <w:tcPr>
            <w:tcW w:w="4108" w:type="dxa"/>
            <w:tcBorders>
              <w:top w:val="nil"/>
              <w:left w:val="single" w:sz="4" w:space="0" w:color="auto"/>
              <w:bottom w:val="single" w:sz="4" w:space="0" w:color="auto"/>
              <w:right w:val="single" w:sz="4" w:space="0" w:color="auto"/>
            </w:tcBorders>
            <w:shd w:val="clear" w:color="auto" w:fill="E7E6E6"/>
            <w:noWrap/>
            <w:vAlign w:val="bottom"/>
            <w:hideMark/>
          </w:tcPr>
          <w:p w14:paraId="29C2A93A"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Storage losses</w:t>
            </w:r>
          </w:p>
        </w:tc>
        <w:tc>
          <w:tcPr>
            <w:tcW w:w="1903" w:type="dxa"/>
            <w:tcBorders>
              <w:top w:val="nil"/>
              <w:left w:val="nil"/>
              <w:bottom w:val="single" w:sz="4" w:space="0" w:color="auto"/>
              <w:right w:val="single" w:sz="4" w:space="0" w:color="auto"/>
            </w:tcBorders>
            <w:noWrap/>
            <w:vAlign w:val="bottom"/>
            <w:hideMark/>
          </w:tcPr>
          <w:p w14:paraId="2BE2D948"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929.4</w:t>
            </w:r>
          </w:p>
        </w:tc>
      </w:tr>
      <w:tr w:rsidR="00614438" w:rsidRPr="004F5BC1" w14:paraId="3B02D97C" w14:textId="77777777" w:rsidTr="00614438">
        <w:trPr>
          <w:trHeight w:val="20"/>
          <w:jc w:val="center"/>
        </w:trPr>
        <w:tc>
          <w:tcPr>
            <w:tcW w:w="4108" w:type="dxa"/>
            <w:tcBorders>
              <w:top w:val="nil"/>
              <w:left w:val="single" w:sz="4" w:space="0" w:color="auto"/>
              <w:bottom w:val="single" w:sz="4" w:space="0" w:color="auto"/>
              <w:right w:val="single" w:sz="4" w:space="0" w:color="auto"/>
            </w:tcBorders>
            <w:shd w:val="clear" w:color="auto" w:fill="E7E6E6"/>
            <w:noWrap/>
            <w:vAlign w:val="bottom"/>
            <w:hideMark/>
          </w:tcPr>
          <w:p w14:paraId="4AE804D6"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Unsupplied Energy</w:t>
            </w:r>
          </w:p>
        </w:tc>
        <w:tc>
          <w:tcPr>
            <w:tcW w:w="1903" w:type="dxa"/>
            <w:tcBorders>
              <w:top w:val="nil"/>
              <w:left w:val="nil"/>
              <w:bottom w:val="single" w:sz="4" w:space="0" w:color="auto"/>
              <w:right w:val="single" w:sz="4" w:space="0" w:color="auto"/>
            </w:tcBorders>
            <w:shd w:val="clear" w:color="auto" w:fill="DDEBF7"/>
            <w:noWrap/>
            <w:vAlign w:val="bottom"/>
            <w:hideMark/>
          </w:tcPr>
          <w:p w14:paraId="420E55EA"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0.0</w:t>
            </w:r>
          </w:p>
        </w:tc>
      </w:tr>
      <w:tr w:rsidR="00614438" w:rsidRPr="004F5BC1" w14:paraId="3498C3D1" w14:textId="77777777" w:rsidTr="00614438">
        <w:trPr>
          <w:trHeight w:val="20"/>
          <w:jc w:val="center"/>
        </w:trPr>
        <w:tc>
          <w:tcPr>
            <w:tcW w:w="4108" w:type="dxa"/>
            <w:tcBorders>
              <w:top w:val="nil"/>
              <w:left w:val="single" w:sz="4" w:space="0" w:color="auto"/>
              <w:bottom w:val="single" w:sz="4" w:space="0" w:color="auto"/>
              <w:right w:val="single" w:sz="4" w:space="0" w:color="auto"/>
            </w:tcBorders>
            <w:shd w:val="clear" w:color="auto" w:fill="E7E6E6"/>
            <w:noWrap/>
            <w:vAlign w:val="bottom"/>
            <w:hideMark/>
          </w:tcPr>
          <w:p w14:paraId="775E3DF7"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Net annual exports</w:t>
            </w:r>
          </w:p>
        </w:tc>
        <w:tc>
          <w:tcPr>
            <w:tcW w:w="1903" w:type="dxa"/>
            <w:tcBorders>
              <w:top w:val="nil"/>
              <w:left w:val="nil"/>
              <w:bottom w:val="single" w:sz="4" w:space="0" w:color="auto"/>
              <w:right w:val="single" w:sz="4" w:space="0" w:color="auto"/>
            </w:tcBorders>
            <w:noWrap/>
            <w:vAlign w:val="bottom"/>
            <w:hideMark/>
          </w:tcPr>
          <w:p w14:paraId="757C175A"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1,120.3</w:t>
            </w:r>
          </w:p>
        </w:tc>
      </w:tr>
      <w:tr w:rsidR="00614438" w:rsidRPr="004F5BC1" w14:paraId="7AC996A3" w14:textId="77777777" w:rsidTr="00614438">
        <w:trPr>
          <w:trHeight w:val="20"/>
          <w:jc w:val="center"/>
        </w:trPr>
        <w:tc>
          <w:tcPr>
            <w:tcW w:w="4108" w:type="dxa"/>
            <w:tcBorders>
              <w:top w:val="nil"/>
              <w:left w:val="single" w:sz="4" w:space="0" w:color="auto"/>
              <w:bottom w:val="single" w:sz="4" w:space="0" w:color="auto"/>
              <w:right w:val="single" w:sz="4" w:space="0" w:color="auto"/>
            </w:tcBorders>
            <w:shd w:val="clear" w:color="auto" w:fill="E7E6E6"/>
            <w:noWrap/>
            <w:vAlign w:val="bottom"/>
            <w:hideMark/>
          </w:tcPr>
          <w:p w14:paraId="639D06F5"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 </w:t>
            </w:r>
          </w:p>
        </w:tc>
        <w:tc>
          <w:tcPr>
            <w:tcW w:w="1903" w:type="dxa"/>
            <w:tcBorders>
              <w:top w:val="nil"/>
              <w:left w:val="nil"/>
              <w:bottom w:val="single" w:sz="4" w:space="0" w:color="auto"/>
              <w:right w:val="single" w:sz="4" w:space="0" w:color="auto"/>
            </w:tcBorders>
            <w:noWrap/>
            <w:vAlign w:val="bottom"/>
            <w:hideMark/>
          </w:tcPr>
          <w:p w14:paraId="1A20E3A3"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MW</w:t>
            </w:r>
          </w:p>
        </w:tc>
      </w:tr>
      <w:tr w:rsidR="00614438" w:rsidRPr="004F5BC1" w14:paraId="5F561738" w14:textId="77777777" w:rsidTr="00614438">
        <w:trPr>
          <w:trHeight w:val="20"/>
          <w:jc w:val="center"/>
        </w:trPr>
        <w:tc>
          <w:tcPr>
            <w:tcW w:w="4108" w:type="dxa"/>
            <w:tcBorders>
              <w:top w:val="nil"/>
              <w:left w:val="single" w:sz="4" w:space="0" w:color="auto"/>
              <w:bottom w:val="single" w:sz="4" w:space="0" w:color="auto"/>
              <w:right w:val="single" w:sz="4" w:space="0" w:color="auto"/>
            </w:tcBorders>
            <w:shd w:val="clear" w:color="auto" w:fill="E7E6E6"/>
            <w:noWrap/>
            <w:vAlign w:val="bottom"/>
            <w:hideMark/>
          </w:tcPr>
          <w:p w14:paraId="22A4F4C9"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Average Net Exports</w:t>
            </w:r>
          </w:p>
        </w:tc>
        <w:tc>
          <w:tcPr>
            <w:tcW w:w="1903" w:type="dxa"/>
            <w:tcBorders>
              <w:top w:val="nil"/>
              <w:left w:val="nil"/>
              <w:bottom w:val="single" w:sz="4" w:space="0" w:color="auto"/>
              <w:right w:val="single" w:sz="4" w:space="0" w:color="auto"/>
            </w:tcBorders>
            <w:shd w:val="clear" w:color="auto" w:fill="DDEBF7"/>
            <w:noWrap/>
            <w:vAlign w:val="bottom"/>
            <w:hideMark/>
          </w:tcPr>
          <w:p w14:paraId="2D4F8961"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128.2</w:t>
            </w:r>
          </w:p>
        </w:tc>
      </w:tr>
      <w:tr w:rsidR="00614438" w:rsidRPr="004F5BC1" w14:paraId="1495265F" w14:textId="77777777" w:rsidTr="00614438">
        <w:trPr>
          <w:trHeight w:val="20"/>
          <w:jc w:val="center"/>
        </w:trPr>
        <w:tc>
          <w:tcPr>
            <w:tcW w:w="4108" w:type="dxa"/>
            <w:tcBorders>
              <w:top w:val="nil"/>
              <w:left w:val="single" w:sz="4" w:space="0" w:color="auto"/>
              <w:bottom w:val="single" w:sz="4" w:space="0" w:color="auto"/>
              <w:right w:val="single" w:sz="4" w:space="0" w:color="auto"/>
            </w:tcBorders>
            <w:shd w:val="clear" w:color="auto" w:fill="E7E6E6"/>
            <w:noWrap/>
            <w:vAlign w:val="bottom"/>
            <w:hideMark/>
          </w:tcPr>
          <w:p w14:paraId="04C5960A"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 </w:t>
            </w:r>
          </w:p>
        </w:tc>
        <w:tc>
          <w:tcPr>
            <w:tcW w:w="1903" w:type="dxa"/>
            <w:tcBorders>
              <w:top w:val="nil"/>
              <w:left w:val="nil"/>
              <w:bottom w:val="single" w:sz="4" w:space="0" w:color="auto"/>
              <w:right w:val="single" w:sz="4" w:space="0" w:color="auto"/>
            </w:tcBorders>
            <w:noWrap/>
            <w:vAlign w:val="bottom"/>
            <w:hideMark/>
          </w:tcPr>
          <w:p w14:paraId="2B19B72E"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Tons</w:t>
            </w:r>
          </w:p>
        </w:tc>
      </w:tr>
      <w:tr w:rsidR="00614438" w:rsidRPr="004F5BC1" w14:paraId="10F44F73" w14:textId="77777777" w:rsidTr="00614438">
        <w:trPr>
          <w:trHeight w:val="20"/>
          <w:jc w:val="center"/>
        </w:trPr>
        <w:tc>
          <w:tcPr>
            <w:tcW w:w="4108" w:type="dxa"/>
            <w:tcBorders>
              <w:top w:val="nil"/>
              <w:left w:val="single" w:sz="4" w:space="0" w:color="auto"/>
              <w:bottom w:val="single" w:sz="4" w:space="0" w:color="auto"/>
              <w:right w:val="single" w:sz="4" w:space="0" w:color="auto"/>
            </w:tcBorders>
            <w:shd w:val="clear" w:color="auto" w:fill="E7E6E6"/>
            <w:noWrap/>
            <w:vAlign w:val="bottom"/>
            <w:hideMark/>
          </w:tcPr>
          <w:p w14:paraId="38EDC901"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CO2 Emissions</w:t>
            </w:r>
          </w:p>
        </w:tc>
        <w:tc>
          <w:tcPr>
            <w:tcW w:w="1903" w:type="dxa"/>
            <w:tcBorders>
              <w:top w:val="nil"/>
              <w:left w:val="nil"/>
              <w:bottom w:val="single" w:sz="4" w:space="0" w:color="auto"/>
              <w:right w:val="single" w:sz="4" w:space="0" w:color="auto"/>
            </w:tcBorders>
            <w:shd w:val="clear" w:color="auto" w:fill="DDEBF7"/>
            <w:noWrap/>
            <w:vAlign w:val="center"/>
            <w:hideMark/>
          </w:tcPr>
          <w:p w14:paraId="1544F193"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12,855,223</w:t>
            </w:r>
          </w:p>
        </w:tc>
      </w:tr>
      <w:tr w:rsidR="00614438" w:rsidRPr="004F5BC1" w14:paraId="1AA90F7A" w14:textId="77777777" w:rsidTr="00614438">
        <w:trPr>
          <w:trHeight w:val="20"/>
          <w:jc w:val="center"/>
        </w:trPr>
        <w:tc>
          <w:tcPr>
            <w:tcW w:w="4108" w:type="dxa"/>
            <w:tcBorders>
              <w:top w:val="nil"/>
              <w:left w:val="single" w:sz="4" w:space="0" w:color="auto"/>
              <w:bottom w:val="single" w:sz="4" w:space="0" w:color="auto"/>
              <w:right w:val="single" w:sz="4" w:space="0" w:color="auto"/>
            </w:tcBorders>
            <w:shd w:val="clear" w:color="auto" w:fill="E7E6E6"/>
            <w:noWrap/>
            <w:vAlign w:val="bottom"/>
            <w:hideMark/>
          </w:tcPr>
          <w:p w14:paraId="0798A75A"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 </w:t>
            </w:r>
          </w:p>
        </w:tc>
        <w:tc>
          <w:tcPr>
            <w:tcW w:w="1903" w:type="dxa"/>
            <w:tcBorders>
              <w:top w:val="nil"/>
              <w:left w:val="nil"/>
              <w:bottom w:val="single" w:sz="4" w:space="0" w:color="auto"/>
              <w:right w:val="single" w:sz="4" w:space="0" w:color="auto"/>
            </w:tcBorders>
            <w:noWrap/>
            <w:vAlign w:val="bottom"/>
            <w:hideMark/>
          </w:tcPr>
          <w:p w14:paraId="0658E07F"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M€</w:t>
            </w:r>
          </w:p>
        </w:tc>
      </w:tr>
      <w:tr w:rsidR="00614438" w:rsidRPr="004F5BC1" w14:paraId="0129ACD3" w14:textId="77777777" w:rsidTr="00614438">
        <w:trPr>
          <w:trHeight w:val="20"/>
          <w:jc w:val="center"/>
        </w:trPr>
        <w:tc>
          <w:tcPr>
            <w:tcW w:w="4108" w:type="dxa"/>
            <w:tcBorders>
              <w:top w:val="nil"/>
              <w:left w:val="single" w:sz="4" w:space="0" w:color="auto"/>
              <w:bottom w:val="single" w:sz="4" w:space="0" w:color="auto"/>
              <w:right w:val="single" w:sz="4" w:space="0" w:color="auto"/>
            </w:tcBorders>
            <w:shd w:val="clear" w:color="auto" w:fill="F2F2F2"/>
            <w:vAlign w:val="center"/>
            <w:hideMark/>
          </w:tcPr>
          <w:p w14:paraId="62C37CA8"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Total simulated region annual Operational Cost</w:t>
            </w:r>
          </w:p>
        </w:tc>
        <w:tc>
          <w:tcPr>
            <w:tcW w:w="1903" w:type="dxa"/>
            <w:tcBorders>
              <w:top w:val="nil"/>
              <w:left w:val="nil"/>
              <w:bottom w:val="single" w:sz="4" w:space="0" w:color="auto"/>
              <w:right w:val="single" w:sz="4" w:space="0" w:color="auto"/>
            </w:tcBorders>
            <w:shd w:val="clear" w:color="auto" w:fill="DDEBF7"/>
            <w:noWrap/>
            <w:vAlign w:val="center"/>
            <w:hideMark/>
          </w:tcPr>
          <w:p w14:paraId="009221DC"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7,523</w:t>
            </w:r>
          </w:p>
        </w:tc>
      </w:tr>
    </w:tbl>
    <w:p w14:paraId="36D7BB19" w14:textId="77777777" w:rsidR="00614438" w:rsidRPr="004F5BC1" w:rsidRDefault="00614438" w:rsidP="004F5BC1">
      <w:pPr>
        <w:spacing w:after="0"/>
        <w:jc w:val="both"/>
        <w:rPr>
          <w:rFonts w:ascii="Times New Roman" w:hAnsi="Times New Roman" w:cs="Times New Roman"/>
          <w:sz w:val="20"/>
          <w:szCs w:val="20"/>
        </w:rPr>
      </w:pPr>
      <w:bookmarkStart w:id="676" w:name="_Toc153545088"/>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II</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Scenario S PSP average annual results for Target Year 2040</w:t>
      </w:r>
      <w:bookmarkEnd w:id="676"/>
    </w:p>
    <w:tbl>
      <w:tblPr>
        <w:tblW w:w="6375" w:type="dxa"/>
        <w:jc w:val="center"/>
        <w:tblLayout w:type="fixed"/>
        <w:tblLook w:val="04A0" w:firstRow="1" w:lastRow="0" w:firstColumn="1" w:lastColumn="0" w:noHBand="0" w:noVBand="1"/>
      </w:tblPr>
      <w:tblGrid>
        <w:gridCol w:w="2328"/>
        <w:gridCol w:w="1349"/>
        <w:gridCol w:w="2687"/>
        <w:gridCol w:w="11"/>
      </w:tblGrid>
      <w:tr w:rsidR="00614438" w:rsidRPr="004F5BC1" w14:paraId="46717E8D" w14:textId="77777777" w:rsidTr="00614438">
        <w:trPr>
          <w:trHeight w:val="288"/>
          <w:tblHeader/>
          <w:jc w:val="center"/>
        </w:trPr>
        <w:tc>
          <w:tcPr>
            <w:tcW w:w="2330" w:type="dxa"/>
            <w:tcBorders>
              <w:top w:val="nil"/>
              <w:left w:val="single" w:sz="8" w:space="0" w:color="auto"/>
              <w:bottom w:val="single" w:sz="4" w:space="0" w:color="auto"/>
              <w:right w:val="nil"/>
            </w:tcBorders>
            <w:shd w:val="clear" w:color="auto" w:fill="404040"/>
            <w:noWrap/>
            <w:vAlign w:val="center"/>
            <w:hideMark/>
          </w:tcPr>
          <w:p w14:paraId="0D318603"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PSP &amp; BESS</w:t>
            </w:r>
          </w:p>
        </w:tc>
        <w:tc>
          <w:tcPr>
            <w:tcW w:w="1350" w:type="dxa"/>
            <w:tcBorders>
              <w:top w:val="nil"/>
              <w:left w:val="single" w:sz="4" w:space="0" w:color="auto"/>
              <w:bottom w:val="single" w:sz="4" w:space="0" w:color="auto"/>
              <w:right w:val="single" w:sz="4" w:space="0" w:color="auto"/>
            </w:tcBorders>
            <w:shd w:val="clear" w:color="auto" w:fill="1F497D"/>
            <w:vAlign w:val="center"/>
            <w:hideMark/>
          </w:tcPr>
          <w:p w14:paraId="3FEED6BD"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Turbine Power [MW]</w:t>
            </w:r>
          </w:p>
        </w:tc>
        <w:tc>
          <w:tcPr>
            <w:tcW w:w="2700" w:type="dxa"/>
            <w:gridSpan w:val="2"/>
            <w:tcBorders>
              <w:top w:val="nil"/>
              <w:left w:val="nil"/>
              <w:bottom w:val="single" w:sz="4" w:space="0" w:color="auto"/>
              <w:right w:val="single" w:sz="4" w:space="0" w:color="auto"/>
            </w:tcBorders>
            <w:shd w:val="clear" w:color="auto" w:fill="1F497D"/>
            <w:vAlign w:val="center"/>
            <w:hideMark/>
          </w:tcPr>
          <w:p w14:paraId="48B0EC99"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Annual turbining [MWh]</w:t>
            </w:r>
          </w:p>
        </w:tc>
      </w:tr>
      <w:tr w:rsidR="00614438" w:rsidRPr="004F5BC1" w14:paraId="638A5EE2" w14:textId="77777777" w:rsidTr="00614438">
        <w:trPr>
          <w:gridAfter w:val="1"/>
          <w:wAfter w:w="11" w:type="dxa"/>
          <w:trHeight w:val="288"/>
          <w:jc w:val="center"/>
        </w:trPr>
        <w:tc>
          <w:tcPr>
            <w:tcW w:w="2330" w:type="dxa"/>
            <w:tcBorders>
              <w:top w:val="nil"/>
              <w:left w:val="single" w:sz="8" w:space="0" w:color="auto"/>
              <w:bottom w:val="single" w:sz="4" w:space="0" w:color="auto"/>
              <w:right w:val="nil"/>
            </w:tcBorders>
            <w:shd w:val="clear" w:color="auto" w:fill="E7E6E6"/>
            <w:noWrap/>
            <w:vAlign w:val="bottom"/>
            <w:hideMark/>
          </w:tcPr>
          <w:p w14:paraId="0B10C051"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PHPP Bajina Basta</w:t>
            </w:r>
          </w:p>
        </w:tc>
        <w:tc>
          <w:tcPr>
            <w:tcW w:w="1350" w:type="dxa"/>
            <w:tcBorders>
              <w:top w:val="nil"/>
              <w:left w:val="single" w:sz="4" w:space="0" w:color="auto"/>
              <w:bottom w:val="single" w:sz="4" w:space="0" w:color="auto"/>
              <w:right w:val="single" w:sz="4" w:space="0" w:color="auto"/>
            </w:tcBorders>
            <w:shd w:val="clear" w:color="auto" w:fill="DDEBF7"/>
            <w:noWrap/>
            <w:vAlign w:val="center"/>
            <w:hideMark/>
          </w:tcPr>
          <w:p w14:paraId="1CAE95C8"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616</w:t>
            </w:r>
          </w:p>
        </w:tc>
        <w:tc>
          <w:tcPr>
            <w:tcW w:w="2689" w:type="dxa"/>
            <w:tcBorders>
              <w:top w:val="nil"/>
              <w:left w:val="nil"/>
              <w:bottom w:val="single" w:sz="4" w:space="0" w:color="auto"/>
              <w:right w:val="single" w:sz="4" w:space="0" w:color="auto"/>
            </w:tcBorders>
            <w:shd w:val="clear" w:color="auto" w:fill="DDEBF7"/>
            <w:noWrap/>
            <w:vAlign w:val="center"/>
            <w:hideMark/>
          </w:tcPr>
          <w:p w14:paraId="70B4CF87"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721,320</w:t>
            </w:r>
          </w:p>
        </w:tc>
      </w:tr>
      <w:tr w:rsidR="00614438" w:rsidRPr="004F5BC1" w14:paraId="1DDFD2E5" w14:textId="77777777" w:rsidTr="00614438">
        <w:trPr>
          <w:gridAfter w:val="1"/>
          <w:wAfter w:w="11" w:type="dxa"/>
          <w:trHeight w:val="288"/>
          <w:jc w:val="center"/>
        </w:trPr>
        <w:tc>
          <w:tcPr>
            <w:tcW w:w="2330" w:type="dxa"/>
            <w:tcBorders>
              <w:top w:val="nil"/>
              <w:left w:val="single" w:sz="8" w:space="0" w:color="auto"/>
              <w:bottom w:val="single" w:sz="4" w:space="0" w:color="auto"/>
              <w:right w:val="nil"/>
            </w:tcBorders>
            <w:shd w:val="clear" w:color="auto" w:fill="E7E6E6"/>
            <w:noWrap/>
            <w:vAlign w:val="bottom"/>
            <w:hideMark/>
          </w:tcPr>
          <w:p w14:paraId="4E66F338"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PHPP Bistrica</w:t>
            </w:r>
          </w:p>
        </w:tc>
        <w:tc>
          <w:tcPr>
            <w:tcW w:w="1350" w:type="dxa"/>
            <w:tcBorders>
              <w:top w:val="nil"/>
              <w:left w:val="single" w:sz="4" w:space="0" w:color="auto"/>
              <w:bottom w:val="single" w:sz="4" w:space="0" w:color="auto"/>
              <w:right w:val="single" w:sz="4" w:space="0" w:color="auto"/>
            </w:tcBorders>
            <w:noWrap/>
            <w:vAlign w:val="center"/>
            <w:hideMark/>
          </w:tcPr>
          <w:p w14:paraId="5E8D937E"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680</w:t>
            </w:r>
          </w:p>
        </w:tc>
        <w:tc>
          <w:tcPr>
            <w:tcW w:w="2689" w:type="dxa"/>
            <w:tcBorders>
              <w:top w:val="nil"/>
              <w:left w:val="nil"/>
              <w:bottom w:val="single" w:sz="4" w:space="0" w:color="auto"/>
              <w:right w:val="single" w:sz="4" w:space="0" w:color="auto"/>
            </w:tcBorders>
            <w:noWrap/>
            <w:vAlign w:val="center"/>
            <w:hideMark/>
          </w:tcPr>
          <w:p w14:paraId="7860350B"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998,582</w:t>
            </w:r>
          </w:p>
        </w:tc>
      </w:tr>
      <w:tr w:rsidR="00614438" w:rsidRPr="004F5BC1" w14:paraId="5DC19756" w14:textId="77777777" w:rsidTr="00614438">
        <w:trPr>
          <w:gridAfter w:val="1"/>
          <w:wAfter w:w="11" w:type="dxa"/>
          <w:trHeight w:val="300"/>
          <w:jc w:val="center"/>
        </w:trPr>
        <w:tc>
          <w:tcPr>
            <w:tcW w:w="2330" w:type="dxa"/>
            <w:tcBorders>
              <w:top w:val="nil"/>
              <w:left w:val="single" w:sz="8" w:space="0" w:color="auto"/>
              <w:bottom w:val="single" w:sz="8" w:space="0" w:color="auto"/>
              <w:right w:val="nil"/>
            </w:tcBorders>
            <w:shd w:val="clear" w:color="auto" w:fill="E7E6E6"/>
            <w:noWrap/>
            <w:vAlign w:val="bottom"/>
            <w:hideMark/>
          </w:tcPr>
          <w:p w14:paraId="2EAA643F"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PSPP Djerdap 3</w:t>
            </w:r>
          </w:p>
        </w:tc>
        <w:tc>
          <w:tcPr>
            <w:tcW w:w="1350" w:type="dxa"/>
            <w:tcBorders>
              <w:top w:val="nil"/>
              <w:left w:val="single" w:sz="4" w:space="0" w:color="auto"/>
              <w:bottom w:val="single" w:sz="8" w:space="0" w:color="auto"/>
              <w:right w:val="single" w:sz="4" w:space="0" w:color="auto"/>
            </w:tcBorders>
            <w:shd w:val="clear" w:color="auto" w:fill="DDEBF7"/>
            <w:noWrap/>
            <w:vAlign w:val="center"/>
            <w:hideMark/>
          </w:tcPr>
          <w:p w14:paraId="59D4A28C"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600</w:t>
            </w:r>
          </w:p>
        </w:tc>
        <w:tc>
          <w:tcPr>
            <w:tcW w:w="2689" w:type="dxa"/>
            <w:tcBorders>
              <w:top w:val="nil"/>
              <w:left w:val="nil"/>
              <w:bottom w:val="single" w:sz="8" w:space="0" w:color="auto"/>
              <w:right w:val="single" w:sz="4" w:space="0" w:color="auto"/>
            </w:tcBorders>
            <w:shd w:val="clear" w:color="auto" w:fill="DDEBF7"/>
            <w:noWrap/>
            <w:vAlign w:val="center"/>
            <w:hideMark/>
          </w:tcPr>
          <w:p w14:paraId="4D6CB0A5"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905,672</w:t>
            </w:r>
          </w:p>
        </w:tc>
      </w:tr>
    </w:tbl>
    <w:p w14:paraId="18D51CCA" w14:textId="77777777" w:rsidR="00355509" w:rsidRDefault="00355509" w:rsidP="00355509">
      <w:pPr>
        <w:jc w:val="both"/>
        <w:rPr>
          <w:rFonts w:ascii="Times New Roman" w:hAnsi="Times New Roman" w:cs="Times New Roman"/>
          <w:sz w:val="24"/>
          <w:szCs w:val="24"/>
          <w:lang w:val="en-GB"/>
        </w:rPr>
      </w:pPr>
    </w:p>
    <w:p w14:paraId="66D79F92" w14:textId="75DA028F" w:rsidR="00614438" w:rsidRPr="00614438" w:rsidRDefault="00355509" w:rsidP="00355509">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II.3 </w:t>
      </w:r>
      <w:r w:rsidR="00614438" w:rsidRPr="00614438">
        <w:rPr>
          <w:rFonts w:ascii="Times New Roman" w:hAnsi="Times New Roman" w:cs="Times New Roman"/>
          <w:sz w:val="24"/>
          <w:szCs w:val="24"/>
          <w:lang w:val="en-GB"/>
        </w:rPr>
        <w:t>Lignite plants operation under security of supply considerations.</w:t>
      </w:r>
    </w:p>
    <w:p w14:paraId="7911A25D" w14:textId="77777777" w:rsidR="00614438" w:rsidRPr="00614438" w:rsidRDefault="00614438" w:rsidP="00355509">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Security of supply is not only an issue of generation adequacy (i.e. if there is enough generation capacity, which has been analysed in the scenarios examined), but a broader aspect that also includes the availability of fuel among others (e.g. imported gas compared to domestic lignite). Taking this into account, as well as the key outputs from the analysis of all the different scenarios presented in the previous sections, the proposal presented in the following table is considered reasonable for a resilient power system.</w:t>
      </w:r>
    </w:p>
    <w:p w14:paraId="348ED36E" w14:textId="2579F915" w:rsidR="00614438" w:rsidRPr="00614438" w:rsidRDefault="00614438" w:rsidP="00355509">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key consideration is that the lignite fired power plant capacities will be maintained and will not be dismantled until 2045. The older units TENTA1, TENTA2, TEKOA1 and TEKOA2 will remain in cold reserve after 2040, while the units TENTA3-A6 will operate only during the heating season to cover the needs of the district heating. The new unit TPP Kostolac B3 could operate at high capacity factors and the remaining TENTB and TEKOB units operate at technical minimum in 2045. Some capacities remain as reserves in the system </w:t>
      </w:r>
      <w:r w:rsidR="00355509">
        <w:rPr>
          <w:rFonts w:ascii="Times New Roman" w:hAnsi="Times New Roman" w:cs="Times New Roman"/>
          <w:sz w:val="24"/>
          <w:szCs w:val="24"/>
          <w:lang w:val="en-GB"/>
        </w:rPr>
        <w:t>until</w:t>
      </w:r>
      <w:r w:rsidRPr="00614438">
        <w:rPr>
          <w:rFonts w:ascii="Times New Roman" w:hAnsi="Times New Roman" w:cs="Times New Roman"/>
          <w:sz w:val="24"/>
          <w:szCs w:val="24"/>
          <w:lang w:val="en-GB"/>
        </w:rPr>
        <w:t xml:space="preserve"> 2050 but do not generate electricity</w:t>
      </w:r>
      <w:r w:rsidR="00355509">
        <w:rPr>
          <w:rFonts w:ascii="Times New Roman" w:hAnsi="Times New Roman" w:cs="Times New Roman"/>
          <w:sz w:val="24"/>
          <w:szCs w:val="24"/>
          <w:lang w:val="en-GB"/>
        </w:rPr>
        <w:t xml:space="preserve"> any longer</w:t>
      </w:r>
      <w:r w:rsidRPr="00614438">
        <w:rPr>
          <w:rFonts w:ascii="Times New Roman" w:hAnsi="Times New Roman" w:cs="Times New Roman"/>
          <w:sz w:val="24"/>
          <w:szCs w:val="24"/>
          <w:lang w:val="en-GB"/>
        </w:rPr>
        <w:t xml:space="preserve">. It </w:t>
      </w:r>
      <w:r w:rsidR="00355509">
        <w:rPr>
          <w:rFonts w:ascii="Times New Roman" w:hAnsi="Times New Roman" w:cs="Times New Roman"/>
          <w:sz w:val="24"/>
          <w:szCs w:val="24"/>
          <w:lang w:val="en-GB"/>
        </w:rPr>
        <w:t>should</w:t>
      </w:r>
      <w:r w:rsidRPr="00614438">
        <w:rPr>
          <w:rFonts w:ascii="Times New Roman" w:hAnsi="Times New Roman" w:cs="Times New Roman"/>
          <w:sz w:val="24"/>
          <w:szCs w:val="24"/>
          <w:lang w:val="en-GB"/>
        </w:rPr>
        <w:t xml:space="preserve"> be noted that this approach is not a least cost economic configuration, but only a configuration that covers the risks associated with the uncertainties of the energy field internationally.</w:t>
      </w:r>
    </w:p>
    <w:p w14:paraId="6651F05C" w14:textId="77777777" w:rsidR="00614438" w:rsidRPr="004F5BC1" w:rsidRDefault="00614438" w:rsidP="004F5BC1">
      <w:pPr>
        <w:spacing w:after="0"/>
        <w:jc w:val="both"/>
        <w:rPr>
          <w:rFonts w:ascii="Times New Roman" w:hAnsi="Times New Roman" w:cs="Times New Roman"/>
          <w:sz w:val="20"/>
          <w:szCs w:val="20"/>
        </w:rPr>
      </w:pPr>
      <w:bookmarkStart w:id="677" w:name="_Ref153533857"/>
      <w:bookmarkStart w:id="678" w:name="_Toc153545089"/>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II</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bookmarkEnd w:id="677"/>
      <w:r w:rsidRPr="00614438">
        <w:rPr>
          <w:rFonts w:ascii="Times New Roman" w:hAnsi="Times New Roman" w:cs="Times New Roman"/>
          <w:sz w:val="24"/>
          <w:szCs w:val="24"/>
        </w:rPr>
        <w:t>: Capacities under supply security considerations</w:t>
      </w:r>
      <w:bookmarkEnd w:id="678"/>
    </w:p>
    <w:tbl>
      <w:tblPr>
        <w:tblW w:w="91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1289"/>
        <w:gridCol w:w="1289"/>
        <w:gridCol w:w="1289"/>
        <w:gridCol w:w="1289"/>
        <w:gridCol w:w="1289"/>
        <w:gridCol w:w="1289"/>
      </w:tblGrid>
      <w:tr w:rsidR="00614438" w:rsidRPr="004F5BC1" w14:paraId="2755F9D2" w14:textId="77777777" w:rsidTr="00614438">
        <w:trPr>
          <w:trHeight w:val="20"/>
          <w:tblHeader/>
          <w:jc w:val="center"/>
        </w:trPr>
        <w:tc>
          <w:tcPr>
            <w:tcW w:w="1414"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707EEB9C"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Capacities in MW</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5021B8FB"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2025</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38C25205"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2030</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11D165AE"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2035</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29369237"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2040</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2D93FED4"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2045</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21A3E35C"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2050</w:t>
            </w:r>
          </w:p>
        </w:tc>
      </w:tr>
      <w:tr w:rsidR="00614438" w:rsidRPr="004F5BC1" w14:paraId="5A84221A" w14:textId="77777777" w:rsidTr="00614438">
        <w:trPr>
          <w:trHeight w:val="20"/>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285DA603"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Tesla A1</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2BB687D3"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191</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14856F1D"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191</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5E046D9F"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191</w:t>
            </w:r>
          </w:p>
        </w:tc>
        <w:tc>
          <w:tcPr>
            <w:tcW w:w="1289" w:type="dxa"/>
            <w:tcBorders>
              <w:top w:val="single" w:sz="4" w:space="0" w:color="auto"/>
              <w:left w:val="single" w:sz="4" w:space="0" w:color="auto"/>
              <w:bottom w:val="single" w:sz="4" w:space="0" w:color="auto"/>
              <w:right w:val="single" w:sz="4" w:space="0" w:color="auto"/>
            </w:tcBorders>
            <w:vAlign w:val="center"/>
            <w:hideMark/>
          </w:tcPr>
          <w:p w14:paraId="6AEE4E8A"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191</w:t>
            </w:r>
          </w:p>
        </w:tc>
        <w:tc>
          <w:tcPr>
            <w:tcW w:w="1289" w:type="dxa"/>
            <w:tcBorders>
              <w:top w:val="single" w:sz="4" w:space="0" w:color="auto"/>
              <w:left w:val="single" w:sz="4" w:space="0" w:color="auto"/>
              <w:bottom w:val="single" w:sz="4" w:space="0" w:color="auto"/>
              <w:right w:val="single" w:sz="4" w:space="0" w:color="auto"/>
            </w:tcBorders>
            <w:vAlign w:val="center"/>
            <w:hideMark/>
          </w:tcPr>
          <w:p w14:paraId="534805E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191</w:t>
            </w:r>
          </w:p>
        </w:tc>
        <w:tc>
          <w:tcPr>
            <w:tcW w:w="1289" w:type="dxa"/>
            <w:tcBorders>
              <w:top w:val="single" w:sz="4" w:space="0" w:color="auto"/>
              <w:left w:val="single" w:sz="4" w:space="0" w:color="auto"/>
              <w:bottom w:val="single" w:sz="4" w:space="0" w:color="auto"/>
              <w:right w:val="single" w:sz="4" w:space="0" w:color="auto"/>
            </w:tcBorders>
            <w:vAlign w:val="center"/>
          </w:tcPr>
          <w:p w14:paraId="0D178634" w14:textId="77777777" w:rsidR="00614438" w:rsidRPr="004F5BC1" w:rsidRDefault="00614438" w:rsidP="004F5BC1">
            <w:pPr>
              <w:spacing w:after="0"/>
              <w:jc w:val="both"/>
              <w:rPr>
                <w:rFonts w:ascii="Times New Roman" w:hAnsi="Times New Roman" w:cs="Times New Roman"/>
                <w:sz w:val="20"/>
                <w:szCs w:val="20"/>
              </w:rPr>
            </w:pPr>
          </w:p>
        </w:tc>
      </w:tr>
      <w:tr w:rsidR="00614438" w:rsidRPr="004F5BC1" w14:paraId="25910CDB" w14:textId="77777777" w:rsidTr="00614438">
        <w:trPr>
          <w:trHeight w:val="20"/>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1A1D158A"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Tesla A2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8D01DA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191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30E9DA9"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191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2C317E4"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191</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17841DA"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191</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7D82E843"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191</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221548A8" w14:textId="77777777" w:rsidR="00614438" w:rsidRPr="004F5BC1" w:rsidRDefault="00614438" w:rsidP="004F5BC1">
            <w:pPr>
              <w:spacing w:after="0"/>
              <w:jc w:val="both"/>
              <w:rPr>
                <w:rFonts w:ascii="Times New Roman" w:hAnsi="Times New Roman" w:cs="Times New Roman"/>
                <w:sz w:val="20"/>
                <w:szCs w:val="20"/>
              </w:rPr>
            </w:pPr>
          </w:p>
        </w:tc>
      </w:tr>
      <w:tr w:rsidR="00614438" w:rsidRPr="004F5BC1" w14:paraId="25ACDE75" w14:textId="77777777" w:rsidTr="00614438">
        <w:trPr>
          <w:trHeight w:val="20"/>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48A6ED6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Tesla A3</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46EE329A"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305</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3B1821E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305</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27D95A3C"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305</w:t>
            </w:r>
          </w:p>
        </w:tc>
        <w:tc>
          <w:tcPr>
            <w:tcW w:w="1289" w:type="dxa"/>
            <w:tcBorders>
              <w:top w:val="single" w:sz="4" w:space="0" w:color="auto"/>
              <w:left w:val="single" w:sz="4" w:space="0" w:color="auto"/>
              <w:bottom w:val="single" w:sz="4" w:space="0" w:color="auto"/>
              <w:right w:val="single" w:sz="4" w:space="0" w:color="auto"/>
            </w:tcBorders>
            <w:vAlign w:val="center"/>
            <w:hideMark/>
          </w:tcPr>
          <w:p w14:paraId="586775EE"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305</w:t>
            </w:r>
          </w:p>
        </w:tc>
        <w:tc>
          <w:tcPr>
            <w:tcW w:w="1289" w:type="dxa"/>
            <w:tcBorders>
              <w:top w:val="single" w:sz="4" w:space="0" w:color="auto"/>
              <w:left w:val="single" w:sz="4" w:space="0" w:color="auto"/>
              <w:bottom w:val="single" w:sz="4" w:space="0" w:color="auto"/>
              <w:right w:val="single" w:sz="4" w:space="0" w:color="auto"/>
            </w:tcBorders>
            <w:vAlign w:val="center"/>
            <w:hideMark/>
          </w:tcPr>
          <w:p w14:paraId="142405E7"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305</w:t>
            </w:r>
          </w:p>
        </w:tc>
        <w:tc>
          <w:tcPr>
            <w:tcW w:w="1289" w:type="dxa"/>
            <w:tcBorders>
              <w:top w:val="single" w:sz="4" w:space="0" w:color="auto"/>
              <w:left w:val="single" w:sz="4" w:space="0" w:color="auto"/>
              <w:bottom w:val="single" w:sz="4" w:space="0" w:color="auto"/>
              <w:right w:val="single" w:sz="4" w:space="0" w:color="auto"/>
            </w:tcBorders>
            <w:vAlign w:val="center"/>
          </w:tcPr>
          <w:p w14:paraId="45032B9C" w14:textId="77777777" w:rsidR="00614438" w:rsidRPr="004F5BC1" w:rsidRDefault="00614438" w:rsidP="004F5BC1">
            <w:pPr>
              <w:spacing w:after="0"/>
              <w:jc w:val="both"/>
              <w:rPr>
                <w:rFonts w:ascii="Times New Roman" w:hAnsi="Times New Roman" w:cs="Times New Roman"/>
                <w:sz w:val="20"/>
                <w:szCs w:val="20"/>
              </w:rPr>
            </w:pPr>
          </w:p>
        </w:tc>
      </w:tr>
      <w:tr w:rsidR="00614438" w:rsidRPr="004F5BC1" w14:paraId="032A9974" w14:textId="77777777" w:rsidTr="00614438">
        <w:trPr>
          <w:trHeight w:val="20"/>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73DEFFB9"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Tesla A4</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D055883"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305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121809D"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305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D4FFDDF"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305</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60CB30FF"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305</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6E23906F"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305</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6568DE72" w14:textId="77777777" w:rsidR="00614438" w:rsidRPr="004F5BC1" w:rsidRDefault="00614438" w:rsidP="004F5BC1">
            <w:pPr>
              <w:spacing w:after="0"/>
              <w:jc w:val="both"/>
              <w:rPr>
                <w:rFonts w:ascii="Times New Roman" w:hAnsi="Times New Roman" w:cs="Times New Roman"/>
                <w:sz w:val="20"/>
                <w:szCs w:val="20"/>
              </w:rPr>
            </w:pPr>
          </w:p>
        </w:tc>
      </w:tr>
      <w:tr w:rsidR="00614438" w:rsidRPr="004F5BC1" w14:paraId="3B1F79B6" w14:textId="77777777" w:rsidTr="00614438">
        <w:trPr>
          <w:trHeight w:val="20"/>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144DA90C"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Tesla A5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25AE3CB"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310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3E1903A"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310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F66E4BB"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310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19619475"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310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4F88FAA9"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310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5504FB09" w14:textId="77777777" w:rsidR="00614438" w:rsidRPr="004F5BC1" w:rsidRDefault="00614438" w:rsidP="004F5BC1">
            <w:pPr>
              <w:spacing w:after="0"/>
              <w:jc w:val="both"/>
              <w:rPr>
                <w:rFonts w:ascii="Times New Roman" w:hAnsi="Times New Roman" w:cs="Times New Roman"/>
                <w:sz w:val="20"/>
                <w:szCs w:val="20"/>
              </w:rPr>
            </w:pPr>
          </w:p>
        </w:tc>
      </w:tr>
      <w:tr w:rsidR="00614438" w:rsidRPr="004F5BC1" w14:paraId="1199DA5A" w14:textId="77777777" w:rsidTr="00614438">
        <w:trPr>
          <w:trHeight w:val="20"/>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418D151B"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Tesla A6</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C6F8C6A"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320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E6AB605"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320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ED5ACCB"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320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652AC7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320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CAECDA3"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320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4913A47B" w14:textId="77777777" w:rsidR="00614438" w:rsidRPr="004F5BC1" w:rsidRDefault="00614438" w:rsidP="004F5BC1">
            <w:pPr>
              <w:spacing w:after="0"/>
              <w:jc w:val="both"/>
              <w:rPr>
                <w:rFonts w:ascii="Times New Roman" w:hAnsi="Times New Roman" w:cs="Times New Roman"/>
                <w:sz w:val="20"/>
                <w:szCs w:val="20"/>
              </w:rPr>
            </w:pPr>
          </w:p>
        </w:tc>
      </w:tr>
      <w:tr w:rsidR="00614438" w:rsidRPr="004F5BC1" w14:paraId="73EF7C8F" w14:textId="77777777" w:rsidTr="00614438">
        <w:trPr>
          <w:trHeight w:val="20"/>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565A761A"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Tesla B1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771A141"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610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D442457"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610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A32DC6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610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C3DF0C5"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610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4F4AACDA"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610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7ED607A0" w14:textId="77777777" w:rsidR="00614438" w:rsidRPr="004F5BC1" w:rsidRDefault="00614438" w:rsidP="004F5BC1">
            <w:pPr>
              <w:spacing w:after="0"/>
              <w:jc w:val="both"/>
              <w:rPr>
                <w:rFonts w:ascii="Times New Roman" w:hAnsi="Times New Roman" w:cs="Times New Roman"/>
                <w:sz w:val="20"/>
                <w:szCs w:val="20"/>
              </w:rPr>
            </w:pPr>
          </w:p>
        </w:tc>
      </w:tr>
      <w:tr w:rsidR="00614438" w:rsidRPr="004F5BC1" w14:paraId="651F91E8" w14:textId="77777777" w:rsidTr="00614438">
        <w:trPr>
          <w:trHeight w:val="20"/>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458A687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Tesla B2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9D69A6F"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610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8EF822B"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610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761906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610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4ED7EA9"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610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620D890"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610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520C482"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610</w:t>
            </w:r>
          </w:p>
        </w:tc>
      </w:tr>
      <w:tr w:rsidR="00614438" w:rsidRPr="004F5BC1" w14:paraId="2085CADF" w14:textId="77777777" w:rsidTr="00614438">
        <w:trPr>
          <w:trHeight w:val="20"/>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072D5397"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Kolubara A3</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0EC8751"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58</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3D1028DC"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2FFC5245"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7DECEC71"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0537A0EB"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42250035" w14:textId="77777777" w:rsidR="00614438" w:rsidRPr="004F5BC1" w:rsidRDefault="00614438" w:rsidP="004F5BC1">
            <w:pPr>
              <w:spacing w:after="0"/>
              <w:jc w:val="both"/>
              <w:rPr>
                <w:rFonts w:ascii="Times New Roman" w:hAnsi="Times New Roman" w:cs="Times New Roman"/>
                <w:sz w:val="20"/>
                <w:szCs w:val="20"/>
              </w:rPr>
            </w:pPr>
          </w:p>
        </w:tc>
      </w:tr>
      <w:tr w:rsidR="00614438" w:rsidRPr="004F5BC1" w14:paraId="7FCD0D1F" w14:textId="77777777" w:rsidTr="00614438">
        <w:trPr>
          <w:trHeight w:val="20"/>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47C489C7"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Kolubara A5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9E67D0B"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100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7A580275"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1D633F30"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037BD182"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40211D20"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5167379B" w14:textId="77777777" w:rsidR="00614438" w:rsidRPr="004F5BC1" w:rsidRDefault="00614438" w:rsidP="004F5BC1">
            <w:pPr>
              <w:spacing w:after="0"/>
              <w:jc w:val="both"/>
              <w:rPr>
                <w:rFonts w:ascii="Times New Roman" w:hAnsi="Times New Roman" w:cs="Times New Roman"/>
                <w:sz w:val="20"/>
                <w:szCs w:val="20"/>
              </w:rPr>
            </w:pPr>
          </w:p>
        </w:tc>
      </w:tr>
      <w:tr w:rsidR="00614438" w:rsidRPr="004F5BC1" w14:paraId="6C9B4969" w14:textId="77777777" w:rsidTr="00614438">
        <w:trPr>
          <w:trHeight w:val="20"/>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787D59F7"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Kostolac A1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BF154BC"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90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44CA1CF"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90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AE8899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90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5F36EC1"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90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66EC901E"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90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1C61BCF8" w14:textId="77777777" w:rsidR="00614438" w:rsidRPr="004F5BC1" w:rsidRDefault="00614438" w:rsidP="004F5BC1">
            <w:pPr>
              <w:spacing w:after="0"/>
              <w:jc w:val="both"/>
              <w:rPr>
                <w:rFonts w:ascii="Times New Roman" w:hAnsi="Times New Roman" w:cs="Times New Roman"/>
                <w:sz w:val="20"/>
                <w:szCs w:val="20"/>
              </w:rPr>
            </w:pPr>
          </w:p>
        </w:tc>
      </w:tr>
      <w:tr w:rsidR="00614438" w:rsidRPr="004F5BC1" w14:paraId="35C3597A" w14:textId="77777777" w:rsidTr="00614438">
        <w:trPr>
          <w:trHeight w:val="20"/>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1C5C40C0"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Kostolac A2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A2CC61E"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191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2B92180"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191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346F29B"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191</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63D60C9B"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191</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5AE9085"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191</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34EAFB9C" w14:textId="77777777" w:rsidR="00614438" w:rsidRPr="004F5BC1" w:rsidRDefault="00614438" w:rsidP="004F5BC1">
            <w:pPr>
              <w:spacing w:after="0"/>
              <w:jc w:val="both"/>
              <w:rPr>
                <w:rFonts w:ascii="Times New Roman" w:hAnsi="Times New Roman" w:cs="Times New Roman"/>
                <w:sz w:val="20"/>
                <w:szCs w:val="20"/>
              </w:rPr>
            </w:pPr>
          </w:p>
        </w:tc>
      </w:tr>
      <w:tr w:rsidR="00614438" w:rsidRPr="004F5BC1" w14:paraId="4CD98F13" w14:textId="77777777" w:rsidTr="00614438">
        <w:trPr>
          <w:trHeight w:val="20"/>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224C73F1"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 Morava</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A089720"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108</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669A97C4"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53BD1EAE"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194EE94E"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035924FD"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0DECB49C" w14:textId="77777777" w:rsidR="00614438" w:rsidRPr="004F5BC1" w:rsidRDefault="00614438" w:rsidP="004F5BC1">
            <w:pPr>
              <w:spacing w:after="0"/>
              <w:jc w:val="both"/>
              <w:rPr>
                <w:rFonts w:ascii="Times New Roman" w:hAnsi="Times New Roman" w:cs="Times New Roman"/>
                <w:sz w:val="20"/>
                <w:szCs w:val="20"/>
              </w:rPr>
            </w:pPr>
          </w:p>
        </w:tc>
      </w:tr>
      <w:tr w:rsidR="00614438" w:rsidRPr="004F5BC1" w14:paraId="3D447B4A" w14:textId="77777777" w:rsidTr="00614438">
        <w:trPr>
          <w:trHeight w:val="20"/>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5152B3E7"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Kostolac B1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CCC8340"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316</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CD42263"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316</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1381EC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316</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1101D160"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316</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DCA06F3"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316</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1A795F2A" w14:textId="77777777" w:rsidR="00614438" w:rsidRPr="004F5BC1" w:rsidRDefault="00614438" w:rsidP="004F5BC1">
            <w:pPr>
              <w:spacing w:after="0"/>
              <w:jc w:val="both"/>
              <w:rPr>
                <w:rFonts w:ascii="Times New Roman" w:hAnsi="Times New Roman" w:cs="Times New Roman"/>
                <w:sz w:val="20"/>
                <w:szCs w:val="20"/>
              </w:rPr>
            </w:pPr>
          </w:p>
        </w:tc>
      </w:tr>
      <w:tr w:rsidR="00614438" w:rsidRPr="004F5BC1" w14:paraId="000257A9" w14:textId="77777777" w:rsidTr="00614438">
        <w:trPr>
          <w:trHeight w:val="20"/>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073AA61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Kostolac B2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002A2E2"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316</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02FB2D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316</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0EC839A"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316</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7C8165D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316</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B2CBA1B"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316</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4DEC5EEC"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316</w:t>
            </w:r>
          </w:p>
        </w:tc>
      </w:tr>
      <w:tr w:rsidR="00614438" w:rsidRPr="004F5BC1" w14:paraId="59385871" w14:textId="77777777" w:rsidTr="00614438">
        <w:trPr>
          <w:trHeight w:val="20"/>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74E98C4A"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Kostolac B3</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EB7DEEE"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350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EF03564"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350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03D0A81"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350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0C8D42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350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437F951D"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350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1088552D"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350</w:t>
            </w:r>
          </w:p>
        </w:tc>
      </w:tr>
    </w:tbl>
    <w:p w14:paraId="61A5D09F" w14:textId="77777777" w:rsidR="00614438" w:rsidRPr="004F5BC1" w:rsidRDefault="00614438" w:rsidP="004F5BC1">
      <w:pPr>
        <w:spacing w:after="0"/>
        <w:jc w:val="both"/>
        <w:rPr>
          <w:rFonts w:ascii="Times New Roman" w:hAnsi="Times New Roman" w:cs="Times New Roman"/>
          <w:sz w:val="20"/>
          <w:szCs w:val="20"/>
          <w:lang w:val="en-GB"/>
        </w:rPr>
      </w:pPr>
      <w:bookmarkStart w:id="679" w:name="_Toc153545090"/>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II</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6</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Generation under supply security considerations</w:t>
      </w:r>
      <w:bookmarkEnd w:id="679"/>
    </w:p>
    <w:tbl>
      <w:tblPr>
        <w:tblW w:w="91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1289"/>
        <w:gridCol w:w="1289"/>
        <w:gridCol w:w="1289"/>
        <w:gridCol w:w="1289"/>
        <w:gridCol w:w="1289"/>
        <w:gridCol w:w="1289"/>
      </w:tblGrid>
      <w:tr w:rsidR="00614438" w:rsidRPr="004F5BC1" w14:paraId="5981F55C" w14:textId="77777777" w:rsidTr="00614438">
        <w:trPr>
          <w:trHeight w:val="360"/>
          <w:jc w:val="center"/>
        </w:trPr>
        <w:tc>
          <w:tcPr>
            <w:tcW w:w="1414"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3141615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Generation in TWh</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344030EE"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2025</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1DA1EAA3"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2030</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67B33053"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2035</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6051DA6F"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2040</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3F35BEF3"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2045</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0BEB35F7"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2050</w:t>
            </w:r>
          </w:p>
        </w:tc>
      </w:tr>
      <w:tr w:rsidR="00614438" w:rsidRPr="004F5BC1" w14:paraId="0719282E" w14:textId="77777777" w:rsidTr="00614438">
        <w:trPr>
          <w:trHeight w:val="80"/>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69AE9FD7"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Tesla A1</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6B36D7A4" w14:textId="53555898"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.970</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31FB94EE" w14:textId="0C34A161"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.586</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1B8D4D19" w14:textId="5A1FB7C4"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.535</w:t>
            </w:r>
          </w:p>
        </w:tc>
        <w:tc>
          <w:tcPr>
            <w:tcW w:w="1289" w:type="dxa"/>
            <w:tcBorders>
              <w:top w:val="single" w:sz="4" w:space="0" w:color="auto"/>
              <w:left w:val="single" w:sz="4" w:space="0" w:color="auto"/>
              <w:bottom w:val="single" w:sz="4" w:space="0" w:color="auto"/>
              <w:right w:val="single" w:sz="4" w:space="0" w:color="auto"/>
            </w:tcBorders>
            <w:vAlign w:val="center"/>
            <w:hideMark/>
          </w:tcPr>
          <w:p w14:paraId="16D37B5F" w14:textId="0DD9B685"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.251</w:t>
            </w:r>
          </w:p>
        </w:tc>
        <w:tc>
          <w:tcPr>
            <w:tcW w:w="1289" w:type="dxa"/>
            <w:tcBorders>
              <w:top w:val="single" w:sz="4" w:space="0" w:color="auto"/>
              <w:left w:val="single" w:sz="4" w:space="0" w:color="auto"/>
              <w:bottom w:val="single" w:sz="4" w:space="0" w:color="auto"/>
              <w:right w:val="single" w:sz="4" w:space="0" w:color="auto"/>
            </w:tcBorders>
            <w:vAlign w:val="center"/>
            <w:hideMark/>
          </w:tcPr>
          <w:p w14:paraId="4A30A355"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c>
          <w:tcPr>
            <w:tcW w:w="1289" w:type="dxa"/>
            <w:tcBorders>
              <w:top w:val="single" w:sz="4" w:space="0" w:color="auto"/>
              <w:left w:val="single" w:sz="4" w:space="0" w:color="auto"/>
              <w:bottom w:val="single" w:sz="4" w:space="0" w:color="auto"/>
              <w:right w:val="single" w:sz="4" w:space="0" w:color="auto"/>
            </w:tcBorders>
            <w:vAlign w:val="center"/>
            <w:hideMark/>
          </w:tcPr>
          <w:p w14:paraId="46F6DA15"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5CBF14DE"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6B272A4D"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Tesla A2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88EB1A6" w14:textId="743BB766"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.970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54219DF" w14:textId="31F7AEE7"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.586</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3E787C9" w14:textId="05FDAEA9"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.535</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6450E297" w14:textId="70223B98"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.251</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E119A05"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44E5927"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38EBED48"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2990717A"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Tesla A3</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255E0D3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2.137</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242DE427"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1.069</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0F967899"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1.015</w:t>
            </w:r>
          </w:p>
        </w:tc>
        <w:tc>
          <w:tcPr>
            <w:tcW w:w="1289" w:type="dxa"/>
            <w:tcBorders>
              <w:top w:val="single" w:sz="4" w:space="0" w:color="auto"/>
              <w:left w:val="single" w:sz="4" w:space="0" w:color="auto"/>
              <w:bottom w:val="single" w:sz="4" w:space="0" w:color="auto"/>
              <w:right w:val="single" w:sz="4" w:space="0" w:color="auto"/>
            </w:tcBorders>
            <w:vAlign w:val="center"/>
            <w:hideMark/>
          </w:tcPr>
          <w:p w14:paraId="1A9D438D" w14:textId="6C552AE1"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.802</w:t>
            </w:r>
          </w:p>
        </w:tc>
        <w:tc>
          <w:tcPr>
            <w:tcW w:w="1289" w:type="dxa"/>
            <w:tcBorders>
              <w:top w:val="single" w:sz="4" w:space="0" w:color="auto"/>
              <w:left w:val="single" w:sz="4" w:space="0" w:color="auto"/>
              <w:bottom w:val="single" w:sz="4" w:space="0" w:color="auto"/>
              <w:right w:val="single" w:sz="4" w:space="0" w:color="auto"/>
            </w:tcBorders>
            <w:vAlign w:val="center"/>
            <w:hideMark/>
          </w:tcPr>
          <w:p w14:paraId="1E353405" w14:textId="1A5AF2E6"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.390</w:t>
            </w:r>
          </w:p>
        </w:tc>
        <w:tc>
          <w:tcPr>
            <w:tcW w:w="1289" w:type="dxa"/>
            <w:tcBorders>
              <w:top w:val="single" w:sz="4" w:space="0" w:color="auto"/>
              <w:left w:val="single" w:sz="4" w:space="0" w:color="auto"/>
              <w:bottom w:val="single" w:sz="4" w:space="0" w:color="auto"/>
              <w:right w:val="single" w:sz="4" w:space="0" w:color="auto"/>
            </w:tcBorders>
            <w:vAlign w:val="center"/>
            <w:hideMark/>
          </w:tcPr>
          <w:p w14:paraId="7A195557"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1F78B7F0"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4DFAB49A"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Tesla A4</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5EF62CC"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2.137</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BADE055"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1.069</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8840DE0"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1.015</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4D14FA8E" w14:textId="63C0B63E"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.802</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38DCEB8F" w14:textId="2E253075"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.387</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E459BDA"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5AC89DC9"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75353F70"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Tesla A5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6CF8FF2"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1.575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3D1EBE4"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1.559</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7534D6B"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1.141</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71CDAF33" w14:textId="731C5C23"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.815</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7AC7339B" w14:textId="22078EF9"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.394</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4713B9B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429C6DFF"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5D5A0EF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Tesla A6</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2FD2FF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1.626</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625D17A"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1.609</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3E1F862"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1.177</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F0290E1" w14:textId="17049B6F"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.841</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07CFA4F" w14:textId="26CBB4E9"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.406</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59B51C2"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28B0CBB2"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0634B1DF"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Tesla B1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E987082"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2.942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921036B"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2.737</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28CF1B1"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2.405</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420FAA1"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1.791</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03BB88C"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1.010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E23A655"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490A0BAB"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218323B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Tesla B2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EFDD1DD"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2.942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A68CF79"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3.421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1EC13AD"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2.405</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8BB8899"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2.137</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3D742AA0"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1.325</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C941C2F"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6B558DB1"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216E7BBC"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Kolubara A3</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68DA241" w14:textId="6FE82256"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.112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229671FB"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009F5FE9"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7D2F2A2F"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1572444A"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5BB28999" w14:textId="77777777" w:rsidR="00614438" w:rsidRPr="004F5BC1" w:rsidRDefault="00614438" w:rsidP="004F5BC1">
            <w:pPr>
              <w:spacing w:after="0"/>
              <w:jc w:val="both"/>
              <w:rPr>
                <w:rFonts w:ascii="Times New Roman" w:hAnsi="Times New Roman" w:cs="Times New Roman"/>
                <w:sz w:val="20"/>
                <w:szCs w:val="20"/>
              </w:rPr>
            </w:pPr>
          </w:p>
        </w:tc>
      </w:tr>
      <w:tr w:rsidR="00614438" w:rsidRPr="004F5BC1" w14:paraId="05EDB996"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4C29BAB5"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Kolubara A5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7EC91E2" w14:textId="377A3953"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.508</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9A58D07"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F201E2E"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3E32C65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3CEFECB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B592503"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1581F6D5"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0BF56CA3"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Kostolac A1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1556515" w14:textId="66F5F732"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.512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413B57D" w14:textId="05193566"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.276</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326549A" w14:textId="332243AD"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.252</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108869C5" w14:textId="448B1179"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.158</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C4E6B87"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47800664"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703CE264"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35E70E50"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lastRenderedPageBreak/>
              <w:t>Kostolac A2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C1CF11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1.071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D5A2458" w14:textId="262A2FB1"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.586</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6314347" w14:textId="3B745FE2"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.535</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AEE9F49" w14:textId="7A8F3EFC"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.335</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1F61789B"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795C97EA"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62198A31"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6AC6163A"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 Morava</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C4FB1AB" w14:textId="64703A3D"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.322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85FDE0A"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0D5F53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B2CC859"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700ECCDB"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2D5E0B1"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177B1C20"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08D753DF"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Kostolac B1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7B942DD"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1.716</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947029C"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1.614</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43BEAD9"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1.444</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9AD47F2" w14:textId="40771731"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.969</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77ADE2D5" w14:textId="33C19542"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.554</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64E3F000"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0C903718"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68F2AF3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Kostolac B2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138EF01"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1.975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035D64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1.614</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C6A1E42"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1.522</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3E17BA3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1.107</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F4FD415" w14:textId="2487D261" w:rsidR="00614438" w:rsidRPr="004F5BC1" w:rsidRDefault="00355509"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0</w:t>
            </w:r>
            <w:r w:rsidR="00614438" w:rsidRPr="004F5BC1">
              <w:rPr>
                <w:rFonts w:ascii="Times New Roman" w:hAnsi="Times New Roman" w:cs="Times New Roman"/>
                <w:sz w:val="20"/>
                <w:szCs w:val="20"/>
              </w:rPr>
              <w:t>.692</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487E60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359EAFA3"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139E4F11"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Kostolac B3</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B4BED42"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2.453</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AD9CBA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2.453</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06694DE"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2.391</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3A69E257"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2.453</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B1CE75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1.533</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6EE3D63C"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bl>
    <w:p w14:paraId="23C4D32A" w14:textId="77777777" w:rsidR="00614438" w:rsidRPr="004F5BC1" w:rsidRDefault="00614438" w:rsidP="004F5BC1">
      <w:pPr>
        <w:spacing w:after="0"/>
        <w:jc w:val="both"/>
        <w:rPr>
          <w:rFonts w:ascii="Times New Roman" w:hAnsi="Times New Roman" w:cs="Times New Roman"/>
          <w:sz w:val="20"/>
          <w:szCs w:val="20"/>
          <w:lang w:val="en-GB"/>
        </w:rPr>
      </w:pPr>
      <w:bookmarkStart w:id="680" w:name="_Toc153545091"/>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II</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7</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Capacity factors under supply security considerations</w:t>
      </w:r>
      <w:bookmarkEnd w:id="680"/>
    </w:p>
    <w:tbl>
      <w:tblPr>
        <w:tblW w:w="91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1289"/>
        <w:gridCol w:w="1289"/>
        <w:gridCol w:w="1289"/>
        <w:gridCol w:w="1289"/>
        <w:gridCol w:w="1289"/>
        <w:gridCol w:w="1289"/>
      </w:tblGrid>
      <w:tr w:rsidR="00614438" w:rsidRPr="004F5BC1" w14:paraId="444F21D4" w14:textId="77777777" w:rsidTr="00614438">
        <w:trPr>
          <w:trHeight w:val="360"/>
          <w:jc w:val="center"/>
        </w:trPr>
        <w:tc>
          <w:tcPr>
            <w:tcW w:w="1414"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50E5A8A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Capacity factor per unit</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158409EE"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2025</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057D9B39"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2030</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3EB8902E"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2035</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49801093"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2040</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5108A567"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2045</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53BE3DA1"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2050</w:t>
            </w:r>
          </w:p>
        </w:tc>
      </w:tr>
      <w:tr w:rsidR="00614438" w:rsidRPr="004F5BC1" w14:paraId="3690E84C" w14:textId="77777777" w:rsidTr="00614438">
        <w:trPr>
          <w:trHeight w:val="80"/>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2AD1A1C7"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Tesla A1</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47380803"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58%</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4B98482F"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35%</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2C161EE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32%</w:t>
            </w:r>
          </w:p>
        </w:tc>
        <w:tc>
          <w:tcPr>
            <w:tcW w:w="1289" w:type="dxa"/>
            <w:tcBorders>
              <w:top w:val="single" w:sz="4" w:space="0" w:color="auto"/>
              <w:left w:val="single" w:sz="4" w:space="0" w:color="auto"/>
              <w:bottom w:val="single" w:sz="4" w:space="0" w:color="auto"/>
              <w:right w:val="single" w:sz="4" w:space="0" w:color="auto"/>
            </w:tcBorders>
            <w:vAlign w:val="center"/>
            <w:hideMark/>
          </w:tcPr>
          <w:p w14:paraId="67AC1FA4"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15%</w:t>
            </w:r>
          </w:p>
        </w:tc>
        <w:tc>
          <w:tcPr>
            <w:tcW w:w="1289" w:type="dxa"/>
            <w:tcBorders>
              <w:top w:val="single" w:sz="4" w:space="0" w:color="auto"/>
              <w:left w:val="single" w:sz="4" w:space="0" w:color="auto"/>
              <w:bottom w:val="single" w:sz="4" w:space="0" w:color="auto"/>
              <w:right w:val="single" w:sz="4" w:space="0" w:color="auto"/>
            </w:tcBorders>
            <w:vAlign w:val="center"/>
          </w:tcPr>
          <w:p w14:paraId="5146B85C"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vAlign w:val="center"/>
            <w:hideMark/>
          </w:tcPr>
          <w:p w14:paraId="211B7CD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12E92CA8"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702C7B2E"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Tesla A2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57E902A"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58%</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36D9039"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D42A303"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32%</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30748ECB"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15%</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0296E062"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712AD2E2"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0AA55D26"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1662D983"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Tesla A3</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693F3E12"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80%</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3A3D1D51"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40%</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559A9207"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38%</w:t>
            </w:r>
          </w:p>
        </w:tc>
        <w:tc>
          <w:tcPr>
            <w:tcW w:w="1289" w:type="dxa"/>
            <w:tcBorders>
              <w:top w:val="single" w:sz="4" w:space="0" w:color="auto"/>
              <w:left w:val="single" w:sz="4" w:space="0" w:color="auto"/>
              <w:bottom w:val="single" w:sz="4" w:space="0" w:color="auto"/>
              <w:right w:val="single" w:sz="4" w:space="0" w:color="auto"/>
            </w:tcBorders>
            <w:vAlign w:val="center"/>
            <w:hideMark/>
          </w:tcPr>
          <w:p w14:paraId="25E0FC13"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30%</w:t>
            </w:r>
          </w:p>
        </w:tc>
        <w:tc>
          <w:tcPr>
            <w:tcW w:w="1289" w:type="dxa"/>
            <w:tcBorders>
              <w:top w:val="single" w:sz="4" w:space="0" w:color="auto"/>
              <w:left w:val="single" w:sz="4" w:space="0" w:color="auto"/>
              <w:bottom w:val="single" w:sz="4" w:space="0" w:color="auto"/>
              <w:right w:val="single" w:sz="4" w:space="0" w:color="auto"/>
            </w:tcBorders>
            <w:vAlign w:val="center"/>
            <w:hideMark/>
          </w:tcPr>
          <w:p w14:paraId="43331D19"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15%</w:t>
            </w:r>
          </w:p>
        </w:tc>
        <w:tc>
          <w:tcPr>
            <w:tcW w:w="1289" w:type="dxa"/>
            <w:tcBorders>
              <w:top w:val="single" w:sz="4" w:space="0" w:color="auto"/>
              <w:left w:val="single" w:sz="4" w:space="0" w:color="auto"/>
              <w:bottom w:val="single" w:sz="4" w:space="0" w:color="auto"/>
              <w:right w:val="single" w:sz="4" w:space="0" w:color="auto"/>
            </w:tcBorders>
            <w:vAlign w:val="center"/>
            <w:hideMark/>
          </w:tcPr>
          <w:p w14:paraId="1AF02AC4"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59A35A6D"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04F33A4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Tesla A4</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20F3D24"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80%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DA939EA"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40%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01F8375"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38%</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402C185"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8C6F6FE"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15%</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3FE30CF"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0F1C5522"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6AD0F0A5"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Tesla A5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CACDD1B"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58%</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EAB35B1"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57%</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9379BE5"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42%</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75647CCD"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B14B1CB"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15%</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3F5932F"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3DE05BB9"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4CFAB1C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Tesla A6</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882CA27"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58%</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C92101C"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57%</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A80E91F"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42%</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6E7C3A21"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ECEE519"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15%</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237B324"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08613C77"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632B946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Tesla B1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9E94F92"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55%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69E5C32"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51%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443C0EF"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45%</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64D515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34%</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6F363924"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19%</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E3AFF4F"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42F2447B"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15594EA4"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Tesla B2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E2A9FE7"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55%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4452ED7"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64%</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D22EAB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45%</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4F932494"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40%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AEF212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25%</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2D7916A"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25CC58BD"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633A0CA1"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Kolubara A3</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503768C"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30E7AE94"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432135D0"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6C1A426E"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467355F2"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51B4F29D" w14:textId="77777777" w:rsidR="00614438" w:rsidRPr="004F5BC1" w:rsidRDefault="00614438" w:rsidP="004F5BC1">
            <w:pPr>
              <w:spacing w:after="0"/>
              <w:jc w:val="both"/>
              <w:rPr>
                <w:rFonts w:ascii="Times New Roman" w:hAnsi="Times New Roman" w:cs="Times New Roman"/>
                <w:sz w:val="20"/>
                <w:szCs w:val="20"/>
              </w:rPr>
            </w:pPr>
          </w:p>
        </w:tc>
      </w:tr>
      <w:tr w:rsidR="00614438" w:rsidRPr="004F5BC1" w14:paraId="55BAABA3"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2B750D20"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Kolubara A5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4853C8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58%</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466FA77D"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447932D6"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78A02011"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31FB34B2"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D2168B5"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3F5BC241"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75577BC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Kostolac A1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8349341"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65%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401F82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A9A04AC"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32%</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31B23B23"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1D9382D6"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3F0F0C6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67176718"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3E38149A"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Kostolac A2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87B1B62"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64%</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5D6445B"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8095B62"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32%</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A03900C"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55BA0735"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CB356D7"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770C7284"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07DB00A1"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TE Morava</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7B3CC1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34%</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47A9A9FB"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52EAE65D"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18945202"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tcPr>
          <w:p w14:paraId="0D1AD080" w14:textId="77777777" w:rsidR="00614438" w:rsidRPr="004F5BC1" w:rsidRDefault="00614438" w:rsidP="004F5BC1">
            <w:pPr>
              <w:spacing w:after="0"/>
              <w:jc w:val="both"/>
              <w:rPr>
                <w:rFonts w:ascii="Times New Roman" w:hAnsi="Times New Roman" w:cs="Times New Roman"/>
                <w:sz w:val="20"/>
                <w:szCs w:val="20"/>
              </w:rPr>
            </w:pP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8BD73B3"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4248CAAE"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33921FA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Kostolac B1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7D4FA2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62%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08D4B4A"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58%</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78E144D"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52%</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40AD8D3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35%</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D0F3625"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B9D0801"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715143B0"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7D945783"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Kostolac B2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EEE48C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71%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66AF4CD"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58%</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03E35A3"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55%</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4D9C8DE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40%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9FC88AD"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25%</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3813F957"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r w:rsidR="00614438" w:rsidRPr="004F5BC1" w14:paraId="0105AE48" w14:textId="77777777" w:rsidTr="00614438">
        <w:trPr>
          <w:trHeight w:val="288"/>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559EA2E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Kostolac B3</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1DC94BE"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80%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6431D88"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80%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7D0C273"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78%</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3EC079AA"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80%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790837F6"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50%</w:t>
            </w:r>
          </w:p>
        </w:tc>
        <w:tc>
          <w:tcPr>
            <w:tcW w:w="128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4B57C3F7" w14:textId="77777777" w:rsidR="00614438" w:rsidRPr="004F5BC1" w:rsidRDefault="00614438" w:rsidP="004F5BC1">
            <w:pPr>
              <w:spacing w:after="0"/>
              <w:jc w:val="both"/>
              <w:rPr>
                <w:rFonts w:ascii="Times New Roman" w:hAnsi="Times New Roman" w:cs="Times New Roman"/>
                <w:sz w:val="20"/>
                <w:szCs w:val="20"/>
              </w:rPr>
            </w:pPr>
            <w:r w:rsidRPr="004F5BC1">
              <w:rPr>
                <w:rFonts w:ascii="Times New Roman" w:hAnsi="Times New Roman" w:cs="Times New Roman"/>
                <w:sz w:val="20"/>
                <w:szCs w:val="20"/>
              </w:rPr>
              <w:t>-</w:t>
            </w:r>
          </w:p>
        </w:tc>
      </w:tr>
    </w:tbl>
    <w:p w14:paraId="25492220" w14:textId="77777777" w:rsidR="00355509" w:rsidRDefault="00355509" w:rsidP="00614438">
      <w:pPr>
        <w:jc w:val="both"/>
        <w:rPr>
          <w:rFonts w:ascii="Times New Roman" w:hAnsi="Times New Roman" w:cs="Times New Roman"/>
          <w:sz w:val="24"/>
          <w:szCs w:val="24"/>
          <w:lang w:val="en-GB"/>
        </w:rPr>
      </w:pPr>
    </w:p>
    <w:p w14:paraId="51FBA193" w14:textId="01AEDC07" w:rsidR="00614438" w:rsidRPr="00614438" w:rsidRDefault="00614438" w:rsidP="00355509">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It is considered that this configuration can cover the uncertainties related to the security of supply issues, providing a secure electricity supply option utilising a domestic resource. At the same time</w:t>
      </w:r>
      <w:r w:rsidR="00355509">
        <w:rPr>
          <w:rFonts w:ascii="Times New Roman" w:hAnsi="Times New Roman" w:cs="Times New Roman"/>
          <w:sz w:val="24"/>
          <w:szCs w:val="24"/>
          <w:lang w:val="en-GB"/>
        </w:rPr>
        <w:t>,</w:t>
      </w:r>
      <w:r w:rsidRPr="00614438">
        <w:rPr>
          <w:rFonts w:ascii="Times New Roman" w:hAnsi="Times New Roman" w:cs="Times New Roman"/>
          <w:sz w:val="24"/>
          <w:szCs w:val="24"/>
          <w:lang w:val="en-GB"/>
        </w:rPr>
        <w:t xml:space="preserve"> the reduction of generation from lignite leads to the reduction of GHG emissions and the introduction of higher capacities of indigenous renewable energy sources.</w:t>
      </w:r>
    </w:p>
    <w:p w14:paraId="3D725EB1"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br w:type="page"/>
      </w:r>
    </w:p>
    <w:p w14:paraId="67A78CE2" w14:textId="77777777" w:rsidR="00614438" w:rsidRPr="00614438" w:rsidRDefault="00614438" w:rsidP="00355509">
      <w:pPr>
        <w:numPr>
          <w:ilvl w:val="0"/>
          <w:numId w:val="249"/>
        </w:numPr>
        <w:jc w:val="center"/>
        <w:rPr>
          <w:rFonts w:ascii="Times New Roman" w:hAnsi="Times New Roman" w:cs="Times New Roman"/>
          <w:sz w:val="24"/>
          <w:szCs w:val="24"/>
          <w:lang w:val="en-GB"/>
        </w:rPr>
      </w:pPr>
      <w:bookmarkStart w:id="681" w:name="_Toc153545064"/>
      <w:bookmarkStart w:id="682" w:name="_Hlk148621157"/>
      <w:r w:rsidRPr="00614438">
        <w:rPr>
          <w:rFonts w:ascii="Times New Roman" w:hAnsi="Times New Roman" w:cs="Times New Roman"/>
          <w:sz w:val="24"/>
          <w:szCs w:val="24"/>
          <w:lang w:val="en-GB"/>
        </w:rPr>
        <w:lastRenderedPageBreak/>
        <w:t>Annex: QUANTITATIVE ANALYSIS TOOLS</w:t>
      </w:r>
      <w:bookmarkEnd w:id="681"/>
    </w:p>
    <w:bookmarkEnd w:id="682"/>
    <w:p w14:paraId="21D4991D" w14:textId="1D7AD00F" w:rsidR="00614438" w:rsidRPr="00614438" w:rsidRDefault="00355509" w:rsidP="00355509">
      <w:pPr>
        <w:ind w:left="360"/>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III.1 </w:t>
      </w:r>
      <w:r w:rsidR="00614438" w:rsidRPr="00614438">
        <w:rPr>
          <w:rFonts w:ascii="Times New Roman" w:hAnsi="Times New Roman" w:cs="Times New Roman"/>
          <w:sz w:val="24"/>
          <w:szCs w:val="24"/>
          <w:lang w:val="en-GB"/>
        </w:rPr>
        <w:t>Serbian Energy Modelling System (SEMS)</w:t>
      </w:r>
    </w:p>
    <w:p w14:paraId="7402AD4C" w14:textId="77777777" w:rsidR="00614438" w:rsidRPr="00614438" w:rsidRDefault="00614438" w:rsidP="00355509">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SEMS is a technology-rich demand-driven tool generated in TIMES and can be used to explore the evolution of the entire energy system of Serbia over a time horizon that can be extended or shortened depending on the analysis needs. Therefore, the data needs of SEMS are extensive in order to represent the current situation in detail and project the development of the energy system under alternative scenario formulations. The input data are stored and manipulated in a set of excel workbooks, called templates. This gives to the modeller the flexibility to view and analyse the data and the model structure in a user-friendly way.</w:t>
      </w:r>
    </w:p>
    <w:p w14:paraId="25BF2C8E" w14:textId="3DC39AF6" w:rsidR="00614438" w:rsidRPr="00614438" w:rsidRDefault="00614438" w:rsidP="00D25591">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 detailed presentation of the structure of SEMS is given in the “SEMS Model Reference Report” delivered in the project Development of Energy Planning Capacity Project, (IPA 2013 Contract no: 480000176//2014-28). A short overview is presented in the following paragraphs for the representation of the energy system of Serbia in the Reference Energy System which is used in the TIMES model. The energy system is divided into supply, transformation and demand, and then further subdivided based on the energy commodity that is being supplied and the sector in which energy commodities are consumed. Emissions of CO</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 CH</w:t>
      </w:r>
      <w:r w:rsidRPr="00614438">
        <w:rPr>
          <w:rFonts w:ascii="Times New Roman" w:hAnsi="Times New Roman" w:cs="Times New Roman"/>
          <w:sz w:val="24"/>
          <w:szCs w:val="24"/>
          <w:vertAlign w:val="subscript"/>
          <w:lang w:val="en-GB"/>
        </w:rPr>
        <w:t xml:space="preserve">4 </w:t>
      </w:r>
      <w:r w:rsidRPr="00614438">
        <w:rPr>
          <w:rFonts w:ascii="Times New Roman" w:hAnsi="Times New Roman" w:cs="Times New Roman"/>
          <w:sz w:val="24"/>
          <w:szCs w:val="24"/>
          <w:lang w:val="en-GB"/>
        </w:rPr>
        <w:t>and N</w:t>
      </w:r>
      <w:r w:rsidRPr="00614438">
        <w:rPr>
          <w:rFonts w:ascii="Times New Roman" w:hAnsi="Times New Roman" w:cs="Times New Roman"/>
          <w:sz w:val="24"/>
          <w:szCs w:val="24"/>
          <w:vertAlign w:val="subscript"/>
          <w:lang w:val="en-GB"/>
        </w:rPr>
        <w:t>2</w:t>
      </w:r>
      <w:r w:rsidRPr="00614438">
        <w:rPr>
          <w:rFonts w:ascii="Times New Roman" w:hAnsi="Times New Roman" w:cs="Times New Roman"/>
          <w:sz w:val="24"/>
          <w:szCs w:val="24"/>
          <w:lang w:val="en-GB"/>
        </w:rPr>
        <w:t>O are tracked through the energy system and an accounting is done for emissions in each sector, in order to be consistent with the definitions of Emissions Trading Scheme (ETS) and non-ETS sectors in EU. The calculation of emissions is done using the coefficients per fuel defined by IPCC and national coefficients for lignite.</w:t>
      </w:r>
      <w:r w:rsidR="00D25591">
        <w:rPr>
          <w:rFonts w:ascii="Times New Roman" w:hAnsi="Times New Roman" w:cs="Times New Roman"/>
          <w:sz w:val="24"/>
          <w:szCs w:val="24"/>
          <w:lang w:val="en-GB"/>
        </w:rPr>
        <w:tab/>
      </w:r>
    </w:p>
    <w:p w14:paraId="321D0573" w14:textId="77777777" w:rsidR="00614438" w:rsidRPr="00614438" w:rsidRDefault="00FA29EF" w:rsidP="00D25591">
      <w:pPr>
        <w:ind w:firstLine="360"/>
        <w:jc w:val="both"/>
        <w:rPr>
          <w:rFonts w:ascii="Times New Roman" w:hAnsi="Times New Roman" w:cs="Times New Roman"/>
          <w:sz w:val="24"/>
          <w:szCs w:val="24"/>
          <w:lang w:val="en-GB"/>
        </w:rPr>
      </w:pPr>
      <w:r>
        <w:fldChar w:fldCharType="begin"/>
      </w:r>
      <w:r>
        <w:instrText xml:space="preserve"> REF _Ref153534820 \h  \* MERGEFORMAT </w:instrText>
      </w:r>
      <w:r>
        <w:fldChar w:fldCharType="separate"/>
      </w:r>
      <w:r w:rsidR="00614438" w:rsidRPr="00614438">
        <w:rPr>
          <w:rFonts w:ascii="Times New Roman" w:hAnsi="Times New Roman" w:cs="Times New Roman"/>
          <w:sz w:val="24"/>
          <w:szCs w:val="24"/>
          <w:lang w:val="en-GB"/>
        </w:rPr>
        <w:t>Figure III.1</w:t>
      </w:r>
      <w:r>
        <w:fldChar w:fldCharType="end"/>
      </w:r>
      <w:r w:rsidR="00614438" w:rsidRPr="00614438">
        <w:rPr>
          <w:rFonts w:ascii="Times New Roman" w:hAnsi="Times New Roman" w:cs="Times New Roman"/>
          <w:sz w:val="24"/>
          <w:szCs w:val="24"/>
          <w:lang w:val="en-GB"/>
        </w:rPr>
        <w:t xml:space="preserve"> presents an aggregated overview of Reference Energy System that is included in the model. Indigenous conventional resources (oil, natural gas and coal) are produced through mining in the country, while renewable energy sources are represented as potentials in order to include the limitations of the existing potential. Imports and exports of energy commodities are represented as separate processes. For the special case of crude oil and natural gas the transportation and distribution pipelines are also included in order to account for the losses and their own consumption. The transformation sector includes power and CHP plants, district heating plants, refineries, blast furnaces in the iron industry, briquettes plants (BKB plants), biomass pellet production plants and charcoal production installations. The electricity network is modelled using two levels, namely the transmission system (high voltage lines) and the distribution system (medium voltage and low voltage lines) in order to account for the losses and show the advances of distributed generation. The natural gas network is modelled using two levels as well, namely transmission and distribution networks. The heat networks correspond to the existing district heating networks per region, with the option for extensions. Energy consumption is broken into the standard five sectors, namely agriculture, residential, tertiary (which includes services, commercial and public sector), industry and transport. Each one of these sectors is further divided in sub-sectors and end-uses. In all the processes that are included in the model, the emissions of CO</w:t>
      </w:r>
      <w:r w:rsidR="00614438" w:rsidRPr="00614438">
        <w:rPr>
          <w:rFonts w:ascii="Times New Roman" w:hAnsi="Times New Roman" w:cs="Times New Roman"/>
          <w:sz w:val="24"/>
          <w:szCs w:val="24"/>
          <w:vertAlign w:val="subscript"/>
          <w:lang w:val="en-GB"/>
        </w:rPr>
        <w:t>2</w:t>
      </w:r>
      <w:r w:rsidR="00614438" w:rsidRPr="00614438">
        <w:rPr>
          <w:rFonts w:ascii="Times New Roman" w:hAnsi="Times New Roman" w:cs="Times New Roman"/>
          <w:sz w:val="24"/>
          <w:szCs w:val="24"/>
          <w:lang w:val="en-GB"/>
        </w:rPr>
        <w:t>, CH</w:t>
      </w:r>
      <w:r w:rsidR="00614438" w:rsidRPr="00614438">
        <w:rPr>
          <w:rFonts w:ascii="Times New Roman" w:hAnsi="Times New Roman" w:cs="Times New Roman"/>
          <w:sz w:val="24"/>
          <w:szCs w:val="24"/>
          <w:vertAlign w:val="subscript"/>
          <w:lang w:val="en-GB"/>
        </w:rPr>
        <w:t>4</w:t>
      </w:r>
      <w:r w:rsidR="00614438" w:rsidRPr="00614438">
        <w:rPr>
          <w:rFonts w:ascii="Times New Roman" w:hAnsi="Times New Roman" w:cs="Times New Roman"/>
          <w:sz w:val="24"/>
          <w:szCs w:val="24"/>
          <w:lang w:val="en-GB"/>
        </w:rPr>
        <w:t>, and N</w:t>
      </w:r>
      <w:r w:rsidR="00614438" w:rsidRPr="00614438">
        <w:rPr>
          <w:rFonts w:ascii="Times New Roman" w:hAnsi="Times New Roman" w:cs="Times New Roman"/>
          <w:sz w:val="24"/>
          <w:szCs w:val="24"/>
          <w:vertAlign w:val="subscript"/>
          <w:lang w:val="en-GB"/>
        </w:rPr>
        <w:t>2</w:t>
      </w:r>
      <w:r w:rsidR="00614438" w:rsidRPr="00614438">
        <w:rPr>
          <w:rFonts w:ascii="Times New Roman" w:hAnsi="Times New Roman" w:cs="Times New Roman"/>
          <w:sz w:val="24"/>
          <w:szCs w:val="24"/>
          <w:lang w:val="en-GB"/>
        </w:rPr>
        <w:t>O are calculated and accounted per sector in order to be able to calculate the effect of abatement actions per sub-sector of the energy system.</w:t>
      </w:r>
    </w:p>
    <w:p w14:paraId="1E66D9A8" w14:textId="77777777" w:rsidR="00614438" w:rsidRPr="00614438" w:rsidRDefault="00614438" w:rsidP="00614438">
      <w:pPr>
        <w:jc w:val="both"/>
        <w:rPr>
          <w:rFonts w:ascii="Times New Roman" w:hAnsi="Times New Roman" w:cs="Times New Roman"/>
          <w:sz w:val="24"/>
          <w:szCs w:val="24"/>
          <w:lang w:val="en-GB"/>
        </w:rPr>
        <w:sectPr w:rsidR="00614438" w:rsidRPr="00614438" w:rsidSect="00614438">
          <w:pgSz w:w="11906" w:h="16838"/>
          <w:pgMar w:top="1134" w:right="1134" w:bottom="1134" w:left="1134" w:header="720" w:footer="720" w:gutter="0"/>
          <w:cols w:space="720"/>
        </w:sectPr>
      </w:pPr>
    </w:p>
    <w:p w14:paraId="6AB8C371" w14:textId="77777777" w:rsidR="00614438" w:rsidRPr="00614438" w:rsidRDefault="00614438" w:rsidP="00614438">
      <w:pPr>
        <w:jc w:val="both"/>
        <w:rPr>
          <w:rFonts w:ascii="Times New Roman" w:hAnsi="Times New Roman" w:cs="Times New Roman"/>
          <w:sz w:val="24"/>
          <w:szCs w:val="24"/>
        </w:rPr>
      </w:pPr>
      <w:bookmarkStart w:id="683" w:name="_Ref153534820"/>
      <w:bookmarkStart w:id="684" w:name="_Toc154575324"/>
      <w:r w:rsidRPr="00614438">
        <w:rPr>
          <w:rFonts w:ascii="Times New Roman" w:hAnsi="Times New Roman" w:cs="Times New Roman"/>
          <w:sz w:val="24"/>
          <w:szCs w:val="24"/>
        </w:rPr>
        <w:lastRenderedPageBreak/>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III</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bookmarkEnd w:id="683"/>
      <w:r w:rsidRPr="00614438">
        <w:rPr>
          <w:rFonts w:ascii="Times New Roman" w:hAnsi="Times New Roman" w:cs="Times New Roman"/>
          <w:sz w:val="24"/>
          <w:szCs w:val="24"/>
        </w:rPr>
        <w:t>: Overview of the reference energy system for the SEMS model</w:t>
      </w:r>
      <w:bookmarkEnd w:id="684"/>
    </w:p>
    <w:p w14:paraId="4D2EB5D8" w14:textId="77777777" w:rsidR="00614438" w:rsidRPr="00614438" w:rsidRDefault="00614438" w:rsidP="00614438">
      <w:pPr>
        <w:jc w:val="both"/>
        <w:rPr>
          <w:rFonts w:ascii="Times New Roman" w:hAnsi="Times New Roman" w:cs="Times New Roman"/>
          <w:sz w:val="24"/>
          <w:szCs w:val="24"/>
        </w:rPr>
      </w:pPr>
      <w:r w:rsidRPr="00013008">
        <w:rPr>
          <w:rFonts w:ascii="Times New Roman" w:hAnsi="Times New Roman" w:cs="Times New Roman"/>
          <w:noProof/>
          <w:sz w:val="24"/>
          <w:szCs w:val="24"/>
          <w:lang w:val="en-GB" w:eastAsia="en-GB"/>
        </w:rPr>
        <w:drawing>
          <wp:inline distT="0" distB="0" distL="0" distR="0" wp14:anchorId="3C446FA2" wp14:editId="287B7B56">
            <wp:extent cx="6120130" cy="4272915"/>
            <wp:effectExtent l="0" t="0" r="0" b="0"/>
            <wp:docPr id="1666515093" name="Picture 220" descr="A computer diagram with many blue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0007551" descr="A computer diagram with many blue lines&#10;&#10;Description automatically generated with medium confidence"/>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120130" cy="4272915"/>
                    </a:xfrm>
                    <a:prstGeom prst="rect">
                      <a:avLst/>
                    </a:prstGeom>
                    <a:noFill/>
                    <a:ln>
                      <a:noFill/>
                    </a:ln>
                  </pic:spPr>
                </pic:pic>
              </a:graphicData>
            </a:graphic>
          </wp:inline>
        </w:drawing>
      </w:r>
    </w:p>
    <w:p w14:paraId="1402F99C" w14:textId="77777777" w:rsidR="00614438" w:rsidRPr="00614438" w:rsidRDefault="00614438" w:rsidP="00614438">
      <w:pPr>
        <w:jc w:val="both"/>
        <w:rPr>
          <w:rFonts w:ascii="Times New Roman" w:hAnsi="Times New Roman" w:cs="Times New Roman"/>
          <w:sz w:val="24"/>
          <w:szCs w:val="24"/>
          <w:lang w:val="en-GB"/>
        </w:rPr>
        <w:sectPr w:rsidR="00614438" w:rsidRPr="00614438" w:rsidSect="00614438">
          <w:pgSz w:w="16838" w:h="11906" w:orient="landscape"/>
          <w:pgMar w:top="1134" w:right="1134" w:bottom="1134" w:left="1134" w:header="720" w:footer="720" w:gutter="0"/>
          <w:cols w:space="720"/>
        </w:sectPr>
      </w:pPr>
    </w:p>
    <w:p w14:paraId="512E9CDA" w14:textId="77777777" w:rsidR="00614438" w:rsidRPr="00614438" w:rsidRDefault="00614438" w:rsidP="004F5BC1">
      <w:p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The breakdown of the final energy consumption sectors within SEMS is the following:</w:t>
      </w:r>
    </w:p>
    <w:p w14:paraId="04444678" w14:textId="77777777" w:rsidR="00614438" w:rsidRPr="00614438" w:rsidRDefault="00614438" w:rsidP="004F5BC1">
      <w:pPr>
        <w:numPr>
          <w:ilvl w:val="0"/>
          <w:numId w:val="253"/>
        </w:numPr>
        <w:spacing w:after="0"/>
        <w:jc w:val="both"/>
        <w:rPr>
          <w:rFonts w:ascii="Times New Roman" w:hAnsi="Times New Roman" w:cs="Times New Roman"/>
          <w:sz w:val="24"/>
          <w:szCs w:val="24"/>
          <w:lang w:val="en-GB"/>
        </w:rPr>
      </w:pPr>
      <w:bookmarkStart w:id="685" w:name="OLE_LINK67"/>
      <w:bookmarkStart w:id="686" w:name="OLE_LINK68"/>
      <w:bookmarkStart w:id="687" w:name="OLE_LINK69"/>
      <w:r w:rsidRPr="00614438">
        <w:rPr>
          <w:rFonts w:ascii="Times New Roman" w:hAnsi="Times New Roman" w:cs="Times New Roman"/>
          <w:sz w:val="24"/>
          <w:szCs w:val="24"/>
          <w:lang w:val="en-GB"/>
        </w:rPr>
        <w:t>Industry, separated in the following subsectors</w:t>
      </w:r>
      <w:r w:rsidRPr="00614438">
        <w:rPr>
          <w:rFonts w:ascii="Times New Roman" w:hAnsi="Times New Roman" w:cs="Times New Roman"/>
          <w:sz w:val="24"/>
          <w:szCs w:val="24"/>
        </w:rPr>
        <w:t>:</w:t>
      </w:r>
    </w:p>
    <w:p w14:paraId="4A5012F4" w14:textId="77777777" w:rsidR="00614438" w:rsidRPr="00614438" w:rsidRDefault="00614438" w:rsidP="004F5BC1">
      <w:pPr>
        <w:numPr>
          <w:ilvl w:val="0"/>
          <w:numId w:val="254"/>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Iron and Steel.</w:t>
      </w:r>
    </w:p>
    <w:p w14:paraId="7CF3FEAB" w14:textId="77777777" w:rsidR="00614438" w:rsidRPr="00614438" w:rsidRDefault="00614438" w:rsidP="004F5BC1">
      <w:pPr>
        <w:numPr>
          <w:ilvl w:val="0"/>
          <w:numId w:val="254"/>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Chemical and petrochemical.</w:t>
      </w:r>
    </w:p>
    <w:p w14:paraId="377DD2C5" w14:textId="77777777" w:rsidR="00614438" w:rsidRPr="00614438" w:rsidRDefault="00614438" w:rsidP="004F5BC1">
      <w:pPr>
        <w:numPr>
          <w:ilvl w:val="0"/>
          <w:numId w:val="254"/>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Non-ferrous metals.</w:t>
      </w:r>
    </w:p>
    <w:p w14:paraId="710B91BA" w14:textId="77777777" w:rsidR="00614438" w:rsidRPr="00614438" w:rsidRDefault="00614438" w:rsidP="004F5BC1">
      <w:pPr>
        <w:numPr>
          <w:ilvl w:val="0"/>
          <w:numId w:val="254"/>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Non-metallic minerals.</w:t>
      </w:r>
    </w:p>
    <w:p w14:paraId="63E27551" w14:textId="77777777" w:rsidR="00614438" w:rsidRPr="00614438" w:rsidRDefault="00614438" w:rsidP="004F5BC1">
      <w:pPr>
        <w:numPr>
          <w:ilvl w:val="0"/>
          <w:numId w:val="254"/>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Transport equipment.</w:t>
      </w:r>
    </w:p>
    <w:p w14:paraId="01BBA23C" w14:textId="77777777" w:rsidR="00614438" w:rsidRPr="00614438" w:rsidRDefault="00614438" w:rsidP="004F5BC1">
      <w:pPr>
        <w:numPr>
          <w:ilvl w:val="0"/>
          <w:numId w:val="254"/>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Machinery.</w:t>
      </w:r>
    </w:p>
    <w:p w14:paraId="164B8A4D" w14:textId="77777777" w:rsidR="00614438" w:rsidRPr="00614438" w:rsidRDefault="00614438" w:rsidP="004F5BC1">
      <w:pPr>
        <w:numPr>
          <w:ilvl w:val="0"/>
          <w:numId w:val="254"/>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Mining (excluding energy producing industries) and quarrying.</w:t>
      </w:r>
    </w:p>
    <w:p w14:paraId="6B056FC8" w14:textId="77777777" w:rsidR="00614438" w:rsidRPr="00614438" w:rsidRDefault="00614438" w:rsidP="004F5BC1">
      <w:pPr>
        <w:numPr>
          <w:ilvl w:val="0"/>
          <w:numId w:val="254"/>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Food, beverages and tobacco.</w:t>
      </w:r>
    </w:p>
    <w:p w14:paraId="4A9E4B42" w14:textId="77777777" w:rsidR="00614438" w:rsidRPr="00614438" w:rsidRDefault="00614438" w:rsidP="004F5BC1">
      <w:pPr>
        <w:numPr>
          <w:ilvl w:val="0"/>
          <w:numId w:val="254"/>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Pulp, paper and printing.</w:t>
      </w:r>
    </w:p>
    <w:p w14:paraId="35BA09B4" w14:textId="77777777" w:rsidR="00614438" w:rsidRPr="00614438" w:rsidRDefault="00614438" w:rsidP="004F5BC1">
      <w:pPr>
        <w:numPr>
          <w:ilvl w:val="0"/>
          <w:numId w:val="254"/>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Wood and wood products (other than pulp and paper).</w:t>
      </w:r>
    </w:p>
    <w:p w14:paraId="3D13195B" w14:textId="3AAEAB24" w:rsidR="00614438" w:rsidRPr="00614438" w:rsidRDefault="00614438" w:rsidP="004F5BC1">
      <w:pPr>
        <w:numPr>
          <w:ilvl w:val="0"/>
          <w:numId w:val="254"/>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Construction</w:t>
      </w:r>
      <w:r w:rsidR="00D25591">
        <w:rPr>
          <w:rFonts w:ascii="Times New Roman" w:hAnsi="Times New Roman" w:cs="Times New Roman"/>
          <w:sz w:val="24"/>
          <w:szCs w:val="24"/>
          <w:lang w:val="en-GB"/>
        </w:rPr>
        <w:t xml:space="preserve"> industry</w:t>
      </w:r>
      <w:r w:rsidRPr="00614438">
        <w:rPr>
          <w:rFonts w:ascii="Times New Roman" w:hAnsi="Times New Roman" w:cs="Times New Roman"/>
          <w:sz w:val="24"/>
          <w:szCs w:val="24"/>
          <w:lang w:val="en-GB"/>
        </w:rPr>
        <w:t>.</w:t>
      </w:r>
    </w:p>
    <w:p w14:paraId="20C07F2B" w14:textId="2A318126" w:rsidR="00614438" w:rsidRPr="00614438" w:rsidRDefault="00614438" w:rsidP="004F5BC1">
      <w:pPr>
        <w:numPr>
          <w:ilvl w:val="0"/>
          <w:numId w:val="254"/>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Textile and leather</w:t>
      </w:r>
      <w:r w:rsidR="00D25591">
        <w:rPr>
          <w:rFonts w:ascii="Times New Roman" w:hAnsi="Times New Roman" w:cs="Times New Roman"/>
          <w:sz w:val="24"/>
          <w:szCs w:val="24"/>
          <w:lang w:val="en-GB"/>
        </w:rPr>
        <w:t xml:space="preserve"> industry</w:t>
      </w:r>
      <w:r w:rsidRPr="00614438">
        <w:rPr>
          <w:rFonts w:ascii="Times New Roman" w:hAnsi="Times New Roman" w:cs="Times New Roman"/>
          <w:sz w:val="24"/>
          <w:szCs w:val="24"/>
          <w:lang w:val="en-GB"/>
        </w:rPr>
        <w:t>.</w:t>
      </w:r>
    </w:p>
    <w:p w14:paraId="13DB5690" w14:textId="6DAC9CF7" w:rsidR="00614438" w:rsidRPr="00614438" w:rsidRDefault="00614438" w:rsidP="004F5BC1">
      <w:pPr>
        <w:numPr>
          <w:ilvl w:val="0"/>
          <w:numId w:val="254"/>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Not elsewhere specified </w:t>
      </w:r>
      <w:r w:rsidR="00D25591">
        <w:rPr>
          <w:rFonts w:ascii="Times New Roman" w:hAnsi="Times New Roman" w:cs="Times New Roman"/>
          <w:sz w:val="24"/>
          <w:szCs w:val="24"/>
          <w:lang w:val="en-GB"/>
        </w:rPr>
        <w:t>i</w:t>
      </w:r>
      <w:r w:rsidRPr="00614438">
        <w:rPr>
          <w:rFonts w:ascii="Times New Roman" w:hAnsi="Times New Roman" w:cs="Times New Roman"/>
          <w:sz w:val="24"/>
          <w:szCs w:val="24"/>
          <w:lang w:val="en-GB"/>
        </w:rPr>
        <w:t>ndustr</w:t>
      </w:r>
      <w:r w:rsidR="00D25591">
        <w:rPr>
          <w:rFonts w:ascii="Times New Roman" w:hAnsi="Times New Roman" w:cs="Times New Roman"/>
          <w:sz w:val="24"/>
          <w:szCs w:val="24"/>
          <w:lang w:val="en-GB"/>
        </w:rPr>
        <w:t>ies</w:t>
      </w:r>
      <w:r w:rsidRPr="00614438">
        <w:rPr>
          <w:rFonts w:ascii="Times New Roman" w:hAnsi="Times New Roman" w:cs="Times New Roman"/>
          <w:sz w:val="24"/>
          <w:szCs w:val="24"/>
          <w:lang w:val="en-GB"/>
        </w:rPr>
        <w:t>.</w:t>
      </w:r>
    </w:p>
    <w:p w14:paraId="60947FCB" w14:textId="77777777" w:rsidR="00614438" w:rsidRPr="00614438" w:rsidRDefault="00614438" w:rsidP="004F5BC1">
      <w:pPr>
        <w:numPr>
          <w:ilvl w:val="0"/>
          <w:numId w:val="253"/>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Residential</w:t>
      </w:r>
      <w:r w:rsidRPr="00614438">
        <w:rPr>
          <w:rFonts w:ascii="Times New Roman" w:hAnsi="Times New Roman" w:cs="Times New Roman"/>
          <w:sz w:val="24"/>
          <w:szCs w:val="24"/>
        </w:rPr>
        <w:t xml:space="preserve">, </w:t>
      </w:r>
      <w:r w:rsidRPr="00614438">
        <w:rPr>
          <w:rFonts w:ascii="Times New Roman" w:hAnsi="Times New Roman" w:cs="Times New Roman"/>
          <w:sz w:val="24"/>
          <w:szCs w:val="24"/>
          <w:lang w:val="en-GB"/>
        </w:rPr>
        <w:t xml:space="preserve">divided into six typologies and seven construction periods </w:t>
      </w:r>
      <w:r w:rsidRPr="00614438">
        <w:rPr>
          <w:rFonts w:ascii="Times New Roman" w:hAnsi="Times New Roman" w:cs="Times New Roman"/>
          <w:sz w:val="24"/>
          <w:szCs w:val="24"/>
        </w:rPr>
        <w:t>according to</w:t>
      </w:r>
      <w:r w:rsidRPr="00614438">
        <w:rPr>
          <w:rFonts w:ascii="Times New Roman" w:hAnsi="Times New Roman" w:cs="Times New Roman"/>
          <w:sz w:val="24"/>
          <w:szCs w:val="24"/>
          <w:lang w:val="en-GB"/>
        </w:rPr>
        <w:t xml:space="preserve"> the TABULA project.</w:t>
      </w:r>
    </w:p>
    <w:p w14:paraId="3BF77267" w14:textId="77777777" w:rsidR="00614438" w:rsidRPr="00614438" w:rsidRDefault="00614438" w:rsidP="004F5BC1">
      <w:pPr>
        <w:spacing w:after="0"/>
        <w:jc w:val="both"/>
        <w:rPr>
          <w:rFonts w:ascii="Times New Roman" w:hAnsi="Times New Roman" w:cs="Times New Roman"/>
          <w:sz w:val="24"/>
          <w:szCs w:val="24"/>
        </w:rPr>
      </w:pPr>
      <w:bookmarkStart w:id="688" w:name="_Toc154575325"/>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III</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Residential sector typologies according to TABULA</w:t>
      </w:r>
      <w:bookmarkEnd w:id="688"/>
    </w:p>
    <w:p w14:paraId="1EECA33A"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243751C9" wp14:editId="653369D4">
            <wp:extent cx="5067300" cy="1228725"/>
            <wp:effectExtent l="0" t="0" r="0" b="9525"/>
            <wp:docPr id="283598702" name="Picture 219" descr="A yellow and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6" descr="A yellow and black text&#10;&#10;Description automatically generated with medium confidence"/>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067300" cy="1228725"/>
                    </a:xfrm>
                    <a:prstGeom prst="rect">
                      <a:avLst/>
                    </a:prstGeom>
                    <a:noFill/>
                    <a:ln>
                      <a:noFill/>
                    </a:ln>
                  </pic:spPr>
                </pic:pic>
              </a:graphicData>
            </a:graphic>
          </wp:inline>
        </w:drawing>
      </w:r>
    </w:p>
    <w:p w14:paraId="773E9852" w14:textId="0951A90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Furthermore, dwellings within each of the typologies are allocated to a number of construction periods according to the </w:t>
      </w:r>
      <w:r w:rsidR="00D25591">
        <w:rPr>
          <w:rFonts w:ascii="Times New Roman" w:hAnsi="Times New Roman" w:cs="Times New Roman"/>
          <w:sz w:val="24"/>
          <w:szCs w:val="24"/>
          <w:lang w:val="en-GB"/>
        </w:rPr>
        <w:t xml:space="preserve">following </w:t>
      </w:r>
      <w:r w:rsidR="00FA29EF">
        <w:fldChar w:fldCharType="begin"/>
      </w:r>
      <w:r w:rsidR="00FA29EF">
        <w:instrText xml:space="preserve"> REF _Ref153535002 \h  \* MERGEFORMAT </w:instrText>
      </w:r>
      <w:r w:rsidR="00FA29EF">
        <w:fldChar w:fldCharType="separate"/>
      </w:r>
      <w:r w:rsidR="00D25591">
        <w:rPr>
          <w:rFonts w:ascii="Times New Roman" w:hAnsi="Times New Roman" w:cs="Times New Roman"/>
          <w:sz w:val="24"/>
          <w:szCs w:val="24"/>
          <w:lang w:val="en-GB"/>
        </w:rPr>
        <w:t>t</w:t>
      </w:r>
      <w:r w:rsidRPr="00614438">
        <w:rPr>
          <w:rFonts w:ascii="Times New Roman" w:hAnsi="Times New Roman" w:cs="Times New Roman"/>
          <w:sz w:val="24"/>
          <w:szCs w:val="24"/>
          <w:lang w:val="en-GB"/>
        </w:rPr>
        <w:t>able</w:t>
      </w:r>
      <w:r w:rsidR="00FA29EF">
        <w:fldChar w:fldCharType="end"/>
      </w:r>
      <w:r w:rsidRPr="00614438">
        <w:rPr>
          <w:rFonts w:ascii="Times New Roman" w:hAnsi="Times New Roman" w:cs="Times New Roman"/>
          <w:sz w:val="24"/>
          <w:szCs w:val="24"/>
          <w:lang w:val="en-GB"/>
        </w:rPr>
        <w:t>.</w:t>
      </w:r>
    </w:p>
    <w:p w14:paraId="37668118" w14:textId="77777777" w:rsidR="00614438" w:rsidRPr="00614438" w:rsidRDefault="00614438" w:rsidP="00614438">
      <w:pPr>
        <w:jc w:val="both"/>
        <w:rPr>
          <w:rFonts w:ascii="Times New Roman" w:hAnsi="Times New Roman" w:cs="Times New Roman"/>
          <w:sz w:val="24"/>
          <w:szCs w:val="24"/>
        </w:rPr>
      </w:pPr>
      <w:bookmarkStart w:id="689" w:name="_Ref153535002"/>
      <w:bookmarkStart w:id="690" w:name="_Toc153545092"/>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III</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bookmarkEnd w:id="689"/>
      <w:r w:rsidRPr="00614438">
        <w:rPr>
          <w:rFonts w:ascii="Times New Roman" w:hAnsi="Times New Roman" w:cs="Times New Roman"/>
          <w:sz w:val="24"/>
          <w:szCs w:val="24"/>
        </w:rPr>
        <w:t>: Construction periods for residential typologies</w:t>
      </w:r>
      <w:bookmarkEnd w:id="690"/>
    </w:p>
    <w:tbl>
      <w:tblPr>
        <w:tblW w:w="2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2700"/>
      </w:tblGrid>
      <w:tr w:rsidR="00614438" w:rsidRPr="00614438" w14:paraId="4A810C7C" w14:textId="77777777" w:rsidTr="00614438">
        <w:trPr>
          <w:trHeight w:val="20"/>
          <w:jc w:val="center"/>
        </w:trPr>
        <w:tc>
          <w:tcPr>
            <w:tcW w:w="2700" w:type="dxa"/>
            <w:tcBorders>
              <w:top w:val="single" w:sz="4" w:space="0" w:color="auto"/>
              <w:left w:val="single" w:sz="4" w:space="0" w:color="auto"/>
              <w:bottom w:val="single" w:sz="4" w:space="0" w:color="auto"/>
              <w:right w:val="single" w:sz="4" w:space="0" w:color="auto"/>
            </w:tcBorders>
            <w:shd w:val="clear" w:color="auto" w:fill="323E4F"/>
            <w:tcMar>
              <w:top w:w="15" w:type="dxa"/>
              <w:left w:w="15" w:type="dxa"/>
              <w:bottom w:w="0" w:type="dxa"/>
              <w:right w:w="15" w:type="dxa"/>
            </w:tcMar>
            <w:vAlign w:val="bottom"/>
            <w:hideMark/>
          </w:tcPr>
          <w:p w14:paraId="72734092" w14:textId="77777777" w:rsidR="00614438" w:rsidRPr="00614438" w:rsidRDefault="00614438" w:rsidP="004F5BC1">
            <w:p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Typologies of Dwellings</w:t>
            </w:r>
          </w:p>
        </w:tc>
      </w:tr>
      <w:tr w:rsidR="00614438" w:rsidRPr="00614438" w14:paraId="5BD99894" w14:textId="77777777" w:rsidTr="00614438">
        <w:trPr>
          <w:trHeight w:val="20"/>
          <w:jc w:val="center"/>
        </w:trPr>
        <w:tc>
          <w:tcPr>
            <w:tcW w:w="2700" w:type="dxa"/>
            <w:tcBorders>
              <w:top w:val="single" w:sz="4" w:space="0" w:color="auto"/>
              <w:left w:val="single" w:sz="4" w:space="0" w:color="auto"/>
              <w:bottom w:val="single" w:sz="4" w:space="0" w:color="auto"/>
              <w:right w:val="single" w:sz="4" w:space="0" w:color="auto"/>
            </w:tcBorders>
            <w:shd w:val="clear" w:color="auto" w:fill="323E4F"/>
            <w:tcMar>
              <w:top w:w="15" w:type="dxa"/>
              <w:left w:w="15" w:type="dxa"/>
              <w:bottom w:w="0" w:type="dxa"/>
              <w:right w:w="15" w:type="dxa"/>
            </w:tcMar>
            <w:hideMark/>
          </w:tcPr>
          <w:p w14:paraId="53C8DD2B" w14:textId="77777777" w:rsidR="00614438" w:rsidRPr="00614438" w:rsidRDefault="00614438" w:rsidP="004F5BC1">
            <w:p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Construction periods</w:t>
            </w:r>
          </w:p>
        </w:tc>
      </w:tr>
      <w:tr w:rsidR="00614438" w:rsidRPr="00614438" w14:paraId="596FFB82" w14:textId="77777777" w:rsidTr="00614438">
        <w:trPr>
          <w:trHeight w:val="20"/>
          <w:jc w:val="center"/>
        </w:trPr>
        <w:tc>
          <w:tcPr>
            <w:tcW w:w="270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hideMark/>
          </w:tcPr>
          <w:p w14:paraId="45BF5D6D" w14:textId="77777777" w:rsidR="00614438" w:rsidRPr="00614438" w:rsidRDefault="00614438" w:rsidP="004F5BC1">
            <w:p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&lt;1919</w:t>
            </w:r>
          </w:p>
        </w:tc>
      </w:tr>
      <w:tr w:rsidR="00614438" w:rsidRPr="00614438" w14:paraId="6E004253" w14:textId="77777777" w:rsidTr="00614438">
        <w:trPr>
          <w:trHeight w:val="20"/>
          <w:jc w:val="center"/>
        </w:trPr>
        <w:tc>
          <w:tcPr>
            <w:tcW w:w="270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hideMark/>
          </w:tcPr>
          <w:p w14:paraId="38108D0F" w14:textId="77777777" w:rsidR="00614438" w:rsidRPr="00614438" w:rsidRDefault="00614438" w:rsidP="004F5BC1">
            <w:p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1919-1945</w:t>
            </w:r>
          </w:p>
        </w:tc>
      </w:tr>
      <w:tr w:rsidR="00614438" w:rsidRPr="00614438" w14:paraId="0775B058" w14:textId="77777777" w:rsidTr="00614438">
        <w:trPr>
          <w:trHeight w:val="20"/>
          <w:jc w:val="center"/>
        </w:trPr>
        <w:tc>
          <w:tcPr>
            <w:tcW w:w="270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hideMark/>
          </w:tcPr>
          <w:p w14:paraId="1AFD6E1B" w14:textId="77777777" w:rsidR="00614438" w:rsidRPr="00614438" w:rsidRDefault="00614438" w:rsidP="004F5BC1">
            <w:p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1946-1960</w:t>
            </w:r>
          </w:p>
        </w:tc>
      </w:tr>
      <w:tr w:rsidR="00614438" w:rsidRPr="00614438" w14:paraId="58667B68" w14:textId="77777777" w:rsidTr="00614438">
        <w:trPr>
          <w:trHeight w:val="20"/>
          <w:jc w:val="center"/>
        </w:trPr>
        <w:tc>
          <w:tcPr>
            <w:tcW w:w="270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hideMark/>
          </w:tcPr>
          <w:p w14:paraId="48FACBBA" w14:textId="77777777" w:rsidR="00614438" w:rsidRPr="00614438" w:rsidRDefault="00614438" w:rsidP="004F5BC1">
            <w:p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1961-1970</w:t>
            </w:r>
          </w:p>
        </w:tc>
      </w:tr>
      <w:tr w:rsidR="00614438" w:rsidRPr="00614438" w14:paraId="038627F2" w14:textId="77777777" w:rsidTr="00614438">
        <w:trPr>
          <w:trHeight w:val="20"/>
          <w:jc w:val="center"/>
        </w:trPr>
        <w:tc>
          <w:tcPr>
            <w:tcW w:w="270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hideMark/>
          </w:tcPr>
          <w:p w14:paraId="6E9920A4" w14:textId="77777777" w:rsidR="00614438" w:rsidRPr="00614438" w:rsidRDefault="00614438" w:rsidP="004F5BC1">
            <w:p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1971-1980</w:t>
            </w:r>
          </w:p>
        </w:tc>
      </w:tr>
      <w:tr w:rsidR="00614438" w:rsidRPr="00614438" w14:paraId="2933620D" w14:textId="77777777" w:rsidTr="00614438">
        <w:trPr>
          <w:trHeight w:val="20"/>
          <w:jc w:val="center"/>
        </w:trPr>
        <w:tc>
          <w:tcPr>
            <w:tcW w:w="270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hideMark/>
          </w:tcPr>
          <w:p w14:paraId="4CB725D6" w14:textId="77777777" w:rsidR="00614438" w:rsidRPr="00614438" w:rsidRDefault="00614438" w:rsidP="004F5BC1">
            <w:p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1981-1990</w:t>
            </w:r>
          </w:p>
        </w:tc>
      </w:tr>
      <w:tr w:rsidR="00614438" w:rsidRPr="00614438" w14:paraId="08C170E2" w14:textId="77777777" w:rsidTr="00614438">
        <w:trPr>
          <w:trHeight w:val="20"/>
          <w:jc w:val="center"/>
        </w:trPr>
        <w:tc>
          <w:tcPr>
            <w:tcW w:w="270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hideMark/>
          </w:tcPr>
          <w:p w14:paraId="3345685C" w14:textId="77777777" w:rsidR="00614438" w:rsidRPr="00614438" w:rsidRDefault="00614438" w:rsidP="004F5BC1">
            <w:p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1991-2011</w:t>
            </w:r>
          </w:p>
        </w:tc>
      </w:tr>
    </w:tbl>
    <w:p w14:paraId="00145151" w14:textId="77777777" w:rsidR="00614438" w:rsidRPr="00614438" w:rsidRDefault="00614438" w:rsidP="00D25591">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For each one of the dwelling types nine energy service demands are considered: Demand for Space Heating, Demand for Space Cooling, Demand for Hot Water, Demand for Cooking, Demand </w:t>
      </w:r>
      <w:r w:rsidRPr="00614438">
        <w:rPr>
          <w:rFonts w:ascii="Times New Roman" w:hAnsi="Times New Roman" w:cs="Times New Roman"/>
          <w:sz w:val="24"/>
          <w:szCs w:val="24"/>
          <w:lang w:val="en-GB"/>
        </w:rPr>
        <w:lastRenderedPageBreak/>
        <w:t>for Lighting, Demand for Refrigerating, Demand for Cloth Washing, Demand for Dish Washing, Demand for Appliances.</w:t>
      </w:r>
    </w:p>
    <w:p w14:paraId="26804148" w14:textId="77777777" w:rsidR="00614438" w:rsidRPr="00614438" w:rsidRDefault="00614438" w:rsidP="004F5BC1">
      <w:pPr>
        <w:numPr>
          <w:ilvl w:val="0"/>
          <w:numId w:val="253"/>
        </w:numPr>
        <w:spacing w:after="0"/>
        <w:jc w:val="both"/>
        <w:rPr>
          <w:rFonts w:ascii="Times New Roman" w:hAnsi="Times New Roman" w:cs="Times New Roman"/>
          <w:sz w:val="24"/>
          <w:szCs w:val="24"/>
          <w:lang w:val="en-GB"/>
        </w:rPr>
      </w:pPr>
      <w:bookmarkStart w:id="691" w:name="OLE_LINK324"/>
      <w:bookmarkStart w:id="692" w:name="OLE_LINK325"/>
      <w:bookmarkStart w:id="693" w:name="OLE_LINK326"/>
      <w:r w:rsidRPr="00614438">
        <w:rPr>
          <w:rFonts w:ascii="Times New Roman" w:hAnsi="Times New Roman" w:cs="Times New Roman"/>
          <w:sz w:val="24"/>
          <w:szCs w:val="24"/>
          <w:lang w:val="en-GB"/>
        </w:rPr>
        <w:t>Tertiary Sector</w:t>
      </w:r>
      <w:r w:rsidRPr="00614438">
        <w:rPr>
          <w:rFonts w:ascii="Times New Roman" w:hAnsi="Times New Roman" w:cs="Times New Roman"/>
          <w:sz w:val="24"/>
          <w:szCs w:val="24"/>
        </w:rPr>
        <w:t xml:space="preserve"> which includes </w:t>
      </w:r>
      <w:r w:rsidRPr="00614438">
        <w:rPr>
          <w:rFonts w:ascii="Times New Roman" w:hAnsi="Times New Roman" w:cs="Times New Roman"/>
          <w:sz w:val="24"/>
          <w:szCs w:val="24"/>
          <w:lang w:val="en-GB"/>
        </w:rPr>
        <w:t xml:space="preserve">commercial and public </w:t>
      </w:r>
      <w:bookmarkEnd w:id="691"/>
      <w:bookmarkEnd w:id="692"/>
      <w:bookmarkEnd w:id="693"/>
      <w:r w:rsidRPr="00614438">
        <w:rPr>
          <w:rFonts w:ascii="Times New Roman" w:hAnsi="Times New Roman" w:cs="Times New Roman"/>
          <w:sz w:val="24"/>
          <w:szCs w:val="24"/>
          <w:lang w:val="en-GB"/>
        </w:rPr>
        <w:t>services</w:t>
      </w:r>
      <w:r w:rsidRPr="00614438">
        <w:rPr>
          <w:rFonts w:ascii="Times New Roman" w:hAnsi="Times New Roman" w:cs="Times New Roman"/>
          <w:sz w:val="24"/>
          <w:szCs w:val="24"/>
        </w:rPr>
        <w:t xml:space="preserve"> and </w:t>
      </w:r>
      <w:r w:rsidRPr="00614438">
        <w:rPr>
          <w:rFonts w:ascii="Times New Roman" w:hAnsi="Times New Roman" w:cs="Times New Roman"/>
          <w:sz w:val="24"/>
          <w:szCs w:val="24"/>
          <w:lang w:val="en-GB"/>
        </w:rPr>
        <w:t xml:space="preserve">is further divided </w:t>
      </w:r>
      <w:r w:rsidRPr="00614438">
        <w:rPr>
          <w:rFonts w:ascii="Times New Roman" w:hAnsi="Times New Roman" w:cs="Times New Roman"/>
          <w:sz w:val="24"/>
          <w:szCs w:val="24"/>
        </w:rPr>
        <w:t>in</w:t>
      </w:r>
      <w:r w:rsidRPr="00614438">
        <w:rPr>
          <w:rFonts w:ascii="Times New Roman" w:hAnsi="Times New Roman" w:cs="Times New Roman"/>
          <w:sz w:val="24"/>
          <w:szCs w:val="24"/>
          <w:lang w:val="en-GB"/>
        </w:rPr>
        <w:t>to the following subsectors:</w:t>
      </w:r>
    </w:p>
    <w:p w14:paraId="21552B1F" w14:textId="77777777" w:rsidR="00614438" w:rsidRPr="00614438" w:rsidRDefault="00614438" w:rsidP="004F5BC1">
      <w:pPr>
        <w:numPr>
          <w:ilvl w:val="0"/>
          <w:numId w:val="255"/>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Hotels&amp; Food and beverage service activities (NACE Rev. 2 sectors: 55 and 56).</w:t>
      </w:r>
    </w:p>
    <w:p w14:paraId="5B63FBB5" w14:textId="77777777" w:rsidR="00614438" w:rsidRPr="00614438" w:rsidRDefault="00614438" w:rsidP="004F5BC1">
      <w:pPr>
        <w:numPr>
          <w:ilvl w:val="0"/>
          <w:numId w:val="255"/>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Hospitals (NACE Rev. 2 sectors: 86).</w:t>
      </w:r>
    </w:p>
    <w:p w14:paraId="25BC387B" w14:textId="77777777" w:rsidR="00614438" w:rsidRPr="00614438" w:rsidRDefault="00614438" w:rsidP="004F5BC1">
      <w:pPr>
        <w:numPr>
          <w:ilvl w:val="0"/>
          <w:numId w:val="255"/>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Commercial Buildings (NACE Rev. 2 sectors: 45, 46, 47).</w:t>
      </w:r>
    </w:p>
    <w:p w14:paraId="40CF8579" w14:textId="77777777" w:rsidR="00614438" w:rsidRPr="00614438" w:rsidRDefault="00614438" w:rsidP="004F5BC1">
      <w:pPr>
        <w:numPr>
          <w:ilvl w:val="0"/>
          <w:numId w:val="255"/>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Educational (NACE Rev. 2 sectors: 85).</w:t>
      </w:r>
    </w:p>
    <w:p w14:paraId="74405509" w14:textId="77777777" w:rsidR="00614438" w:rsidRPr="00614438" w:rsidRDefault="00614438" w:rsidP="004F5BC1">
      <w:pPr>
        <w:numPr>
          <w:ilvl w:val="0"/>
          <w:numId w:val="255"/>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Public Sector Offices (NACE Rev. 2 sectors: 84).</w:t>
      </w:r>
    </w:p>
    <w:p w14:paraId="630B318E" w14:textId="77777777" w:rsidR="00614438" w:rsidRPr="00614438" w:rsidRDefault="00614438" w:rsidP="004F5BC1">
      <w:pPr>
        <w:numPr>
          <w:ilvl w:val="0"/>
          <w:numId w:val="255"/>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Private Sector Offices (NACE Rev. 2 sectors: 53, 61, 62, 63, 64, 65, 66, 68, 69, 70, 71, 72, 73, 74, 75, 77, 78, 79).</w:t>
      </w:r>
    </w:p>
    <w:p w14:paraId="3F78F505" w14:textId="77777777" w:rsidR="00614438" w:rsidRPr="00614438" w:rsidRDefault="00614438" w:rsidP="004F5BC1">
      <w:pPr>
        <w:numPr>
          <w:ilvl w:val="0"/>
          <w:numId w:val="255"/>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Other Tertiary (NACE Rev 2 sectors: 52, 53, 58, 59, 60, 61, 62, 63, 81, 82, 90, 91).</w:t>
      </w:r>
    </w:p>
    <w:p w14:paraId="1E5C91E4" w14:textId="77777777" w:rsidR="00614438" w:rsidRPr="00614438" w:rsidRDefault="00614438" w:rsidP="004F5BC1">
      <w:pPr>
        <w:numPr>
          <w:ilvl w:val="0"/>
          <w:numId w:val="255"/>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Other Public (NACE Rev 2 sectors: 36, 37, 38, 39, 93, 95, 96).</w:t>
      </w:r>
    </w:p>
    <w:p w14:paraId="60559FD5" w14:textId="2A862CF7" w:rsidR="00614438" w:rsidRPr="00614438" w:rsidRDefault="00614438" w:rsidP="004F5BC1">
      <w:pPr>
        <w:numPr>
          <w:ilvl w:val="0"/>
          <w:numId w:val="255"/>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Public (street) </w:t>
      </w:r>
      <w:r w:rsidR="00D25591">
        <w:rPr>
          <w:rFonts w:ascii="Times New Roman" w:hAnsi="Times New Roman" w:cs="Times New Roman"/>
          <w:sz w:val="24"/>
          <w:szCs w:val="24"/>
          <w:lang w:val="en-GB"/>
        </w:rPr>
        <w:t>l</w:t>
      </w:r>
      <w:r w:rsidRPr="00614438">
        <w:rPr>
          <w:rFonts w:ascii="Times New Roman" w:hAnsi="Times New Roman" w:cs="Times New Roman"/>
          <w:sz w:val="24"/>
          <w:szCs w:val="24"/>
          <w:lang w:val="en-GB"/>
        </w:rPr>
        <w:t>ighting.</w:t>
      </w:r>
    </w:p>
    <w:p w14:paraId="4FE19D92" w14:textId="3325850A" w:rsidR="00614438" w:rsidRPr="00614438" w:rsidRDefault="00614438" w:rsidP="00D25591">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Refurbishment options are included in the model for both residential and tertiary sector buildings. Three options are considered: i) Replacement of windows, ii) replacement of windows plus 5cm wall insulation and iii) replacement of windows plus 10cm wall insulation. The level of energy savings for each refurbishment action depends on the typology of the building and is taken from the results of the TABULA project.</w:t>
      </w:r>
    </w:p>
    <w:p w14:paraId="1D66D929" w14:textId="77777777" w:rsidR="00614438" w:rsidRDefault="00614438" w:rsidP="00D25591">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evolution of the installation cost of building related technologies is taken into consideration for the examined period. Generally, it is expected that the installation cost in the period 2025-2030 will remained constant compared to the respective levels before the energy crisis.</w:t>
      </w:r>
    </w:p>
    <w:p w14:paraId="4054FD2E" w14:textId="076AEAFE" w:rsidR="00D25591" w:rsidRPr="00614438" w:rsidRDefault="00D25591" w:rsidP="00D25591">
      <w:pPr>
        <w:ind w:firstLine="360"/>
        <w:jc w:val="both"/>
        <w:rPr>
          <w:rFonts w:ascii="Times New Roman" w:hAnsi="Times New Roman" w:cs="Times New Roman"/>
          <w:sz w:val="24"/>
          <w:szCs w:val="24"/>
          <w:lang w:val="en-GB"/>
        </w:rPr>
      </w:pPr>
      <w:r w:rsidRPr="00D25591">
        <w:rPr>
          <w:rFonts w:ascii="Times New Roman" w:hAnsi="Times New Roman" w:cs="Times New Roman"/>
          <w:sz w:val="24"/>
          <w:szCs w:val="24"/>
          <w:lang w:val="en-GB"/>
        </w:rPr>
        <w:t>Rehabilitation options are included in the model for residential buildings and tertiary sector buildings. Three options are considered: i) Window replacement, ii) Window replacement plus 5 cm wall insulation and iii) Window replacement plus 10 cm wall insulation. The level of energy savings for each rehabilitation activity depends on the typology of the building and is taken from the results of the TABULA project. For the observed period, the trend of installation costs of technologies in buildings is taken into account.</w:t>
      </w:r>
      <w:r>
        <w:rPr>
          <w:rFonts w:ascii="Times New Roman" w:hAnsi="Times New Roman" w:cs="Times New Roman"/>
          <w:sz w:val="24"/>
          <w:szCs w:val="24"/>
          <w:lang w:val="en-GB"/>
        </w:rPr>
        <w:t xml:space="preserve"> </w:t>
      </w:r>
      <w:r w:rsidRPr="00D25591">
        <w:rPr>
          <w:rFonts w:ascii="Times New Roman" w:hAnsi="Times New Roman" w:cs="Times New Roman"/>
          <w:sz w:val="24"/>
          <w:szCs w:val="24"/>
          <w:lang w:val="en-GB"/>
        </w:rPr>
        <w:t>In general, it is expected that the level of installation costs in the period 2025-2030 remain constant compared to the same cost levels before the energy crisis.</w:t>
      </w:r>
    </w:p>
    <w:p w14:paraId="0DA5BBAF" w14:textId="77777777" w:rsidR="00614438" w:rsidRPr="00614438" w:rsidRDefault="00614438" w:rsidP="00485CA7">
      <w:pPr>
        <w:numPr>
          <w:ilvl w:val="0"/>
          <w:numId w:val="253"/>
        </w:num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Agriculture</w:t>
      </w:r>
      <w:r w:rsidRPr="00614438">
        <w:rPr>
          <w:rFonts w:ascii="Times New Roman" w:hAnsi="Times New Roman" w:cs="Times New Roman"/>
          <w:sz w:val="24"/>
          <w:szCs w:val="24"/>
        </w:rPr>
        <w:t>, which covers the energy use for agriculture, forestry and fishing.</w:t>
      </w:r>
    </w:p>
    <w:p w14:paraId="2A1DEE7C" w14:textId="77777777" w:rsidR="00614438" w:rsidRPr="00614438" w:rsidRDefault="00614438" w:rsidP="004F5BC1">
      <w:pPr>
        <w:numPr>
          <w:ilvl w:val="0"/>
          <w:numId w:val="253"/>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Transportation</w:t>
      </w:r>
      <w:r w:rsidRPr="00614438">
        <w:rPr>
          <w:rFonts w:ascii="Times New Roman" w:hAnsi="Times New Roman" w:cs="Times New Roman"/>
          <w:sz w:val="24"/>
          <w:szCs w:val="24"/>
        </w:rPr>
        <w:t>, divided at a first level according to the following list and further subdivided for each mode:</w:t>
      </w:r>
    </w:p>
    <w:p w14:paraId="5952D094" w14:textId="77777777" w:rsidR="00614438" w:rsidRPr="00614438" w:rsidRDefault="00614438" w:rsidP="004F5BC1">
      <w:pPr>
        <w:numPr>
          <w:ilvl w:val="0"/>
          <w:numId w:val="256"/>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Road transport</w:t>
      </w:r>
    </w:p>
    <w:p w14:paraId="5918AD2F" w14:textId="77777777" w:rsidR="00614438" w:rsidRPr="00614438" w:rsidRDefault="00614438" w:rsidP="004F5BC1">
      <w:pPr>
        <w:numPr>
          <w:ilvl w:val="0"/>
          <w:numId w:val="256"/>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Rails transport</w:t>
      </w:r>
    </w:p>
    <w:p w14:paraId="22B8C1BD" w14:textId="77777777" w:rsidR="00614438" w:rsidRPr="00614438" w:rsidRDefault="00614438" w:rsidP="004F5BC1">
      <w:pPr>
        <w:numPr>
          <w:ilvl w:val="0"/>
          <w:numId w:val="256"/>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Domestic Aviation</w:t>
      </w:r>
    </w:p>
    <w:p w14:paraId="24ED2516" w14:textId="77777777" w:rsidR="00614438" w:rsidRPr="00614438" w:rsidRDefault="00614438" w:rsidP="004F5BC1">
      <w:pPr>
        <w:numPr>
          <w:ilvl w:val="0"/>
          <w:numId w:val="256"/>
        </w:numPr>
        <w:spacing w:after="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International Aviation</w:t>
      </w:r>
    </w:p>
    <w:p w14:paraId="38B48406" w14:textId="65D10BD5" w:rsidR="00614438" w:rsidRPr="00614438" w:rsidRDefault="00D25591" w:rsidP="004F5BC1">
      <w:pPr>
        <w:numPr>
          <w:ilvl w:val="0"/>
          <w:numId w:val="256"/>
        </w:numPr>
        <w:spacing w:after="0"/>
        <w:jc w:val="both"/>
        <w:rPr>
          <w:rFonts w:ascii="Times New Roman" w:hAnsi="Times New Roman" w:cs="Times New Roman"/>
          <w:sz w:val="24"/>
          <w:szCs w:val="24"/>
          <w:lang w:val="en-GB"/>
        </w:rPr>
      </w:pPr>
      <w:r>
        <w:rPr>
          <w:rFonts w:ascii="Times New Roman" w:hAnsi="Times New Roman" w:cs="Times New Roman"/>
          <w:sz w:val="24"/>
          <w:szCs w:val="24"/>
          <w:lang w:val="en-GB"/>
        </w:rPr>
        <w:t>Inland waterways</w:t>
      </w:r>
    </w:p>
    <w:bookmarkEnd w:id="685"/>
    <w:bookmarkEnd w:id="686"/>
    <w:bookmarkEnd w:id="687"/>
    <w:p w14:paraId="41DB688E" w14:textId="77777777" w:rsidR="00614438" w:rsidRPr="00614438" w:rsidRDefault="00614438" w:rsidP="00D25591">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lastRenderedPageBreak/>
        <w:t>During the development of the INECP the Serbian Energy Modelling System (SEMS) was updated through a data collection process to collect the current statistics and a calibration process in order to include the latest available statistical data in the model. Details of all these updates are presented in the “Report on updated version of SEMS” of the project “Further Development of Energy Planning Capacity”, EuropeAid/135625/IH/SER/RS Contract no: 48-00-00140/2019-28.</w:t>
      </w:r>
    </w:p>
    <w:p w14:paraId="1946F2DF" w14:textId="34C5CB13" w:rsidR="00614438" w:rsidRPr="00614438" w:rsidRDefault="0043006A" w:rsidP="0043006A">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III.2 </w:t>
      </w:r>
      <w:r w:rsidR="00614438" w:rsidRPr="00614438">
        <w:rPr>
          <w:rFonts w:ascii="Times New Roman" w:hAnsi="Times New Roman" w:cs="Times New Roman"/>
          <w:sz w:val="24"/>
          <w:szCs w:val="24"/>
          <w:lang w:val="en-GB"/>
        </w:rPr>
        <w:t>Macro-economic Analysis Tool (MANAGE)</w:t>
      </w:r>
    </w:p>
    <w:p w14:paraId="51E00A5C" w14:textId="77777777" w:rsidR="00614438" w:rsidRPr="00614438" w:rsidRDefault="00614438" w:rsidP="0043006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macroeconomic analysis tool - Mitigation, Adaptation and New Technologies Applied General Equilibrium (MANAGE) </w:t>
      </w:r>
      <w:bookmarkStart w:id="694" w:name="_Hlk68533451"/>
      <w:r w:rsidRPr="00614438">
        <w:rPr>
          <w:rFonts w:ascii="Times New Roman" w:hAnsi="Times New Roman" w:cs="Times New Roman"/>
          <w:sz w:val="24"/>
          <w:szCs w:val="24"/>
          <w:lang w:val="en-GB"/>
        </w:rPr>
        <w:t>computable general equilibrium</w:t>
      </w:r>
      <w:bookmarkEnd w:id="694"/>
      <w:r w:rsidRPr="00614438">
        <w:rPr>
          <w:rFonts w:ascii="Times New Roman" w:hAnsi="Times New Roman" w:cs="Times New Roman"/>
          <w:sz w:val="24"/>
          <w:szCs w:val="24"/>
          <w:lang w:val="en-GB"/>
        </w:rPr>
        <w:t xml:space="preserve"> (CGE) model, is coded in the General Algebraic Modelling System (GAMS), which is a high-level modelling system for mathematical programming and optimization. It consists of a language compiler and a set of integrated high-performance solvers.</w:t>
      </w:r>
    </w:p>
    <w:p w14:paraId="1AFA51DA" w14:textId="656CE511" w:rsidR="00614438" w:rsidRPr="00614438" w:rsidRDefault="00614438" w:rsidP="0043006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Key inputs to the model include the Social Accounting Matrix (SAM), which describes monetary flows across key economic agents (producers, households, government, and the </w:t>
      </w:r>
      <w:r w:rsidR="0043006A">
        <w:rPr>
          <w:rFonts w:ascii="Times New Roman" w:hAnsi="Times New Roman" w:cs="Times New Roman"/>
          <w:sz w:val="24"/>
          <w:szCs w:val="24"/>
          <w:lang w:val="en-GB"/>
        </w:rPr>
        <w:t>r</w:t>
      </w:r>
      <w:r w:rsidRPr="00614438">
        <w:rPr>
          <w:rFonts w:ascii="Times New Roman" w:hAnsi="Times New Roman" w:cs="Times New Roman"/>
          <w:sz w:val="24"/>
          <w:szCs w:val="24"/>
          <w:lang w:val="en-GB"/>
        </w:rPr>
        <w:t xml:space="preserve">est of the </w:t>
      </w:r>
      <w:r w:rsidR="0043006A">
        <w:rPr>
          <w:rFonts w:ascii="Times New Roman" w:hAnsi="Times New Roman" w:cs="Times New Roman"/>
          <w:sz w:val="24"/>
          <w:szCs w:val="24"/>
          <w:lang w:val="en-GB"/>
        </w:rPr>
        <w:t>w</w:t>
      </w:r>
      <w:r w:rsidRPr="00614438">
        <w:rPr>
          <w:rFonts w:ascii="Times New Roman" w:hAnsi="Times New Roman" w:cs="Times New Roman"/>
          <w:sz w:val="24"/>
          <w:szCs w:val="24"/>
          <w:lang w:val="en-GB"/>
        </w:rPr>
        <w:t>orld). The SAM was adjusted to reflect a more complete balance of payments account, as the latter was modified to allow for fairly significant inward flows of remittances and outward interest payments, and a small inflow of official development assistance. For the modifications, data provided by the National Bank of Serbia was used.</w:t>
      </w:r>
    </w:p>
    <w:p w14:paraId="1022D74A" w14:textId="73642C34" w:rsidR="00614438" w:rsidRPr="00614438" w:rsidRDefault="00614438" w:rsidP="0043006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Additional data inputs to the model included energy flows (based on the International Energy Agency data) and emission accounts (estimated using the IPCC methodology) – both are extracted from the Global Trade Analysis Project (GTAP) database and harmonized with SEMS. The reference </w:t>
      </w:r>
      <w:r w:rsidR="0043006A" w:rsidRPr="00614438">
        <w:rPr>
          <w:rFonts w:ascii="Times New Roman" w:hAnsi="Times New Roman" w:cs="Times New Roman"/>
          <w:sz w:val="24"/>
          <w:szCs w:val="24"/>
          <w:lang w:val="en-GB"/>
        </w:rPr>
        <w:t xml:space="preserve">SAM </w:t>
      </w:r>
      <w:r w:rsidRPr="00614438">
        <w:rPr>
          <w:rFonts w:ascii="Times New Roman" w:hAnsi="Times New Roman" w:cs="Times New Roman"/>
          <w:sz w:val="24"/>
          <w:szCs w:val="24"/>
          <w:lang w:val="en-GB"/>
        </w:rPr>
        <w:t>year is used to calibrate many of the model parameters—such as the cost structure of production and consumer preference parameters. The calibration of these parameters needs not only the SAM, but also values for key model parameters such as the substitution between capital and labour, the income elasticity for goods such as food, energy substitution elasticities, etc. Most of these parameters are sourced from the standard parameters of the GTAP and Envisage models. The SAM, combined with the key elasticities, are the only inputs needed to run the comparative static version of the model.</w:t>
      </w:r>
    </w:p>
    <w:p w14:paraId="23A9E31D" w14:textId="77777777" w:rsidR="00614438" w:rsidRPr="00614438" w:rsidRDefault="00614438" w:rsidP="0043006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dynamic model needs additional data to project the economy forward from the reference year to a terminal year. The key drivers of the economy are demographic (total and working age population), savings and depreciation rates, which drive capital accumulation, and changes in technology and preferences. These inputs are extracted primarily form the national data sources and complemented by the data inputs from international agencies, as described in the report.</w:t>
      </w:r>
    </w:p>
    <w:p w14:paraId="477A8FF9" w14:textId="63F9003B" w:rsidR="00614438" w:rsidRPr="00614438" w:rsidRDefault="00614438" w:rsidP="0043006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Ministry of Mining and Energy has at its disposal the MANAGE model and the corresponding data for running both comparative static and dynamic simulations. In the case of the latter, MoME can regularly update the reference simulation with the most recent information on GDP and population growth, and other exogenous elements of the model such as policy changes. The tool allows for significant flexibility to analyse a broad suite of policies</w:t>
      </w:r>
      <w:r w:rsidR="0043006A">
        <w:rPr>
          <w:rFonts w:ascii="Times New Roman" w:hAnsi="Times New Roman" w:cs="Times New Roman"/>
          <w:sz w:val="24"/>
          <w:szCs w:val="24"/>
          <w:lang w:val="en-GB"/>
        </w:rPr>
        <w:t xml:space="preserve">, including </w:t>
      </w:r>
      <w:r w:rsidRPr="00614438">
        <w:rPr>
          <w:rFonts w:ascii="Times New Roman" w:hAnsi="Times New Roman" w:cs="Times New Roman"/>
          <w:sz w:val="24"/>
          <w:szCs w:val="24"/>
          <w:lang w:val="en-GB"/>
        </w:rPr>
        <w:t xml:space="preserve">energy taxes and subsidies, other forms of taxes and subsidies, for example in agriculture, and potential changes to the trading regime—for example adherence to the European Union. Beyond </w:t>
      </w:r>
      <w:r w:rsidRPr="00614438">
        <w:rPr>
          <w:rFonts w:ascii="Times New Roman" w:hAnsi="Times New Roman" w:cs="Times New Roman"/>
          <w:sz w:val="24"/>
          <w:szCs w:val="24"/>
          <w:lang w:val="en-GB"/>
        </w:rPr>
        <w:lastRenderedPageBreak/>
        <w:t>updating the dynamic drivers, the core, or reference data is also subject to updates, for example, with the soon-to-be-released V11 of the GTAP database with a 2017 reference year. In addition, with sufficient local information, the model’s key elasticities, such as income and substitution elasticities could be econometrically estimated, providing a sounder basis for model behaviour and coupled with confidence intervals, the ability to use Monte Carlo techniques to provide a sense of the robustness of the model results. The core database can also be expanded to include multiple representative households, for example by decile, to be able to highlight potential distributional implications of policy changes—for example the impact across households of implementing a carbon tax.</w:t>
      </w:r>
    </w:p>
    <w:p w14:paraId="7EFEADBE" w14:textId="77777777" w:rsidR="0043006A" w:rsidRDefault="00614438" w:rsidP="0043006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Representing a complete coverage of both demand and supply sides of the economy, the MANAGE model provides a wide range of outputs that could be used to support the decision-making process. The key endogenous variables of the model can be grouped into six categories: macroeconomic, producer-related, final users (household-related), government indicators, trade variables and environmental indicators (</w:t>
      </w:r>
      <w:r w:rsidR="00FA29EF">
        <w:fldChar w:fldCharType="begin"/>
      </w:r>
      <w:r w:rsidR="00FA29EF">
        <w:instrText xml:space="preserve"> REF _Ref153547014 \h  \* MERGEFORMAT </w:instrText>
      </w:r>
      <w:r w:rsidR="00FA29EF">
        <w:fldChar w:fldCharType="separate"/>
      </w:r>
      <w:r w:rsidRPr="00614438">
        <w:rPr>
          <w:rFonts w:ascii="Times New Roman" w:hAnsi="Times New Roman" w:cs="Times New Roman"/>
          <w:sz w:val="24"/>
          <w:szCs w:val="24"/>
          <w:lang w:val="en-GB"/>
        </w:rPr>
        <w:t>Figure III.3</w:t>
      </w:r>
      <w:r w:rsidR="00FA29EF">
        <w:fldChar w:fldCharType="end"/>
      </w:r>
      <w:r w:rsidRPr="00614438">
        <w:rPr>
          <w:rFonts w:ascii="Times New Roman" w:hAnsi="Times New Roman" w:cs="Times New Roman"/>
          <w:sz w:val="24"/>
          <w:szCs w:val="24"/>
          <w:lang w:val="en-GB"/>
        </w:rPr>
        <w:t>). It should be noted that this grouping of the variables is used only for the presentation purposes and is not something implied by the model.</w:t>
      </w:r>
    </w:p>
    <w:p w14:paraId="3B913051" w14:textId="77777777" w:rsidR="00614438" w:rsidRPr="00614438" w:rsidRDefault="00614438" w:rsidP="00614438">
      <w:pPr>
        <w:jc w:val="both"/>
        <w:rPr>
          <w:rFonts w:ascii="Times New Roman" w:hAnsi="Times New Roman" w:cs="Times New Roman"/>
          <w:sz w:val="24"/>
          <w:szCs w:val="24"/>
        </w:rPr>
      </w:pPr>
      <w:bookmarkStart w:id="695" w:name="_Ref153547014"/>
      <w:bookmarkStart w:id="696" w:name="_Toc154575326"/>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III</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w:t>
      </w:r>
      <w:r w:rsidR="00C83251" w:rsidRPr="00614438">
        <w:rPr>
          <w:rFonts w:ascii="Times New Roman" w:hAnsi="Times New Roman" w:cs="Times New Roman"/>
          <w:sz w:val="24"/>
          <w:szCs w:val="24"/>
        </w:rPr>
        <w:fldChar w:fldCharType="end"/>
      </w:r>
      <w:bookmarkEnd w:id="695"/>
      <w:r w:rsidRPr="00614438">
        <w:rPr>
          <w:rFonts w:ascii="Times New Roman" w:hAnsi="Times New Roman" w:cs="Times New Roman"/>
          <w:sz w:val="24"/>
          <w:szCs w:val="24"/>
        </w:rPr>
        <w:t>: Key model outputs by category</w:t>
      </w:r>
      <w:bookmarkEnd w:id="696"/>
    </w:p>
    <w:p w14:paraId="4BF755BD"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0A43BABE" wp14:editId="635FC8FD">
            <wp:extent cx="4410075" cy="3981450"/>
            <wp:effectExtent l="0" t="0" r="0" b="0"/>
            <wp:docPr id="671665019" name="Graphic 218"/>
            <wp:cNvGraphicFramePr/>
            <a:graphic xmlns:a="http://schemas.openxmlformats.org/drawingml/2006/main">
              <a:graphicData uri="http://schemas.openxmlformats.org/drawingml/2006/picture">
                <pic:pic xmlns:pic="http://schemas.openxmlformats.org/drawingml/2006/picture">
                  <pic:nvPicPr>
                    <pic:cNvPr id="1322913031" name="Graphic 1"/>
                    <pic:cNvPicPr>
                      <a:picLocks noChangeAspect="1"/>
                    </pic:cNvPicPr>
                  </pic:nvPicPr>
                  <pic:blipFill rotWithShape="1">
                    <a:blip r:embed="rId150" cstate="print">
                      <a:extLst>
                        <a:ext uri="{28A0092B-C50C-407E-A947-70E740481C1C}">
                          <a14:useLocalDpi xmlns:a14="http://schemas.microsoft.com/office/drawing/2010/main" val="0"/>
                        </a:ext>
                        <a:ext uri="{96DAC541-7B7A-43D3-8B79-37D633B846F1}">
                          <asvg:svgBlip xmlns:asvg="http://schemas.microsoft.com/office/drawing/2016/SVG/main" r:embed="rId151"/>
                        </a:ext>
                      </a:extLst>
                    </a:blip>
                    <a:srcRect l="24771" t="4196" r="19780" b="6776"/>
                    <a:stretch/>
                  </pic:blipFill>
                  <pic:spPr bwMode="auto">
                    <a:xfrm>
                      <a:off x="0" y="0"/>
                      <a:ext cx="4404995" cy="3978275"/>
                    </a:xfrm>
                    <a:prstGeom prst="rect">
                      <a:avLst/>
                    </a:prstGeom>
                    <a:ln>
                      <a:noFill/>
                    </a:ln>
                    <a:extLst>
                      <a:ext uri="{53640926-AAD7-44D8-BBD7-CCE9431645EC}">
                        <a14:shadowObscured xmlns:a14="http://schemas.microsoft.com/office/drawing/2010/main"/>
                      </a:ext>
                    </a:extLst>
                  </pic:spPr>
                </pic:pic>
              </a:graphicData>
            </a:graphic>
          </wp:inline>
        </w:drawing>
      </w:r>
    </w:p>
    <w:p w14:paraId="6AA103FB" w14:textId="6729CB5D" w:rsidR="00614438" w:rsidRPr="00614438" w:rsidRDefault="00614438" w:rsidP="0043006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Apart from the indicators outlined above, it is possible to estimate additional derived indicators, taking combination of variables reported by the model. For instance, one can estimate the carbon intensity of final consumption by commodities or the share of carbon revenue in the total tax revenue (or government income), etc. Since in most cases, it is relevant to measure policy </w:t>
      </w:r>
      <w:r w:rsidRPr="00614438">
        <w:rPr>
          <w:rFonts w:ascii="Times New Roman" w:hAnsi="Times New Roman" w:cs="Times New Roman"/>
          <w:sz w:val="24"/>
          <w:szCs w:val="24"/>
          <w:lang w:val="en-GB"/>
        </w:rPr>
        <w:lastRenderedPageBreak/>
        <w:t xml:space="preserve">impacts relative to the baseline scenario (rather than in absolute levels), for the case of most variables listed on the </w:t>
      </w:r>
      <w:r w:rsidR="0043006A">
        <w:t>III.1</w:t>
      </w:r>
      <w:r w:rsidRPr="00614438">
        <w:rPr>
          <w:rFonts w:ascii="Times New Roman" w:hAnsi="Times New Roman" w:cs="Times New Roman"/>
          <w:sz w:val="24"/>
          <w:szCs w:val="24"/>
          <w:lang w:val="en-GB"/>
        </w:rPr>
        <w:t xml:space="preserve"> it is relevant to apply the same approach. For instance, in the case of impacts of the carbon pricing policies on producers, one would be interested in the changes of production volumes and sectoral value added relative to the baseline scenario rather than the absolute values of these variables.</w:t>
      </w:r>
    </w:p>
    <w:p w14:paraId="3E22A999" w14:textId="77777777" w:rsidR="00614438" w:rsidRPr="00614438" w:rsidRDefault="00614438" w:rsidP="0043006A">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More details on the macro-economic model implementation are provided in the “Report on developed, installed and tested tool for macroeconomic analysis”, of the project Further Development of Energy Planning Capacity, EuropeAid/135625/IH/SER/RS, Contract no: 48-00-00140/2019-28.</w:t>
      </w:r>
    </w:p>
    <w:p w14:paraId="52D11E42" w14:textId="157E2638" w:rsidR="00614438" w:rsidRPr="00614438" w:rsidRDefault="0043006A" w:rsidP="0043006A">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III:3 </w:t>
      </w:r>
      <w:r w:rsidR="00614438" w:rsidRPr="00614438">
        <w:rPr>
          <w:rFonts w:ascii="Times New Roman" w:hAnsi="Times New Roman" w:cs="Times New Roman"/>
          <w:sz w:val="24"/>
          <w:szCs w:val="24"/>
          <w:lang w:val="en-GB"/>
        </w:rPr>
        <w:t>High-RES penetration power system analysis tool</w:t>
      </w:r>
    </w:p>
    <w:p w14:paraId="6F621A92" w14:textId="77777777" w:rsidR="0043006A" w:rsidRDefault="00614438" w:rsidP="0043006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High-RES penetration market tool has been developed using the ANTARES simulator and includes a detailed representation of the Serbian power system, as well as an adequate representation of the regional power system of South-East Europe. The RES tool was designed to simulate the power system on an hourly basis, in selected years (e.g. 2030, 2040), using all the extra input which is required for this simulation and includes inter alia technical and economic characteristics of the power generation units and other flexibility resources such as storage units and interconnections with neighbouring systems. </w:t>
      </w:r>
    </w:p>
    <w:p w14:paraId="3B82B559" w14:textId="238CE60C" w:rsidR="00614438" w:rsidRPr="00614438" w:rsidRDefault="00614438" w:rsidP="0043006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The detailed simulation of the power system in the RES tool provides insights on generation adequacy, details on the operation of dispatchable units and the storage units and the level of curtailment of RES generation which is expected. This will provide inputs to SEMS in the form of new generation profiles from RES, incorporating curtailment, and other information on the necessity of flexibility options for the proper operation of the power system.</w:t>
      </w:r>
    </w:p>
    <w:p w14:paraId="2073FC56" w14:textId="77777777" w:rsidR="00614438" w:rsidRPr="00614438" w:rsidRDefault="00614438" w:rsidP="0043006A">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Based on the achieved results, the RES tool provides the following type of conclusions:</w:t>
      </w:r>
    </w:p>
    <w:p w14:paraId="1CA44364" w14:textId="77777777" w:rsidR="00614438" w:rsidRPr="00614438" w:rsidRDefault="00614438" w:rsidP="00485CA7">
      <w:pPr>
        <w:numPr>
          <w:ilvl w:val="0"/>
          <w:numId w:val="257"/>
        </w:num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Suitability of high RES integration in the power system in the expected capacity mix</w:t>
      </w:r>
    </w:p>
    <w:p w14:paraId="64BA0621" w14:textId="77777777" w:rsidR="00614438" w:rsidRPr="00614438" w:rsidRDefault="00614438" w:rsidP="00485CA7">
      <w:pPr>
        <w:numPr>
          <w:ilvl w:val="0"/>
          <w:numId w:val="257"/>
        </w:num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Economic efficiency of a specific scenario for the Serbian power system</w:t>
      </w:r>
    </w:p>
    <w:p w14:paraId="4F89FFAC" w14:textId="77777777" w:rsidR="00614438" w:rsidRPr="00614438" w:rsidRDefault="00614438" w:rsidP="00485CA7">
      <w:pPr>
        <w:numPr>
          <w:ilvl w:val="0"/>
          <w:numId w:val="257"/>
        </w:num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Power system flexibility needs on hourly variability for achievement of RES penetration targets</w:t>
      </w:r>
    </w:p>
    <w:p w14:paraId="7C224199" w14:textId="48A92EE3" w:rsidR="00614438" w:rsidRPr="00614438" w:rsidRDefault="00614438" w:rsidP="00485CA7">
      <w:pPr>
        <w:numPr>
          <w:ilvl w:val="0"/>
          <w:numId w:val="257"/>
        </w:num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Level of </w:t>
      </w:r>
      <w:r w:rsidR="0043006A" w:rsidRPr="00175508">
        <w:rPr>
          <w:rFonts w:ascii="Times New Roman" w:eastAsia="Times New Roman" w:hAnsi="Times New Roman" w:cs="Times New Roman"/>
          <w:sz w:val="24"/>
          <w:szCs w:val="24"/>
          <w:lang w:eastAsia=""/>
        </w:rPr>
        <w:t>CO</w:t>
      </w:r>
      <w:r w:rsidR="0043006A" w:rsidRPr="00175508">
        <w:rPr>
          <w:rFonts w:ascii="Times New Roman" w:eastAsia="Times New Roman" w:hAnsi="Times New Roman" w:cs="Times New Roman"/>
          <w:sz w:val="24"/>
          <w:szCs w:val="24"/>
          <w:vertAlign w:val="subscript"/>
          <w:lang w:eastAsia=""/>
        </w:rPr>
        <w:t>2</w:t>
      </w:r>
      <w:r w:rsidR="0043006A" w:rsidRPr="00175508">
        <w:rPr>
          <w:rFonts w:ascii="Times New Roman" w:eastAsia="Times New Roman" w:hAnsi="Times New Roman" w:cs="Times New Roman"/>
          <w:sz w:val="24"/>
          <w:szCs w:val="24"/>
          <w:lang w:eastAsia=""/>
        </w:rPr>
        <w:t xml:space="preserve"> </w:t>
      </w:r>
      <w:r w:rsidRPr="00614438">
        <w:rPr>
          <w:rFonts w:ascii="Times New Roman" w:hAnsi="Times New Roman" w:cs="Times New Roman"/>
          <w:sz w:val="24"/>
          <w:szCs w:val="24"/>
          <w:lang w:val="en-GB"/>
        </w:rPr>
        <w:t>emissions of a specific scenario</w:t>
      </w:r>
    </w:p>
    <w:p w14:paraId="493B7BCC" w14:textId="77777777" w:rsidR="00614438" w:rsidRPr="00614438" w:rsidRDefault="00614438" w:rsidP="0043006A">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High-RES penetration market tool was developed using the ANTARES simulator and includes a detailed representation of the Serbian power system and an adequate representation of the regional power system, as the electric power system of Serbia is very well interconnected to its neighbouring countries. </w:t>
      </w:r>
      <w:r w:rsidR="00FA29EF">
        <w:fldChar w:fldCharType="begin"/>
      </w:r>
      <w:r w:rsidR="00FA29EF">
        <w:instrText xml:space="preserve"> REF _Ref153535811 \h  \* MERGEFORMAT </w:instrText>
      </w:r>
      <w:r w:rsidR="00FA29EF">
        <w:fldChar w:fldCharType="separate"/>
      </w:r>
      <w:r w:rsidRPr="00614438">
        <w:rPr>
          <w:rFonts w:ascii="Times New Roman" w:hAnsi="Times New Roman" w:cs="Times New Roman"/>
          <w:sz w:val="24"/>
          <w:szCs w:val="24"/>
          <w:lang w:val="en-GB"/>
        </w:rPr>
        <w:t>Figure III.4</w:t>
      </w:r>
      <w:r w:rsidR="00FA29EF">
        <w:fldChar w:fldCharType="end"/>
      </w:r>
      <w:r w:rsidRPr="00614438">
        <w:rPr>
          <w:rFonts w:ascii="Times New Roman" w:hAnsi="Times New Roman" w:cs="Times New Roman"/>
          <w:sz w:val="24"/>
          <w:szCs w:val="24"/>
          <w:lang w:val="en-GB"/>
        </w:rPr>
        <w:t xml:space="preserve"> shows the geographical extend of this region, which comprises the rest of Western Balkans (Croatia, Bosnia and Herzegovina, Montenegro, Albania and North Macedonia), as well as Hungary, Slovenia, Greece, Bulgaria and Romania. In the RES tool, the Serbian system is represented as two areas, one for the same system modelled in SEMS (RS01) and another one for the Autonomous Province of Kosovo and Metohija (RS02). As per the standard modelling approach, it is assumed that there are no transmission constraints inside each </w:t>
      </w:r>
      <w:r w:rsidRPr="00614438">
        <w:rPr>
          <w:rFonts w:ascii="Times New Roman" w:hAnsi="Times New Roman" w:cs="Times New Roman"/>
          <w:sz w:val="24"/>
          <w:szCs w:val="24"/>
          <w:lang w:val="en-GB"/>
        </w:rPr>
        <w:lastRenderedPageBreak/>
        <w:t>area (“copper plate” approach), as each TSO develops the transmission system accordingly. Therefore, each area is modelled as a single node with specific generation and demand profiles, while transmission limitations will be accounted for in the system borders, through the Net Transfer Capacities between the modelled zones.</w:t>
      </w:r>
    </w:p>
    <w:p w14:paraId="0A092CA3" w14:textId="77777777" w:rsidR="00614438" w:rsidRPr="00614438" w:rsidRDefault="00614438" w:rsidP="00614438">
      <w:pPr>
        <w:jc w:val="both"/>
        <w:rPr>
          <w:rFonts w:ascii="Times New Roman" w:hAnsi="Times New Roman" w:cs="Times New Roman"/>
          <w:sz w:val="24"/>
          <w:szCs w:val="24"/>
        </w:rPr>
      </w:pPr>
      <w:bookmarkStart w:id="697" w:name="_Ref153535811"/>
      <w:bookmarkStart w:id="698" w:name="_Toc154575327"/>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III</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bookmarkEnd w:id="697"/>
      <w:r w:rsidRPr="00614438">
        <w:rPr>
          <w:rFonts w:ascii="Times New Roman" w:hAnsi="Times New Roman" w:cs="Times New Roman"/>
          <w:sz w:val="24"/>
          <w:szCs w:val="24"/>
        </w:rPr>
        <w:t>: Geographical scope of regional model</w:t>
      </w:r>
      <w:bookmarkEnd w:id="698"/>
    </w:p>
    <w:p w14:paraId="1D020F6E"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6CAE7410" wp14:editId="7562AA7D">
            <wp:extent cx="2743200" cy="2400300"/>
            <wp:effectExtent l="0" t="0" r="0" b="0"/>
            <wp:docPr id="454542040" name="Picture 217" descr="A map of countries/regions with blue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1859433" descr="A map of countries/regions with blue and black lines&#10;&#10;Description automatically generated"/>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743200" cy="2400300"/>
                    </a:xfrm>
                    <a:prstGeom prst="rect">
                      <a:avLst/>
                    </a:prstGeom>
                    <a:noFill/>
                    <a:ln>
                      <a:noFill/>
                    </a:ln>
                  </pic:spPr>
                </pic:pic>
              </a:graphicData>
            </a:graphic>
          </wp:inline>
        </w:drawing>
      </w:r>
    </w:p>
    <w:p w14:paraId="7316BADC" w14:textId="77777777" w:rsidR="00614438" w:rsidRPr="00614438" w:rsidRDefault="00614438" w:rsidP="0043006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For the zones that will be modelled apart from Serbia, ENTSO-E MAF 2020 and TYNDP2020 (which use pan-European models) were the main sources for model parameters. These neighbouring systems remain unchanged, during the analysis of scenarios for the Serbian system, while the latter will be modelled according to each scenario provided by SEMS.</w:t>
      </w:r>
    </w:p>
    <w:p w14:paraId="4A0B8A33" w14:textId="77777777" w:rsidR="00614438" w:rsidRPr="00614438" w:rsidRDefault="00614438" w:rsidP="00614438">
      <w:pPr>
        <w:jc w:val="both"/>
        <w:rPr>
          <w:rFonts w:ascii="Times New Roman" w:hAnsi="Times New Roman" w:cs="Times New Roman"/>
          <w:sz w:val="24"/>
          <w:szCs w:val="24"/>
        </w:rPr>
      </w:pPr>
      <w:bookmarkStart w:id="699" w:name="_Ref153535942"/>
      <w:bookmarkStart w:id="700" w:name="_Toc154575328"/>
      <w:r w:rsidRPr="00614438">
        <w:rPr>
          <w:rFonts w:ascii="Times New Roman" w:hAnsi="Times New Roman" w:cs="Times New Roman"/>
          <w:sz w:val="24"/>
          <w:szCs w:val="24"/>
        </w:rPr>
        <w:t xml:space="preserve">Figure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III</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Figure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bookmarkEnd w:id="699"/>
      <w:r w:rsidRPr="00614438">
        <w:rPr>
          <w:rFonts w:ascii="Times New Roman" w:hAnsi="Times New Roman" w:cs="Times New Roman"/>
          <w:sz w:val="24"/>
          <w:szCs w:val="24"/>
        </w:rPr>
        <w:t>: Hourly results for RS01, MC year 2, week n.10</w:t>
      </w:r>
      <w:bookmarkEnd w:id="700"/>
    </w:p>
    <w:p w14:paraId="37C19F2B" w14:textId="77777777" w:rsidR="00614438" w:rsidRPr="00614438" w:rsidRDefault="00614438" w:rsidP="00614438">
      <w:pPr>
        <w:jc w:val="both"/>
        <w:rPr>
          <w:rFonts w:ascii="Times New Roman" w:hAnsi="Times New Roman" w:cs="Times New Roman"/>
          <w:sz w:val="24"/>
          <w:szCs w:val="24"/>
          <w:lang w:val="en-GB"/>
        </w:rPr>
      </w:pPr>
      <w:r w:rsidRPr="00013008">
        <w:rPr>
          <w:rFonts w:ascii="Times New Roman" w:hAnsi="Times New Roman" w:cs="Times New Roman"/>
          <w:noProof/>
          <w:sz w:val="24"/>
          <w:szCs w:val="24"/>
          <w:lang w:val="en-GB" w:eastAsia="en-GB"/>
        </w:rPr>
        <w:drawing>
          <wp:inline distT="0" distB="0" distL="0" distR="0" wp14:anchorId="651BD08F" wp14:editId="771CFCCD">
            <wp:extent cx="4276725" cy="2724150"/>
            <wp:effectExtent l="0" t="0" r="9525" b="0"/>
            <wp:docPr id="529101466" name="Picture 216"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aph of different colored lines&#10;&#10;Description automatically generated"/>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276725" cy="2724150"/>
                    </a:xfrm>
                    <a:prstGeom prst="rect">
                      <a:avLst/>
                    </a:prstGeom>
                    <a:noFill/>
                    <a:ln>
                      <a:noFill/>
                    </a:ln>
                  </pic:spPr>
                </pic:pic>
              </a:graphicData>
            </a:graphic>
          </wp:inline>
        </w:drawing>
      </w:r>
    </w:p>
    <w:p w14:paraId="1A0409E4" w14:textId="12264234" w:rsidR="00614438" w:rsidRPr="00614438" w:rsidRDefault="00614438" w:rsidP="0043006A">
      <w:pPr>
        <w:ind w:firstLine="72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The results of the RES tool simulations mainly comprise fuel shares, system marginal cost and total operational cost, </w:t>
      </w:r>
      <w:r w:rsidR="007E4746" w:rsidRPr="00175508">
        <w:rPr>
          <w:rFonts w:ascii="Times New Roman" w:eastAsia="Times New Roman" w:hAnsi="Times New Roman" w:cs="Times New Roman"/>
          <w:sz w:val="24"/>
          <w:szCs w:val="24"/>
          <w:lang w:eastAsia="el-GR"/>
        </w:rPr>
        <w:t>CO</w:t>
      </w:r>
      <w:r w:rsidR="007E4746" w:rsidRPr="00175508">
        <w:rPr>
          <w:rFonts w:ascii="Times New Roman" w:eastAsia="Times New Roman" w:hAnsi="Times New Roman" w:cs="Times New Roman"/>
          <w:sz w:val="24"/>
          <w:szCs w:val="24"/>
          <w:vertAlign w:val="subscript"/>
          <w:lang w:eastAsia="el-GR"/>
        </w:rPr>
        <w:t>2</w:t>
      </w:r>
      <w:r w:rsidR="007E4746" w:rsidRPr="00175508">
        <w:rPr>
          <w:rFonts w:ascii="Times New Roman" w:eastAsia="Times New Roman" w:hAnsi="Times New Roman" w:cs="Times New Roman"/>
          <w:sz w:val="24"/>
          <w:szCs w:val="24"/>
          <w:lang w:eastAsia="el-GR"/>
        </w:rPr>
        <w:t xml:space="preserve"> </w:t>
      </w:r>
      <w:r w:rsidRPr="00614438">
        <w:rPr>
          <w:rFonts w:ascii="Times New Roman" w:hAnsi="Times New Roman" w:cs="Times New Roman"/>
          <w:sz w:val="24"/>
          <w:szCs w:val="24"/>
          <w:lang w:val="en-GB"/>
        </w:rPr>
        <w:t>emissions and generation curtailments (also referred to as “spilled energy”) for the Serbian system, and a detailed dispatch on an hourly level (</w:t>
      </w:r>
      <w:r w:rsidR="00FA29EF">
        <w:fldChar w:fldCharType="begin"/>
      </w:r>
      <w:r w:rsidR="00FA29EF">
        <w:instrText xml:space="preserve"> REF _Ref153535942 \h  \* MERGEFORMAT </w:instrText>
      </w:r>
      <w:r w:rsidR="00FA29EF">
        <w:fldChar w:fldCharType="separate"/>
      </w:r>
      <w:r w:rsidRPr="00614438">
        <w:rPr>
          <w:rFonts w:ascii="Times New Roman" w:hAnsi="Times New Roman" w:cs="Times New Roman"/>
          <w:sz w:val="24"/>
          <w:szCs w:val="24"/>
          <w:lang w:val="en-GB"/>
        </w:rPr>
        <w:t>Figure III.5</w:t>
      </w:r>
      <w:r w:rsidR="00FA29EF">
        <w:fldChar w:fldCharType="end"/>
      </w:r>
      <w:r w:rsidRPr="00614438">
        <w:rPr>
          <w:rFonts w:ascii="Times New Roman" w:hAnsi="Times New Roman" w:cs="Times New Roman"/>
          <w:sz w:val="24"/>
          <w:szCs w:val="24"/>
          <w:lang w:val="en-GB"/>
        </w:rPr>
        <w:t xml:space="preserve">). The fast </w:t>
      </w:r>
      <w:r w:rsidRPr="00614438">
        <w:rPr>
          <w:rFonts w:ascii="Times New Roman" w:hAnsi="Times New Roman" w:cs="Times New Roman"/>
          <w:sz w:val="24"/>
          <w:szCs w:val="24"/>
          <w:lang w:val="en-GB"/>
        </w:rPr>
        <w:lastRenderedPageBreak/>
        <w:t>algorithm of ANTARES for the power system economical operation allows the enhanced modelling of stochastic parameters, such as the variable RES generation. Also, the long-term RES generation uncertainty is addressed as simulations of different “Climate Years” and average annual results will be reported. In ENTSO-E TYNDP2020 three climate years have been used (1982, 1984 and 2007) and the same climate years were used for the analysis for the Serbian INECP.</w:t>
      </w:r>
    </w:p>
    <w:p w14:paraId="27FC3E6E" w14:textId="77777777" w:rsidR="00614438" w:rsidRPr="00614438" w:rsidRDefault="00614438" w:rsidP="00614438">
      <w:p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More details on the High-RES penetration analysis model are provided in the “Report on developed, installed and tested high RES market penetration tool”, of the project Further Development of Energy Planning Capacity, EuropeAid/135625/IH/SER/RS, Contract no: 48-00-00140/2019-28.</w:t>
      </w:r>
    </w:p>
    <w:p w14:paraId="12F3CA32" w14:textId="701F451A" w:rsidR="00614438" w:rsidRPr="00614438" w:rsidRDefault="00614438" w:rsidP="00614438">
      <w:pPr>
        <w:jc w:val="both"/>
        <w:rPr>
          <w:rFonts w:ascii="Times New Roman" w:hAnsi="Times New Roman" w:cs="Times New Roman"/>
          <w:sz w:val="24"/>
          <w:szCs w:val="24"/>
          <w:lang w:val="en-GB"/>
        </w:rPr>
      </w:pPr>
    </w:p>
    <w:p w14:paraId="2DA0978A" w14:textId="77777777" w:rsidR="00614438" w:rsidRPr="00614438" w:rsidRDefault="00614438" w:rsidP="00614438">
      <w:pPr>
        <w:jc w:val="both"/>
        <w:rPr>
          <w:rFonts w:ascii="Times New Roman" w:hAnsi="Times New Roman" w:cs="Times New Roman"/>
          <w:sz w:val="24"/>
          <w:szCs w:val="24"/>
          <w:lang w:val="en-GB"/>
        </w:rPr>
      </w:pPr>
    </w:p>
    <w:p w14:paraId="04E24587" w14:textId="77777777" w:rsidR="00614438" w:rsidRPr="00614438" w:rsidRDefault="00614438" w:rsidP="00485CA7">
      <w:pPr>
        <w:numPr>
          <w:ilvl w:val="0"/>
          <w:numId w:val="249"/>
        </w:numPr>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 xml:space="preserve"> </w:t>
      </w:r>
      <w:bookmarkStart w:id="701" w:name="_Toc153545065"/>
      <w:r w:rsidRPr="00614438">
        <w:rPr>
          <w:rFonts w:ascii="Times New Roman" w:hAnsi="Times New Roman" w:cs="Times New Roman"/>
          <w:sz w:val="24"/>
          <w:szCs w:val="24"/>
          <w:lang w:val="en-GB"/>
        </w:rPr>
        <w:t>Annex: LIST OF PROJECTS FROM INFRASTRUCTURE PLAN</w:t>
      </w:r>
      <w:bookmarkEnd w:id="701"/>
    </w:p>
    <w:p w14:paraId="77920EF3" w14:textId="67051787" w:rsidR="00614438" w:rsidRPr="004F5BC1" w:rsidRDefault="00614438" w:rsidP="004F5BC1">
      <w:pPr>
        <w:spacing w:after="0"/>
        <w:jc w:val="both"/>
        <w:rPr>
          <w:rFonts w:ascii="Times New Roman" w:hAnsi="Times New Roman" w:cs="Times New Roman"/>
          <w:sz w:val="20"/>
          <w:szCs w:val="20"/>
        </w:rPr>
      </w:pPr>
      <w:bookmarkStart w:id="702" w:name="_Toc153545093"/>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IV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Table of additional Projects from the Infrastructure Development Plan of the Republic</w:t>
      </w:r>
      <w:r w:rsidR="007E4746">
        <w:rPr>
          <w:rFonts w:ascii="Times New Roman" w:hAnsi="Times New Roman" w:cs="Times New Roman"/>
          <w:sz w:val="24"/>
          <w:szCs w:val="24"/>
        </w:rPr>
        <w:t xml:space="preserve"> of</w:t>
      </w:r>
      <w:r w:rsidRPr="00614438">
        <w:rPr>
          <w:rFonts w:ascii="Times New Roman" w:hAnsi="Times New Roman" w:cs="Times New Roman"/>
          <w:sz w:val="24"/>
          <w:szCs w:val="24"/>
        </w:rPr>
        <w:t xml:space="preserve"> Serbia</w:t>
      </w:r>
      <w:bookmarkEnd w:id="702"/>
    </w:p>
    <w:tbl>
      <w:tblPr>
        <w:tblStyle w:val="TableGrid"/>
        <w:tblW w:w="9623" w:type="dxa"/>
        <w:tblInd w:w="-5" w:type="dxa"/>
        <w:tblLook w:val="04A0" w:firstRow="1" w:lastRow="0" w:firstColumn="1" w:lastColumn="0" w:noHBand="0" w:noVBand="1"/>
      </w:tblPr>
      <w:tblGrid>
        <w:gridCol w:w="1359"/>
        <w:gridCol w:w="4766"/>
        <w:gridCol w:w="1266"/>
        <w:gridCol w:w="1127"/>
        <w:gridCol w:w="1105"/>
      </w:tblGrid>
      <w:tr w:rsidR="00614438" w:rsidRPr="004F5BC1" w14:paraId="1C097FFC" w14:textId="77777777" w:rsidTr="00614438">
        <w:trPr>
          <w:trHeight w:val="839"/>
        </w:trPr>
        <w:tc>
          <w:tcPr>
            <w:tcW w:w="1359" w:type="dxa"/>
            <w:tcBorders>
              <w:top w:val="single" w:sz="4" w:space="0" w:color="auto"/>
              <w:left w:val="single" w:sz="4" w:space="0" w:color="auto"/>
              <w:bottom w:val="single" w:sz="4" w:space="0" w:color="auto"/>
              <w:right w:val="single" w:sz="4" w:space="0" w:color="auto"/>
            </w:tcBorders>
            <w:shd w:val="clear" w:color="auto" w:fill="404040"/>
            <w:vAlign w:val="center"/>
            <w:hideMark/>
          </w:tcPr>
          <w:p w14:paraId="39548859" w14:textId="77777777" w:rsidR="00614438" w:rsidRPr="004F5BC1" w:rsidRDefault="00614438" w:rsidP="004F5BC1">
            <w:pPr>
              <w:spacing w:line="259" w:lineRule="auto"/>
              <w:jc w:val="both"/>
              <w:rPr>
                <w:rFonts w:ascii="Times New Roman" w:hAnsi="Times New Roman" w:cs="Times New Roman"/>
                <w:sz w:val="20"/>
                <w:szCs w:val="20"/>
                <w:lang w:val="en-GB"/>
              </w:rPr>
            </w:pPr>
            <w:bookmarkStart w:id="703" w:name="_Hlk148954357"/>
            <w:r w:rsidRPr="004F5BC1">
              <w:rPr>
                <w:rFonts w:ascii="Times New Roman" w:hAnsi="Times New Roman" w:cs="Times New Roman"/>
                <w:sz w:val="20"/>
                <w:szCs w:val="20"/>
                <w:lang w:val="en-GB"/>
              </w:rPr>
              <w:t>Sector</w:t>
            </w:r>
          </w:p>
        </w:tc>
        <w:tc>
          <w:tcPr>
            <w:tcW w:w="4766"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7AFF92C6"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Project</w:t>
            </w:r>
          </w:p>
        </w:tc>
        <w:tc>
          <w:tcPr>
            <w:tcW w:w="1266"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39AEAAF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Estimated Completion Date</w:t>
            </w:r>
          </w:p>
        </w:tc>
        <w:tc>
          <w:tcPr>
            <w:tcW w:w="1127"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7CE1BB70"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Estimated Cost (€m) – 2030</w:t>
            </w:r>
          </w:p>
        </w:tc>
        <w:tc>
          <w:tcPr>
            <w:tcW w:w="1105"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7AE0C599"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Estimated Cost (€m) - 2050</w:t>
            </w:r>
          </w:p>
        </w:tc>
      </w:tr>
      <w:tr w:rsidR="00614438" w:rsidRPr="004F5BC1" w14:paraId="23E2FF41" w14:textId="77777777" w:rsidTr="00614438">
        <w:trPr>
          <w:trHeight w:val="853"/>
        </w:trPr>
        <w:tc>
          <w:tcPr>
            <w:tcW w:w="1359" w:type="dxa"/>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14:paraId="337FB4B3"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Generation</w:t>
            </w:r>
          </w:p>
        </w:tc>
        <w:tc>
          <w:tcPr>
            <w:tcW w:w="4766" w:type="dxa"/>
            <w:tcBorders>
              <w:top w:val="single" w:sz="4" w:space="0" w:color="auto"/>
              <w:left w:val="single" w:sz="4" w:space="0" w:color="auto"/>
              <w:bottom w:val="single" w:sz="4" w:space="0" w:color="auto"/>
              <w:right w:val="single" w:sz="4" w:space="0" w:color="auto"/>
            </w:tcBorders>
            <w:hideMark/>
          </w:tcPr>
          <w:p w14:paraId="4543FBD0" w14:textId="77777777" w:rsidR="00614438" w:rsidRPr="004F5BC1" w:rsidRDefault="00614438" w:rsidP="004F5BC1">
            <w:pPr>
              <w:spacing w:line="259" w:lineRule="auto"/>
              <w:jc w:val="both"/>
              <w:rPr>
                <w:rFonts w:ascii="Times New Roman" w:hAnsi="Times New Roman" w:cs="Times New Roman"/>
                <w:sz w:val="20"/>
                <w:szCs w:val="20"/>
              </w:rPr>
            </w:pPr>
            <w:r w:rsidRPr="004F5BC1">
              <w:rPr>
                <w:rFonts w:ascii="Times New Roman" w:hAnsi="Times New Roman" w:cs="Times New Roman"/>
                <w:sz w:val="20"/>
                <w:szCs w:val="20"/>
                <w:lang w:val="en-GB"/>
              </w:rPr>
              <w:t>Refurbishment of existing Thermal Power Plants (TENT A1, TENT A2, TEKO A1, TEKO A2, TEKO B1, TEKO B2, TENT A A3-A6, TENT A5)</w:t>
            </w:r>
          </w:p>
        </w:tc>
        <w:tc>
          <w:tcPr>
            <w:tcW w:w="1266" w:type="dxa"/>
            <w:tcBorders>
              <w:top w:val="single" w:sz="4" w:space="0" w:color="auto"/>
              <w:left w:val="single" w:sz="4" w:space="0" w:color="auto"/>
              <w:bottom w:val="single" w:sz="4" w:space="0" w:color="auto"/>
              <w:right w:val="single" w:sz="4" w:space="0" w:color="auto"/>
            </w:tcBorders>
            <w:vAlign w:val="center"/>
            <w:hideMark/>
          </w:tcPr>
          <w:p w14:paraId="5C202AA9"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2030</w:t>
            </w:r>
          </w:p>
        </w:tc>
        <w:tc>
          <w:tcPr>
            <w:tcW w:w="1127" w:type="dxa"/>
            <w:tcBorders>
              <w:top w:val="single" w:sz="4" w:space="0" w:color="auto"/>
              <w:left w:val="single" w:sz="4" w:space="0" w:color="auto"/>
              <w:bottom w:val="single" w:sz="4" w:space="0" w:color="auto"/>
              <w:right w:val="single" w:sz="4" w:space="0" w:color="auto"/>
            </w:tcBorders>
            <w:vAlign w:val="center"/>
            <w:hideMark/>
          </w:tcPr>
          <w:p w14:paraId="591175E7"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2.000</w:t>
            </w:r>
          </w:p>
        </w:tc>
        <w:tc>
          <w:tcPr>
            <w:tcW w:w="1105" w:type="dxa"/>
            <w:tcBorders>
              <w:top w:val="single" w:sz="4" w:space="0" w:color="auto"/>
              <w:left w:val="single" w:sz="4" w:space="0" w:color="auto"/>
              <w:bottom w:val="single" w:sz="4" w:space="0" w:color="auto"/>
              <w:right w:val="single" w:sz="4" w:space="0" w:color="auto"/>
            </w:tcBorders>
            <w:vAlign w:val="center"/>
          </w:tcPr>
          <w:p w14:paraId="0DE4F6F6" w14:textId="77777777" w:rsidR="00614438" w:rsidRPr="004F5BC1" w:rsidRDefault="00614438" w:rsidP="004F5BC1">
            <w:pPr>
              <w:spacing w:line="259" w:lineRule="auto"/>
              <w:jc w:val="both"/>
              <w:rPr>
                <w:rFonts w:ascii="Times New Roman" w:hAnsi="Times New Roman" w:cs="Times New Roman"/>
                <w:sz w:val="20"/>
                <w:szCs w:val="20"/>
                <w:lang w:val="en-GB"/>
              </w:rPr>
            </w:pPr>
          </w:p>
        </w:tc>
      </w:tr>
      <w:tr w:rsidR="00614438" w:rsidRPr="004F5BC1" w14:paraId="10043D3E" w14:textId="77777777" w:rsidTr="00614438">
        <w:trPr>
          <w:trHeight w:val="14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66729D1"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4766" w:type="dxa"/>
            <w:tcBorders>
              <w:top w:val="single" w:sz="4" w:space="0" w:color="auto"/>
              <w:left w:val="single" w:sz="4" w:space="0" w:color="auto"/>
              <w:bottom w:val="single" w:sz="4" w:space="0" w:color="auto"/>
              <w:right w:val="single" w:sz="4" w:space="0" w:color="auto"/>
            </w:tcBorders>
            <w:hideMark/>
          </w:tcPr>
          <w:p w14:paraId="4EBC2286"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Refurbishment of existing Hydro Power Plants (Djerdap 2, Vlasinska, Potpec, Bistrica)</w:t>
            </w:r>
          </w:p>
        </w:tc>
        <w:tc>
          <w:tcPr>
            <w:tcW w:w="1266" w:type="dxa"/>
            <w:tcBorders>
              <w:top w:val="single" w:sz="4" w:space="0" w:color="auto"/>
              <w:left w:val="single" w:sz="4" w:space="0" w:color="auto"/>
              <w:bottom w:val="single" w:sz="4" w:space="0" w:color="auto"/>
              <w:right w:val="single" w:sz="4" w:space="0" w:color="auto"/>
            </w:tcBorders>
            <w:vAlign w:val="center"/>
            <w:hideMark/>
          </w:tcPr>
          <w:p w14:paraId="2285423A"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2035</w:t>
            </w:r>
          </w:p>
        </w:tc>
        <w:tc>
          <w:tcPr>
            <w:tcW w:w="1127" w:type="dxa"/>
            <w:tcBorders>
              <w:top w:val="single" w:sz="4" w:space="0" w:color="auto"/>
              <w:left w:val="single" w:sz="4" w:space="0" w:color="auto"/>
              <w:bottom w:val="single" w:sz="4" w:space="0" w:color="auto"/>
              <w:right w:val="single" w:sz="4" w:space="0" w:color="auto"/>
            </w:tcBorders>
            <w:vAlign w:val="center"/>
          </w:tcPr>
          <w:p w14:paraId="6D4A72D9"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1105" w:type="dxa"/>
            <w:tcBorders>
              <w:top w:val="single" w:sz="4" w:space="0" w:color="auto"/>
              <w:left w:val="single" w:sz="4" w:space="0" w:color="auto"/>
              <w:bottom w:val="single" w:sz="4" w:space="0" w:color="auto"/>
              <w:right w:val="single" w:sz="4" w:space="0" w:color="auto"/>
            </w:tcBorders>
            <w:vAlign w:val="center"/>
            <w:hideMark/>
          </w:tcPr>
          <w:p w14:paraId="5C24EF7C"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369</w:t>
            </w:r>
          </w:p>
        </w:tc>
      </w:tr>
      <w:tr w:rsidR="00614438" w:rsidRPr="004F5BC1" w14:paraId="5E3B319E" w14:textId="77777777" w:rsidTr="00614438">
        <w:trPr>
          <w:trHeight w:val="14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AE3B29"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4766" w:type="dxa"/>
            <w:tcBorders>
              <w:top w:val="single" w:sz="4" w:space="0" w:color="auto"/>
              <w:left w:val="single" w:sz="4" w:space="0" w:color="auto"/>
              <w:bottom w:val="single" w:sz="4" w:space="0" w:color="auto"/>
              <w:right w:val="single" w:sz="4" w:space="0" w:color="auto"/>
            </w:tcBorders>
            <w:hideMark/>
          </w:tcPr>
          <w:p w14:paraId="702039E1" w14:textId="5350BD82" w:rsidR="00614438" w:rsidRPr="004F5BC1" w:rsidRDefault="007E4746"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New reversible hydropower plant Đerdap Djerdap 3 with a total installed capacity of 1800MW</w:t>
            </w:r>
          </w:p>
        </w:tc>
        <w:tc>
          <w:tcPr>
            <w:tcW w:w="1266" w:type="dxa"/>
            <w:tcBorders>
              <w:top w:val="single" w:sz="4" w:space="0" w:color="auto"/>
              <w:left w:val="single" w:sz="4" w:space="0" w:color="auto"/>
              <w:bottom w:val="single" w:sz="4" w:space="0" w:color="auto"/>
              <w:right w:val="single" w:sz="4" w:space="0" w:color="auto"/>
            </w:tcBorders>
            <w:vAlign w:val="center"/>
            <w:hideMark/>
          </w:tcPr>
          <w:p w14:paraId="1F597077"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2038</w:t>
            </w:r>
          </w:p>
        </w:tc>
        <w:tc>
          <w:tcPr>
            <w:tcW w:w="1127" w:type="dxa"/>
            <w:tcBorders>
              <w:top w:val="single" w:sz="4" w:space="0" w:color="auto"/>
              <w:left w:val="single" w:sz="4" w:space="0" w:color="auto"/>
              <w:bottom w:val="single" w:sz="4" w:space="0" w:color="auto"/>
              <w:right w:val="single" w:sz="4" w:space="0" w:color="auto"/>
            </w:tcBorders>
            <w:vAlign w:val="center"/>
          </w:tcPr>
          <w:p w14:paraId="453C454B"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1105" w:type="dxa"/>
            <w:tcBorders>
              <w:top w:val="single" w:sz="4" w:space="0" w:color="auto"/>
              <w:left w:val="single" w:sz="4" w:space="0" w:color="auto"/>
              <w:bottom w:val="single" w:sz="4" w:space="0" w:color="auto"/>
              <w:right w:val="single" w:sz="4" w:space="0" w:color="auto"/>
            </w:tcBorders>
            <w:vAlign w:val="center"/>
            <w:hideMark/>
          </w:tcPr>
          <w:p w14:paraId="343B33B3"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1.400</w:t>
            </w:r>
          </w:p>
        </w:tc>
      </w:tr>
      <w:tr w:rsidR="00614438" w:rsidRPr="004F5BC1" w14:paraId="67A6F44A" w14:textId="77777777" w:rsidTr="00614438">
        <w:trPr>
          <w:trHeight w:val="14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FEB6134"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4766" w:type="dxa"/>
            <w:tcBorders>
              <w:top w:val="single" w:sz="4" w:space="0" w:color="auto"/>
              <w:left w:val="single" w:sz="4" w:space="0" w:color="auto"/>
              <w:bottom w:val="single" w:sz="4" w:space="0" w:color="auto"/>
              <w:right w:val="single" w:sz="4" w:space="0" w:color="auto"/>
            </w:tcBorders>
            <w:hideMark/>
          </w:tcPr>
          <w:p w14:paraId="23FCC376" w14:textId="77777777" w:rsidR="00614438" w:rsidRPr="004F5BC1" w:rsidRDefault="00614438" w:rsidP="004F5BC1">
            <w:pPr>
              <w:spacing w:line="259" w:lineRule="auto"/>
              <w:jc w:val="both"/>
              <w:rPr>
                <w:rFonts w:ascii="Times New Roman" w:hAnsi="Times New Roman" w:cs="Times New Roman"/>
                <w:sz w:val="20"/>
                <w:szCs w:val="20"/>
              </w:rPr>
            </w:pPr>
            <w:r w:rsidRPr="004F5BC1">
              <w:rPr>
                <w:rFonts w:ascii="Times New Roman" w:hAnsi="Times New Roman" w:cs="Times New Roman"/>
                <w:sz w:val="20"/>
                <w:szCs w:val="20"/>
                <w:lang w:val="en-GB"/>
              </w:rPr>
              <w:t>Construction of self-balanced solar power plants – Battery storage systems up to 400 MW</w:t>
            </w:r>
            <w:r w:rsidRPr="004F5BC1">
              <w:rPr>
                <w:rFonts w:ascii="Times New Roman" w:hAnsi="Times New Roman" w:cs="Times New Roman"/>
                <w:sz w:val="20"/>
                <w:szCs w:val="20"/>
              </w:rPr>
              <w:t>. Estimated cost is for the battery system</w:t>
            </w:r>
          </w:p>
        </w:tc>
        <w:tc>
          <w:tcPr>
            <w:tcW w:w="1266" w:type="dxa"/>
            <w:tcBorders>
              <w:top w:val="single" w:sz="4" w:space="0" w:color="auto"/>
              <w:left w:val="single" w:sz="4" w:space="0" w:color="auto"/>
              <w:bottom w:val="single" w:sz="4" w:space="0" w:color="auto"/>
              <w:right w:val="single" w:sz="4" w:space="0" w:color="auto"/>
            </w:tcBorders>
            <w:vAlign w:val="center"/>
            <w:hideMark/>
          </w:tcPr>
          <w:p w14:paraId="32E348DB"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2028</w:t>
            </w:r>
          </w:p>
        </w:tc>
        <w:tc>
          <w:tcPr>
            <w:tcW w:w="1127" w:type="dxa"/>
            <w:tcBorders>
              <w:top w:val="single" w:sz="4" w:space="0" w:color="auto"/>
              <w:left w:val="single" w:sz="4" w:space="0" w:color="auto"/>
              <w:bottom w:val="single" w:sz="4" w:space="0" w:color="auto"/>
              <w:right w:val="single" w:sz="4" w:space="0" w:color="auto"/>
            </w:tcBorders>
            <w:vAlign w:val="center"/>
            <w:hideMark/>
          </w:tcPr>
          <w:p w14:paraId="546EBBDF"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350</w:t>
            </w:r>
          </w:p>
        </w:tc>
        <w:tc>
          <w:tcPr>
            <w:tcW w:w="1105" w:type="dxa"/>
            <w:tcBorders>
              <w:top w:val="single" w:sz="4" w:space="0" w:color="auto"/>
              <w:left w:val="single" w:sz="4" w:space="0" w:color="auto"/>
              <w:bottom w:val="single" w:sz="4" w:space="0" w:color="auto"/>
              <w:right w:val="single" w:sz="4" w:space="0" w:color="auto"/>
            </w:tcBorders>
            <w:vAlign w:val="center"/>
          </w:tcPr>
          <w:p w14:paraId="372A2A56" w14:textId="77777777" w:rsidR="00614438" w:rsidRPr="004F5BC1" w:rsidRDefault="00614438" w:rsidP="004F5BC1">
            <w:pPr>
              <w:spacing w:line="259" w:lineRule="auto"/>
              <w:jc w:val="both"/>
              <w:rPr>
                <w:rFonts w:ascii="Times New Roman" w:hAnsi="Times New Roman" w:cs="Times New Roman"/>
                <w:sz w:val="20"/>
                <w:szCs w:val="20"/>
                <w:lang w:val="en-GB"/>
              </w:rPr>
            </w:pPr>
          </w:p>
        </w:tc>
      </w:tr>
      <w:tr w:rsidR="00614438" w:rsidRPr="004F5BC1" w14:paraId="009FEB0F" w14:textId="77777777" w:rsidTr="00614438">
        <w:trPr>
          <w:trHeight w:val="14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F6ACED"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4766" w:type="dxa"/>
            <w:tcBorders>
              <w:top w:val="single" w:sz="4" w:space="0" w:color="auto"/>
              <w:left w:val="single" w:sz="4" w:space="0" w:color="auto"/>
              <w:bottom w:val="single" w:sz="4" w:space="0" w:color="auto"/>
              <w:right w:val="single" w:sz="4" w:space="0" w:color="auto"/>
            </w:tcBorders>
            <w:hideMark/>
          </w:tcPr>
          <w:p w14:paraId="3454C51C" w14:textId="138243AF"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Natural gas plant in Nis of 150 MW</w:t>
            </w:r>
            <w:r w:rsidR="007E4746" w:rsidRPr="004F5BC1">
              <w:rPr>
                <w:rFonts w:ascii="Times New Roman" w:hAnsi="Times New Roman" w:cs="Times New Roman"/>
                <w:sz w:val="20"/>
                <w:szCs w:val="20"/>
                <w:lang w:val="en-GB"/>
              </w:rPr>
              <w:t xml:space="preserve"> of electricity</w:t>
            </w:r>
          </w:p>
        </w:tc>
        <w:tc>
          <w:tcPr>
            <w:tcW w:w="1266" w:type="dxa"/>
            <w:tcBorders>
              <w:top w:val="single" w:sz="4" w:space="0" w:color="auto"/>
              <w:left w:val="single" w:sz="4" w:space="0" w:color="auto"/>
              <w:bottom w:val="single" w:sz="4" w:space="0" w:color="auto"/>
              <w:right w:val="single" w:sz="4" w:space="0" w:color="auto"/>
            </w:tcBorders>
            <w:vAlign w:val="center"/>
            <w:hideMark/>
          </w:tcPr>
          <w:p w14:paraId="331A81D0"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2030</w:t>
            </w:r>
          </w:p>
        </w:tc>
        <w:tc>
          <w:tcPr>
            <w:tcW w:w="1127" w:type="dxa"/>
            <w:tcBorders>
              <w:top w:val="single" w:sz="4" w:space="0" w:color="auto"/>
              <w:left w:val="single" w:sz="4" w:space="0" w:color="auto"/>
              <w:bottom w:val="single" w:sz="4" w:space="0" w:color="auto"/>
              <w:right w:val="single" w:sz="4" w:space="0" w:color="auto"/>
            </w:tcBorders>
            <w:vAlign w:val="center"/>
            <w:hideMark/>
          </w:tcPr>
          <w:p w14:paraId="1AF2DCB6"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250</w:t>
            </w:r>
          </w:p>
        </w:tc>
        <w:tc>
          <w:tcPr>
            <w:tcW w:w="1105" w:type="dxa"/>
            <w:tcBorders>
              <w:top w:val="single" w:sz="4" w:space="0" w:color="auto"/>
              <w:left w:val="single" w:sz="4" w:space="0" w:color="auto"/>
              <w:bottom w:val="single" w:sz="4" w:space="0" w:color="auto"/>
              <w:right w:val="single" w:sz="4" w:space="0" w:color="auto"/>
            </w:tcBorders>
            <w:vAlign w:val="center"/>
          </w:tcPr>
          <w:p w14:paraId="7209E4EA" w14:textId="77777777" w:rsidR="00614438" w:rsidRPr="004F5BC1" w:rsidRDefault="00614438" w:rsidP="004F5BC1">
            <w:pPr>
              <w:spacing w:line="259" w:lineRule="auto"/>
              <w:jc w:val="both"/>
              <w:rPr>
                <w:rFonts w:ascii="Times New Roman" w:hAnsi="Times New Roman" w:cs="Times New Roman"/>
                <w:sz w:val="20"/>
                <w:szCs w:val="20"/>
                <w:lang w:val="en-GB"/>
              </w:rPr>
            </w:pPr>
          </w:p>
        </w:tc>
      </w:tr>
      <w:tr w:rsidR="00614438" w:rsidRPr="004F5BC1" w14:paraId="45B530A3" w14:textId="77777777" w:rsidTr="00614438">
        <w:trPr>
          <w:trHeight w:val="366"/>
        </w:trPr>
        <w:tc>
          <w:tcPr>
            <w:tcW w:w="1359" w:type="dxa"/>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14:paraId="1209504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Transmission</w:t>
            </w:r>
          </w:p>
        </w:tc>
        <w:tc>
          <w:tcPr>
            <w:tcW w:w="4766" w:type="dxa"/>
            <w:tcBorders>
              <w:top w:val="single" w:sz="4" w:space="0" w:color="auto"/>
              <w:left w:val="single" w:sz="4" w:space="0" w:color="auto"/>
              <w:bottom w:val="single" w:sz="4" w:space="0" w:color="auto"/>
              <w:right w:val="single" w:sz="4" w:space="0" w:color="auto"/>
            </w:tcBorders>
            <w:hideMark/>
          </w:tcPr>
          <w:p w14:paraId="0A59859F" w14:textId="77777777" w:rsidR="00614438" w:rsidRPr="004F5BC1" w:rsidRDefault="00614438" w:rsidP="004F5BC1">
            <w:pPr>
              <w:spacing w:line="259" w:lineRule="auto"/>
              <w:jc w:val="both"/>
              <w:rPr>
                <w:rFonts w:ascii="Times New Roman" w:hAnsi="Times New Roman" w:cs="Times New Roman"/>
                <w:sz w:val="20"/>
                <w:szCs w:val="20"/>
                <w:lang w:val="pt-PT"/>
              </w:rPr>
            </w:pPr>
            <w:r w:rsidRPr="004F5BC1">
              <w:rPr>
                <w:rFonts w:ascii="Times New Roman" w:hAnsi="Times New Roman" w:cs="Times New Roman"/>
                <w:sz w:val="20"/>
                <w:szCs w:val="20"/>
                <w:lang w:val="pt-PT"/>
              </w:rPr>
              <w:t>2x400kV TS Jagodina - TS Pozarevac</w:t>
            </w:r>
          </w:p>
        </w:tc>
        <w:tc>
          <w:tcPr>
            <w:tcW w:w="1266" w:type="dxa"/>
            <w:tcBorders>
              <w:top w:val="single" w:sz="4" w:space="0" w:color="auto"/>
              <w:left w:val="single" w:sz="4" w:space="0" w:color="auto"/>
              <w:bottom w:val="single" w:sz="4" w:space="0" w:color="auto"/>
              <w:right w:val="single" w:sz="4" w:space="0" w:color="auto"/>
            </w:tcBorders>
            <w:vAlign w:val="center"/>
            <w:hideMark/>
          </w:tcPr>
          <w:p w14:paraId="2767CADD"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2030</w:t>
            </w:r>
          </w:p>
        </w:tc>
        <w:tc>
          <w:tcPr>
            <w:tcW w:w="1127" w:type="dxa"/>
            <w:tcBorders>
              <w:top w:val="single" w:sz="4" w:space="0" w:color="auto"/>
              <w:left w:val="single" w:sz="4" w:space="0" w:color="auto"/>
              <w:bottom w:val="single" w:sz="4" w:space="0" w:color="auto"/>
              <w:right w:val="single" w:sz="4" w:space="0" w:color="auto"/>
            </w:tcBorders>
            <w:vAlign w:val="center"/>
            <w:hideMark/>
          </w:tcPr>
          <w:p w14:paraId="53DE54EA"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56</w:t>
            </w:r>
          </w:p>
        </w:tc>
        <w:tc>
          <w:tcPr>
            <w:tcW w:w="1105" w:type="dxa"/>
            <w:tcBorders>
              <w:top w:val="single" w:sz="4" w:space="0" w:color="auto"/>
              <w:left w:val="single" w:sz="4" w:space="0" w:color="auto"/>
              <w:bottom w:val="single" w:sz="4" w:space="0" w:color="auto"/>
              <w:right w:val="single" w:sz="4" w:space="0" w:color="auto"/>
            </w:tcBorders>
            <w:vAlign w:val="center"/>
          </w:tcPr>
          <w:p w14:paraId="136C884A" w14:textId="77777777" w:rsidR="00614438" w:rsidRPr="004F5BC1" w:rsidRDefault="00614438" w:rsidP="004F5BC1">
            <w:pPr>
              <w:spacing w:line="259" w:lineRule="auto"/>
              <w:jc w:val="both"/>
              <w:rPr>
                <w:rFonts w:ascii="Times New Roman" w:hAnsi="Times New Roman" w:cs="Times New Roman"/>
                <w:sz w:val="20"/>
                <w:szCs w:val="20"/>
                <w:lang w:val="en-GB"/>
              </w:rPr>
            </w:pPr>
          </w:p>
        </w:tc>
      </w:tr>
      <w:tr w:rsidR="00614438" w:rsidRPr="004F5BC1" w14:paraId="1E5E6FC1" w14:textId="77777777" w:rsidTr="00614438">
        <w:trPr>
          <w:trHeight w:val="14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317A811"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4766" w:type="dxa"/>
            <w:tcBorders>
              <w:top w:val="single" w:sz="4" w:space="0" w:color="auto"/>
              <w:left w:val="single" w:sz="4" w:space="0" w:color="auto"/>
              <w:bottom w:val="single" w:sz="4" w:space="0" w:color="auto"/>
              <w:right w:val="single" w:sz="4" w:space="0" w:color="auto"/>
            </w:tcBorders>
            <w:hideMark/>
          </w:tcPr>
          <w:p w14:paraId="4D977F9F"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Increasing the capacity of the Bor region (TS 400/110kV, 400kV OHL)</w:t>
            </w:r>
          </w:p>
        </w:tc>
        <w:tc>
          <w:tcPr>
            <w:tcW w:w="1266" w:type="dxa"/>
            <w:tcBorders>
              <w:top w:val="single" w:sz="4" w:space="0" w:color="auto"/>
              <w:left w:val="single" w:sz="4" w:space="0" w:color="auto"/>
              <w:bottom w:val="single" w:sz="4" w:space="0" w:color="auto"/>
              <w:right w:val="single" w:sz="4" w:space="0" w:color="auto"/>
            </w:tcBorders>
            <w:vAlign w:val="center"/>
            <w:hideMark/>
          </w:tcPr>
          <w:p w14:paraId="4807E2BC"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2025</w:t>
            </w:r>
          </w:p>
        </w:tc>
        <w:tc>
          <w:tcPr>
            <w:tcW w:w="1127" w:type="dxa"/>
            <w:tcBorders>
              <w:top w:val="single" w:sz="4" w:space="0" w:color="auto"/>
              <w:left w:val="single" w:sz="4" w:space="0" w:color="auto"/>
              <w:bottom w:val="single" w:sz="4" w:space="0" w:color="auto"/>
              <w:right w:val="single" w:sz="4" w:space="0" w:color="auto"/>
            </w:tcBorders>
            <w:vAlign w:val="center"/>
            <w:hideMark/>
          </w:tcPr>
          <w:p w14:paraId="71921651"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61</w:t>
            </w:r>
          </w:p>
        </w:tc>
        <w:tc>
          <w:tcPr>
            <w:tcW w:w="1105" w:type="dxa"/>
            <w:tcBorders>
              <w:top w:val="single" w:sz="4" w:space="0" w:color="auto"/>
              <w:left w:val="single" w:sz="4" w:space="0" w:color="auto"/>
              <w:bottom w:val="single" w:sz="4" w:space="0" w:color="auto"/>
              <w:right w:val="single" w:sz="4" w:space="0" w:color="auto"/>
            </w:tcBorders>
            <w:vAlign w:val="center"/>
          </w:tcPr>
          <w:p w14:paraId="0C6F2155" w14:textId="77777777" w:rsidR="00614438" w:rsidRPr="004F5BC1" w:rsidRDefault="00614438" w:rsidP="004F5BC1">
            <w:pPr>
              <w:spacing w:line="259" w:lineRule="auto"/>
              <w:jc w:val="both"/>
              <w:rPr>
                <w:rFonts w:ascii="Times New Roman" w:hAnsi="Times New Roman" w:cs="Times New Roman"/>
                <w:sz w:val="20"/>
                <w:szCs w:val="20"/>
                <w:lang w:val="en-GB"/>
              </w:rPr>
            </w:pPr>
          </w:p>
        </w:tc>
      </w:tr>
      <w:tr w:rsidR="00614438" w:rsidRPr="004F5BC1" w14:paraId="12C4C215" w14:textId="77777777" w:rsidTr="00614438">
        <w:trPr>
          <w:trHeight w:val="366"/>
        </w:trPr>
        <w:tc>
          <w:tcPr>
            <w:tcW w:w="1359" w:type="dxa"/>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14:paraId="27F2099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Distribution</w:t>
            </w:r>
          </w:p>
        </w:tc>
        <w:tc>
          <w:tcPr>
            <w:tcW w:w="4766" w:type="dxa"/>
            <w:tcBorders>
              <w:top w:val="single" w:sz="4" w:space="0" w:color="auto"/>
              <w:left w:val="single" w:sz="4" w:space="0" w:color="auto"/>
              <w:bottom w:val="single" w:sz="4" w:space="0" w:color="auto"/>
              <w:right w:val="single" w:sz="4" w:space="0" w:color="auto"/>
            </w:tcBorders>
            <w:hideMark/>
          </w:tcPr>
          <w:p w14:paraId="0B66D4D4"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Automation of MV network</w:t>
            </w:r>
          </w:p>
        </w:tc>
        <w:tc>
          <w:tcPr>
            <w:tcW w:w="1266" w:type="dxa"/>
            <w:tcBorders>
              <w:top w:val="single" w:sz="4" w:space="0" w:color="auto"/>
              <w:left w:val="single" w:sz="4" w:space="0" w:color="auto"/>
              <w:bottom w:val="single" w:sz="4" w:space="0" w:color="auto"/>
              <w:right w:val="single" w:sz="4" w:space="0" w:color="auto"/>
            </w:tcBorders>
            <w:vAlign w:val="center"/>
            <w:hideMark/>
          </w:tcPr>
          <w:p w14:paraId="02FF7CDF"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2027</w:t>
            </w:r>
          </w:p>
        </w:tc>
        <w:tc>
          <w:tcPr>
            <w:tcW w:w="1127" w:type="dxa"/>
            <w:tcBorders>
              <w:top w:val="single" w:sz="4" w:space="0" w:color="auto"/>
              <w:left w:val="single" w:sz="4" w:space="0" w:color="auto"/>
              <w:bottom w:val="single" w:sz="4" w:space="0" w:color="auto"/>
              <w:right w:val="single" w:sz="4" w:space="0" w:color="auto"/>
            </w:tcBorders>
            <w:vAlign w:val="center"/>
            <w:hideMark/>
          </w:tcPr>
          <w:p w14:paraId="1E661ECD"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144</w:t>
            </w:r>
          </w:p>
        </w:tc>
        <w:tc>
          <w:tcPr>
            <w:tcW w:w="1105" w:type="dxa"/>
            <w:tcBorders>
              <w:top w:val="single" w:sz="4" w:space="0" w:color="auto"/>
              <w:left w:val="single" w:sz="4" w:space="0" w:color="auto"/>
              <w:bottom w:val="single" w:sz="4" w:space="0" w:color="auto"/>
              <w:right w:val="single" w:sz="4" w:space="0" w:color="auto"/>
            </w:tcBorders>
            <w:vAlign w:val="center"/>
          </w:tcPr>
          <w:p w14:paraId="4EB86342" w14:textId="77777777" w:rsidR="00614438" w:rsidRPr="004F5BC1" w:rsidRDefault="00614438" w:rsidP="004F5BC1">
            <w:pPr>
              <w:spacing w:line="259" w:lineRule="auto"/>
              <w:jc w:val="both"/>
              <w:rPr>
                <w:rFonts w:ascii="Times New Roman" w:hAnsi="Times New Roman" w:cs="Times New Roman"/>
                <w:sz w:val="20"/>
                <w:szCs w:val="20"/>
                <w:lang w:val="en-GB"/>
              </w:rPr>
            </w:pPr>
          </w:p>
        </w:tc>
      </w:tr>
      <w:tr w:rsidR="00614438" w:rsidRPr="004F5BC1" w14:paraId="69E05BFE" w14:textId="77777777" w:rsidTr="00614438">
        <w:trPr>
          <w:trHeight w:val="14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5650B6"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4766" w:type="dxa"/>
            <w:tcBorders>
              <w:top w:val="single" w:sz="4" w:space="0" w:color="auto"/>
              <w:left w:val="single" w:sz="4" w:space="0" w:color="auto"/>
              <w:bottom w:val="single" w:sz="4" w:space="0" w:color="auto"/>
              <w:right w:val="single" w:sz="4" w:space="0" w:color="auto"/>
            </w:tcBorders>
            <w:hideMark/>
          </w:tcPr>
          <w:p w14:paraId="0763089F"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Smart meters</w:t>
            </w:r>
          </w:p>
        </w:tc>
        <w:tc>
          <w:tcPr>
            <w:tcW w:w="1266" w:type="dxa"/>
            <w:tcBorders>
              <w:top w:val="single" w:sz="4" w:space="0" w:color="auto"/>
              <w:left w:val="single" w:sz="4" w:space="0" w:color="auto"/>
              <w:bottom w:val="single" w:sz="4" w:space="0" w:color="auto"/>
              <w:right w:val="single" w:sz="4" w:space="0" w:color="auto"/>
            </w:tcBorders>
            <w:vAlign w:val="center"/>
            <w:hideMark/>
          </w:tcPr>
          <w:p w14:paraId="7D4E7F92"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2029</w:t>
            </w:r>
          </w:p>
        </w:tc>
        <w:tc>
          <w:tcPr>
            <w:tcW w:w="1127" w:type="dxa"/>
            <w:tcBorders>
              <w:top w:val="single" w:sz="4" w:space="0" w:color="auto"/>
              <w:left w:val="single" w:sz="4" w:space="0" w:color="auto"/>
              <w:bottom w:val="single" w:sz="4" w:space="0" w:color="auto"/>
              <w:right w:val="single" w:sz="4" w:space="0" w:color="auto"/>
            </w:tcBorders>
            <w:vAlign w:val="center"/>
            <w:hideMark/>
          </w:tcPr>
          <w:p w14:paraId="4780ECA4"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505</w:t>
            </w:r>
          </w:p>
        </w:tc>
        <w:tc>
          <w:tcPr>
            <w:tcW w:w="1105" w:type="dxa"/>
            <w:tcBorders>
              <w:top w:val="single" w:sz="4" w:space="0" w:color="auto"/>
              <w:left w:val="single" w:sz="4" w:space="0" w:color="auto"/>
              <w:bottom w:val="single" w:sz="4" w:space="0" w:color="auto"/>
              <w:right w:val="single" w:sz="4" w:space="0" w:color="auto"/>
            </w:tcBorders>
            <w:vAlign w:val="center"/>
          </w:tcPr>
          <w:p w14:paraId="380318EF" w14:textId="77777777" w:rsidR="00614438" w:rsidRPr="004F5BC1" w:rsidRDefault="00614438" w:rsidP="004F5BC1">
            <w:pPr>
              <w:spacing w:line="259" w:lineRule="auto"/>
              <w:jc w:val="both"/>
              <w:rPr>
                <w:rFonts w:ascii="Times New Roman" w:hAnsi="Times New Roman" w:cs="Times New Roman"/>
                <w:sz w:val="20"/>
                <w:szCs w:val="20"/>
                <w:lang w:val="en-GB"/>
              </w:rPr>
            </w:pPr>
          </w:p>
        </w:tc>
      </w:tr>
      <w:tr w:rsidR="00614438" w:rsidRPr="004F5BC1" w14:paraId="4301FD1A" w14:textId="77777777" w:rsidTr="00614438">
        <w:trPr>
          <w:trHeight w:val="14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F3610F0"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4766" w:type="dxa"/>
            <w:tcBorders>
              <w:top w:val="single" w:sz="4" w:space="0" w:color="auto"/>
              <w:left w:val="single" w:sz="4" w:space="0" w:color="auto"/>
              <w:bottom w:val="single" w:sz="4" w:space="0" w:color="auto"/>
              <w:right w:val="single" w:sz="4" w:space="0" w:color="auto"/>
            </w:tcBorders>
            <w:hideMark/>
          </w:tcPr>
          <w:p w14:paraId="3834B615"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Remote monitoring</w:t>
            </w:r>
          </w:p>
        </w:tc>
        <w:tc>
          <w:tcPr>
            <w:tcW w:w="1266" w:type="dxa"/>
            <w:tcBorders>
              <w:top w:val="single" w:sz="4" w:space="0" w:color="auto"/>
              <w:left w:val="single" w:sz="4" w:space="0" w:color="auto"/>
              <w:bottom w:val="single" w:sz="4" w:space="0" w:color="auto"/>
              <w:right w:val="single" w:sz="4" w:space="0" w:color="auto"/>
            </w:tcBorders>
            <w:vAlign w:val="center"/>
            <w:hideMark/>
          </w:tcPr>
          <w:p w14:paraId="593A16DF"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2027</w:t>
            </w:r>
          </w:p>
        </w:tc>
        <w:tc>
          <w:tcPr>
            <w:tcW w:w="1127" w:type="dxa"/>
            <w:tcBorders>
              <w:top w:val="single" w:sz="4" w:space="0" w:color="auto"/>
              <w:left w:val="single" w:sz="4" w:space="0" w:color="auto"/>
              <w:bottom w:val="single" w:sz="4" w:space="0" w:color="auto"/>
              <w:right w:val="single" w:sz="4" w:space="0" w:color="auto"/>
            </w:tcBorders>
            <w:vAlign w:val="center"/>
            <w:hideMark/>
          </w:tcPr>
          <w:p w14:paraId="248C61A6"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80</w:t>
            </w:r>
          </w:p>
        </w:tc>
        <w:tc>
          <w:tcPr>
            <w:tcW w:w="1105" w:type="dxa"/>
            <w:tcBorders>
              <w:top w:val="single" w:sz="4" w:space="0" w:color="auto"/>
              <w:left w:val="single" w:sz="4" w:space="0" w:color="auto"/>
              <w:bottom w:val="single" w:sz="4" w:space="0" w:color="auto"/>
              <w:right w:val="single" w:sz="4" w:space="0" w:color="auto"/>
            </w:tcBorders>
            <w:vAlign w:val="center"/>
          </w:tcPr>
          <w:p w14:paraId="388AE1B7" w14:textId="77777777" w:rsidR="00614438" w:rsidRPr="004F5BC1" w:rsidRDefault="00614438" w:rsidP="004F5BC1">
            <w:pPr>
              <w:spacing w:line="259" w:lineRule="auto"/>
              <w:jc w:val="both"/>
              <w:rPr>
                <w:rFonts w:ascii="Times New Roman" w:hAnsi="Times New Roman" w:cs="Times New Roman"/>
                <w:sz w:val="20"/>
                <w:szCs w:val="20"/>
                <w:lang w:val="en-GB"/>
              </w:rPr>
            </w:pPr>
          </w:p>
        </w:tc>
      </w:tr>
      <w:tr w:rsidR="00614438" w:rsidRPr="004F5BC1" w14:paraId="0397AE70" w14:textId="77777777" w:rsidTr="00614438">
        <w:trPr>
          <w:trHeight w:val="14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E579D32"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4766" w:type="dxa"/>
            <w:tcBorders>
              <w:top w:val="single" w:sz="4" w:space="0" w:color="auto"/>
              <w:left w:val="single" w:sz="4" w:space="0" w:color="auto"/>
              <w:bottom w:val="single" w:sz="4" w:space="0" w:color="auto"/>
              <w:right w:val="single" w:sz="4" w:space="0" w:color="auto"/>
            </w:tcBorders>
            <w:hideMark/>
          </w:tcPr>
          <w:p w14:paraId="42365D55"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Updating measurement systems AMI, AMM and MDM/R</w:t>
            </w:r>
          </w:p>
        </w:tc>
        <w:tc>
          <w:tcPr>
            <w:tcW w:w="1266" w:type="dxa"/>
            <w:tcBorders>
              <w:top w:val="single" w:sz="4" w:space="0" w:color="auto"/>
              <w:left w:val="single" w:sz="4" w:space="0" w:color="auto"/>
              <w:bottom w:val="single" w:sz="4" w:space="0" w:color="auto"/>
              <w:right w:val="single" w:sz="4" w:space="0" w:color="auto"/>
            </w:tcBorders>
            <w:vAlign w:val="center"/>
            <w:hideMark/>
          </w:tcPr>
          <w:p w14:paraId="3AA75B5F"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2029</w:t>
            </w:r>
          </w:p>
        </w:tc>
        <w:tc>
          <w:tcPr>
            <w:tcW w:w="1127" w:type="dxa"/>
            <w:tcBorders>
              <w:top w:val="single" w:sz="4" w:space="0" w:color="auto"/>
              <w:left w:val="single" w:sz="4" w:space="0" w:color="auto"/>
              <w:bottom w:val="single" w:sz="4" w:space="0" w:color="auto"/>
              <w:right w:val="single" w:sz="4" w:space="0" w:color="auto"/>
            </w:tcBorders>
            <w:vAlign w:val="center"/>
            <w:hideMark/>
          </w:tcPr>
          <w:p w14:paraId="41692F04"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511</w:t>
            </w:r>
          </w:p>
        </w:tc>
        <w:tc>
          <w:tcPr>
            <w:tcW w:w="1105" w:type="dxa"/>
            <w:tcBorders>
              <w:top w:val="single" w:sz="4" w:space="0" w:color="auto"/>
              <w:left w:val="single" w:sz="4" w:space="0" w:color="auto"/>
              <w:bottom w:val="single" w:sz="4" w:space="0" w:color="auto"/>
              <w:right w:val="single" w:sz="4" w:space="0" w:color="auto"/>
            </w:tcBorders>
            <w:vAlign w:val="center"/>
          </w:tcPr>
          <w:p w14:paraId="7B3D8EAE" w14:textId="77777777" w:rsidR="00614438" w:rsidRPr="004F5BC1" w:rsidRDefault="00614438" w:rsidP="004F5BC1">
            <w:pPr>
              <w:spacing w:line="259" w:lineRule="auto"/>
              <w:jc w:val="both"/>
              <w:rPr>
                <w:rFonts w:ascii="Times New Roman" w:hAnsi="Times New Roman" w:cs="Times New Roman"/>
                <w:sz w:val="20"/>
                <w:szCs w:val="20"/>
                <w:lang w:val="en-GB"/>
              </w:rPr>
            </w:pPr>
          </w:p>
        </w:tc>
      </w:tr>
      <w:tr w:rsidR="00614438" w:rsidRPr="004F5BC1" w14:paraId="77748E0D" w14:textId="77777777" w:rsidTr="00614438">
        <w:trPr>
          <w:trHeight w:val="14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D0BB0AA"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4766" w:type="dxa"/>
            <w:tcBorders>
              <w:top w:val="single" w:sz="4" w:space="0" w:color="auto"/>
              <w:left w:val="single" w:sz="4" w:space="0" w:color="auto"/>
              <w:bottom w:val="single" w:sz="4" w:space="0" w:color="auto"/>
              <w:right w:val="single" w:sz="4" w:space="0" w:color="auto"/>
            </w:tcBorders>
            <w:hideMark/>
          </w:tcPr>
          <w:p w14:paraId="74854983"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Refurbishment &amp; Upgrade of various parts and equipment</w:t>
            </w:r>
          </w:p>
        </w:tc>
        <w:tc>
          <w:tcPr>
            <w:tcW w:w="1266" w:type="dxa"/>
            <w:tcBorders>
              <w:top w:val="single" w:sz="4" w:space="0" w:color="auto"/>
              <w:left w:val="single" w:sz="4" w:space="0" w:color="auto"/>
              <w:bottom w:val="single" w:sz="4" w:space="0" w:color="auto"/>
              <w:right w:val="single" w:sz="4" w:space="0" w:color="auto"/>
            </w:tcBorders>
            <w:vAlign w:val="center"/>
            <w:hideMark/>
          </w:tcPr>
          <w:p w14:paraId="38622C30"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2030</w:t>
            </w:r>
          </w:p>
        </w:tc>
        <w:tc>
          <w:tcPr>
            <w:tcW w:w="1127" w:type="dxa"/>
            <w:tcBorders>
              <w:top w:val="single" w:sz="4" w:space="0" w:color="auto"/>
              <w:left w:val="single" w:sz="4" w:space="0" w:color="auto"/>
              <w:bottom w:val="single" w:sz="4" w:space="0" w:color="auto"/>
              <w:right w:val="single" w:sz="4" w:space="0" w:color="auto"/>
            </w:tcBorders>
            <w:vAlign w:val="center"/>
            <w:hideMark/>
          </w:tcPr>
          <w:p w14:paraId="2946022F"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602</w:t>
            </w:r>
          </w:p>
        </w:tc>
        <w:tc>
          <w:tcPr>
            <w:tcW w:w="1105" w:type="dxa"/>
            <w:tcBorders>
              <w:top w:val="single" w:sz="4" w:space="0" w:color="auto"/>
              <w:left w:val="single" w:sz="4" w:space="0" w:color="auto"/>
              <w:bottom w:val="single" w:sz="4" w:space="0" w:color="auto"/>
              <w:right w:val="single" w:sz="4" w:space="0" w:color="auto"/>
            </w:tcBorders>
            <w:vAlign w:val="center"/>
          </w:tcPr>
          <w:p w14:paraId="7DCE8941" w14:textId="77777777" w:rsidR="00614438" w:rsidRPr="004F5BC1" w:rsidRDefault="00614438" w:rsidP="004F5BC1">
            <w:pPr>
              <w:spacing w:line="259" w:lineRule="auto"/>
              <w:jc w:val="both"/>
              <w:rPr>
                <w:rFonts w:ascii="Times New Roman" w:hAnsi="Times New Roman" w:cs="Times New Roman"/>
                <w:sz w:val="20"/>
                <w:szCs w:val="20"/>
                <w:lang w:val="en-GB"/>
              </w:rPr>
            </w:pPr>
          </w:p>
        </w:tc>
      </w:tr>
      <w:tr w:rsidR="00614438" w:rsidRPr="004F5BC1" w14:paraId="70425019" w14:textId="77777777" w:rsidTr="00614438">
        <w:trPr>
          <w:trHeight w:val="379"/>
        </w:trPr>
        <w:tc>
          <w:tcPr>
            <w:tcW w:w="1359" w:type="dxa"/>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14:paraId="4D7A8A46"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Natural gas sector</w:t>
            </w:r>
          </w:p>
        </w:tc>
        <w:tc>
          <w:tcPr>
            <w:tcW w:w="4766" w:type="dxa"/>
            <w:tcBorders>
              <w:top w:val="single" w:sz="4" w:space="0" w:color="auto"/>
              <w:left w:val="single" w:sz="4" w:space="0" w:color="auto"/>
              <w:bottom w:val="single" w:sz="4" w:space="0" w:color="auto"/>
              <w:right w:val="single" w:sz="4" w:space="0" w:color="auto"/>
            </w:tcBorders>
            <w:hideMark/>
          </w:tcPr>
          <w:p w14:paraId="71177B84"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Underground storage sites in Itebej and Tilva</w:t>
            </w:r>
          </w:p>
        </w:tc>
        <w:tc>
          <w:tcPr>
            <w:tcW w:w="1266" w:type="dxa"/>
            <w:tcBorders>
              <w:top w:val="single" w:sz="4" w:space="0" w:color="auto"/>
              <w:left w:val="single" w:sz="4" w:space="0" w:color="auto"/>
              <w:bottom w:val="single" w:sz="4" w:space="0" w:color="auto"/>
              <w:right w:val="single" w:sz="4" w:space="0" w:color="auto"/>
            </w:tcBorders>
            <w:vAlign w:val="center"/>
            <w:hideMark/>
          </w:tcPr>
          <w:p w14:paraId="2CEA59DC" w14:textId="30DD0865" w:rsidR="00614438" w:rsidRPr="004F5BC1" w:rsidRDefault="007E4746"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Not defined</w:t>
            </w:r>
          </w:p>
        </w:tc>
        <w:tc>
          <w:tcPr>
            <w:tcW w:w="1127" w:type="dxa"/>
            <w:tcBorders>
              <w:top w:val="single" w:sz="4" w:space="0" w:color="auto"/>
              <w:left w:val="single" w:sz="4" w:space="0" w:color="auto"/>
              <w:bottom w:val="single" w:sz="4" w:space="0" w:color="auto"/>
              <w:right w:val="single" w:sz="4" w:space="0" w:color="auto"/>
            </w:tcBorders>
            <w:vAlign w:val="center"/>
          </w:tcPr>
          <w:p w14:paraId="35861DC5"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1105" w:type="dxa"/>
            <w:tcBorders>
              <w:top w:val="single" w:sz="4" w:space="0" w:color="auto"/>
              <w:left w:val="single" w:sz="4" w:space="0" w:color="auto"/>
              <w:bottom w:val="single" w:sz="4" w:space="0" w:color="auto"/>
              <w:right w:val="single" w:sz="4" w:space="0" w:color="auto"/>
            </w:tcBorders>
            <w:vAlign w:val="center"/>
            <w:hideMark/>
          </w:tcPr>
          <w:p w14:paraId="7530E807"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240</w:t>
            </w:r>
          </w:p>
        </w:tc>
      </w:tr>
      <w:tr w:rsidR="00614438" w:rsidRPr="004F5BC1" w14:paraId="42640F99" w14:textId="77777777" w:rsidTr="00614438">
        <w:trPr>
          <w:trHeight w:val="14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07BD27"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4766" w:type="dxa"/>
            <w:tcBorders>
              <w:top w:val="single" w:sz="4" w:space="0" w:color="auto"/>
              <w:left w:val="single" w:sz="4" w:space="0" w:color="auto"/>
              <w:bottom w:val="single" w:sz="4" w:space="0" w:color="auto"/>
              <w:right w:val="single" w:sz="4" w:space="0" w:color="auto"/>
            </w:tcBorders>
            <w:hideMark/>
          </w:tcPr>
          <w:p w14:paraId="32F05490"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Gas pipelines (transmission and distribution)</w:t>
            </w:r>
          </w:p>
        </w:tc>
        <w:tc>
          <w:tcPr>
            <w:tcW w:w="1266" w:type="dxa"/>
            <w:tcBorders>
              <w:top w:val="single" w:sz="4" w:space="0" w:color="auto"/>
              <w:left w:val="single" w:sz="4" w:space="0" w:color="auto"/>
              <w:bottom w:val="single" w:sz="4" w:space="0" w:color="auto"/>
              <w:right w:val="single" w:sz="4" w:space="0" w:color="auto"/>
            </w:tcBorders>
            <w:vAlign w:val="center"/>
            <w:hideMark/>
          </w:tcPr>
          <w:p w14:paraId="48E8F885" w14:textId="11DEE0EE" w:rsidR="00614438" w:rsidRPr="004F5BC1" w:rsidRDefault="007E4746"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Not defined</w:t>
            </w:r>
          </w:p>
        </w:tc>
        <w:tc>
          <w:tcPr>
            <w:tcW w:w="1127" w:type="dxa"/>
            <w:tcBorders>
              <w:top w:val="single" w:sz="4" w:space="0" w:color="auto"/>
              <w:left w:val="single" w:sz="4" w:space="0" w:color="auto"/>
              <w:bottom w:val="single" w:sz="4" w:space="0" w:color="auto"/>
              <w:right w:val="single" w:sz="4" w:space="0" w:color="auto"/>
            </w:tcBorders>
            <w:vAlign w:val="center"/>
          </w:tcPr>
          <w:p w14:paraId="2C92E8D9"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1105" w:type="dxa"/>
            <w:tcBorders>
              <w:top w:val="single" w:sz="4" w:space="0" w:color="auto"/>
              <w:left w:val="single" w:sz="4" w:space="0" w:color="auto"/>
              <w:bottom w:val="single" w:sz="4" w:space="0" w:color="auto"/>
              <w:right w:val="single" w:sz="4" w:space="0" w:color="auto"/>
            </w:tcBorders>
            <w:vAlign w:val="center"/>
            <w:hideMark/>
          </w:tcPr>
          <w:p w14:paraId="1AFBA134"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990</w:t>
            </w:r>
          </w:p>
        </w:tc>
      </w:tr>
      <w:tr w:rsidR="00614438" w:rsidRPr="004F5BC1" w14:paraId="10187210" w14:textId="77777777" w:rsidTr="00614438">
        <w:trPr>
          <w:trHeight w:val="14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3B733E8"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4766" w:type="dxa"/>
            <w:tcBorders>
              <w:top w:val="single" w:sz="4" w:space="0" w:color="auto"/>
              <w:left w:val="single" w:sz="4" w:space="0" w:color="auto"/>
              <w:bottom w:val="single" w:sz="4" w:space="0" w:color="auto"/>
              <w:right w:val="single" w:sz="4" w:space="0" w:color="auto"/>
            </w:tcBorders>
            <w:hideMark/>
          </w:tcPr>
          <w:p w14:paraId="764EFE2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Gasification of regions (P</w:t>
            </w:r>
            <w:r w:rsidRPr="004F5BC1">
              <w:rPr>
                <w:rFonts w:ascii="Times New Roman" w:hAnsi="Times New Roman" w:cs="Times New Roman"/>
                <w:sz w:val="20"/>
                <w:szCs w:val="20"/>
              </w:rPr>
              <w:t>i</w:t>
            </w:r>
            <w:r w:rsidRPr="004F5BC1">
              <w:rPr>
                <w:rFonts w:ascii="Times New Roman" w:hAnsi="Times New Roman" w:cs="Times New Roman"/>
                <w:sz w:val="20"/>
                <w:szCs w:val="20"/>
                <w:lang w:val="en-GB"/>
              </w:rPr>
              <w:t>rot, Vranje, Leskovac, Aleksandrovac - Tutin)</w:t>
            </w:r>
          </w:p>
        </w:tc>
        <w:tc>
          <w:tcPr>
            <w:tcW w:w="1266" w:type="dxa"/>
            <w:tcBorders>
              <w:top w:val="single" w:sz="4" w:space="0" w:color="auto"/>
              <w:left w:val="single" w:sz="4" w:space="0" w:color="auto"/>
              <w:bottom w:val="single" w:sz="4" w:space="0" w:color="auto"/>
              <w:right w:val="single" w:sz="4" w:space="0" w:color="auto"/>
            </w:tcBorders>
            <w:vAlign w:val="center"/>
            <w:hideMark/>
          </w:tcPr>
          <w:p w14:paraId="4F792B2F" w14:textId="4F70A1CF" w:rsidR="00614438" w:rsidRPr="004F5BC1" w:rsidRDefault="007E4746"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Not defined</w:t>
            </w:r>
          </w:p>
        </w:tc>
        <w:tc>
          <w:tcPr>
            <w:tcW w:w="1127" w:type="dxa"/>
            <w:tcBorders>
              <w:top w:val="single" w:sz="4" w:space="0" w:color="auto"/>
              <w:left w:val="single" w:sz="4" w:space="0" w:color="auto"/>
              <w:bottom w:val="single" w:sz="4" w:space="0" w:color="auto"/>
              <w:right w:val="single" w:sz="4" w:space="0" w:color="auto"/>
            </w:tcBorders>
            <w:vAlign w:val="center"/>
          </w:tcPr>
          <w:p w14:paraId="767A7E37"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1105" w:type="dxa"/>
            <w:tcBorders>
              <w:top w:val="single" w:sz="4" w:space="0" w:color="auto"/>
              <w:left w:val="single" w:sz="4" w:space="0" w:color="auto"/>
              <w:bottom w:val="single" w:sz="4" w:space="0" w:color="auto"/>
              <w:right w:val="single" w:sz="4" w:space="0" w:color="auto"/>
            </w:tcBorders>
            <w:vAlign w:val="center"/>
            <w:hideMark/>
          </w:tcPr>
          <w:p w14:paraId="54490382"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137</w:t>
            </w:r>
          </w:p>
        </w:tc>
      </w:tr>
      <w:tr w:rsidR="00614438" w:rsidRPr="004F5BC1" w14:paraId="3D547243" w14:textId="77777777" w:rsidTr="00614438">
        <w:trPr>
          <w:trHeight w:val="379"/>
        </w:trPr>
        <w:tc>
          <w:tcPr>
            <w:tcW w:w="1359" w:type="dxa"/>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14:paraId="14DC8F81"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lastRenderedPageBreak/>
              <w:t>Oil sector</w:t>
            </w:r>
          </w:p>
        </w:tc>
        <w:tc>
          <w:tcPr>
            <w:tcW w:w="4766" w:type="dxa"/>
            <w:tcBorders>
              <w:top w:val="single" w:sz="4" w:space="0" w:color="auto"/>
              <w:left w:val="single" w:sz="4" w:space="0" w:color="auto"/>
              <w:bottom w:val="single" w:sz="4" w:space="0" w:color="auto"/>
              <w:right w:val="single" w:sz="4" w:space="0" w:color="auto"/>
            </w:tcBorders>
            <w:hideMark/>
          </w:tcPr>
          <w:p w14:paraId="6C7A0A79" w14:textId="77777777" w:rsidR="00614438" w:rsidRPr="004F5BC1" w:rsidRDefault="00614438" w:rsidP="004F5BC1">
            <w:pPr>
              <w:spacing w:line="259" w:lineRule="auto"/>
              <w:jc w:val="both"/>
              <w:rPr>
                <w:rFonts w:ascii="Times New Roman" w:hAnsi="Times New Roman" w:cs="Times New Roman"/>
                <w:sz w:val="20"/>
                <w:szCs w:val="20"/>
              </w:rPr>
            </w:pPr>
            <w:r w:rsidRPr="004F5BC1">
              <w:rPr>
                <w:rFonts w:ascii="Times New Roman" w:hAnsi="Times New Roman" w:cs="Times New Roman"/>
                <w:sz w:val="20"/>
                <w:szCs w:val="20"/>
                <w:lang w:val="en-GB"/>
              </w:rPr>
              <w:t>Pipeline Serbia – Hungary</w:t>
            </w:r>
          </w:p>
        </w:tc>
        <w:tc>
          <w:tcPr>
            <w:tcW w:w="1266" w:type="dxa"/>
            <w:tcBorders>
              <w:top w:val="single" w:sz="4" w:space="0" w:color="auto"/>
              <w:left w:val="single" w:sz="4" w:space="0" w:color="auto"/>
              <w:bottom w:val="single" w:sz="4" w:space="0" w:color="auto"/>
              <w:right w:val="single" w:sz="4" w:space="0" w:color="auto"/>
            </w:tcBorders>
            <w:vAlign w:val="center"/>
            <w:hideMark/>
          </w:tcPr>
          <w:p w14:paraId="20F0B02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2027</w:t>
            </w:r>
          </w:p>
        </w:tc>
        <w:tc>
          <w:tcPr>
            <w:tcW w:w="1127" w:type="dxa"/>
            <w:tcBorders>
              <w:top w:val="single" w:sz="4" w:space="0" w:color="auto"/>
              <w:left w:val="single" w:sz="4" w:space="0" w:color="auto"/>
              <w:bottom w:val="single" w:sz="4" w:space="0" w:color="auto"/>
              <w:right w:val="single" w:sz="4" w:space="0" w:color="auto"/>
            </w:tcBorders>
            <w:vAlign w:val="center"/>
            <w:hideMark/>
          </w:tcPr>
          <w:p w14:paraId="4CA2AD19"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100</w:t>
            </w:r>
          </w:p>
        </w:tc>
        <w:tc>
          <w:tcPr>
            <w:tcW w:w="1105" w:type="dxa"/>
            <w:tcBorders>
              <w:top w:val="single" w:sz="4" w:space="0" w:color="auto"/>
              <w:left w:val="single" w:sz="4" w:space="0" w:color="auto"/>
              <w:bottom w:val="single" w:sz="4" w:space="0" w:color="auto"/>
              <w:right w:val="single" w:sz="4" w:space="0" w:color="auto"/>
            </w:tcBorders>
            <w:vAlign w:val="center"/>
          </w:tcPr>
          <w:p w14:paraId="17D76543" w14:textId="77777777" w:rsidR="00614438" w:rsidRPr="004F5BC1" w:rsidRDefault="00614438" w:rsidP="004F5BC1">
            <w:pPr>
              <w:spacing w:line="259" w:lineRule="auto"/>
              <w:jc w:val="both"/>
              <w:rPr>
                <w:rFonts w:ascii="Times New Roman" w:hAnsi="Times New Roman" w:cs="Times New Roman"/>
                <w:sz w:val="20"/>
                <w:szCs w:val="20"/>
                <w:lang w:val="en-GB"/>
              </w:rPr>
            </w:pPr>
          </w:p>
        </w:tc>
      </w:tr>
      <w:tr w:rsidR="00614438" w:rsidRPr="004F5BC1" w14:paraId="02B781F8" w14:textId="77777777" w:rsidTr="00614438">
        <w:trPr>
          <w:trHeight w:val="14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BB053A5"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4766" w:type="dxa"/>
            <w:tcBorders>
              <w:top w:val="single" w:sz="4" w:space="0" w:color="auto"/>
              <w:left w:val="single" w:sz="4" w:space="0" w:color="auto"/>
              <w:bottom w:val="single" w:sz="4" w:space="0" w:color="auto"/>
              <w:right w:val="single" w:sz="4" w:space="0" w:color="auto"/>
            </w:tcBorders>
            <w:hideMark/>
          </w:tcPr>
          <w:p w14:paraId="6685E2F1"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Storage facility in Kovin</w:t>
            </w:r>
          </w:p>
        </w:tc>
        <w:tc>
          <w:tcPr>
            <w:tcW w:w="1266" w:type="dxa"/>
            <w:tcBorders>
              <w:top w:val="single" w:sz="4" w:space="0" w:color="auto"/>
              <w:left w:val="single" w:sz="4" w:space="0" w:color="auto"/>
              <w:bottom w:val="single" w:sz="4" w:space="0" w:color="auto"/>
              <w:right w:val="single" w:sz="4" w:space="0" w:color="auto"/>
            </w:tcBorders>
            <w:vAlign w:val="center"/>
            <w:hideMark/>
          </w:tcPr>
          <w:p w14:paraId="39601716"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2027</w:t>
            </w:r>
          </w:p>
        </w:tc>
        <w:tc>
          <w:tcPr>
            <w:tcW w:w="1127" w:type="dxa"/>
            <w:tcBorders>
              <w:top w:val="single" w:sz="4" w:space="0" w:color="auto"/>
              <w:left w:val="single" w:sz="4" w:space="0" w:color="auto"/>
              <w:bottom w:val="single" w:sz="4" w:space="0" w:color="auto"/>
              <w:right w:val="single" w:sz="4" w:space="0" w:color="auto"/>
            </w:tcBorders>
            <w:vAlign w:val="center"/>
            <w:hideMark/>
          </w:tcPr>
          <w:p w14:paraId="3662712C"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23</w:t>
            </w:r>
          </w:p>
        </w:tc>
        <w:tc>
          <w:tcPr>
            <w:tcW w:w="1105" w:type="dxa"/>
            <w:tcBorders>
              <w:top w:val="single" w:sz="4" w:space="0" w:color="auto"/>
              <w:left w:val="single" w:sz="4" w:space="0" w:color="auto"/>
              <w:bottom w:val="single" w:sz="4" w:space="0" w:color="auto"/>
              <w:right w:val="single" w:sz="4" w:space="0" w:color="auto"/>
            </w:tcBorders>
            <w:vAlign w:val="center"/>
          </w:tcPr>
          <w:p w14:paraId="799C7814" w14:textId="77777777" w:rsidR="00614438" w:rsidRPr="004F5BC1" w:rsidRDefault="00614438" w:rsidP="004F5BC1">
            <w:pPr>
              <w:spacing w:line="259" w:lineRule="auto"/>
              <w:jc w:val="both"/>
              <w:rPr>
                <w:rFonts w:ascii="Times New Roman" w:hAnsi="Times New Roman" w:cs="Times New Roman"/>
                <w:sz w:val="20"/>
                <w:szCs w:val="20"/>
                <w:lang w:val="en-GB"/>
              </w:rPr>
            </w:pPr>
          </w:p>
        </w:tc>
      </w:tr>
      <w:tr w:rsidR="00614438" w:rsidRPr="004F5BC1" w14:paraId="646B14E2" w14:textId="77777777" w:rsidTr="00614438">
        <w:trPr>
          <w:trHeight w:val="1151"/>
        </w:trPr>
        <w:tc>
          <w:tcPr>
            <w:tcW w:w="1359" w:type="dxa"/>
            <w:tcBorders>
              <w:top w:val="single" w:sz="4" w:space="0" w:color="auto"/>
              <w:left w:val="single" w:sz="4" w:space="0" w:color="auto"/>
              <w:bottom w:val="single" w:sz="4" w:space="0" w:color="auto"/>
              <w:right w:val="single" w:sz="4" w:space="0" w:color="auto"/>
            </w:tcBorders>
            <w:shd w:val="clear" w:color="auto" w:fill="E7E6E6"/>
            <w:hideMark/>
          </w:tcPr>
          <w:p w14:paraId="5501AD62"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Heating Sector</w:t>
            </w:r>
          </w:p>
        </w:tc>
        <w:tc>
          <w:tcPr>
            <w:tcW w:w="4766" w:type="dxa"/>
            <w:tcBorders>
              <w:top w:val="single" w:sz="4" w:space="0" w:color="auto"/>
              <w:left w:val="single" w:sz="4" w:space="0" w:color="auto"/>
              <w:bottom w:val="single" w:sz="4" w:space="0" w:color="auto"/>
              <w:right w:val="single" w:sz="4" w:space="0" w:color="auto"/>
            </w:tcBorders>
            <w:hideMark/>
          </w:tcPr>
          <w:p w14:paraId="3C655B7A" w14:textId="2EFC72E5"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Encouraging the development of renewable energy - development of the biomass market in Serbia, phase II (2024-28). (Funds will be provided by KfW from a loan of 20 million</w:t>
            </w:r>
            <w:r w:rsidR="007E4746" w:rsidRPr="004F5BC1">
              <w:rPr>
                <w:rFonts w:ascii="Times New Roman" w:hAnsi="Times New Roman" w:cs="Times New Roman"/>
                <w:sz w:val="20"/>
                <w:szCs w:val="20"/>
                <w:lang w:val="en-GB"/>
              </w:rPr>
              <w:t>,</w:t>
            </w:r>
            <w:r w:rsidRPr="004F5BC1">
              <w:rPr>
                <w:rFonts w:ascii="Times New Roman" w:hAnsi="Times New Roman" w:cs="Times New Roman"/>
                <w:sz w:val="20"/>
                <w:szCs w:val="20"/>
                <w:lang w:val="en-GB"/>
              </w:rPr>
              <w:t xml:space="preserve"> and 10 million from a grant)</w:t>
            </w:r>
          </w:p>
        </w:tc>
        <w:tc>
          <w:tcPr>
            <w:tcW w:w="1266" w:type="dxa"/>
            <w:tcBorders>
              <w:top w:val="single" w:sz="4" w:space="0" w:color="auto"/>
              <w:left w:val="single" w:sz="4" w:space="0" w:color="auto"/>
              <w:bottom w:val="single" w:sz="4" w:space="0" w:color="auto"/>
              <w:right w:val="single" w:sz="4" w:space="0" w:color="auto"/>
            </w:tcBorders>
            <w:vAlign w:val="center"/>
            <w:hideMark/>
          </w:tcPr>
          <w:p w14:paraId="17731DC1"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2028</w:t>
            </w:r>
          </w:p>
        </w:tc>
        <w:tc>
          <w:tcPr>
            <w:tcW w:w="1127" w:type="dxa"/>
            <w:tcBorders>
              <w:top w:val="single" w:sz="4" w:space="0" w:color="auto"/>
              <w:left w:val="single" w:sz="4" w:space="0" w:color="auto"/>
              <w:bottom w:val="single" w:sz="4" w:space="0" w:color="auto"/>
              <w:right w:val="single" w:sz="4" w:space="0" w:color="auto"/>
            </w:tcBorders>
            <w:vAlign w:val="center"/>
            <w:hideMark/>
          </w:tcPr>
          <w:p w14:paraId="36494510"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30</w:t>
            </w:r>
          </w:p>
        </w:tc>
        <w:tc>
          <w:tcPr>
            <w:tcW w:w="1105" w:type="dxa"/>
            <w:tcBorders>
              <w:top w:val="single" w:sz="4" w:space="0" w:color="auto"/>
              <w:left w:val="single" w:sz="4" w:space="0" w:color="auto"/>
              <w:bottom w:val="single" w:sz="4" w:space="0" w:color="auto"/>
              <w:right w:val="single" w:sz="4" w:space="0" w:color="auto"/>
            </w:tcBorders>
            <w:vAlign w:val="center"/>
          </w:tcPr>
          <w:p w14:paraId="33EB4962" w14:textId="77777777" w:rsidR="00614438" w:rsidRPr="004F5BC1" w:rsidRDefault="00614438" w:rsidP="004F5BC1">
            <w:pPr>
              <w:spacing w:line="259" w:lineRule="auto"/>
              <w:jc w:val="both"/>
              <w:rPr>
                <w:rFonts w:ascii="Times New Roman" w:hAnsi="Times New Roman" w:cs="Times New Roman"/>
                <w:sz w:val="20"/>
                <w:szCs w:val="20"/>
                <w:lang w:val="en-GB"/>
              </w:rPr>
            </w:pPr>
          </w:p>
        </w:tc>
      </w:tr>
      <w:tr w:rsidR="00614438" w:rsidRPr="004F5BC1" w14:paraId="5EFD1EC4" w14:textId="77777777" w:rsidTr="00614438">
        <w:trPr>
          <w:trHeight w:val="366"/>
        </w:trPr>
        <w:tc>
          <w:tcPr>
            <w:tcW w:w="1359" w:type="dxa"/>
            <w:tcBorders>
              <w:top w:val="single" w:sz="4" w:space="0" w:color="auto"/>
              <w:left w:val="single" w:sz="4" w:space="0" w:color="auto"/>
              <w:bottom w:val="single" w:sz="4" w:space="0" w:color="auto"/>
              <w:right w:val="single" w:sz="4" w:space="0" w:color="auto"/>
            </w:tcBorders>
            <w:shd w:val="clear" w:color="auto" w:fill="E7E6E6"/>
          </w:tcPr>
          <w:p w14:paraId="7B0D0B99"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4766" w:type="dxa"/>
            <w:tcBorders>
              <w:top w:val="single" w:sz="4" w:space="0" w:color="auto"/>
              <w:left w:val="single" w:sz="4" w:space="0" w:color="auto"/>
              <w:bottom w:val="single" w:sz="4" w:space="0" w:color="auto"/>
              <w:right w:val="single" w:sz="4" w:space="0" w:color="auto"/>
            </w:tcBorders>
            <w:shd w:val="clear" w:color="auto" w:fill="E7E6E6"/>
          </w:tcPr>
          <w:p w14:paraId="3E82E332" w14:textId="77777777" w:rsidR="00614438" w:rsidRPr="004F5BC1" w:rsidRDefault="00614438" w:rsidP="004F5BC1">
            <w:pPr>
              <w:spacing w:line="259" w:lineRule="auto"/>
              <w:jc w:val="both"/>
              <w:rPr>
                <w:rFonts w:ascii="Times New Roman" w:hAnsi="Times New Roman" w:cs="Times New Roman"/>
                <w:sz w:val="20"/>
                <w:szCs w:val="20"/>
                <w:lang w:val="en-GB"/>
              </w:rPr>
            </w:pPr>
          </w:p>
        </w:tc>
        <w:tc>
          <w:tcPr>
            <w:tcW w:w="1266" w:type="dxa"/>
            <w:tcBorders>
              <w:top w:val="single" w:sz="4" w:space="0" w:color="auto"/>
              <w:left w:val="single" w:sz="4" w:space="0" w:color="auto"/>
              <w:bottom w:val="single" w:sz="4" w:space="0" w:color="auto"/>
              <w:right w:val="single" w:sz="4" w:space="0" w:color="auto"/>
            </w:tcBorders>
            <w:shd w:val="clear" w:color="auto" w:fill="E7E6E6"/>
            <w:vAlign w:val="center"/>
            <w:hideMark/>
          </w:tcPr>
          <w:p w14:paraId="3E52BD52"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Total</w:t>
            </w:r>
          </w:p>
        </w:tc>
        <w:tc>
          <w:tcPr>
            <w:tcW w:w="1127" w:type="dxa"/>
            <w:tcBorders>
              <w:top w:val="single" w:sz="4" w:space="0" w:color="auto"/>
              <w:left w:val="single" w:sz="4" w:space="0" w:color="auto"/>
              <w:bottom w:val="single" w:sz="4" w:space="0" w:color="auto"/>
              <w:right w:val="single" w:sz="4" w:space="0" w:color="auto"/>
            </w:tcBorders>
            <w:shd w:val="clear" w:color="auto" w:fill="E7E6E6"/>
            <w:vAlign w:val="center"/>
            <w:hideMark/>
          </w:tcPr>
          <w:p w14:paraId="0735C98F"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4.712</w:t>
            </w:r>
          </w:p>
        </w:tc>
        <w:tc>
          <w:tcPr>
            <w:tcW w:w="1105" w:type="dxa"/>
            <w:tcBorders>
              <w:top w:val="single" w:sz="4" w:space="0" w:color="auto"/>
              <w:left w:val="single" w:sz="4" w:space="0" w:color="auto"/>
              <w:bottom w:val="single" w:sz="4" w:space="0" w:color="auto"/>
              <w:right w:val="single" w:sz="4" w:space="0" w:color="auto"/>
            </w:tcBorders>
            <w:shd w:val="clear" w:color="auto" w:fill="E7E6E6"/>
            <w:vAlign w:val="center"/>
            <w:hideMark/>
          </w:tcPr>
          <w:p w14:paraId="35823377"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3.136</w:t>
            </w:r>
          </w:p>
        </w:tc>
      </w:tr>
      <w:bookmarkEnd w:id="703"/>
    </w:tbl>
    <w:p w14:paraId="2F922A6F" w14:textId="77777777" w:rsidR="00614438" w:rsidRPr="004F5BC1" w:rsidRDefault="00614438" w:rsidP="004F5BC1">
      <w:pPr>
        <w:spacing w:after="0"/>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br w:type="page"/>
      </w:r>
    </w:p>
    <w:p w14:paraId="0BE81CA9" w14:textId="77777777" w:rsidR="007E4746" w:rsidRDefault="00614438" w:rsidP="007E4746">
      <w:pPr>
        <w:numPr>
          <w:ilvl w:val="0"/>
          <w:numId w:val="249"/>
        </w:numPr>
        <w:rPr>
          <w:rFonts w:ascii="Times New Roman" w:hAnsi="Times New Roman" w:cs="Times New Roman"/>
          <w:sz w:val="24"/>
          <w:szCs w:val="24"/>
          <w:lang w:val="en-GB"/>
        </w:rPr>
      </w:pPr>
      <w:bookmarkStart w:id="704" w:name="_Toc153545066"/>
      <w:bookmarkStart w:id="705" w:name="_Hlk148602315"/>
      <w:r w:rsidRPr="00614438">
        <w:rPr>
          <w:rFonts w:ascii="Times New Roman" w:hAnsi="Times New Roman" w:cs="Times New Roman"/>
          <w:sz w:val="24"/>
          <w:szCs w:val="24"/>
          <w:lang w:val="en-GB"/>
        </w:rPr>
        <w:lastRenderedPageBreak/>
        <w:t xml:space="preserve">Annex: </w:t>
      </w:r>
      <w:r w:rsidR="007E4746">
        <w:rPr>
          <w:rFonts w:ascii="Times New Roman" w:hAnsi="Times New Roman" w:cs="Times New Roman"/>
          <w:sz w:val="24"/>
          <w:szCs w:val="24"/>
          <w:lang w:val="en-GB"/>
        </w:rPr>
        <w:t>Additional</w:t>
      </w:r>
      <w:r w:rsidRPr="00614438">
        <w:rPr>
          <w:rFonts w:ascii="Times New Roman" w:hAnsi="Times New Roman" w:cs="Times New Roman"/>
          <w:sz w:val="24"/>
          <w:szCs w:val="24"/>
          <w:lang w:val="en-GB"/>
        </w:rPr>
        <w:t xml:space="preserve"> tables</w:t>
      </w:r>
      <w:bookmarkEnd w:id="704"/>
      <w:bookmarkEnd w:id="705"/>
    </w:p>
    <w:p w14:paraId="6A7DEAE4" w14:textId="3BA389BE" w:rsidR="00614438" w:rsidRPr="007E4746" w:rsidRDefault="007E4746" w:rsidP="007E4746">
      <w:pPr>
        <w:numPr>
          <w:ilvl w:val="0"/>
          <w:numId w:val="249"/>
        </w:num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V.1 </w:t>
      </w:r>
      <w:r w:rsidR="00614438" w:rsidRPr="007E4746">
        <w:rPr>
          <w:rFonts w:ascii="Times New Roman" w:hAnsi="Times New Roman" w:cs="Times New Roman"/>
          <w:sz w:val="24"/>
          <w:szCs w:val="24"/>
          <w:lang w:val="en-GB"/>
        </w:rPr>
        <w:t>Energy Use, Fugitive and Process Emissions</w:t>
      </w:r>
    </w:p>
    <w:p w14:paraId="7BA90DA2" w14:textId="77777777" w:rsidR="00614438" w:rsidRPr="00614438" w:rsidRDefault="00614438" w:rsidP="007E4746">
      <w:pPr>
        <w:ind w:firstLine="360"/>
        <w:jc w:val="both"/>
        <w:rPr>
          <w:rFonts w:ascii="Times New Roman" w:hAnsi="Times New Roman" w:cs="Times New Roman"/>
          <w:sz w:val="24"/>
          <w:szCs w:val="24"/>
          <w:lang w:val="en-GB"/>
        </w:rPr>
      </w:pPr>
      <w:r w:rsidRPr="00614438">
        <w:rPr>
          <w:rFonts w:ascii="Times New Roman" w:hAnsi="Times New Roman" w:cs="Times New Roman"/>
          <w:sz w:val="24"/>
          <w:szCs w:val="24"/>
          <w:lang w:val="en-GB"/>
        </w:rPr>
        <w:t>Please note that these tables do not include non-energy emissions from Agriculture, Waste or LULUCF.</w:t>
      </w:r>
    </w:p>
    <w:p w14:paraId="1F7CF3C5" w14:textId="77777777" w:rsidR="00614438" w:rsidRPr="004F5BC1" w:rsidRDefault="00614438" w:rsidP="004F5BC1">
      <w:pPr>
        <w:spacing w:after="0"/>
        <w:jc w:val="both"/>
        <w:rPr>
          <w:rFonts w:ascii="Times New Roman" w:hAnsi="Times New Roman" w:cs="Times New Roman"/>
          <w:sz w:val="20"/>
          <w:szCs w:val="20"/>
        </w:rPr>
      </w:pPr>
      <w:bookmarkStart w:id="706" w:name="_Toc153545094"/>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Energy Industry - emissions in ktons of CO2-eq</w:t>
      </w:r>
      <w:bookmarkEnd w:id="706"/>
    </w:p>
    <w:tbl>
      <w:tblPr>
        <w:tblStyle w:val="TableGrid"/>
        <w:tblW w:w="0" w:type="auto"/>
        <w:tblLayout w:type="fixed"/>
        <w:tblLook w:val="04A0" w:firstRow="1" w:lastRow="0" w:firstColumn="1" w:lastColumn="0" w:noHBand="0" w:noVBand="1"/>
      </w:tblPr>
      <w:tblGrid>
        <w:gridCol w:w="1661"/>
        <w:gridCol w:w="724"/>
        <w:gridCol w:w="724"/>
        <w:gridCol w:w="724"/>
        <w:gridCol w:w="725"/>
        <w:gridCol w:w="724"/>
        <w:gridCol w:w="724"/>
        <w:gridCol w:w="724"/>
        <w:gridCol w:w="725"/>
        <w:gridCol w:w="724"/>
        <w:gridCol w:w="724"/>
        <w:gridCol w:w="725"/>
      </w:tblGrid>
      <w:tr w:rsidR="00614438" w:rsidRPr="004F5BC1" w14:paraId="794B88EF"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17A0800C" w14:textId="77777777" w:rsidR="00614438" w:rsidRPr="004F5BC1" w:rsidRDefault="00614438" w:rsidP="004F5BC1">
            <w:pPr>
              <w:spacing w:line="259" w:lineRule="auto"/>
              <w:jc w:val="both"/>
              <w:rPr>
                <w:rFonts w:ascii="Times New Roman" w:hAnsi="Times New Roman" w:cs="Times New Roman"/>
                <w:sz w:val="20"/>
                <w:szCs w:val="20"/>
                <w:lang w:val="en-GB"/>
              </w:rPr>
            </w:pPr>
            <w:bookmarkStart w:id="707" w:name="_Hlk148688883"/>
            <w:r w:rsidRPr="004F5BC1">
              <w:rPr>
                <w:rFonts w:ascii="Times New Roman" w:hAnsi="Times New Roman" w:cs="Times New Roman"/>
                <w:sz w:val="20"/>
                <w:szCs w:val="20"/>
                <w:lang w:val="en-GB"/>
              </w:rPr>
              <w:t>Energy Industry</w:t>
            </w:r>
          </w:p>
          <w:p w14:paraId="035CF7AC"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 xml:space="preserve">emissions </w:t>
            </w:r>
            <w:r w:rsidRPr="004F5BC1">
              <w:rPr>
                <w:rFonts w:ascii="Times New Roman" w:hAnsi="Times New Roman" w:cs="Times New Roman"/>
                <w:sz w:val="20"/>
                <w:szCs w:val="20"/>
              </w:rPr>
              <w:t>[</w:t>
            </w:r>
            <w:r w:rsidRPr="004F5BC1">
              <w:rPr>
                <w:rFonts w:ascii="Times New Roman" w:hAnsi="Times New Roman" w:cs="Times New Roman"/>
                <w:sz w:val="20"/>
                <w:szCs w:val="20"/>
                <w:lang w:val="en-GB"/>
              </w:rPr>
              <w:t>ktons of CO2-eq]</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0963483"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2020</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D6953D1"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2025</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CC144AF"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2026</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D749330"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2027</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C3F7952"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2028</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A1E1363"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2029</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EDA7337"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2030</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D82CBEF"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2035</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DD6908D"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2040</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B744D76"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2045</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7CC725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2050</w:t>
            </w:r>
          </w:p>
        </w:tc>
      </w:tr>
      <w:tr w:rsidR="00614438" w:rsidRPr="004F5BC1" w14:paraId="06A6359C"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61D13979"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WEM</w:t>
            </w:r>
          </w:p>
        </w:tc>
        <w:tc>
          <w:tcPr>
            <w:tcW w:w="724" w:type="dxa"/>
            <w:tcBorders>
              <w:top w:val="single" w:sz="4" w:space="0" w:color="auto"/>
              <w:left w:val="single" w:sz="4" w:space="0" w:color="auto"/>
              <w:bottom w:val="single" w:sz="4" w:space="0" w:color="auto"/>
              <w:right w:val="single" w:sz="4" w:space="0" w:color="auto"/>
            </w:tcBorders>
            <w:noWrap/>
            <w:hideMark/>
          </w:tcPr>
          <w:p w14:paraId="3296D284"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32580</w:t>
            </w:r>
          </w:p>
        </w:tc>
        <w:tc>
          <w:tcPr>
            <w:tcW w:w="724" w:type="dxa"/>
            <w:tcBorders>
              <w:top w:val="single" w:sz="4" w:space="0" w:color="auto"/>
              <w:left w:val="single" w:sz="4" w:space="0" w:color="auto"/>
              <w:bottom w:val="single" w:sz="4" w:space="0" w:color="auto"/>
              <w:right w:val="single" w:sz="4" w:space="0" w:color="auto"/>
            </w:tcBorders>
            <w:noWrap/>
            <w:hideMark/>
          </w:tcPr>
          <w:p w14:paraId="5F16D995"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33349</w:t>
            </w:r>
          </w:p>
        </w:tc>
        <w:tc>
          <w:tcPr>
            <w:tcW w:w="724" w:type="dxa"/>
            <w:tcBorders>
              <w:top w:val="single" w:sz="4" w:space="0" w:color="auto"/>
              <w:left w:val="single" w:sz="4" w:space="0" w:color="auto"/>
              <w:bottom w:val="single" w:sz="4" w:space="0" w:color="auto"/>
              <w:right w:val="single" w:sz="4" w:space="0" w:color="auto"/>
            </w:tcBorders>
            <w:noWrap/>
            <w:hideMark/>
          </w:tcPr>
          <w:p w14:paraId="0AA61BD9"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33996</w:t>
            </w:r>
          </w:p>
        </w:tc>
        <w:tc>
          <w:tcPr>
            <w:tcW w:w="725" w:type="dxa"/>
            <w:tcBorders>
              <w:top w:val="single" w:sz="4" w:space="0" w:color="auto"/>
              <w:left w:val="single" w:sz="4" w:space="0" w:color="auto"/>
              <w:bottom w:val="single" w:sz="4" w:space="0" w:color="auto"/>
              <w:right w:val="single" w:sz="4" w:space="0" w:color="auto"/>
            </w:tcBorders>
            <w:noWrap/>
            <w:hideMark/>
          </w:tcPr>
          <w:p w14:paraId="21870AD5"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34690</w:t>
            </w:r>
          </w:p>
        </w:tc>
        <w:tc>
          <w:tcPr>
            <w:tcW w:w="724" w:type="dxa"/>
            <w:tcBorders>
              <w:top w:val="single" w:sz="4" w:space="0" w:color="auto"/>
              <w:left w:val="single" w:sz="4" w:space="0" w:color="auto"/>
              <w:bottom w:val="single" w:sz="4" w:space="0" w:color="auto"/>
              <w:right w:val="single" w:sz="4" w:space="0" w:color="auto"/>
            </w:tcBorders>
            <w:noWrap/>
            <w:hideMark/>
          </w:tcPr>
          <w:p w14:paraId="54B74D4B"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35494</w:t>
            </w:r>
          </w:p>
        </w:tc>
        <w:tc>
          <w:tcPr>
            <w:tcW w:w="724" w:type="dxa"/>
            <w:tcBorders>
              <w:top w:val="single" w:sz="4" w:space="0" w:color="auto"/>
              <w:left w:val="single" w:sz="4" w:space="0" w:color="auto"/>
              <w:bottom w:val="single" w:sz="4" w:space="0" w:color="auto"/>
              <w:right w:val="single" w:sz="4" w:space="0" w:color="auto"/>
            </w:tcBorders>
            <w:noWrap/>
            <w:hideMark/>
          </w:tcPr>
          <w:p w14:paraId="171D0DC4"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36361</w:t>
            </w:r>
          </w:p>
        </w:tc>
        <w:tc>
          <w:tcPr>
            <w:tcW w:w="724" w:type="dxa"/>
            <w:tcBorders>
              <w:top w:val="single" w:sz="4" w:space="0" w:color="auto"/>
              <w:left w:val="single" w:sz="4" w:space="0" w:color="auto"/>
              <w:bottom w:val="single" w:sz="4" w:space="0" w:color="auto"/>
              <w:right w:val="single" w:sz="4" w:space="0" w:color="auto"/>
            </w:tcBorders>
            <w:noWrap/>
            <w:hideMark/>
          </w:tcPr>
          <w:p w14:paraId="50A5D1AC"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37485</w:t>
            </w:r>
          </w:p>
        </w:tc>
        <w:tc>
          <w:tcPr>
            <w:tcW w:w="725" w:type="dxa"/>
            <w:tcBorders>
              <w:top w:val="single" w:sz="4" w:space="0" w:color="auto"/>
              <w:left w:val="single" w:sz="4" w:space="0" w:color="auto"/>
              <w:bottom w:val="single" w:sz="4" w:space="0" w:color="auto"/>
              <w:right w:val="single" w:sz="4" w:space="0" w:color="auto"/>
            </w:tcBorders>
            <w:noWrap/>
            <w:hideMark/>
          </w:tcPr>
          <w:p w14:paraId="0469998A"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40010</w:t>
            </w:r>
          </w:p>
        </w:tc>
        <w:tc>
          <w:tcPr>
            <w:tcW w:w="724" w:type="dxa"/>
            <w:tcBorders>
              <w:top w:val="single" w:sz="4" w:space="0" w:color="auto"/>
              <w:left w:val="single" w:sz="4" w:space="0" w:color="auto"/>
              <w:bottom w:val="single" w:sz="4" w:space="0" w:color="auto"/>
              <w:right w:val="single" w:sz="4" w:space="0" w:color="auto"/>
            </w:tcBorders>
            <w:noWrap/>
            <w:hideMark/>
          </w:tcPr>
          <w:p w14:paraId="623405BE"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41549</w:t>
            </w:r>
          </w:p>
        </w:tc>
        <w:tc>
          <w:tcPr>
            <w:tcW w:w="724" w:type="dxa"/>
            <w:tcBorders>
              <w:top w:val="single" w:sz="4" w:space="0" w:color="auto"/>
              <w:left w:val="single" w:sz="4" w:space="0" w:color="auto"/>
              <w:bottom w:val="single" w:sz="4" w:space="0" w:color="auto"/>
              <w:right w:val="single" w:sz="4" w:space="0" w:color="auto"/>
            </w:tcBorders>
            <w:noWrap/>
            <w:hideMark/>
          </w:tcPr>
          <w:p w14:paraId="00CD3639"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43066</w:t>
            </w:r>
          </w:p>
        </w:tc>
        <w:tc>
          <w:tcPr>
            <w:tcW w:w="725" w:type="dxa"/>
            <w:tcBorders>
              <w:top w:val="single" w:sz="4" w:space="0" w:color="auto"/>
              <w:left w:val="single" w:sz="4" w:space="0" w:color="auto"/>
              <w:bottom w:val="single" w:sz="4" w:space="0" w:color="auto"/>
              <w:right w:val="single" w:sz="4" w:space="0" w:color="auto"/>
            </w:tcBorders>
            <w:noWrap/>
            <w:hideMark/>
          </w:tcPr>
          <w:p w14:paraId="5BA5E745"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37142</w:t>
            </w:r>
          </w:p>
        </w:tc>
      </w:tr>
      <w:tr w:rsidR="00614438" w:rsidRPr="004F5BC1" w14:paraId="6E039F48"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3163640F"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Scenario-S</w:t>
            </w:r>
          </w:p>
        </w:tc>
        <w:tc>
          <w:tcPr>
            <w:tcW w:w="724" w:type="dxa"/>
            <w:tcBorders>
              <w:top w:val="single" w:sz="4" w:space="0" w:color="auto"/>
              <w:left w:val="single" w:sz="4" w:space="0" w:color="auto"/>
              <w:bottom w:val="single" w:sz="4" w:space="0" w:color="auto"/>
              <w:right w:val="single" w:sz="4" w:space="0" w:color="auto"/>
            </w:tcBorders>
            <w:noWrap/>
            <w:hideMark/>
          </w:tcPr>
          <w:p w14:paraId="4D026ABD"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32572</w:t>
            </w:r>
          </w:p>
        </w:tc>
        <w:tc>
          <w:tcPr>
            <w:tcW w:w="724" w:type="dxa"/>
            <w:tcBorders>
              <w:top w:val="single" w:sz="4" w:space="0" w:color="auto"/>
              <w:left w:val="single" w:sz="4" w:space="0" w:color="auto"/>
              <w:bottom w:val="single" w:sz="4" w:space="0" w:color="auto"/>
              <w:right w:val="single" w:sz="4" w:space="0" w:color="auto"/>
            </w:tcBorders>
            <w:noWrap/>
            <w:hideMark/>
          </w:tcPr>
          <w:p w14:paraId="70C5C5F3"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30129</w:t>
            </w:r>
          </w:p>
        </w:tc>
        <w:tc>
          <w:tcPr>
            <w:tcW w:w="724" w:type="dxa"/>
            <w:tcBorders>
              <w:top w:val="single" w:sz="4" w:space="0" w:color="auto"/>
              <w:left w:val="single" w:sz="4" w:space="0" w:color="auto"/>
              <w:bottom w:val="single" w:sz="4" w:space="0" w:color="auto"/>
              <w:right w:val="single" w:sz="4" w:space="0" w:color="auto"/>
            </w:tcBorders>
            <w:noWrap/>
            <w:hideMark/>
          </w:tcPr>
          <w:p w14:paraId="6E47EDB1"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29301</w:t>
            </w:r>
          </w:p>
        </w:tc>
        <w:tc>
          <w:tcPr>
            <w:tcW w:w="725" w:type="dxa"/>
            <w:tcBorders>
              <w:top w:val="single" w:sz="4" w:space="0" w:color="auto"/>
              <w:left w:val="single" w:sz="4" w:space="0" w:color="auto"/>
              <w:bottom w:val="single" w:sz="4" w:space="0" w:color="auto"/>
              <w:right w:val="single" w:sz="4" w:space="0" w:color="auto"/>
            </w:tcBorders>
            <w:noWrap/>
            <w:hideMark/>
          </w:tcPr>
          <w:p w14:paraId="5876873A"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28939</w:t>
            </w:r>
          </w:p>
        </w:tc>
        <w:tc>
          <w:tcPr>
            <w:tcW w:w="724" w:type="dxa"/>
            <w:tcBorders>
              <w:top w:val="single" w:sz="4" w:space="0" w:color="auto"/>
              <w:left w:val="single" w:sz="4" w:space="0" w:color="auto"/>
              <w:bottom w:val="single" w:sz="4" w:space="0" w:color="auto"/>
              <w:right w:val="single" w:sz="4" w:space="0" w:color="auto"/>
            </w:tcBorders>
            <w:noWrap/>
            <w:hideMark/>
          </w:tcPr>
          <w:p w14:paraId="562E9383"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28028</w:t>
            </w:r>
          </w:p>
        </w:tc>
        <w:tc>
          <w:tcPr>
            <w:tcW w:w="724" w:type="dxa"/>
            <w:tcBorders>
              <w:top w:val="single" w:sz="4" w:space="0" w:color="auto"/>
              <w:left w:val="single" w:sz="4" w:space="0" w:color="auto"/>
              <w:bottom w:val="single" w:sz="4" w:space="0" w:color="auto"/>
              <w:right w:val="single" w:sz="4" w:space="0" w:color="auto"/>
            </w:tcBorders>
            <w:noWrap/>
            <w:hideMark/>
          </w:tcPr>
          <w:p w14:paraId="53DDE174"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26626</w:t>
            </w:r>
          </w:p>
        </w:tc>
        <w:tc>
          <w:tcPr>
            <w:tcW w:w="724" w:type="dxa"/>
            <w:tcBorders>
              <w:top w:val="single" w:sz="4" w:space="0" w:color="auto"/>
              <w:left w:val="single" w:sz="4" w:space="0" w:color="auto"/>
              <w:bottom w:val="single" w:sz="4" w:space="0" w:color="auto"/>
              <w:right w:val="single" w:sz="4" w:space="0" w:color="auto"/>
            </w:tcBorders>
            <w:noWrap/>
            <w:hideMark/>
          </w:tcPr>
          <w:p w14:paraId="021F0951"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23865</w:t>
            </w:r>
          </w:p>
        </w:tc>
        <w:tc>
          <w:tcPr>
            <w:tcW w:w="725" w:type="dxa"/>
            <w:tcBorders>
              <w:top w:val="single" w:sz="4" w:space="0" w:color="auto"/>
              <w:left w:val="single" w:sz="4" w:space="0" w:color="auto"/>
              <w:bottom w:val="single" w:sz="4" w:space="0" w:color="auto"/>
              <w:right w:val="single" w:sz="4" w:space="0" w:color="auto"/>
            </w:tcBorders>
            <w:noWrap/>
            <w:hideMark/>
          </w:tcPr>
          <w:p w14:paraId="7BB52AA9"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18190</w:t>
            </w:r>
          </w:p>
        </w:tc>
        <w:tc>
          <w:tcPr>
            <w:tcW w:w="724" w:type="dxa"/>
            <w:tcBorders>
              <w:top w:val="single" w:sz="4" w:space="0" w:color="auto"/>
              <w:left w:val="single" w:sz="4" w:space="0" w:color="auto"/>
              <w:bottom w:val="single" w:sz="4" w:space="0" w:color="auto"/>
              <w:right w:val="single" w:sz="4" w:space="0" w:color="auto"/>
            </w:tcBorders>
            <w:noWrap/>
            <w:hideMark/>
          </w:tcPr>
          <w:p w14:paraId="7032851D"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14041</w:t>
            </w:r>
          </w:p>
        </w:tc>
        <w:tc>
          <w:tcPr>
            <w:tcW w:w="724" w:type="dxa"/>
            <w:tcBorders>
              <w:top w:val="single" w:sz="4" w:space="0" w:color="auto"/>
              <w:left w:val="single" w:sz="4" w:space="0" w:color="auto"/>
              <w:bottom w:val="single" w:sz="4" w:space="0" w:color="auto"/>
              <w:right w:val="single" w:sz="4" w:space="0" w:color="auto"/>
            </w:tcBorders>
            <w:noWrap/>
            <w:hideMark/>
          </w:tcPr>
          <w:p w14:paraId="5D2993B5"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9809</w:t>
            </w:r>
          </w:p>
        </w:tc>
        <w:tc>
          <w:tcPr>
            <w:tcW w:w="725" w:type="dxa"/>
            <w:tcBorders>
              <w:top w:val="single" w:sz="4" w:space="0" w:color="auto"/>
              <w:left w:val="single" w:sz="4" w:space="0" w:color="auto"/>
              <w:bottom w:val="single" w:sz="4" w:space="0" w:color="auto"/>
              <w:right w:val="single" w:sz="4" w:space="0" w:color="auto"/>
            </w:tcBorders>
            <w:noWrap/>
            <w:hideMark/>
          </w:tcPr>
          <w:p w14:paraId="1F146F6E"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3365</w:t>
            </w:r>
          </w:p>
        </w:tc>
      </w:tr>
      <w:tr w:rsidR="00614438" w:rsidRPr="004F5BC1" w14:paraId="07280906"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1C028292"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Scenario-S-N</w:t>
            </w:r>
          </w:p>
        </w:tc>
        <w:tc>
          <w:tcPr>
            <w:tcW w:w="724" w:type="dxa"/>
            <w:tcBorders>
              <w:top w:val="single" w:sz="4" w:space="0" w:color="auto"/>
              <w:left w:val="single" w:sz="4" w:space="0" w:color="auto"/>
              <w:bottom w:val="single" w:sz="4" w:space="0" w:color="auto"/>
              <w:right w:val="single" w:sz="4" w:space="0" w:color="auto"/>
            </w:tcBorders>
            <w:noWrap/>
            <w:hideMark/>
          </w:tcPr>
          <w:p w14:paraId="2757E6CB"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32572</w:t>
            </w:r>
          </w:p>
        </w:tc>
        <w:tc>
          <w:tcPr>
            <w:tcW w:w="724" w:type="dxa"/>
            <w:tcBorders>
              <w:top w:val="single" w:sz="4" w:space="0" w:color="auto"/>
              <w:left w:val="single" w:sz="4" w:space="0" w:color="auto"/>
              <w:bottom w:val="single" w:sz="4" w:space="0" w:color="auto"/>
              <w:right w:val="single" w:sz="4" w:space="0" w:color="auto"/>
            </w:tcBorders>
            <w:noWrap/>
            <w:hideMark/>
          </w:tcPr>
          <w:p w14:paraId="723DC5B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30129</w:t>
            </w:r>
          </w:p>
        </w:tc>
        <w:tc>
          <w:tcPr>
            <w:tcW w:w="724" w:type="dxa"/>
            <w:tcBorders>
              <w:top w:val="single" w:sz="4" w:space="0" w:color="auto"/>
              <w:left w:val="single" w:sz="4" w:space="0" w:color="auto"/>
              <w:bottom w:val="single" w:sz="4" w:space="0" w:color="auto"/>
              <w:right w:val="single" w:sz="4" w:space="0" w:color="auto"/>
            </w:tcBorders>
            <w:noWrap/>
            <w:hideMark/>
          </w:tcPr>
          <w:p w14:paraId="46D72B17"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29301</w:t>
            </w:r>
          </w:p>
        </w:tc>
        <w:tc>
          <w:tcPr>
            <w:tcW w:w="725" w:type="dxa"/>
            <w:tcBorders>
              <w:top w:val="single" w:sz="4" w:space="0" w:color="auto"/>
              <w:left w:val="single" w:sz="4" w:space="0" w:color="auto"/>
              <w:bottom w:val="single" w:sz="4" w:space="0" w:color="auto"/>
              <w:right w:val="single" w:sz="4" w:space="0" w:color="auto"/>
            </w:tcBorders>
            <w:noWrap/>
            <w:hideMark/>
          </w:tcPr>
          <w:p w14:paraId="479CE5F3"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28939</w:t>
            </w:r>
          </w:p>
        </w:tc>
        <w:tc>
          <w:tcPr>
            <w:tcW w:w="724" w:type="dxa"/>
            <w:tcBorders>
              <w:top w:val="single" w:sz="4" w:space="0" w:color="auto"/>
              <w:left w:val="single" w:sz="4" w:space="0" w:color="auto"/>
              <w:bottom w:val="single" w:sz="4" w:space="0" w:color="auto"/>
              <w:right w:val="single" w:sz="4" w:space="0" w:color="auto"/>
            </w:tcBorders>
            <w:noWrap/>
            <w:hideMark/>
          </w:tcPr>
          <w:p w14:paraId="692E77E3"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28028</w:t>
            </w:r>
          </w:p>
        </w:tc>
        <w:tc>
          <w:tcPr>
            <w:tcW w:w="724" w:type="dxa"/>
            <w:tcBorders>
              <w:top w:val="single" w:sz="4" w:space="0" w:color="auto"/>
              <w:left w:val="single" w:sz="4" w:space="0" w:color="auto"/>
              <w:bottom w:val="single" w:sz="4" w:space="0" w:color="auto"/>
              <w:right w:val="single" w:sz="4" w:space="0" w:color="auto"/>
            </w:tcBorders>
            <w:noWrap/>
            <w:hideMark/>
          </w:tcPr>
          <w:p w14:paraId="36BA2CC9"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26626</w:t>
            </w:r>
          </w:p>
        </w:tc>
        <w:tc>
          <w:tcPr>
            <w:tcW w:w="724" w:type="dxa"/>
            <w:tcBorders>
              <w:top w:val="single" w:sz="4" w:space="0" w:color="auto"/>
              <w:left w:val="single" w:sz="4" w:space="0" w:color="auto"/>
              <w:bottom w:val="single" w:sz="4" w:space="0" w:color="auto"/>
              <w:right w:val="single" w:sz="4" w:space="0" w:color="auto"/>
            </w:tcBorders>
            <w:noWrap/>
            <w:hideMark/>
          </w:tcPr>
          <w:p w14:paraId="1F54F563"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23865</w:t>
            </w:r>
          </w:p>
        </w:tc>
        <w:tc>
          <w:tcPr>
            <w:tcW w:w="725" w:type="dxa"/>
            <w:tcBorders>
              <w:top w:val="single" w:sz="4" w:space="0" w:color="auto"/>
              <w:left w:val="single" w:sz="4" w:space="0" w:color="auto"/>
              <w:bottom w:val="single" w:sz="4" w:space="0" w:color="auto"/>
              <w:right w:val="single" w:sz="4" w:space="0" w:color="auto"/>
            </w:tcBorders>
            <w:noWrap/>
            <w:hideMark/>
          </w:tcPr>
          <w:p w14:paraId="19568CB1"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18170</w:t>
            </w:r>
          </w:p>
        </w:tc>
        <w:tc>
          <w:tcPr>
            <w:tcW w:w="724" w:type="dxa"/>
            <w:tcBorders>
              <w:top w:val="single" w:sz="4" w:space="0" w:color="auto"/>
              <w:left w:val="single" w:sz="4" w:space="0" w:color="auto"/>
              <w:bottom w:val="single" w:sz="4" w:space="0" w:color="auto"/>
              <w:right w:val="single" w:sz="4" w:space="0" w:color="auto"/>
            </w:tcBorders>
            <w:noWrap/>
            <w:hideMark/>
          </w:tcPr>
          <w:p w14:paraId="28601ED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14954</w:t>
            </w:r>
          </w:p>
        </w:tc>
        <w:tc>
          <w:tcPr>
            <w:tcW w:w="724" w:type="dxa"/>
            <w:tcBorders>
              <w:top w:val="single" w:sz="4" w:space="0" w:color="auto"/>
              <w:left w:val="single" w:sz="4" w:space="0" w:color="auto"/>
              <w:bottom w:val="single" w:sz="4" w:space="0" w:color="auto"/>
              <w:right w:val="single" w:sz="4" w:space="0" w:color="auto"/>
            </w:tcBorders>
            <w:noWrap/>
            <w:hideMark/>
          </w:tcPr>
          <w:p w14:paraId="0A8C1552"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6807</w:t>
            </w:r>
          </w:p>
        </w:tc>
        <w:tc>
          <w:tcPr>
            <w:tcW w:w="725" w:type="dxa"/>
            <w:tcBorders>
              <w:top w:val="single" w:sz="4" w:space="0" w:color="auto"/>
              <w:left w:val="single" w:sz="4" w:space="0" w:color="auto"/>
              <w:bottom w:val="single" w:sz="4" w:space="0" w:color="auto"/>
              <w:right w:val="single" w:sz="4" w:space="0" w:color="auto"/>
            </w:tcBorders>
            <w:noWrap/>
            <w:hideMark/>
          </w:tcPr>
          <w:p w14:paraId="3B1A9DE4"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2471</w:t>
            </w:r>
          </w:p>
        </w:tc>
      </w:tr>
    </w:tbl>
    <w:p w14:paraId="25EEF2D0" w14:textId="77777777" w:rsidR="00614438" w:rsidRPr="004F5BC1" w:rsidRDefault="00614438" w:rsidP="00656BE7">
      <w:pPr>
        <w:spacing w:before="240"/>
        <w:jc w:val="both"/>
        <w:rPr>
          <w:rFonts w:ascii="Times New Roman" w:hAnsi="Times New Roman" w:cs="Times New Roman"/>
          <w:sz w:val="20"/>
          <w:szCs w:val="20"/>
          <w:lang w:val="en-GB"/>
        </w:rPr>
      </w:pPr>
      <w:bookmarkStart w:id="708" w:name="_Toc153545095"/>
      <w:bookmarkStart w:id="709" w:name="_Hlk148689050"/>
      <w:bookmarkEnd w:id="707"/>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Power Sector - emissions in ktons of CO2-eq</w:t>
      </w:r>
      <w:bookmarkEnd w:id="708"/>
    </w:p>
    <w:tbl>
      <w:tblPr>
        <w:tblStyle w:val="TableGrid"/>
        <w:tblW w:w="0" w:type="auto"/>
        <w:tblLayout w:type="fixed"/>
        <w:tblLook w:val="04A0" w:firstRow="1" w:lastRow="0" w:firstColumn="1" w:lastColumn="0" w:noHBand="0" w:noVBand="1"/>
      </w:tblPr>
      <w:tblGrid>
        <w:gridCol w:w="1661"/>
        <w:gridCol w:w="724"/>
        <w:gridCol w:w="724"/>
        <w:gridCol w:w="724"/>
        <w:gridCol w:w="725"/>
        <w:gridCol w:w="724"/>
        <w:gridCol w:w="724"/>
        <w:gridCol w:w="724"/>
        <w:gridCol w:w="725"/>
        <w:gridCol w:w="724"/>
        <w:gridCol w:w="724"/>
        <w:gridCol w:w="725"/>
      </w:tblGrid>
      <w:tr w:rsidR="00614438" w:rsidRPr="004F5BC1" w14:paraId="3ABBCEEF"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5AE5E1EA"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Power Sector emissions [ktons of CO2-eq]</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018AB5E"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2020</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D731B6E"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2025</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3EFFC1E"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2026</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8A7C45E"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2027</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7253033"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2028</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8B6FDA7"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2029</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F2DC370"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2030</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9AF7C61"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2035</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C433CCD"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2040</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A805AB7"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2045</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924FAF2"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2050</w:t>
            </w:r>
          </w:p>
        </w:tc>
      </w:tr>
      <w:tr w:rsidR="00614438" w:rsidRPr="004F5BC1" w14:paraId="509F7453"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51FE896E"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WEM</w:t>
            </w:r>
          </w:p>
        </w:tc>
        <w:tc>
          <w:tcPr>
            <w:tcW w:w="724" w:type="dxa"/>
            <w:tcBorders>
              <w:top w:val="single" w:sz="4" w:space="0" w:color="auto"/>
              <w:left w:val="single" w:sz="4" w:space="0" w:color="auto"/>
              <w:bottom w:val="single" w:sz="4" w:space="0" w:color="auto"/>
              <w:right w:val="single" w:sz="4" w:space="0" w:color="auto"/>
            </w:tcBorders>
            <w:noWrap/>
            <w:hideMark/>
          </w:tcPr>
          <w:p w14:paraId="2CEB1C4D"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30671</w:t>
            </w:r>
          </w:p>
        </w:tc>
        <w:tc>
          <w:tcPr>
            <w:tcW w:w="724" w:type="dxa"/>
            <w:tcBorders>
              <w:top w:val="single" w:sz="4" w:space="0" w:color="auto"/>
              <w:left w:val="single" w:sz="4" w:space="0" w:color="auto"/>
              <w:bottom w:val="single" w:sz="4" w:space="0" w:color="auto"/>
              <w:right w:val="single" w:sz="4" w:space="0" w:color="auto"/>
            </w:tcBorders>
            <w:noWrap/>
            <w:hideMark/>
          </w:tcPr>
          <w:p w14:paraId="52A9798F"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31307</w:t>
            </w:r>
          </w:p>
        </w:tc>
        <w:tc>
          <w:tcPr>
            <w:tcW w:w="724" w:type="dxa"/>
            <w:tcBorders>
              <w:top w:val="single" w:sz="4" w:space="0" w:color="auto"/>
              <w:left w:val="single" w:sz="4" w:space="0" w:color="auto"/>
              <w:bottom w:val="single" w:sz="4" w:space="0" w:color="auto"/>
              <w:right w:val="single" w:sz="4" w:space="0" w:color="auto"/>
            </w:tcBorders>
            <w:noWrap/>
            <w:hideMark/>
          </w:tcPr>
          <w:p w14:paraId="4AA936A5"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31857</w:t>
            </w:r>
          </w:p>
        </w:tc>
        <w:tc>
          <w:tcPr>
            <w:tcW w:w="725" w:type="dxa"/>
            <w:tcBorders>
              <w:top w:val="single" w:sz="4" w:space="0" w:color="auto"/>
              <w:left w:val="single" w:sz="4" w:space="0" w:color="auto"/>
              <w:bottom w:val="single" w:sz="4" w:space="0" w:color="auto"/>
              <w:right w:val="single" w:sz="4" w:space="0" w:color="auto"/>
            </w:tcBorders>
            <w:noWrap/>
            <w:hideMark/>
          </w:tcPr>
          <w:p w14:paraId="58A22DA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32503</w:t>
            </w:r>
          </w:p>
        </w:tc>
        <w:tc>
          <w:tcPr>
            <w:tcW w:w="724" w:type="dxa"/>
            <w:tcBorders>
              <w:top w:val="single" w:sz="4" w:space="0" w:color="auto"/>
              <w:left w:val="single" w:sz="4" w:space="0" w:color="auto"/>
              <w:bottom w:val="single" w:sz="4" w:space="0" w:color="auto"/>
              <w:right w:val="single" w:sz="4" w:space="0" w:color="auto"/>
            </w:tcBorders>
            <w:noWrap/>
            <w:hideMark/>
          </w:tcPr>
          <w:p w14:paraId="60BE7E70"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33311</w:t>
            </w:r>
          </w:p>
        </w:tc>
        <w:tc>
          <w:tcPr>
            <w:tcW w:w="724" w:type="dxa"/>
            <w:tcBorders>
              <w:top w:val="single" w:sz="4" w:space="0" w:color="auto"/>
              <w:left w:val="single" w:sz="4" w:space="0" w:color="auto"/>
              <w:bottom w:val="single" w:sz="4" w:space="0" w:color="auto"/>
              <w:right w:val="single" w:sz="4" w:space="0" w:color="auto"/>
            </w:tcBorders>
            <w:noWrap/>
            <w:hideMark/>
          </w:tcPr>
          <w:p w14:paraId="07058AEC"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34133</w:t>
            </w:r>
          </w:p>
        </w:tc>
        <w:tc>
          <w:tcPr>
            <w:tcW w:w="724" w:type="dxa"/>
            <w:tcBorders>
              <w:top w:val="single" w:sz="4" w:space="0" w:color="auto"/>
              <w:left w:val="single" w:sz="4" w:space="0" w:color="auto"/>
              <w:bottom w:val="single" w:sz="4" w:space="0" w:color="auto"/>
              <w:right w:val="single" w:sz="4" w:space="0" w:color="auto"/>
            </w:tcBorders>
            <w:noWrap/>
            <w:hideMark/>
          </w:tcPr>
          <w:p w14:paraId="7AAF395A"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35189</w:t>
            </w:r>
          </w:p>
        </w:tc>
        <w:tc>
          <w:tcPr>
            <w:tcW w:w="725" w:type="dxa"/>
            <w:tcBorders>
              <w:top w:val="single" w:sz="4" w:space="0" w:color="auto"/>
              <w:left w:val="single" w:sz="4" w:space="0" w:color="auto"/>
              <w:bottom w:val="single" w:sz="4" w:space="0" w:color="auto"/>
              <w:right w:val="single" w:sz="4" w:space="0" w:color="auto"/>
            </w:tcBorders>
            <w:noWrap/>
            <w:hideMark/>
          </w:tcPr>
          <w:p w14:paraId="2F3825B0"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37678</w:t>
            </w:r>
          </w:p>
        </w:tc>
        <w:tc>
          <w:tcPr>
            <w:tcW w:w="724" w:type="dxa"/>
            <w:tcBorders>
              <w:top w:val="single" w:sz="4" w:space="0" w:color="auto"/>
              <w:left w:val="single" w:sz="4" w:space="0" w:color="auto"/>
              <w:bottom w:val="single" w:sz="4" w:space="0" w:color="auto"/>
              <w:right w:val="single" w:sz="4" w:space="0" w:color="auto"/>
            </w:tcBorders>
            <w:noWrap/>
            <w:hideMark/>
          </w:tcPr>
          <w:p w14:paraId="180A8B4F"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39095</w:t>
            </w:r>
          </w:p>
        </w:tc>
        <w:tc>
          <w:tcPr>
            <w:tcW w:w="724" w:type="dxa"/>
            <w:tcBorders>
              <w:top w:val="single" w:sz="4" w:space="0" w:color="auto"/>
              <w:left w:val="single" w:sz="4" w:space="0" w:color="auto"/>
              <w:bottom w:val="single" w:sz="4" w:space="0" w:color="auto"/>
              <w:right w:val="single" w:sz="4" w:space="0" w:color="auto"/>
            </w:tcBorders>
            <w:noWrap/>
            <w:hideMark/>
          </w:tcPr>
          <w:p w14:paraId="678F1C4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40462</w:t>
            </w:r>
          </w:p>
        </w:tc>
        <w:tc>
          <w:tcPr>
            <w:tcW w:w="725" w:type="dxa"/>
            <w:tcBorders>
              <w:top w:val="single" w:sz="4" w:space="0" w:color="auto"/>
              <w:left w:val="single" w:sz="4" w:space="0" w:color="auto"/>
              <w:bottom w:val="single" w:sz="4" w:space="0" w:color="auto"/>
              <w:right w:val="single" w:sz="4" w:space="0" w:color="auto"/>
            </w:tcBorders>
            <w:noWrap/>
            <w:hideMark/>
          </w:tcPr>
          <w:p w14:paraId="783CD40A"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34552</w:t>
            </w:r>
          </w:p>
        </w:tc>
      </w:tr>
      <w:tr w:rsidR="00614438" w:rsidRPr="004F5BC1" w14:paraId="5B6E6770"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103E7530"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Scenario-S</w:t>
            </w:r>
          </w:p>
        </w:tc>
        <w:tc>
          <w:tcPr>
            <w:tcW w:w="724" w:type="dxa"/>
            <w:tcBorders>
              <w:top w:val="single" w:sz="4" w:space="0" w:color="auto"/>
              <w:left w:val="single" w:sz="4" w:space="0" w:color="auto"/>
              <w:bottom w:val="single" w:sz="4" w:space="0" w:color="auto"/>
              <w:right w:val="single" w:sz="4" w:space="0" w:color="auto"/>
            </w:tcBorders>
            <w:noWrap/>
            <w:hideMark/>
          </w:tcPr>
          <w:p w14:paraId="47226E8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30664</w:t>
            </w:r>
          </w:p>
        </w:tc>
        <w:tc>
          <w:tcPr>
            <w:tcW w:w="724" w:type="dxa"/>
            <w:tcBorders>
              <w:top w:val="single" w:sz="4" w:space="0" w:color="auto"/>
              <w:left w:val="single" w:sz="4" w:space="0" w:color="auto"/>
              <w:bottom w:val="single" w:sz="4" w:space="0" w:color="auto"/>
              <w:right w:val="single" w:sz="4" w:space="0" w:color="auto"/>
            </w:tcBorders>
            <w:noWrap/>
            <w:hideMark/>
          </w:tcPr>
          <w:p w14:paraId="0EF724CF"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27990</w:t>
            </w:r>
          </w:p>
        </w:tc>
        <w:tc>
          <w:tcPr>
            <w:tcW w:w="724" w:type="dxa"/>
            <w:tcBorders>
              <w:top w:val="single" w:sz="4" w:space="0" w:color="auto"/>
              <w:left w:val="single" w:sz="4" w:space="0" w:color="auto"/>
              <w:bottom w:val="single" w:sz="4" w:space="0" w:color="auto"/>
              <w:right w:val="single" w:sz="4" w:space="0" w:color="auto"/>
            </w:tcBorders>
            <w:noWrap/>
            <w:hideMark/>
          </w:tcPr>
          <w:p w14:paraId="3A4BE507"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27163</w:t>
            </w:r>
          </w:p>
        </w:tc>
        <w:tc>
          <w:tcPr>
            <w:tcW w:w="725" w:type="dxa"/>
            <w:tcBorders>
              <w:top w:val="single" w:sz="4" w:space="0" w:color="auto"/>
              <w:left w:val="single" w:sz="4" w:space="0" w:color="auto"/>
              <w:bottom w:val="single" w:sz="4" w:space="0" w:color="auto"/>
              <w:right w:val="single" w:sz="4" w:space="0" w:color="auto"/>
            </w:tcBorders>
            <w:noWrap/>
            <w:hideMark/>
          </w:tcPr>
          <w:p w14:paraId="0C9E107E"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26795</w:t>
            </w:r>
          </w:p>
        </w:tc>
        <w:tc>
          <w:tcPr>
            <w:tcW w:w="724" w:type="dxa"/>
            <w:tcBorders>
              <w:top w:val="single" w:sz="4" w:space="0" w:color="auto"/>
              <w:left w:val="single" w:sz="4" w:space="0" w:color="auto"/>
              <w:bottom w:val="single" w:sz="4" w:space="0" w:color="auto"/>
              <w:right w:val="single" w:sz="4" w:space="0" w:color="auto"/>
            </w:tcBorders>
            <w:noWrap/>
            <w:hideMark/>
          </w:tcPr>
          <w:p w14:paraId="26EB682C"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26009</w:t>
            </w:r>
          </w:p>
        </w:tc>
        <w:tc>
          <w:tcPr>
            <w:tcW w:w="724" w:type="dxa"/>
            <w:tcBorders>
              <w:top w:val="single" w:sz="4" w:space="0" w:color="auto"/>
              <w:left w:val="single" w:sz="4" w:space="0" w:color="auto"/>
              <w:bottom w:val="single" w:sz="4" w:space="0" w:color="auto"/>
              <w:right w:val="single" w:sz="4" w:space="0" w:color="auto"/>
            </w:tcBorders>
            <w:noWrap/>
            <w:hideMark/>
          </w:tcPr>
          <w:p w14:paraId="300834E1"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24657</w:t>
            </w:r>
          </w:p>
        </w:tc>
        <w:tc>
          <w:tcPr>
            <w:tcW w:w="724" w:type="dxa"/>
            <w:tcBorders>
              <w:top w:val="single" w:sz="4" w:space="0" w:color="auto"/>
              <w:left w:val="single" w:sz="4" w:space="0" w:color="auto"/>
              <w:bottom w:val="single" w:sz="4" w:space="0" w:color="auto"/>
              <w:right w:val="single" w:sz="4" w:space="0" w:color="auto"/>
            </w:tcBorders>
            <w:noWrap/>
            <w:hideMark/>
          </w:tcPr>
          <w:p w14:paraId="45E16DDC"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21843</w:t>
            </w:r>
          </w:p>
        </w:tc>
        <w:tc>
          <w:tcPr>
            <w:tcW w:w="725" w:type="dxa"/>
            <w:tcBorders>
              <w:top w:val="single" w:sz="4" w:space="0" w:color="auto"/>
              <w:left w:val="single" w:sz="4" w:space="0" w:color="auto"/>
              <w:bottom w:val="single" w:sz="4" w:space="0" w:color="auto"/>
              <w:right w:val="single" w:sz="4" w:space="0" w:color="auto"/>
            </w:tcBorders>
            <w:noWrap/>
            <w:hideMark/>
          </w:tcPr>
          <w:p w14:paraId="74406DC1"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16365</w:t>
            </w:r>
          </w:p>
        </w:tc>
        <w:tc>
          <w:tcPr>
            <w:tcW w:w="724" w:type="dxa"/>
            <w:tcBorders>
              <w:top w:val="single" w:sz="4" w:space="0" w:color="auto"/>
              <w:left w:val="single" w:sz="4" w:space="0" w:color="auto"/>
              <w:bottom w:val="single" w:sz="4" w:space="0" w:color="auto"/>
              <w:right w:val="single" w:sz="4" w:space="0" w:color="auto"/>
            </w:tcBorders>
            <w:noWrap/>
            <w:hideMark/>
          </w:tcPr>
          <w:p w14:paraId="66BF8756"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12118</w:t>
            </w:r>
          </w:p>
        </w:tc>
        <w:tc>
          <w:tcPr>
            <w:tcW w:w="724" w:type="dxa"/>
            <w:tcBorders>
              <w:top w:val="single" w:sz="4" w:space="0" w:color="auto"/>
              <w:left w:val="single" w:sz="4" w:space="0" w:color="auto"/>
              <w:bottom w:val="single" w:sz="4" w:space="0" w:color="auto"/>
              <w:right w:val="single" w:sz="4" w:space="0" w:color="auto"/>
            </w:tcBorders>
            <w:noWrap/>
            <w:hideMark/>
          </w:tcPr>
          <w:p w14:paraId="5CB7E2C1"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8174</w:t>
            </w:r>
          </w:p>
        </w:tc>
        <w:tc>
          <w:tcPr>
            <w:tcW w:w="725" w:type="dxa"/>
            <w:tcBorders>
              <w:top w:val="single" w:sz="4" w:space="0" w:color="auto"/>
              <w:left w:val="single" w:sz="4" w:space="0" w:color="auto"/>
              <w:bottom w:val="single" w:sz="4" w:space="0" w:color="auto"/>
              <w:right w:val="single" w:sz="4" w:space="0" w:color="auto"/>
            </w:tcBorders>
            <w:noWrap/>
            <w:hideMark/>
          </w:tcPr>
          <w:p w14:paraId="1582F143"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1708</w:t>
            </w:r>
          </w:p>
        </w:tc>
      </w:tr>
      <w:tr w:rsidR="00614438" w:rsidRPr="004F5BC1" w14:paraId="6E3936B1"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35831432"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Scenario-S-N</w:t>
            </w:r>
          </w:p>
        </w:tc>
        <w:tc>
          <w:tcPr>
            <w:tcW w:w="724" w:type="dxa"/>
            <w:tcBorders>
              <w:top w:val="single" w:sz="4" w:space="0" w:color="auto"/>
              <w:left w:val="single" w:sz="4" w:space="0" w:color="auto"/>
              <w:bottom w:val="single" w:sz="4" w:space="0" w:color="auto"/>
              <w:right w:val="single" w:sz="4" w:space="0" w:color="auto"/>
            </w:tcBorders>
            <w:noWrap/>
            <w:hideMark/>
          </w:tcPr>
          <w:p w14:paraId="00AA9A36"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30664</w:t>
            </w:r>
          </w:p>
        </w:tc>
        <w:tc>
          <w:tcPr>
            <w:tcW w:w="724" w:type="dxa"/>
            <w:tcBorders>
              <w:top w:val="single" w:sz="4" w:space="0" w:color="auto"/>
              <w:left w:val="single" w:sz="4" w:space="0" w:color="auto"/>
              <w:bottom w:val="single" w:sz="4" w:space="0" w:color="auto"/>
              <w:right w:val="single" w:sz="4" w:space="0" w:color="auto"/>
            </w:tcBorders>
            <w:noWrap/>
            <w:hideMark/>
          </w:tcPr>
          <w:p w14:paraId="2BEAA724"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27990</w:t>
            </w:r>
          </w:p>
        </w:tc>
        <w:tc>
          <w:tcPr>
            <w:tcW w:w="724" w:type="dxa"/>
            <w:tcBorders>
              <w:top w:val="single" w:sz="4" w:space="0" w:color="auto"/>
              <w:left w:val="single" w:sz="4" w:space="0" w:color="auto"/>
              <w:bottom w:val="single" w:sz="4" w:space="0" w:color="auto"/>
              <w:right w:val="single" w:sz="4" w:space="0" w:color="auto"/>
            </w:tcBorders>
            <w:noWrap/>
            <w:hideMark/>
          </w:tcPr>
          <w:p w14:paraId="641AD94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27163</w:t>
            </w:r>
          </w:p>
        </w:tc>
        <w:tc>
          <w:tcPr>
            <w:tcW w:w="725" w:type="dxa"/>
            <w:tcBorders>
              <w:top w:val="single" w:sz="4" w:space="0" w:color="auto"/>
              <w:left w:val="single" w:sz="4" w:space="0" w:color="auto"/>
              <w:bottom w:val="single" w:sz="4" w:space="0" w:color="auto"/>
              <w:right w:val="single" w:sz="4" w:space="0" w:color="auto"/>
            </w:tcBorders>
            <w:noWrap/>
            <w:hideMark/>
          </w:tcPr>
          <w:p w14:paraId="750E9640"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26795</w:t>
            </w:r>
          </w:p>
        </w:tc>
        <w:tc>
          <w:tcPr>
            <w:tcW w:w="724" w:type="dxa"/>
            <w:tcBorders>
              <w:top w:val="single" w:sz="4" w:space="0" w:color="auto"/>
              <w:left w:val="single" w:sz="4" w:space="0" w:color="auto"/>
              <w:bottom w:val="single" w:sz="4" w:space="0" w:color="auto"/>
              <w:right w:val="single" w:sz="4" w:space="0" w:color="auto"/>
            </w:tcBorders>
            <w:noWrap/>
            <w:hideMark/>
          </w:tcPr>
          <w:p w14:paraId="4BA71DC5"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26009</w:t>
            </w:r>
          </w:p>
        </w:tc>
        <w:tc>
          <w:tcPr>
            <w:tcW w:w="724" w:type="dxa"/>
            <w:tcBorders>
              <w:top w:val="single" w:sz="4" w:space="0" w:color="auto"/>
              <w:left w:val="single" w:sz="4" w:space="0" w:color="auto"/>
              <w:bottom w:val="single" w:sz="4" w:space="0" w:color="auto"/>
              <w:right w:val="single" w:sz="4" w:space="0" w:color="auto"/>
            </w:tcBorders>
            <w:noWrap/>
            <w:hideMark/>
          </w:tcPr>
          <w:p w14:paraId="652DE69B"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24657</w:t>
            </w:r>
          </w:p>
        </w:tc>
        <w:tc>
          <w:tcPr>
            <w:tcW w:w="724" w:type="dxa"/>
            <w:tcBorders>
              <w:top w:val="single" w:sz="4" w:space="0" w:color="auto"/>
              <w:left w:val="single" w:sz="4" w:space="0" w:color="auto"/>
              <w:bottom w:val="single" w:sz="4" w:space="0" w:color="auto"/>
              <w:right w:val="single" w:sz="4" w:space="0" w:color="auto"/>
            </w:tcBorders>
            <w:noWrap/>
            <w:hideMark/>
          </w:tcPr>
          <w:p w14:paraId="2CF4B28F"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21843</w:t>
            </w:r>
          </w:p>
        </w:tc>
        <w:tc>
          <w:tcPr>
            <w:tcW w:w="725" w:type="dxa"/>
            <w:tcBorders>
              <w:top w:val="single" w:sz="4" w:space="0" w:color="auto"/>
              <w:left w:val="single" w:sz="4" w:space="0" w:color="auto"/>
              <w:bottom w:val="single" w:sz="4" w:space="0" w:color="auto"/>
              <w:right w:val="single" w:sz="4" w:space="0" w:color="auto"/>
            </w:tcBorders>
            <w:noWrap/>
            <w:hideMark/>
          </w:tcPr>
          <w:p w14:paraId="4272E12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16354</w:t>
            </w:r>
          </w:p>
        </w:tc>
        <w:tc>
          <w:tcPr>
            <w:tcW w:w="724" w:type="dxa"/>
            <w:tcBorders>
              <w:top w:val="single" w:sz="4" w:space="0" w:color="auto"/>
              <w:left w:val="single" w:sz="4" w:space="0" w:color="auto"/>
              <w:bottom w:val="single" w:sz="4" w:space="0" w:color="auto"/>
              <w:right w:val="single" w:sz="4" w:space="0" w:color="auto"/>
            </w:tcBorders>
            <w:noWrap/>
            <w:hideMark/>
          </w:tcPr>
          <w:p w14:paraId="4C3480C4"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13030</w:t>
            </w:r>
          </w:p>
        </w:tc>
        <w:tc>
          <w:tcPr>
            <w:tcW w:w="724" w:type="dxa"/>
            <w:tcBorders>
              <w:top w:val="single" w:sz="4" w:space="0" w:color="auto"/>
              <w:left w:val="single" w:sz="4" w:space="0" w:color="auto"/>
              <w:bottom w:val="single" w:sz="4" w:space="0" w:color="auto"/>
              <w:right w:val="single" w:sz="4" w:space="0" w:color="auto"/>
            </w:tcBorders>
            <w:noWrap/>
            <w:hideMark/>
          </w:tcPr>
          <w:p w14:paraId="153CB2C0"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5009</w:t>
            </w:r>
          </w:p>
        </w:tc>
        <w:tc>
          <w:tcPr>
            <w:tcW w:w="725" w:type="dxa"/>
            <w:tcBorders>
              <w:top w:val="single" w:sz="4" w:space="0" w:color="auto"/>
              <w:left w:val="single" w:sz="4" w:space="0" w:color="auto"/>
              <w:bottom w:val="single" w:sz="4" w:space="0" w:color="auto"/>
              <w:right w:val="single" w:sz="4" w:space="0" w:color="auto"/>
            </w:tcBorders>
            <w:noWrap/>
            <w:hideMark/>
          </w:tcPr>
          <w:p w14:paraId="54A23788" w14:textId="77777777" w:rsidR="00614438" w:rsidRPr="004F5BC1" w:rsidRDefault="00614438" w:rsidP="004F5BC1">
            <w:pPr>
              <w:spacing w:line="259" w:lineRule="auto"/>
              <w:jc w:val="both"/>
              <w:rPr>
                <w:rFonts w:ascii="Times New Roman" w:hAnsi="Times New Roman" w:cs="Times New Roman"/>
                <w:sz w:val="20"/>
                <w:szCs w:val="20"/>
                <w:lang w:val="en-GB"/>
              </w:rPr>
            </w:pPr>
            <w:r w:rsidRPr="004F5BC1">
              <w:rPr>
                <w:rFonts w:ascii="Times New Roman" w:hAnsi="Times New Roman" w:cs="Times New Roman"/>
                <w:sz w:val="20"/>
                <w:szCs w:val="20"/>
                <w:lang w:val="en-GB"/>
              </w:rPr>
              <w:t>649</w:t>
            </w:r>
          </w:p>
        </w:tc>
      </w:tr>
    </w:tbl>
    <w:p w14:paraId="23F41FC9" w14:textId="77777777" w:rsidR="00614438" w:rsidRPr="00614438" w:rsidRDefault="00614438" w:rsidP="00656BE7">
      <w:pPr>
        <w:spacing w:before="240"/>
        <w:jc w:val="both"/>
        <w:rPr>
          <w:rFonts w:ascii="Times New Roman" w:hAnsi="Times New Roman" w:cs="Times New Roman"/>
          <w:sz w:val="24"/>
          <w:szCs w:val="24"/>
          <w:lang w:val="en-GB"/>
        </w:rPr>
      </w:pPr>
      <w:bookmarkStart w:id="710" w:name="_Toc153545096"/>
      <w:bookmarkEnd w:id="709"/>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3</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Manufacturing industries and construction: Energy Use, Fugitive and Process Emissions - emissions in ktons of CO2-eq</w:t>
      </w:r>
      <w:bookmarkEnd w:id="710"/>
    </w:p>
    <w:tbl>
      <w:tblPr>
        <w:tblStyle w:val="TableGrid"/>
        <w:tblW w:w="0" w:type="auto"/>
        <w:tblLayout w:type="fixed"/>
        <w:tblLook w:val="04A0" w:firstRow="1" w:lastRow="0" w:firstColumn="1" w:lastColumn="0" w:noHBand="0" w:noVBand="1"/>
      </w:tblPr>
      <w:tblGrid>
        <w:gridCol w:w="1661"/>
        <w:gridCol w:w="724"/>
        <w:gridCol w:w="724"/>
        <w:gridCol w:w="724"/>
        <w:gridCol w:w="725"/>
        <w:gridCol w:w="724"/>
        <w:gridCol w:w="724"/>
        <w:gridCol w:w="724"/>
        <w:gridCol w:w="725"/>
        <w:gridCol w:w="724"/>
        <w:gridCol w:w="724"/>
        <w:gridCol w:w="725"/>
      </w:tblGrid>
      <w:tr w:rsidR="00614438" w:rsidRPr="00656BE7" w14:paraId="254E3F4D"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677422A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Manufacturing industries and construction emissions [ktons of CO2-eq]</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D63640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901FD5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C6102D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0B6E53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383890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82BBD0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0FFDBC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2A0705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003634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D05275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9C2E81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r>
      <w:tr w:rsidR="00614438" w:rsidRPr="00656BE7" w14:paraId="513F5B43"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45DF465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WEM</w:t>
            </w:r>
          </w:p>
        </w:tc>
        <w:tc>
          <w:tcPr>
            <w:tcW w:w="724" w:type="dxa"/>
            <w:tcBorders>
              <w:top w:val="single" w:sz="4" w:space="0" w:color="auto"/>
              <w:left w:val="single" w:sz="4" w:space="0" w:color="auto"/>
              <w:bottom w:val="single" w:sz="4" w:space="0" w:color="auto"/>
              <w:right w:val="single" w:sz="4" w:space="0" w:color="auto"/>
            </w:tcBorders>
            <w:noWrap/>
            <w:hideMark/>
          </w:tcPr>
          <w:p w14:paraId="219B2C0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8462</w:t>
            </w:r>
          </w:p>
        </w:tc>
        <w:tc>
          <w:tcPr>
            <w:tcW w:w="724" w:type="dxa"/>
            <w:tcBorders>
              <w:top w:val="single" w:sz="4" w:space="0" w:color="auto"/>
              <w:left w:val="single" w:sz="4" w:space="0" w:color="auto"/>
              <w:bottom w:val="single" w:sz="4" w:space="0" w:color="auto"/>
              <w:right w:val="single" w:sz="4" w:space="0" w:color="auto"/>
            </w:tcBorders>
            <w:noWrap/>
            <w:hideMark/>
          </w:tcPr>
          <w:p w14:paraId="58F43AD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10587</w:t>
            </w:r>
          </w:p>
        </w:tc>
        <w:tc>
          <w:tcPr>
            <w:tcW w:w="724" w:type="dxa"/>
            <w:tcBorders>
              <w:top w:val="single" w:sz="4" w:space="0" w:color="auto"/>
              <w:left w:val="single" w:sz="4" w:space="0" w:color="auto"/>
              <w:bottom w:val="single" w:sz="4" w:space="0" w:color="auto"/>
              <w:right w:val="single" w:sz="4" w:space="0" w:color="auto"/>
            </w:tcBorders>
            <w:noWrap/>
            <w:hideMark/>
          </w:tcPr>
          <w:p w14:paraId="2C823C7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10755</w:t>
            </w:r>
          </w:p>
        </w:tc>
        <w:tc>
          <w:tcPr>
            <w:tcW w:w="725" w:type="dxa"/>
            <w:tcBorders>
              <w:top w:val="single" w:sz="4" w:space="0" w:color="auto"/>
              <w:left w:val="single" w:sz="4" w:space="0" w:color="auto"/>
              <w:bottom w:val="single" w:sz="4" w:space="0" w:color="auto"/>
              <w:right w:val="single" w:sz="4" w:space="0" w:color="auto"/>
            </w:tcBorders>
            <w:noWrap/>
            <w:hideMark/>
          </w:tcPr>
          <w:p w14:paraId="1B55C24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10957</w:t>
            </w:r>
          </w:p>
        </w:tc>
        <w:tc>
          <w:tcPr>
            <w:tcW w:w="724" w:type="dxa"/>
            <w:tcBorders>
              <w:top w:val="single" w:sz="4" w:space="0" w:color="auto"/>
              <w:left w:val="single" w:sz="4" w:space="0" w:color="auto"/>
              <w:bottom w:val="single" w:sz="4" w:space="0" w:color="auto"/>
              <w:right w:val="single" w:sz="4" w:space="0" w:color="auto"/>
            </w:tcBorders>
            <w:noWrap/>
            <w:hideMark/>
          </w:tcPr>
          <w:p w14:paraId="440BB22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11130</w:t>
            </w:r>
          </w:p>
        </w:tc>
        <w:tc>
          <w:tcPr>
            <w:tcW w:w="724" w:type="dxa"/>
            <w:tcBorders>
              <w:top w:val="single" w:sz="4" w:space="0" w:color="auto"/>
              <w:left w:val="single" w:sz="4" w:space="0" w:color="auto"/>
              <w:bottom w:val="single" w:sz="4" w:space="0" w:color="auto"/>
              <w:right w:val="single" w:sz="4" w:space="0" w:color="auto"/>
            </w:tcBorders>
            <w:noWrap/>
            <w:hideMark/>
          </w:tcPr>
          <w:p w14:paraId="0FBD71A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11360</w:t>
            </w:r>
          </w:p>
        </w:tc>
        <w:tc>
          <w:tcPr>
            <w:tcW w:w="724" w:type="dxa"/>
            <w:tcBorders>
              <w:top w:val="single" w:sz="4" w:space="0" w:color="auto"/>
              <w:left w:val="single" w:sz="4" w:space="0" w:color="auto"/>
              <w:bottom w:val="single" w:sz="4" w:space="0" w:color="auto"/>
              <w:right w:val="single" w:sz="4" w:space="0" w:color="auto"/>
            </w:tcBorders>
            <w:noWrap/>
            <w:hideMark/>
          </w:tcPr>
          <w:p w14:paraId="71BD1EE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11541</w:t>
            </w:r>
          </w:p>
        </w:tc>
        <w:tc>
          <w:tcPr>
            <w:tcW w:w="725" w:type="dxa"/>
            <w:tcBorders>
              <w:top w:val="single" w:sz="4" w:space="0" w:color="auto"/>
              <w:left w:val="single" w:sz="4" w:space="0" w:color="auto"/>
              <w:bottom w:val="single" w:sz="4" w:space="0" w:color="auto"/>
              <w:right w:val="single" w:sz="4" w:space="0" w:color="auto"/>
            </w:tcBorders>
            <w:noWrap/>
            <w:hideMark/>
          </w:tcPr>
          <w:p w14:paraId="7F586A7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12219</w:t>
            </w:r>
          </w:p>
        </w:tc>
        <w:tc>
          <w:tcPr>
            <w:tcW w:w="724" w:type="dxa"/>
            <w:tcBorders>
              <w:top w:val="single" w:sz="4" w:space="0" w:color="auto"/>
              <w:left w:val="single" w:sz="4" w:space="0" w:color="auto"/>
              <w:bottom w:val="single" w:sz="4" w:space="0" w:color="auto"/>
              <w:right w:val="single" w:sz="4" w:space="0" w:color="auto"/>
            </w:tcBorders>
            <w:noWrap/>
            <w:hideMark/>
          </w:tcPr>
          <w:p w14:paraId="7DF89D7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13491</w:t>
            </w:r>
          </w:p>
        </w:tc>
        <w:tc>
          <w:tcPr>
            <w:tcW w:w="724" w:type="dxa"/>
            <w:tcBorders>
              <w:top w:val="single" w:sz="4" w:space="0" w:color="auto"/>
              <w:left w:val="single" w:sz="4" w:space="0" w:color="auto"/>
              <w:bottom w:val="single" w:sz="4" w:space="0" w:color="auto"/>
              <w:right w:val="single" w:sz="4" w:space="0" w:color="auto"/>
            </w:tcBorders>
            <w:noWrap/>
            <w:hideMark/>
          </w:tcPr>
          <w:p w14:paraId="45BD900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14252</w:t>
            </w:r>
          </w:p>
        </w:tc>
        <w:tc>
          <w:tcPr>
            <w:tcW w:w="725" w:type="dxa"/>
            <w:tcBorders>
              <w:top w:val="single" w:sz="4" w:space="0" w:color="auto"/>
              <w:left w:val="single" w:sz="4" w:space="0" w:color="auto"/>
              <w:bottom w:val="single" w:sz="4" w:space="0" w:color="auto"/>
              <w:right w:val="single" w:sz="4" w:space="0" w:color="auto"/>
            </w:tcBorders>
            <w:noWrap/>
            <w:hideMark/>
          </w:tcPr>
          <w:p w14:paraId="144C615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15406</w:t>
            </w:r>
          </w:p>
        </w:tc>
      </w:tr>
      <w:tr w:rsidR="00614438" w:rsidRPr="00656BE7" w14:paraId="3E3FDA22"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069D019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w:t>
            </w:r>
          </w:p>
        </w:tc>
        <w:tc>
          <w:tcPr>
            <w:tcW w:w="724" w:type="dxa"/>
            <w:tcBorders>
              <w:top w:val="single" w:sz="4" w:space="0" w:color="auto"/>
              <w:left w:val="single" w:sz="4" w:space="0" w:color="auto"/>
              <w:bottom w:val="single" w:sz="4" w:space="0" w:color="auto"/>
              <w:right w:val="single" w:sz="4" w:space="0" w:color="auto"/>
            </w:tcBorders>
            <w:noWrap/>
            <w:hideMark/>
          </w:tcPr>
          <w:p w14:paraId="5051E48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8439</w:t>
            </w:r>
          </w:p>
        </w:tc>
        <w:tc>
          <w:tcPr>
            <w:tcW w:w="724" w:type="dxa"/>
            <w:tcBorders>
              <w:top w:val="single" w:sz="4" w:space="0" w:color="auto"/>
              <w:left w:val="single" w:sz="4" w:space="0" w:color="auto"/>
              <w:bottom w:val="single" w:sz="4" w:space="0" w:color="auto"/>
              <w:right w:val="single" w:sz="4" w:space="0" w:color="auto"/>
            </w:tcBorders>
            <w:noWrap/>
            <w:hideMark/>
          </w:tcPr>
          <w:p w14:paraId="70B9DCF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10366</w:t>
            </w:r>
          </w:p>
        </w:tc>
        <w:tc>
          <w:tcPr>
            <w:tcW w:w="724" w:type="dxa"/>
            <w:tcBorders>
              <w:top w:val="single" w:sz="4" w:space="0" w:color="auto"/>
              <w:left w:val="single" w:sz="4" w:space="0" w:color="auto"/>
              <w:bottom w:val="single" w:sz="4" w:space="0" w:color="auto"/>
              <w:right w:val="single" w:sz="4" w:space="0" w:color="auto"/>
            </w:tcBorders>
            <w:noWrap/>
            <w:hideMark/>
          </w:tcPr>
          <w:p w14:paraId="2560126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10354</w:t>
            </w:r>
          </w:p>
        </w:tc>
        <w:tc>
          <w:tcPr>
            <w:tcW w:w="725" w:type="dxa"/>
            <w:tcBorders>
              <w:top w:val="single" w:sz="4" w:space="0" w:color="auto"/>
              <w:left w:val="single" w:sz="4" w:space="0" w:color="auto"/>
              <w:bottom w:val="single" w:sz="4" w:space="0" w:color="auto"/>
              <w:right w:val="single" w:sz="4" w:space="0" w:color="auto"/>
            </w:tcBorders>
            <w:noWrap/>
            <w:hideMark/>
          </w:tcPr>
          <w:p w14:paraId="71AFE01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10431</w:t>
            </w:r>
          </w:p>
        </w:tc>
        <w:tc>
          <w:tcPr>
            <w:tcW w:w="724" w:type="dxa"/>
            <w:tcBorders>
              <w:top w:val="single" w:sz="4" w:space="0" w:color="auto"/>
              <w:left w:val="single" w:sz="4" w:space="0" w:color="auto"/>
              <w:bottom w:val="single" w:sz="4" w:space="0" w:color="auto"/>
              <w:right w:val="single" w:sz="4" w:space="0" w:color="auto"/>
            </w:tcBorders>
            <w:noWrap/>
            <w:hideMark/>
          </w:tcPr>
          <w:p w14:paraId="03350CA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10515</w:t>
            </w:r>
          </w:p>
        </w:tc>
        <w:tc>
          <w:tcPr>
            <w:tcW w:w="724" w:type="dxa"/>
            <w:tcBorders>
              <w:top w:val="single" w:sz="4" w:space="0" w:color="auto"/>
              <w:left w:val="single" w:sz="4" w:space="0" w:color="auto"/>
              <w:bottom w:val="single" w:sz="4" w:space="0" w:color="auto"/>
              <w:right w:val="single" w:sz="4" w:space="0" w:color="auto"/>
            </w:tcBorders>
            <w:noWrap/>
            <w:hideMark/>
          </w:tcPr>
          <w:p w14:paraId="2532458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10460</w:t>
            </w:r>
          </w:p>
        </w:tc>
        <w:tc>
          <w:tcPr>
            <w:tcW w:w="724" w:type="dxa"/>
            <w:tcBorders>
              <w:top w:val="single" w:sz="4" w:space="0" w:color="auto"/>
              <w:left w:val="single" w:sz="4" w:space="0" w:color="auto"/>
              <w:bottom w:val="single" w:sz="4" w:space="0" w:color="auto"/>
              <w:right w:val="single" w:sz="4" w:space="0" w:color="auto"/>
            </w:tcBorders>
            <w:noWrap/>
            <w:hideMark/>
          </w:tcPr>
          <w:p w14:paraId="14A2C32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9858</w:t>
            </w:r>
          </w:p>
        </w:tc>
        <w:tc>
          <w:tcPr>
            <w:tcW w:w="725" w:type="dxa"/>
            <w:tcBorders>
              <w:top w:val="single" w:sz="4" w:space="0" w:color="auto"/>
              <w:left w:val="single" w:sz="4" w:space="0" w:color="auto"/>
              <w:bottom w:val="single" w:sz="4" w:space="0" w:color="auto"/>
              <w:right w:val="single" w:sz="4" w:space="0" w:color="auto"/>
            </w:tcBorders>
            <w:noWrap/>
            <w:hideMark/>
          </w:tcPr>
          <w:p w14:paraId="4325C85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10336</w:t>
            </w:r>
          </w:p>
        </w:tc>
        <w:tc>
          <w:tcPr>
            <w:tcW w:w="724" w:type="dxa"/>
            <w:tcBorders>
              <w:top w:val="single" w:sz="4" w:space="0" w:color="auto"/>
              <w:left w:val="single" w:sz="4" w:space="0" w:color="auto"/>
              <w:bottom w:val="single" w:sz="4" w:space="0" w:color="auto"/>
              <w:right w:val="single" w:sz="4" w:space="0" w:color="auto"/>
            </w:tcBorders>
            <w:noWrap/>
            <w:hideMark/>
          </w:tcPr>
          <w:p w14:paraId="1B82D61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9379</w:t>
            </w:r>
          </w:p>
        </w:tc>
        <w:tc>
          <w:tcPr>
            <w:tcW w:w="724" w:type="dxa"/>
            <w:tcBorders>
              <w:top w:val="single" w:sz="4" w:space="0" w:color="auto"/>
              <w:left w:val="single" w:sz="4" w:space="0" w:color="auto"/>
              <w:bottom w:val="single" w:sz="4" w:space="0" w:color="auto"/>
              <w:right w:val="single" w:sz="4" w:space="0" w:color="auto"/>
            </w:tcBorders>
            <w:noWrap/>
            <w:hideMark/>
          </w:tcPr>
          <w:p w14:paraId="055D1F0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7777</w:t>
            </w:r>
          </w:p>
        </w:tc>
        <w:tc>
          <w:tcPr>
            <w:tcW w:w="725" w:type="dxa"/>
            <w:tcBorders>
              <w:top w:val="single" w:sz="4" w:space="0" w:color="auto"/>
              <w:left w:val="single" w:sz="4" w:space="0" w:color="auto"/>
              <w:bottom w:val="single" w:sz="4" w:space="0" w:color="auto"/>
              <w:right w:val="single" w:sz="4" w:space="0" w:color="auto"/>
            </w:tcBorders>
            <w:noWrap/>
            <w:hideMark/>
          </w:tcPr>
          <w:p w14:paraId="607D33F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8045</w:t>
            </w:r>
          </w:p>
        </w:tc>
      </w:tr>
      <w:tr w:rsidR="00614438" w:rsidRPr="00656BE7" w14:paraId="68350C7E"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32A01BC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Scenario-S-N</w:t>
            </w:r>
          </w:p>
        </w:tc>
        <w:tc>
          <w:tcPr>
            <w:tcW w:w="724" w:type="dxa"/>
            <w:tcBorders>
              <w:top w:val="single" w:sz="4" w:space="0" w:color="auto"/>
              <w:left w:val="single" w:sz="4" w:space="0" w:color="auto"/>
              <w:bottom w:val="single" w:sz="4" w:space="0" w:color="auto"/>
              <w:right w:val="single" w:sz="4" w:space="0" w:color="auto"/>
            </w:tcBorders>
            <w:noWrap/>
            <w:hideMark/>
          </w:tcPr>
          <w:p w14:paraId="43574BF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8439</w:t>
            </w:r>
          </w:p>
        </w:tc>
        <w:tc>
          <w:tcPr>
            <w:tcW w:w="724" w:type="dxa"/>
            <w:tcBorders>
              <w:top w:val="single" w:sz="4" w:space="0" w:color="auto"/>
              <w:left w:val="single" w:sz="4" w:space="0" w:color="auto"/>
              <w:bottom w:val="single" w:sz="4" w:space="0" w:color="auto"/>
              <w:right w:val="single" w:sz="4" w:space="0" w:color="auto"/>
            </w:tcBorders>
            <w:noWrap/>
            <w:hideMark/>
          </w:tcPr>
          <w:p w14:paraId="0709D09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10366</w:t>
            </w:r>
          </w:p>
        </w:tc>
        <w:tc>
          <w:tcPr>
            <w:tcW w:w="724" w:type="dxa"/>
            <w:tcBorders>
              <w:top w:val="single" w:sz="4" w:space="0" w:color="auto"/>
              <w:left w:val="single" w:sz="4" w:space="0" w:color="auto"/>
              <w:bottom w:val="single" w:sz="4" w:space="0" w:color="auto"/>
              <w:right w:val="single" w:sz="4" w:space="0" w:color="auto"/>
            </w:tcBorders>
            <w:noWrap/>
            <w:hideMark/>
          </w:tcPr>
          <w:p w14:paraId="1E9421D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10354</w:t>
            </w:r>
          </w:p>
        </w:tc>
        <w:tc>
          <w:tcPr>
            <w:tcW w:w="725" w:type="dxa"/>
            <w:tcBorders>
              <w:top w:val="single" w:sz="4" w:space="0" w:color="auto"/>
              <w:left w:val="single" w:sz="4" w:space="0" w:color="auto"/>
              <w:bottom w:val="single" w:sz="4" w:space="0" w:color="auto"/>
              <w:right w:val="single" w:sz="4" w:space="0" w:color="auto"/>
            </w:tcBorders>
            <w:noWrap/>
            <w:hideMark/>
          </w:tcPr>
          <w:p w14:paraId="33E3586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10431</w:t>
            </w:r>
          </w:p>
        </w:tc>
        <w:tc>
          <w:tcPr>
            <w:tcW w:w="724" w:type="dxa"/>
            <w:tcBorders>
              <w:top w:val="single" w:sz="4" w:space="0" w:color="auto"/>
              <w:left w:val="single" w:sz="4" w:space="0" w:color="auto"/>
              <w:bottom w:val="single" w:sz="4" w:space="0" w:color="auto"/>
              <w:right w:val="single" w:sz="4" w:space="0" w:color="auto"/>
            </w:tcBorders>
            <w:noWrap/>
            <w:hideMark/>
          </w:tcPr>
          <w:p w14:paraId="33C22CD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10515</w:t>
            </w:r>
          </w:p>
        </w:tc>
        <w:tc>
          <w:tcPr>
            <w:tcW w:w="724" w:type="dxa"/>
            <w:tcBorders>
              <w:top w:val="single" w:sz="4" w:space="0" w:color="auto"/>
              <w:left w:val="single" w:sz="4" w:space="0" w:color="auto"/>
              <w:bottom w:val="single" w:sz="4" w:space="0" w:color="auto"/>
              <w:right w:val="single" w:sz="4" w:space="0" w:color="auto"/>
            </w:tcBorders>
            <w:noWrap/>
            <w:hideMark/>
          </w:tcPr>
          <w:p w14:paraId="3B3F4FB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10460</w:t>
            </w:r>
          </w:p>
        </w:tc>
        <w:tc>
          <w:tcPr>
            <w:tcW w:w="724" w:type="dxa"/>
            <w:tcBorders>
              <w:top w:val="single" w:sz="4" w:space="0" w:color="auto"/>
              <w:left w:val="single" w:sz="4" w:space="0" w:color="auto"/>
              <w:bottom w:val="single" w:sz="4" w:space="0" w:color="auto"/>
              <w:right w:val="single" w:sz="4" w:space="0" w:color="auto"/>
            </w:tcBorders>
            <w:noWrap/>
            <w:hideMark/>
          </w:tcPr>
          <w:p w14:paraId="06E29D0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9858</w:t>
            </w:r>
          </w:p>
        </w:tc>
        <w:tc>
          <w:tcPr>
            <w:tcW w:w="725" w:type="dxa"/>
            <w:tcBorders>
              <w:top w:val="single" w:sz="4" w:space="0" w:color="auto"/>
              <w:left w:val="single" w:sz="4" w:space="0" w:color="auto"/>
              <w:bottom w:val="single" w:sz="4" w:space="0" w:color="auto"/>
              <w:right w:val="single" w:sz="4" w:space="0" w:color="auto"/>
            </w:tcBorders>
            <w:noWrap/>
            <w:hideMark/>
          </w:tcPr>
          <w:p w14:paraId="3EAF55E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10312</w:t>
            </w:r>
          </w:p>
        </w:tc>
        <w:tc>
          <w:tcPr>
            <w:tcW w:w="724" w:type="dxa"/>
            <w:tcBorders>
              <w:top w:val="single" w:sz="4" w:space="0" w:color="auto"/>
              <w:left w:val="single" w:sz="4" w:space="0" w:color="auto"/>
              <w:bottom w:val="single" w:sz="4" w:space="0" w:color="auto"/>
              <w:right w:val="single" w:sz="4" w:space="0" w:color="auto"/>
            </w:tcBorders>
            <w:noWrap/>
            <w:hideMark/>
          </w:tcPr>
          <w:p w14:paraId="677EA35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8712</w:t>
            </w:r>
          </w:p>
        </w:tc>
        <w:tc>
          <w:tcPr>
            <w:tcW w:w="724" w:type="dxa"/>
            <w:tcBorders>
              <w:top w:val="single" w:sz="4" w:space="0" w:color="auto"/>
              <w:left w:val="single" w:sz="4" w:space="0" w:color="auto"/>
              <w:bottom w:val="single" w:sz="4" w:space="0" w:color="auto"/>
              <w:right w:val="single" w:sz="4" w:space="0" w:color="auto"/>
            </w:tcBorders>
            <w:noWrap/>
            <w:hideMark/>
          </w:tcPr>
          <w:p w14:paraId="004DB54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7812</w:t>
            </w:r>
          </w:p>
        </w:tc>
        <w:tc>
          <w:tcPr>
            <w:tcW w:w="725" w:type="dxa"/>
            <w:tcBorders>
              <w:top w:val="single" w:sz="4" w:space="0" w:color="auto"/>
              <w:left w:val="single" w:sz="4" w:space="0" w:color="auto"/>
              <w:bottom w:val="single" w:sz="4" w:space="0" w:color="auto"/>
              <w:right w:val="single" w:sz="4" w:space="0" w:color="auto"/>
            </w:tcBorders>
            <w:noWrap/>
            <w:hideMark/>
          </w:tcPr>
          <w:p w14:paraId="402F0DE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8080</w:t>
            </w:r>
          </w:p>
        </w:tc>
      </w:tr>
    </w:tbl>
    <w:p w14:paraId="562D2121" w14:textId="77777777" w:rsidR="00614438" w:rsidRPr="00614438" w:rsidRDefault="00614438" w:rsidP="00656BE7">
      <w:pPr>
        <w:spacing w:before="240"/>
        <w:jc w:val="both"/>
        <w:rPr>
          <w:rFonts w:ascii="Times New Roman" w:hAnsi="Times New Roman" w:cs="Times New Roman"/>
          <w:sz w:val="24"/>
          <w:szCs w:val="24"/>
          <w:lang w:val="en-GB"/>
        </w:rPr>
      </w:pPr>
      <w:bookmarkStart w:id="711" w:name="_Toc153545097"/>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Transport - emissions in ktons of CO2-eq</w:t>
      </w:r>
      <w:bookmarkEnd w:id="711"/>
    </w:p>
    <w:tbl>
      <w:tblPr>
        <w:tblStyle w:val="TableGrid"/>
        <w:tblW w:w="0" w:type="auto"/>
        <w:tblLayout w:type="fixed"/>
        <w:tblLook w:val="04A0" w:firstRow="1" w:lastRow="0" w:firstColumn="1" w:lastColumn="0" w:noHBand="0" w:noVBand="1"/>
      </w:tblPr>
      <w:tblGrid>
        <w:gridCol w:w="1661"/>
        <w:gridCol w:w="724"/>
        <w:gridCol w:w="724"/>
        <w:gridCol w:w="724"/>
        <w:gridCol w:w="725"/>
        <w:gridCol w:w="724"/>
        <w:gridCol w:w="724"/>
        <w:gridCol w:w="724"/>
        <w:gridCol w:w="725"/>
        <w:gridCol w:w="724"/>
        <w:gridCol w:w="724"/>
        <w:gridCol w:w="725"/>
      </w:tblGrid>
      <w:tr w:rsidR="00614438" w:rsidRPr="00656BE7" w14:paraId="2AAE9CB7"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1C5CC34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Transport emissions [ktons of CO2-eq]</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DBC884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4C4236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38F98B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6E34E7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9463A3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633598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AFE167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0B184B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53D291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65E0B3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0E0C9E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r>
      <w:tr w:rsidR="00614438" w:rsidRPr="00656BE7" w14:paraId="349BCFE6"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07BEE8F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WEM</w:t>
            </w:r>
          </w:p>
        </w:tc>
        <w:tc>
          <w:tcPr>
            <w:tcW w:w="724" w:type="dxa"/>
            <w:tcBorders>
              <w:top w:val="single" w:sz="4" w:space="0" w:color="auto"/>
              <w:left w:val="single" w:sz="4" w:space="0" w:color="auto"/>
              <w:bottom w:val="single" w:sz="4" w:space="0" w:color="auto"/>
              <w:right w:val="single" w:sz="4" w:space="0" w:color="auto"/>
            </w:tcBorders>
            <w:noWrap/>
            <w:hideMark/>
          </w:tcPr>
          <w:p w14:paraId="41FBB5A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7166</w:t>
            </w:r>
          </w:p>
        </w:tc>
        <w:tc>
          <w:tcPr>
            <w:tcW w:w="724" w:type="dxa"/>
            <w:tcBorders>
              <w:top w:val="single" w:sz="4" w:space="0" w:color="auto"/>
              <w:left w:val="single" w:sz="4" w:space="0" w:color="auto"/>
              <w:bottom w:val="single" w:sz="4" w:space="0" w:color="auto"/>
              <w:right w:val="single" w:sz="4" w:space="0" w:color="auto"/>
            </w:tcBorders>
            <w:noWrap/>
            <w:hideMark/>
          </w:tcPr>
          <w:p w14:paraId="7073A4E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7880</w:t>
            </w:r>
          </w:p>
        </w:tc>
        <w:tc>
          <w:tcPr>
            <w:tcW w:w="724" w:type="dxa"/>
            <w:tcBorders>
              <w:top w:val="single" w:sz="4" w:space="0" w:color="auto"/>
              <w:left w:val="single" w:sz="4" w:space="0" w:color="auto"/>
              <w:bottom w:val="single" w:sz="4" w:space="0" w:color="auto"/>
              <w:right w:val="single" w:sz="4" w:space="0" w:color="auto"/>
            </w:tcBorders>
            <w:noWrap/>
            <w:hideMark/>
          </w:tcPr>
          <w:p w14:paraId="1F8ADDD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8031</w:t>
            </w:r>
          </w:p>
        </w:tc>
        <w:tc>
          <w:tcPr>
            <w:tcW w:w="725" w:type="dxa"/>
            <w:tcBorders>
              <w:top w:val="single" w:sz="4" w:space="0" w:color="auto"/>
              <w:left w:val="single" w:sz="4" w:space="0" w:color="auto"/>
              <w:bottom w:val="single" w:sz="4" w:space="0" w:color="auto"/>
              <w:right w:val="single" w:sz="4" w:space="0" w:color="auto"/>
            </w:tcBorders>
            <w:noWrap/>
            <w:hideMark/>
          </w:tcPr>
          <w:p w14:paraId="2D6DF89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8119</w:t>
            </w:r>
          </w:p>
        </w:tc>
        <w:tc>
          <w:tcPr>
            <w:tcW w:w="724" w:type="dxa"/>
            <w:tcBorders>
              <w:top w:val="single" w:sz="4" w:space="0" w:color="auto"/>
              <w:left w:val="single" w:sz="4" w:space="0" w:color="auto"/>
              <w:bottom w:val="single" w:sz="4" w:space="0" w:color="auto"/>
              <w:right w:val="single" w:sz="4" w:space="0" w:color="auto"/>
            </w:tcBorders>
            <w:noWrap/>
            <w:hideMark/>
          </w:tcPr>
          <w:p w14:paraId="6EE6B77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8189</w:t>
            </w:r>
          </w:p>
        </w:tc>
        <w:tc>
          <w:tcPr>
            <w:tcW w:w="724" w:type="dxa"/>
            <w:tcBorders>
              <w:top w:val="single" w:sz="4" w:space="0" w:color="auto"/>
              <w:left w:val="single" w:sz="4" w:space="0" w:color="auto"/>
              <w:bottom w:val="single" w:sz="4" w:space="0" w:color="auto"/>
              <w:right w:val="single" w:sz="4" w:space="0" w:color="auto"/>
            </w:tcBorders>
            <w:noWrap/>
            <w:hideMark/>
          </w:tcPr>
          <w:p w14:paraId="2419E8D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8270</w:t>
            </w:r>
          </w:p>
        </w:tc>
        <w:tc>
          <w:tcPr>
            <w:tcW w:w="724" w:type="dxa"/>
            <w:tcBorders>
              <w:top w:val="single" w:sz="4" w:space="0" w:color="auto"/>
              <w:left w:val="single" w:sz="4" w:space="0" w:color="auto"/>
              <w:bottom w:val="single" w:sz="4" w:space="0" w:color="auto"/>
              <w:right w:val="single" w:sz="4" w:space="0" w:color="auto"/>
            </w:tcBorders>
            <w:noWrap/>
            <w:hideMark/>
          </w:tcPr>
          <w:p w14:paraId="11063D0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8320</w:t>
            </w:r>
          </w:p>
        </w:tc>
        <w:tc>
          <w:tcPr>
            <w:tcW w:w="725" w:type="dxa"/>
            <w:tcBorders>
              <w:top w:val="single" w:sz="4" w:space="0" w:color="auto"/>
              <w:left w:val="single" w:sz="4" w:space="0" w:color="auto"/>
              <w:bottom w:val="single" w:sz="4" w:space="0" w:color="auto"/>
              <w:right w:val="single" w:sz="4" w:space="0" w:color="auto"/>
            </w:tcBorders>
            <w:noWrap/>
            <w:hideMark/>
          </w:tcPr>
          <w:p w14:paraId="375FDC8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8796</w:t>
            </w:r>
          </w:p>
        </w:tc>
        <w:tc>
          <w:tcPr>
            <w:tcW w:w="724" w:type="dxa"/>
            <w:tcBorders>
              <w:top w:val="single" w:sz="4" w:space="0" w:color="auto"/>
              <w:left w:val="single" w:sz="4" w:space="0" w:color="auto"/>
              <w:bottom w:val="single" w:sz="4" w:space="0" w:color="auto"/>
              <w:right w:val="single" w:sz="4" w:space="0" w:color="auto"/>
            </w:tcBorders>
            <w:noWrap/>
            <w:hideMark/>
          </w:tcPr>
          <w:p w14:paraId="739B2C1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9526</w:t>
            </w:r>
          </w:p>
        </w:tc>
        <w:tc>
          <w:tcPr>
            <w:tcW w:w="724" w:type="dxa"/>
            <w:tcBorders>
              <w:top w:val="single" w:sz="4" w:space="0" w:color="auto"/>
              <w:left w:val="single" w:sz="4" w:space="0" w:color="auto"/>
              <w:bottom w:val="single" w:sz="4" w:space="0" w:color="auto"/>
              <w:right w:val="single" w:sz="4" w:space="0" w:color="auto"/>
            </w:tcBorders>
            <w:noWrap/>
            <w:hideMark/>
          </w:tcPr>
          <w:p w14:paraId="22F71F1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10218</w:t>
            </w:r>
          </w:p>
        </w:tc>
        <w:tc>
          <w:tcPr>
            <w:tcW w:w="725" w:type="dxa"/>
            <w:tcBorders>
              <w:top w:val="single" w:sz="4" w:space="0" w:color="auto"/>
              <w:left w:val="single" w:sz="4" w:space="0" w:color="auto"/>
              <w:bottom w:val="single" w:sz="4" w:space="0" w:color="auto"/>
              <w:right w:val="single" w:sz="4" w:space="0" w:color="auto"/>
            </w:tcBorders>
            <w:noWrap/>
            <w:hideMark/>
          </w:tcPr>
          <w:p w14:paraId="7D6F5EF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10859</w:t>
            </w:r>
          </w:p>
        </w:tc>
      </w:tr>
      <w:tr w:rsidR="00614438" w:rsidRPr="00656BE7" w14:paraId="0B997F3E"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5883893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w:t>
            </w:r>
          </w:p>
        </w:tc>
        <w:tc>
          <w:tcPr>
            <w:tcW w:w="724" w:type="dxa"/>
            <w:tcBorders>
              <w:top w:val="single" w:sz="4" w:space="0" w:color="auto"/>
              <w:left w:val="single" w:sz="4" w:space="0" w:color="auto"/>
              <w:bottom w:val="single" w:sz="4" w:space="0" w:color="auto"/>
              <w:right w:val="single" w:sz="4" w:space="0" w:color="auto"/>
            </w:tcBorders>
            <w:noWrap/>
            <w:hideMark/>
          </w:tcPr>
          <w:p w14:paraId="4932E01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7166</w:t>
            </w:r>
          </w:p>
        </w:tc>
        <w:tc>
          <w:tcPr>
            <w:tcW w:w="724" w:type="dxa"/>
            <w:tcBorders>
              <w:top w:val="single" w:sz="4" w:space="0" w:color="auto"/>
              <w:left w:val="single" w:sz="4" w:space="0" w:color="auto"/>
              <w:bottom w:val="single" w:sz="4" w:space="0" w:color="auto"/>
              <w:right w:val="single" w:sz="4" w:space="0" w:color="auto"/>
            </w:tcBorders>
            <w:noWrap/>
            <w:hideMark/>
          </w:tcPr>
          <w:p w14:paraId="3FCB8A2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7578</w:t>
            </w:r>
          </w:p>
        </w:tc>
        <w:tc>
          <w:tcPr>
            <w:tcW w:w="724" w:type="dxa"/>
            <w:tcBorders>
              <w:top w:val="single" w:sz="4" w:space="0" w:color="auto"/>
              <w:left w:val="single" w:sz="4" w:space="0" w:color="auto"/>
              <w:bottom w:val="single" w:sz="4" w:space="0" w:color="auto"/>
              <w:right w:val="single" w:sz="4" w:space="0" w:color="auto"/>
            </w:tcBorders>
            <w:noWrap/>
            <w:hideMark/>
          </w:tcPr>
          <w:p w14:paraId="7E80C68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7618</w:t>
            </w:r>
          </w:p>
        </w:tc>
        <w:tc>
          <w:tcPr>
            <w:tcW w:w="725" w:type="dxa"/>
            <w:tcBorders>
              <w:top w:val="single" w:sz="4" w:space="0" w:color="auto"/>
              <w:left w:val="single" w:sz="4" w:space="0" w:color="auto"/>
              <w:bottom w:val="single" w:sz="4" w:space="0" w:color="auto"/>
              <w:right w:val="single" w:sz="4" w:space="0" w:color="auto"/>
            </w:tcBorders>
            <w:noWrap/>
            <w:hideMark/>
          </w:tcPr>
          <w:p w14:paraId="2D4DDFC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7579</w:t>
            </w:r>
          </w:p>
        </w:tc>
        <w:tc>
          <w:tcPr>
            <w:tcW w:w="724" w:type="dxa"/>
            <w:tcBorders>
              <w:top w:val="single" w:sz="4" w:space="0" w:color="auto"/>
              <w:left w:val="single" w:sz="4" w:space="0" w:color="auto"/>
              <w:bottom w:val="single" w:sz="4" w:space="0" w:color="auto"/>
              <w:right w:val="single" w:sz="4" w:space="0" w:color="auto"/>
            </w:tcBorders>
            <w:noWrap/>
            <w:hideMark/>
          </w:tcPr>
          <w:p w14:paraId="1F8E6C9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7564</w:t>
            </w:r>
          </w:p>
        </w:tc>
        <w:tc>
          <w:tcPr>
            <w:tcW w:w="724" w:type="dxa"/>
            <w:tcBorders>
              <w:top w:val="single" w:sz="4" w:space="0" w:color="auto"/>
              <w:left w:val="single" w:sz="4" w:space="0" w:color="auto"/>
              <w:bottom w:val="single" w:sz="4" w:space="0" w:color="auto"/>
              <w:right w:val="single" w:sz="4" w:space="0" w:color="auto"/>
            </w:tcBorders>
            <w:noWrap/>
            <w:hideMark/>
          </w:tcPr>
          <w:p w14:paraId="35E8EFD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7470</w:t>
            </w:r>
          </w:p>
        </w:tc>
        <w:tc>
          <w:tcPr>
            <w:tcW w:w="724" w:type="dxa"/>
            <w:tcBorders>
              <w:top w:val="single" w:sz="4" w:space="0" w:color="auto"/>
              <w:left w:val="single" w:sz="4" w:space="0" w:color="auto"/>
              <w:bottom w:val="single" w:sz="4" w:space="0" w:color="auto"/>
              <w:right w:val="single" w:sz="4" w:space="0" w:color="auto"/>
            </w:tcBorders>
            <w:noWrap/>
            <w:hideMark/>
          </w:tcPr>
          <w:p w14:paraId="4446D9A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7617</w:t>
            </w:r>
          </w:p>
        </w:tc>
        <w:tc>
          <w:tcPr>
            <w:tcW w:w="725" w:type="dxa"/>
            <w:tcBorders>
              <w:top w:val="single" w:sz="4" w:space="0" w:color="auto"/>
              <w:left w:val="single" w:sz="4" w:space="0" w:color="auto"/>
              <w:bottom w:val="single" w:sz="4" w:space="0" w:color="auto"/>
              <w:right w:val="single" w:sz="4" w:space="0" w:color="auto"/>
            </w:tcBorders>
            <w:noWrap/>
            <w:hideMark/>
          </w:tcPr>
          <w:p w14:paraId="6D19033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7195</w:t>
            </w:r>
          </w:p>
        </w:tc>
        <w:tc>
          <w:tcPr>
            <w:tcW w:w="724" w:type="dxa"/>
            <w:tcBorders>
              <w:top w:val="single" w:sz="4" w:space="0" w:color="auto"/>
              <w:left w:val="single" w:sz="4" w:space="0" w:color="auto"/>
              <w:bottom w:val="single" w:sz="4" w:space="0" w:color="auto"/>
              <w:right w:val="single" w:sz="4" w:space="0" w:color="auto"/>
            </w:tcBorders>
            <w:noWrap/>
            <w:hideMark/>
          </w:tcPr>
          <w:p w14:paraId="739CE7C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6831</w:t>
            </w:r>
          </w:p>
        </w:tc>
        <w:tc>
          <w:tcPr>
            <w:tcW w:w="724" w:type="dxa"/>
            <w:tcBorders>
              <w:top w:val="single" w:sz="4" w:space="0" w:color="auto"/>
              <w:left w:val="single" w:sz="4" w:space="0" w:color="auto"/>
              <w:bottom w:val="single" w:sz="4" w:space="0" w:color="auto"/>
              <w:right w:val="single" w:sz="4" w:space="0" w:color="auto"/>
            </w:tcBorders>
            <w:noWrap/>
            <w:hideMark/>
          </w:tcPr>
          <w:p w14:paraId="6574FAA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5547</w:t>
            </w:r>
          </w:p>
        </w:tc>
        <w:tc>
          <w:tcPr>
            <w:tcW w:w="725" w:type="dxa"/>
            <w:tcBorders>
              <w:top w:val="single" w:sz="4" w:space="0" w:color="auto"/>
              <w:left w:val="single" w:sz="4" w:space="0" w:color="auto"/>
              <w:bottom w:val="single" w:sz="4" w:space="0" w:color="auto"/>
              <w:right w:val="single" w:sz="4" w:space="0" w:color="auto"/>
            </w:tcBorders>
            <w:noWrap/>
            <w:hideMark/>
          </w:tcPr>
          <w:p w14:paraId="53C0195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4206</w:t>
            </w:r>
          </w:p>
        </w:tc>
      </w:tr>
      <w:tr w:rsidR="00614438" w:rsidRPr="00656BE7" w14:paraId="4CB9EF6C"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1AB3366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Scenario-S-N</w:t>
            </w:r>
          </w:p>
        </w:tc>
        <w:tc>
          <w:tcPr>
            <w:tcW w:w="724" w:type="dxa"/>
            <w:tcBorders>
              <w:top w:val="single" w:sz="4" w:space="0" w:color="auto"/>
              <w:left w:val="single" w:sz="4" w:space="0" w:color="auto"/>
              <w:bottom w:val="single" w:sz="4" w:space="0" w:color="auto"/>
              <w:right w:val="single" w:sz="4" w:space="0" w:color="auto"/>
            </w:tcBorders>
            <w:noWrap/>
            <w:hideMark/>
          </w:tcPr>
          <w:p w14:paraId="683BE9A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7166</w:t>
            </w:r>
          </w:p>
        </w:tc>
        <w:tc>
          <w:tcPr>
            <w:tcW w:w="724" w:type="dxa"/>
            <w:tcBorders>
              <w:top w:val="single" w:sz="4" w:space="0" w:color="auto"/>
              <w:left w:val="single" w:sz="4" w:space="0" w:color="auto"/>
              <w:bottom w:val="single" w:sz="4" w:space="0" w:color="auto"/>
              <w:right w:val="single" w:sz="4" w:space="0" w:color="auto"/>
            </w:tcBorders>
            <w:noWrap/>
            <w:hideMark/>
          </w:tcPr>
          <w:p w14:paraId="5D80C29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7578</w:t>
            </w:r>
          </w:p>
        </w:tc>
        <w:tc>
          <w:tcPr>
            <w:tcW w:w="724" w:type="dxa"/>
            <w:tcBorders>
              <w:top w:val="single" w:sz="4" w:space="0" w:color="auto"/>
              <w:left w:val="single" w:sz="4" w:space="0" w:color="auto"/>
              <w:bottom w:val="single" w:sz="4" w:space="0" w:color="auto"/>
              <w:right w:val="single" w:sz="4" w:space="0" w:color="auto"/>
            </w:tcBorders>
            <w:noWrap/>
            <w:hideMark/>
          </w:tcPr>
          <w:p w14:paraId="2FB67A9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7618</w:t>
            </w:r>
          </w:p>
        </w:tc>
        <w:tc>
          <w:tcPr>
            <w:tcW w:w="725" w:type="dxa"/>
            <w:tcBorders>
              <w:top w:val="single" w:sz="4" w:space="0" w:color="auto"/>
              <w:left w:val="single" w:sz="4" w:space="0" w:color="auto"/>
              <w:bottom w:val="single" w:sz="4" w:space="0" w:color="auto"/>
              <w:right w:val="single" w:sz="4" w:space="0" w:color="auto"/>
            </w:tcBorders>
            <w:noWrap/>
            <w:hideMark/>
          </w:tcPr>
          <w:p w14:paraId="0689DB3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7579</w:t>
            </w:r>
          </w:p>
        </w:tc>
        <w:tc>
          <w:tcPr>
            <w:tcW w:w="724" w:type="dxa"/>
            <w:tcBorders>
              <w:top w:val="single" w:sz="4" w:space="0" w:color="auto"/>
              <w:left w:val="single" w:sz="4" w:space="0" w:color="auto"/>
              <w:bottom w:val="single" w:sz="4" w:space="0" w:color="auto"/>
              <w:right w:val="single" w:sz="4" w:space="0" w:color="auto"/>
            </w:tcBorders>
            <w:noWrap/>
            <w:hideMark/>
          </w:tcPr>
          <w:p w14:paraId="71AC413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7564</w:t>
            </w:r>
          </w:p>
        </w:tc>
        <w:tc>
          <w:tcPr>
            <w:tcW w:w="724" w:type="dxa"/>
            <w:tcBorders>
              <w:top w:val="single" w:sz="4" w:space="0" w:color="auto"/>
              <w:left w:val="single" w:sz="4" w:space="0" w:color="auto"/>
              <w:bottom w:val="single" w:sz="4" w:space="0" w:color="auto"/>
              <w:right w:val="single" w:sz="4" w:space="0" w:color="auto"/>
            </w:tcBorders>
            <w:noWrap/>
            <w:hideMark/>
          </w:tcPr>
          <w:p w14:paraId="784FED6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7470</w:t>
            </w:r>
          </w:p>
        </w:tc>
        <w:tc>
          <w:tcPr>
            <w:tcW w:w="724" w:type="dxa"/>
            <w:tcBorders>
              <w:top w:val="single" w:sz="4" w:space="0" w:color="auto"/>
              <w:left w:val="single" w:sz="4" w:space="0" w:color="auto"/>
              <w:bottom w:val="single" w:sz="4" w:space="0" w:color="auto"/>
              <w:right w:val="single" w:sz="4" w:space="0" w:color="auto"/>
            </w:tcBorders>
            <w:noWrap/>
            <w:hideMark/>
          </w:tcPr>
          <w:p w14:paraId="2D54127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7617</w:t>
            </w:r>
          </w:p>
        </w:tc>
        <w:tc>
          <w:tcPr>
            <w:tcW w:w="725" w:type="dxa"/>
            <w:tcBorders>
              <w:top w:val="single" w:sz="4" w:space="0" w:color="auto"/>
              <w:left w:val="single" w:sz="4" w:space="0" w:color="auto"/>
              <w:bottom w:val="single" w:sz="4" w:space="0" w:color="auto"/>
              <w:right w:val="single" w:sz="4" w:space="0" w:color="auto"/>
            </w:tcBorders>
            <w:noWrap/>
            <w:hideMark/>
          </w:tcPr>
          <w:p w14:paraId="0D561F8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7244</w:t>
            </w:r>
          </w:p>
        </w:tc>
        <w:tc>
          <w:tcPr>
            <w:tcW w:w="724" w:type="dxa"/>
            <w:tcBorders>
              <w:top w:val="single" w:sz="4" w:space="0" w:color="auto"/>
              <w:left w:val="single" w:sz="4" w:space="0" w:color="auto"/>
              <w:bottom w:val="single" w:sz="4" w:space="0" w:color="auto"/>
              <w:right w:val="single" w:sz="4" w:space="0" w:color="auto"/>
            </w:tcBorders>
            <w:noWrap/>
            <w:hideMark/>
          </w:tcPr>
          <w:p w14:paraId="3C052B6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6588</w:t>
            </w:r>
          </w:p>
        </w:tc>
        <w:tc>
          <w:tcPr>
            <w:tcW w:w="724" w:type="dxa"/>
            <w:tcBorders>
              <w:top w:val="single" w:sz="4" w:space="0" w:color="auto"/>
              <w:left w:val="single" w:sz="4" w:space="0" w:color="auto"/>
              <w:bottom w:val="single" w:sz="4" w:space="0" w:color="auto"/>
              <w:right w:val="single" w:sz="4" w:space="0" w:color="auto"/>
            </w:tcBorders>
            <w:noWrap/>
            <w:hideMark/>
          </w:tcPr>
          <w:p w14:paraId="2D5EFDB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5114</w:t>
            </w:r>
          </w:p>
        </w:tc>
        <w:tc>
          <w:tcPr>
            <w:tcW w:w="725" w:type="dxa"/>
            <w:tcBorders>
              <w:top w:val="single" w:sz="4" w:space="0" w:color="auto"/>
              <w:left w:val="single" w:sz="4" w:space="0" w:color="auto"/>
              <w:bottom w:val="single" w:sz="4" w:space="0" w:color="auto"/>
              <w:right w:val="single" w:sz="4" w:space="0" w:color="auto"/>
            </w:tcBorders>
            <w:noWrap/>
            <w:hideMark/>
          </w:tcPr>
          <w:p w14:paraId="303718A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3736</w:t>
            </w:r>
          </w:p>
        </w:tc>
      </w:tr>
    </w:tbl>
    <w:p w14:paraId="1422EEE2" w14:textId="77777777" w:rsidR="00614438" w:rsidRPr="00614438" w:rsidRDefault="00614438" w:rsidP="00656BE7">
      <w:pPr>
        <w:spacing w:before="240"/>
        <w:jc w:val="both"/>
        <w:rPr>
          <w:rFonts w:ascii="Times New Roman" w:hAnsi="Times New Roman" w:cs="Times New Roman"/>
          <w:sz w:val="24"/>
          <w:szCs w:val="24"/>
          <w:lang w:val="en-GB"/>
        </w:rPr>
      </w:pPr>
      <w:bookmarkStart w:id="712" w:name="_Toc153545098"/>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Residential Sector - emissions in ktons of CO2-eq</w:t>
      </w:r>
      <w:bookmarkEnd w:id="712"/>
    </w:p>
    <w:tbl>
      <w:tblPr>
        <w:tblStyle w:val="TableGrid"/>
        <w:tblW w:w="0" w:type="auto"/>
        <w:tblLayout w:type="fixed"/>
        <w:tblLook w:val="04A0" w:firstRow="1" w:lastRow="0" w:firstColumn="1" w:lastColumn="0" w:noHBand="0" w:noVBand="1"/>
      </w:tblPr>
      <w:tblGrid>
        <w:gridCol w:w="1661"/>
        <w:gridCol w:w="724"/>
        <w:gridCol w:w="724"/>
        <w:gridCol w:w="724"/>
        <w:gridCol w:w="725"/>
        <w:gridCol w:w="724"/>
        <w:gridCol w:w="724"/>
        <w:gridCol w:w="724"/>
        <w:gridCol w:w="725"/>
        <w:gridCol w:w="724"/>
        <w:gridCol w:w="724"/>
        <w:gridCol w:w="725"/>
      </w:tblGrid>
      <w:tr w:rsidR="00614438" w:rsidRPr="00656BE7" w14:paraId="52E59969"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1B33161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lastRenderedPageBreak/>
              <w:t>Residential Sector emissions [ktons of CO2-eq]</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1E4315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A4602D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AE8C8D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F6D404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D471CB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C24576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9396DC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B35F61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02F898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ABCF05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D5C243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r>
      <w:tr w:rsidR="00614438" w:rsidRPr="00656BE7" w14:paraId="6FB7C9DC"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4D3B25B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WEM</w:t>
            </w:r>
          </w:p>
        </w:tc>
        <w:tc>
          <w:tcPr>
            <w:tcW w:w="724" w:type="dxa"/>
            <w:tcBorders>
              <w:top w:val="single" w:sz="4" w:space="0" w:color="auto"/>
              <w:left w:val="single" w:sz="4" w:space="0" w:color="auto"/>
              <w:bottom w:val="single" w:sz="4" w:space="0" w:color="auto"/>
              <w:right w:val="single" w:sz="4" w:space="0" w:color="auto"/>
            </w:tcBorders>
            <w:noWrap/>
            <w:hideMark/>
          </w:tcPr>
          <w:p w14:paraId="7123A04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2076</w:t>
            </w:r>
          </w:p>
        </w:tc>
        <w:tc>
          <w:tcPr>
            <w:tcW w:w="724" w:type="dxa"/>
            <w:tcBorders>
              <w:top w:val="single" w:sz="4" w:space="0" w:color="auto"/>
              <w:left w:val="single" w:sz="4" w:space="0" w:color="auto"/>
              <w:bottom w:val="single" w:sz="4" w:space="0" w:color="auto"/>
              <w:right w:val="single" w:sz="4" w:space="0" w:color="auto"/>
            </w:tcBorders>
            <w:noWrap/>
            <w:hideMark/>
          </w:tcPr>
          <w:p w14:paraId="7EC8646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1437</w:t>
            </w:r>
          </w:p>
        </w:tc>
        <w:tc>
          <w:tcPr>
            <w:tcW w:w="724" w:type="dxa"/>
            <w:tcBorders>
              <w:top w:val="single" w:sz="4" w:space="0" w:color="auto"/>
              <w:left w:val="single" w:sz="4" w:space="0" w:color="auto"/>
              <w:bottom w:val="single" w:sz="4" w:space="0" w:color="auto"/>
              <w:right w:val="single" w:sz="4" w:space="0" w:color="auto"/>
            </w:tcBorders>
            <w:noWrap/>
            <w:hideMark/>
          </w:tcPr>
          <w:p w14:paraId="68C0046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1374</w:t>
            </w:r>
          </w:p>
        </w:tc>
        <w:tc>
          <w:tcPr>
            <w:tcW w:w="725" w:type="dxa"/>
            <w:tcBorders>
              <w:top w:val="single" w:sz="4" w:space="0" w:color="auto"/>
              <w:left w:val="single" w:sz="4" w:space="0" w:color="auto"/>
              <w:bottom w:val="single" w:sz="4" w:space="0" w:color="auto"/>
              <w:right w:val="single" w:sz="4" w:space="0" w:color="auto"/>
            </w:tcBorders>
            <w:noWrap/>
            <w:hideMark/>
          </w:tcPr>
          <w:p w14:paraId="2975C68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1407</w:t>
            </w:r>
          </w:p>
        </w:tc>
        <w:tc>
          <w:tcPr>
            <w:tcW w:w="724" w:type="dxa"/>
            <w:tcBorders>
              <w:top w:val="single" w:sz="4" w:space="0" w:color="auto"/>
              <w:left w:val="single" w:sz="4" w:space="0" w:color="auto"/>
              <w:bottom w:val="single" w:sz="4" w:space="0" w:color="auto"/>
              <w:right w:val="single" w:sz="4" w:space="0" w:color="auto"/>
            </w:tcBorders>
            <w:noWrap/>
            <w:hideMark/>
          </w:tcPr>
          <w:p w14:paraId="264ECE9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1430</w:t>
            </w:r>
          </w:p>
        </w:tc>
        <w:tc>
          <w:tcPr>
            <w:tcW w:w="724" w:type="dxa"/>
            <w:tcBorders>
              <w:top w:val="single" w:sz="4" w:space="0" w:color="auto"/>
              <w:left w:val="single" w:sz="4" w:space="0" w:color="auto"/>
              <w:bottom w:val="single" w:sz="4" w:space="0" w:color="auto"/>
              <w:right w:val="single" w:sz="4" w:space="0" w:color="auto"/>
            </w:tcBorders>
            <w:noWrap/>
            <w:hideMark/>
          </w:tcPr>
          <w:p w14:paraId="38592A2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1476</w:t>
            </w:r>
          </w:p>
        </w:tc>
        <w:tc>
          <w:tcPr>
            <w:tcW w:w="724" w:type="dxa"/>
            <w:tcBorders>
              <w:top w:val="single" w:sz="4" w:space="0" w:color="auto"/>
              <w:left w:val="single" w:sz="4" w:space="0" w:color="auto"/>
              <w:bottom w:val="single" w:sz="4" w:space="0" w:color="auto"/>
              <w:right w:val="single" w:sz="4" w:space="0" w:color="auto"/>
            </w:tcBorders>
            <w:noWrap/>
            <w:hideMark/>
          </w:tcPr>
          <w:p w14:paraId="4FB2570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1484</w:t>
            </w:r>
          </w:p>
        </w:tc>
        <w:tc>
          <w:tcPr>
            <w:tcW w:w="725" w:type="dxa"/>
            <w:tcBorders>
              <w:top w:val="single" w:sz="4" w:space="0" w:color="auto"/>
              <w:left w:val="single" w:sz="4" w:space="0" w:color="auto"/>
              <w:bottom w:val="single" w:sz="4" w:space="0" w:color="auto"/>
              <w:right w:val="single" w:sz="4" w:space="0" w:color="auto"/>
            </w:tcBorders>
            <w:noWrap/>
            <w:hideMark/>
          </w:tcPr>
          <w:p w14:paraId="07C1B15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1509</w:t>
            </w:r>
          </w:p>
        </w:tc>
        <w:tc>
          <w:tcPr>
            <w:tcW w:w="724" w:type="dxa"/>
            <w:tcBorders>
              <w:top w:val="single" w:sz="4" w:space="0" w:color="auto"/>
              <w:left w:val="single" w:sz="4" w:space="0" w:color="auto"/>
              <w:bottom w:val="single" w:sz="4" w:space="0" w:color="auto"/>
              <w:right w:val="single" w:sz="4" w:space="0" w:color="auto"/>
            </w:tcBorders>
            <w:noWrap/>
            <w:hideMark/>
          </w:tcPr>
          <w:p w14:paraId="2CBD0B8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1553</w:t>
            </w:r>
          </w:p>
        </w:tc>
        <w:tc>
          <w:tcPr>
            <w:tcW w:w="724" w:type="dxa"/>
            <w:tcBorders>
              <w:top w:val="single" w:sz="4" w:space="0" w:color="auto"/>
              <w:left w:val="single" w:sz="4" w:space="0" w:color="auto"/>
              <w:bottom w:val="single" w:sz="4" w:space="0" w:color="auto"/>
              <w:right w:val="single" w:sz="4" w:space="0" w:color="auto"/>
            </w:tcBorders>
            <w:noWrap/>
            <w:hideMark/>
          </w:tcPr>
          <w:p w14:paraId="6B6F36D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1538</w:t>
            </w:r>
          </w:p>
        </w:tc>
        <w:tc>
          <w:tcPr>
            <w:tcW w:w="725" w:type="dxa"/>
            <w:tcBorders>
              <w:top w:val="single" w:sz="4" w:space="0" w:color="auto"/>
              <w:left w:val="single" w:sz="4" w:space="0" w:color="auto"/>
              <w:bottom w:val="single" w:sz="4" w:space="0" w:color="auto"/>
              <w:right w:val="single" w:sz="4" w:space="0" w:color="auto"/>
            </w:tcBorders>
            <w:noWrap/>
            <w:hideMark/>
          </w:tcPr>
          <w:p w14:paraId="2497D44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1656</w:t>
            </w:r>
          </w:p>
        </w:tc>
      </w:tr>
      <w:tr w:rsidR="00614438" w:rsidRPr="00656BE7" w14:paraId="402720BA"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78C7F8D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w:t>
            </w:r>
          </w:p>
        </w:tc>
        <w:tc>
          <w:tcPr>
            <w:tcW w:w="724" w:type="dxa"/>
            <w:tcBorders>
              <w:top w:val="single" w:sz="4" w:space="0" w:color="auto"/>
              <w:left w:val="single" w:sz="4" w:space="0" w:color="auto"/>
              <w:bottom w:val="single" w:sz="4" w:space="0" w:color="auto"/>
              <w:right w:val="single" w:sz="4" w:space="0" w:color="auto"/>
            </w:tcBorders>
            <w:noWrap/>
            <w:hideMark/>
          </w:tcPr>
          <w:p w14:paraId="2AA2ADD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2159</w:t>
            </w:r>
          </w:p>
        </w:tc>
        <w:tc>
          <w:tcPr>
            <w:tcW w:w="724" w:type="dxa"/>
            <w:tcBorders>
              <w:top w:val="single" w:sz="4" w:space="0" w:color="auto"/>
              <w:left w:val="single" w:sz="4" w:space="0" w:color="auto"/>
              <w:bottom w:val="single" w:sz="4" w:space="0" w:color="auto"/>
              <w:right w:val="single" w:sz="4" w:space="0" w:color="auto"/>
            </w:tcBorders>
            <w:noWrap/>
            <w:hideMark/>
          </w:tcPr>
          <w:p w14:paraId="3DF3170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1411</w:t>
            </w:r>
          </w:p>
        </w:tc>
        <w:tc>
          <w:tcPr>
            <w:tcW w:w="724" w:type="dxa"/>
            <w:tcBorders>
              <w:top w:val="single" w:sz="4" w:space="0" w:color="auto"/>
              <w:left w:val="single" w:sz="4" w:space="0" w:color="auto"/>
              <w:bottom w:val="single" w:sz="4" w:space="0" w:color="auto"/>
              <w:right w:val="single" w:sz="4" w:space="0" w:color="auto"/>
            </w:tcBorders>
            <w:noWrap/>
            <w:hideMark/>
          </w:tcPr>
          <w:p w14:paraId="31C8055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1330</w:t>
            </w:r>
          </w:p>
        </w:tc>
        <w:tc>
          <w:tcPr>
            <w:tcW w:w="725" w:type="dxa"/>
            <w:tcBorders>
              <w:top w:val="single" w:sz="4" w:space="0" w:color="auto"/>
              <w:left w:val="single" w:sz="4" w:space="0" w:color="auto"/>
              <w:bottom w:val="single" w:sz="4" w:space="0" w:color="auto"/>
              <w:right w:val="single" w:sz="4" w:space="0" w:color="auto"/>
            </w:tcBorders>
            <w:noWrap/>
            <w:hideMark/>
          </w:tcPr>
          <w:p w14:paraId="6180EC1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1347</w:t>
            </w:r>
          </w:p>
        </w:tc>
        <w:tc>
          <w:tcPr>
            <w:tcW w:w="724" w:type="dxa"/>
            <w:tcBorders>
              <w:top w:val="single" w:sz="4" w:space="0" w:color="auto"/>
              <w:left w:val="single" w:sz="4" w:space="0" w:color="auto"/>
              <w:bottom w:val="single" w:sz="4" w:space="0" w:color="auto"/>
              <w:right w:val="single" w:sz="4" w:space="0" w:color="auto"/>
            </w:tcBorders>
            <w:noWrap/>
            <w:hideMark/>
          </w:tcPr>
          <w:p w14:paraId="29EDE4E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1361</w:t>
            </w:r>
          </w:p>
        </w:tc>
        <w:tc>
          <w:tcPr>
            <w:tcW w:w="724" w:type="dxa"/>
            <w:tcBorders>
              <w:top w:val="single" w:sz="4" w:space="0" w:color="auto"/>
              <w:left w:val="single" w:sz="4" w:space="0" w:color="auto"/>
              <w:bottom w:val="single" w:sz="4" w:space="0" w:color="auto"/>
              <w:right w:val="single" w:sz="4" w:space="0" w:color="auto"/>
            </w:tcBorders>
            <w:noWrap/>
            <w:hideMark/>
          </w:tcPr>
          <w:p w14:paraId="267354C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1377</w:t>
            </w:r>
          </w:p>
        </w:tc>
        <w:tc>
          <w:tcPr>
            <w:tcW w:w="724" w:type="dxa"/>
            <w:tcBorders>
              <w:top w:val="single" w:sz="4" w:space="0" w:color="auto"/>
              <w:left w:val="single" w:sz="4" w:space="0" w:color="auto"/>
              <w:bottom w:val="single" w:sz="4" w:space="0" w:color="auto"/>
              <w:right w:val="single" w:sz="4" w:space="0" w:color="auto"/>
            </w:tcBorders>
            <w:noWrap/>
            <w:hideMark/>
          </w:tcPr>
          <w:p w14:paraId="318713A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1379</w:t>
            </w:r>
          </w:p>
        </w:tc>
        <w:tc>
          <w:tcPr>
            <w:tcW w:w="725" w:type="dxa"/>
            <w:tcBorders>
              <w:top w:val="single" w:sz="4" w:space="0" w:color="auto"/>
              <w:left w:val="single" w:sz="4" w:space="0" w:color="auto"/>
              <w:bottom w:val="single" w:sz="4" w:space="0" w:color="auto"/>
              <w:right w:val="single" w:sz="4" w:space="0" w:color="auto"/>
            </w:tcBorders>
            <w:noWrap/>
            <w:hideMark/>
          </w:tcPr>
          <w:p w14:paraId="2608E51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1097</w:t>
            </w:r>
          </w:p>
        </w:tc>
        <w:tc>
          <w:tcPr>
            <w:tcW w:w="724" w:type="dxa"/>
            <w:tcBorders>
              <w:top w:val="single" w:sz="4" w:space="0" w:color="auto"/>
              <w:left w:val="single" w:sz="4" w:space="0" w:color="auto"/>
              <w:bottom w:val="single" w:sz="4" w:space="0" w:color="auto"/>
              <w:right w:val="single" w:sz="4" w:space="0" w:color="auto"/>
            </w:tcBorders>
            <w:noWrap/>
            <w:hideMark/>
          </w:tcPr>
          <w:p w14:paraId="3E48DEB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955</w:t>
            </w:r>
          </w:p>
        </w:tc>
        <w:tc>
          <w:tcPr>
            <w:tcW w:w="724" w:type="dxa"/>
            <w:tcBorders>
              <w:top w:val="single" w:sz="4" w:space="0" w:color="auto"/>
              <w:left w:val="single" w:sz="4" w:space="0" w:color="auto"/>
              <w:bottom w:val="single" w:sz="4" w:space="0" w:color="auto"/>
              <w:right w:val="single" w:sz="4" w:space="0" w:color="auto"/>
            </w:tcBorders>
            <w:noWrap/>
            <w:hideMark/>
          </w:tcPr>
          <w:p w14:paraId="0C952A5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764</w:t>
            </w:r>
          </w:p>
        </w:tc>
        <w:tc>
          <w:tcPr>
            <w:tcW w:w="725" w:type="dxa"/>
            <w:tcBorders>
              <w:top w:val="single" w:sz="4" w:space="0" w:color="auto"/>
              <w:left w:val="single" w:sz="4" w:space="0" w:color="auto"/>
              <w:bottom w:val="single" w:sz="4" w:space="0" w:color="auto"/>
              <w:right w:val="single" w:sz="4" w:space="0" w:color="auto"/>
            </w:tcBorders>
            <w:noWrap/>
            <w:hideMark/>
          </w:tcPr>
          <w:p w14:paraId="5186EC6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517</w:t>
            </w:r>
          </w:p>
        </w:tc>
      </w:tr>
      <w:tr w:rsidR="00614438" w:rsidRPr="00656BE7" w14:paraId="06E5B8E8"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381F511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Scenario-S-N</w:t>
            </w:r>
          </w:p>
        </w:tc>
        <w:tc>
          <w:tcPr>
            <w:tcW w:w="724" w:type="dxa"/>
            <w:tcBorders>
              <w:top w:val="single" w:sz="4" w:space="0" w:color="auto"/>
              <w:left w:val="single" w:sz="4" w:space="0" w:color="auto"/>
              <w:bottom w:val="single" w:sz="4" w:space="0" w:color="auto"/>
              <w:right w:val="single" w:sz="4" w:space="0" w:color="auto"/>
            </w:tcBorders>
            <w:noWrap/>
            <w:hideMark/>
          </w:tcPr>
          <w:p w14:paraId="2476D12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2159</w:t>
            </w:r>
          </w:p>
        </w:tc>
        <w:tc>
          <w:tcPr>
            <w:tcW w:w="724" w:type="dxa"/>
            <w:tcBorders>
              <w:top w:val="single" w:sz="4" w:space="0" w:color="auto"/>
              <w:left w:val="single" w:sz="4" w:space="0" w:color="auto"/>
              <w:bottom w:val="single" w:sz="4" w:space="0" w:color="auto"/>
              <w:right w:val="single" w:sz="4" w:space="0" w:color="auto"/>
            </w:tcBorders>
            <w:noWrap/>
            <w:hideMark/>
          </w:tcPr>
          <w:p w14:paraId="7D435B7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1411</w:t>
            </w:r>
          </w:p>
        </w:tc>
        <w:tc>
          <w:tcPr>
            <w:tcW w:w="724" w:type="dxa"/>
            <w:tcBorders>
              <w:top w:val="single" w:sz="4" w:space="0" w:color="auto"/>
              <w:left w:val="single" w:sz="4" w:space="0" w:color="auto"/>
              <w:bottom w:val="single" w:sz="4" w:space="0" w:color="auto"/>
              <w:right w:val="single" w:sz="4" w:space="0" w:color="auto"/>
            </w:tcBorders>
            <w:noWrap/>
            <w:hideMark/>
          </w:tcPr>
          <w:p w14:paraId="1C183C2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1330</w:t>
            </w:r>
          </w:p>
        </w:tc>
        <w:tc>
          <w:tcPr>
            <w:tcW w:w="725" w:type="dxa"/>
            <w:tcBorders>
              <w:top w:val="single" w:sz="4" w:space="0" w:color="auto"/>
              <w:left w:val="single" w:sz="4" w:space="0" w:color="auto"/>
              <w:bottom w:val="single" w:sz="4" w:space="0" w:color="auto"/>
              <w:right w:val="single" w:sz="4" w:space="0" w:color="auto"/>
            </w:tcBorders>
            <w:noWrap/>
            <w:hideMark/>
          </w:tcPr>
          <w:p w14:paraId="68C82A8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1347</w:t>
            </w:r>
          </w:p>
        </w:tc>
        <w:tc>
          <w:tcPr>
            <w:tcW w:w="724" w:type="dxa"/>
            <w:tcBorders>
              <w:top w:val="single" w:sz="4" w:space="0" w:color="auto"/>
              <w:left w:val="single" w:sz="4" w:space="0" w:color="auto"/>
              <w:bottom w:val="single" w:sz="4" w:space="0" w:color="auto"/>
              <w:right w:val="single" w:sz="4" w:space="0" w:color="auto"/>
            </w:tcBorders>
            <w:noWrap/>
            <w:hideMark/>
          </w:tcPr>
          <w:p w14:paraId="6214B47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1361</w:t>
            </w:r>
          </w:p>
        </w:tc>
        <w:tc>
          <w:tcPr>
            <w:tcW w:w="724" w:type="dxa"/>
            <w:tcBorders>
              <w:top w:val="single" w:sz="4" w:space="0" w:color="auto"/>
              <w:left w:val="single" w:sz="4" w:space="0" w:color="auto"/>
              <w:bottom w:val="single" w:sz="4" w:space="0" w:color="auto"/>
              <w:right w:val="single" w:sz="4" w:space="0" w:color="auto"/>
            </w:tcBorders>
            <w:noWrap/>
            <w:hideMark/>
          </w:tcPr>
          <w:p w14:paraId="4F5C2C3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1377</w:t>
            </w:r>
          </w:p>
        </w:tc>
        <w:tc>
          <w:tcPr>
            <w:tcW w:w="724" w:type="dxa"/>
            <w:tcBorders>
              <w:top w:val="single" w:sz="4" w:space="0" w:color="auto"/>
              <w:left w:val="single" w:sz="4" w:space="0" w:color="auto"/>
              <w:bottom w:val="single" w:sz="4" w:space="0" w:color="auto"/>
              <w:right w:val="single" w:sz="4" w:space="0" w:color="auto"/>
            </w:tcBorders>
            <w:noWrap/>
            <w:hideMark/>
          </w:tcPr>
          <w:p w14:paraId="1E1A3FC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1379</w:t>
            </w:r>
          </w:p>
        </w:tc>
        <w:tc>
          <w:tcPr>
            <w:tcW w:w="725" w:type="dxa"/>
            <w:tcBorders>
              <w:top w:val="single" w:sz="4" w:space="0" w:color="auto"/>
              <w:left w:val="single" w:sz="4" w:space="0" w:color="auto"/>
              <w:bottom w:val="single" w:sz="4" w:space="0" w:color="auto"/>
              <w:right w:val="single" w:sz="4" w:space="0" w:color="auto"/>
            </w:tcBorders>
            <w:noWrap/>
            <w:hideMark/>
          </w:tcPr>
          <w:p w14:paraId="700CCB4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1096</w:t>
            </w:r>
          </w:p>
        </w:tc>
        <w:tc>
          <w:tcPr>
            <w:tcW w:w="724" w:type="dxa"/>
            <w:tcBorders>
              <w:top w:val="single" w:sz="4" w:space="0" w:color="auto"/>
              <w:left w:val="single" w:sz="4" w:space="0" w:color="auto"/>
              <w:bottom w:val="single" w:sz="4" w:space="0" w:color="auto"/>
              <w:right w:val="single" w:sz="4" w:space="0" w:color="auto"/>
            </w:tcBorders>
            <w:noWrap/>
            <w:hideMark/>
          </w:tcPr>
          <w:p w14:paraId="35DEEF1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937</w:t>
            </w:r>
          </w:p>
        </w:tc>
        <w:tc>
          <w:tcPr>
            <w:tcW w:w="724" w:type="dxa"/>
            <w:tcBorders>
              <w:top w:val="single" w:sz="4" w:space="0" w:color="auto"/>
              <w:left w:val="single" w:sz="4" w:space="0" w:color="auto"/>
              <w:bottom w:val="single" w:sz="4" w:space="0" w:color="auto"/>
              <w:right w:val="single" w:sz="4" w:space="0" w:color="auto"/>
            </w:tcBorders>
            <w:noWrap/>
            <w:hideMark/>
          </w:tcPr>
          <w:p w14:paraId="4486CA6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814</w:t>
            </w:r>
          </w:p>
        </w:tc>
        <w:tc>
          <w:tcPr>
            <w:tcW w:w="725" w:type="dxa"/>
            <w:tcBorders>
              <w:top w:val="single" w:sz="4" w:space="0" w:color="auto"/>
              <w:left w:val="single" w:sz="4" w:space="0" w:color="auto"/>
              <w:bottom w:val="single" w:sz="4" w:space="0" w:color="auto"/>
              <w:right w:val="single" w:sz="4" w:space="0" w:color="auto"/>
            </w:tcBorders>
            <w:noWrap/>
            <w:hideMark/>
          </w:tcPr>
          <w:p w14:paraId="020EA53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532</w:t>
            </w:r>
          </w:p>
        </w:tc>
      </w:tr>
    </w:tbl>
    <w:p w14:paraId="35F3420C" w14:textId="77777777" w:rsidR="00614438" w:rsidRPr="00614438" w:rsidRDefault="00614438" w:rsidP="00656BE7">
      <w:pPr>
        <w:spacing w:before="240"/>
        <w:jc w:val="both"/>
        <w:rPr>
          <w:rFonts w:ascii="Times New Roman" w:hAnsi="Times New Roman" w:cs="Times New Roman"/>
          <w:sz w:val="24"/>
          <w:szCs w:val="24"/>
          <w:lang w:val="en-GB"/>
        </w:rPr>
      </w:pPr>
      <w:bookmarkStart w:id="713" w:name="_Toc153545099"/>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6</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Commercial Sector - emissions in ktons of CO2-eq</w:t>
      </w:r>
      <w:bookmarkEnd w:id="713"/>
    </w:p>
    <w:tbl>
      <w:tblPr>
        <w:tblStyle w:val="TableGrid"/>
        <w:tblW w:w="0" w:type="auto"/>
        <w:tblLayout w:type="fixed"/>
        <w:tblLook w:val="04A0" w:firstRow="1" w:lastRow="0" w:firstColumn="1" w:lastColumn="0" w:noHBand="0" w:noVBand="1"/>
      </w:tblPr>
      <w:tblGrid>
        <w:gridCol w:w="1661"/>
        <w:gridCol w:w="724"/>
        <w:gridCol w:w="724"/>
        <w:gridCol w:w="724"/>
        <w:gridCol w:w="725"/>
        <w:gridCol w:w="724"/>
        <w:gridCol w:w="724"/>
        <w:gridCol w:w="724"/>
        <w:gridCol w:w="725"/>
        <w:gridCol w:w="724"/>
        <w:gridCol w:w="724"/>
        <w:gridCol w:w="725"/>
      </w:tblGrid>
      <w:tr w:rsidR="00614438" w:rsidRPr="00656BE7" w14:paraId="5F9E1600"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5039A5C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Commercial Sector emissions [ktons of CO2-eq]</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E9AD07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43D208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815C21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5C2FD0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471391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6A777B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1A7FA2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43461D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89A4D6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2970E7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81242E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r>
      <w:tr w:rsidR="00614438" w:rsidRPr="00656BE7" w14:paraId="3C5FFA66"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4EBED5A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WEM</w:t>
            </w:r>
          </w:p>
        </w:tc>
        <w:tc>
          <w:tcPr>
            <w:tcW w:w="724" w:type="dxa"/>
            <w:tcBorders>
              <w:top w:val="single" w:sz="4" w:space="0" w:color="auto"/>
              <w:left w:val="single" w:sz="4" w:space="0" w:color="auto"/>
              <w:bottom w:val="single" w:sz="4" w:space="0" w:color="auto"/>
              <w:right w:val="single" w:sz="4" w:space="0" w:color="auto"/>
            </w:tcBorders>
            <w:noWrap/>
            <w:hideMark/>
          </w:tcPr>
          <w:p w14:paraId="0A17C88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696</w:t>
            </w:r>
          </w:p>
        </w:tc>
        <w:tc>
          <w:tcPr>
            <w:tcW w:w="724" w:type="dxa"/>
            <w:tcBorders>
              <w:top w:val="single" w:sz="4" w:space="0" w:color="auto"/>
              <w:left w:val="single" w:sz="4" w:space="0" w:color="auto"/>
              <w:bottom w:val="single" w:sz="4" w:space="0" w:color="auto"/>
              <w:right w:val="single" w:sz="4" w:space="0" w:color="auto"/>
            </w:tcBorders>
            <w:noWrap/>
            <w:hideMark/>
          </w:tcPr>
          <w:p w14:paraId="4D74C0D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752</w:t>
            </w:r>
          </w:p>
        </w:tc>
        <w:tc>
          <w:tcPr>
            <w:tcW w:w="724" w:type="dxa"/>
            <w:tcBorders>
              <w:top w:val="single" w:sz="4" w:space="0" w:color="auto"/>
              <w:left w:val="single" w:sz="4" w:space="0" w:color="auto"/>
              <w:bottom w:val="single" w:sz="4" w:space="0" w:color="auto"/>
              <w:right w:val="single" w:sz="4" w:space="0" w:color="auto"/>
            </w:tcBorders>
            <w:noWrap/>
            <w:hideMark/>
          </w:tcPr>
          <w:p w14:paraId="131754E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720</w:t>
            </w:r>
          </w:p>
        </w:tc>
        <w:tc>
          <w:tcPr>
            <w:tcW w:w="725" w:type="dxa"/>
            <w:tcBorders>
              <w:top w:val="single" w:sz="4" w:space="0" w:color="auto"/>
              <w:left w:val="single" w:sz="4" w:space="0" w:color="auto"/>
              <w:bottom w:val="single" w:sz="4" w:space="0" w:color="auto"/>
              <w:right w:val="single" w:sz="4" w:space="0" w:color="auto"/>
            </w:tcBorders>
            <w:noWrap/>
            <w:hideMark/>
          </w:tcPr>
          <w:p w14:paraId="0121A08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752</w:t>
            </w:r>
          </w:p>
        </w:tc>
        <w:tc>
          <w:tcPr>
            <w:tcW w:w="724" w:type="dxa"/>
            <w:tcBorders>
              <w:top w:val="single" w:sz="4" w:space="0" w:color="auto"/>
              <w:left w:val="single" w:sz="4" w:space="0" w:color="auto"/>
              <w:bottom w:val="single" w:sz="4" w:space="0" w:color="auto"/>
              <w:right w:val="single" w:sz="4" w:space="0" w:color="auto"/>
            </w:tcBorders>
            <w:noWrap/>
            <w:hideMark/>
          </w:tcPr>
          <w:p w14:paraId="021816C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781</w:t>
            </w:r>
          </w:p>
        </w:tc>
        <w:tc>
          <w:tcPr>
            <w:tcW w:w="724" w:type="dxa"/>
            <w:tcBorders>
              <w:top w:val="single" w:sz="4" w:space="0" w:color="auto"/>
              <w:left w:val="single" w:sz="4" w:space="0" w:color="auto"/>
              <w:bottom w:val="single" w:sz="4" w:space="0" w:color="auto"/>
              <w:right w:val="single" w:sz="4" w:space="0" w:color="auto"/>
            </w:tcBorders>
            <w:noWrap/>
            <w:hideMark/>
          </w:tcPr>
          <w:p w14:paraId="712E07C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808</w:t>
            </w:r>
          </w:p>
        </w:tc>
        <w:tc>
          <w:tcPr>
            <w:tcW w:w="724" w:type="dxa"/>
            <w:tcBorders>
              <w:top w:val="single" w:sz="4" w:space="0" w:color="auto"/>
              <w:left w:val="single" w:sz="4" w:space="0" w:color="auto"/>
              <w:bottom w:val="single" w:sz="4" w:space="0" w:color="auto"/>
              <w:right w:val="single" w:sz="4" w:space="0" w:color="auto"/>
            </w:tcBorders>
            <w:noWrap/>
            <w:hideMark/>
          </w:tcPr>
          <w:p w14:paraId="0DECAFC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842</w:t>
            </w:r>
          </w:p>
        </w:tc>
        <w:tc>
          <w:tcPr>
            <w:tcW w:w="725" w:type="dxa"/>
            <w:tcBorders>
              <w:top w:val="single" w:sz="4" w:space="0" w:color="auto"/>
              <w:left w:val="single" w:sz="4" w:space="0" w:color="auto"/>
              <w:bottom w:val="single" w:sz="4" w:space="0" w:color="auto"/>
              <w:right w:val="single" w:sz="4" w:space="0" w:color="auto"/>
            </w:tcBorders>
            <w:noWrap/>
            <w:hideMark/>
          </w:tcPr>
          <w:p w14:paraId="4C2007A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1007</w:t>
            </w:r>
          </w:p>
        </w:tc>
        <w:tc>
          <w:tcPr>
            <w:tcW w:w="724" w:type="dxa"/>
            <w:tcBorders>
              <w:top w:val="single" w:sz="4" w:space="0" w:color="auto"/>
              <w:left w:val="single" w:sz="4" w:space="0" w:color="auto"/>
              <w:bottom w:val="single" w:sz="4" w:space="0" w:color="auto"/>
              <w:right w:val="single" w:sz="4" w:space="0" w:color="auto"/>
            </w:tcBorders>
            <w:noWrap/>
            <w:hideMark/>
          </w:tcPr>
          <w:p w14:paraId="03D3ACB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1188</w:t>
            </w:r>
          </w:p>
        </w:tc>
        <w:tc>
          <w:tcPr>
            <w:tcW w:w="724" w:type="dxa"/>
            <w:tcBorders>
              <w:top w:val="single" w:sz="4" w:space="0" w:color="auto"/>
              <w:left w:val="single" w:sz="4" w:space="0" w:color="auto"/>
              <w:bottom w:val="single" w:sz="4" w:space="0" w:color="auto"/>
              <w:right w:val="single" w:sz="4" w:space="0" w:color="auto"/>
            </w:tcBorders>
            <w:noWrap/>
            <w:hideMark/>
          </w:tcPr>
          <w:p w14:paraId="6A96217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1302</w:t>
            </w:r>
          </w:p>
        </w:tc>
        <w:tc>
          <w:tcPr>
            <w:tcW w:w="725" w:type="dxa"/>
            <w:tcBorders>
              <w:top w:val="single" w:sz="4" w:space="0" w:color="auto"/>
              <w:left w:val="single" w:sz="4" w:space="0" w:color="auto"/>
              <w:bottom w:val="single" w:sz="4" w:space="0" w:color="auto"/>
              <w:right w:val="single" w:sz="4" w:space="0" w:color="auto"/>
            </w:tcBorders>
            <w:noWrap/>
            <w:hideMark/>
          </w:tcPr>
          <w:p w14:paraId="1C8F313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1439</w:t>
            </w:r>
          </w:p>
        </w:tc>
      </w:tr>
      <w:tr w:rsidR="00614438" w:rsidRPr="00656BE7" w14:paraId="795BED9A"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4915F8B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w:t>
            </w:r>
          </w:p>
        </w:tc>
        <w:tc>
          <w:tcPr>
            <w:tcW w:w="724" w:type="dxa"/>
            <w:tcBorders>
              <w:top w:val="single" w:sz="4" w:space="0" w:color="auto"/>
              <w:left w:val="single" w:sz="4" w:space="0" w:color="auto"/>
              <w:bottom w:val="single" w:sz="4" w:space="0" w:color="auto"/>
              <w:right w:val="single" w:sz="4" w:space="0" w:color="auto"/>
            </w:tcBorders>
            <w:noWrap/>
            <w:hideMark/>
          </w:tcPr>
          <w:p w14:paraId="6AF3604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720</w:t>
            </w:r>
          </w:p>
        </w:tc>
        <w:tc>
          <w:tcPr>
            <w:tcW w:w="724" w:type="dxa"/>
            <w:tcBorders>
              <w:top w:val="single" w:sz="4" w:space="0" w:color="auto"/>
              <w:left w:val="single" w:sz="4" w:space="0" w:color="auto"/>
              <w:bottom w:val="single" w:sz="4" w:space="0" w:color="auto"/>
              <w:right w:val="single" w:sz="4" w:space="0" w:color="auto"/>
            </w:tcBorders>
            <w:noWrap/>
            <w:hideMark/>
          </w:tcPr>
          <w:p w14:paraId="15C0FE1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659</w:t>
            </w:r>
          </w:p>
        </w:tc>
        <w:tc>
          <w:tcPr>
            <w:tcW w:w="724" w:type="dxa"/>
            <w:tcBorders>
              <w:top w:val="single" w:sz="4" w:space="0" w:color="auto"/>
              <w:left w:val="single" w:sz="4" w:space="0" w:color="auto"/>
              <w:bottom w:val="single" w:sz="4" w:space="0" w:color="auto"/>
              <w:right w:val="single" w:sz="4" w:space="0" w:color="auto"/>
            </w:tcBorders>
            <w:noWrap/>
            <w:hideMark/>
          </w:tcPr>
          <w:p w14:paraId="27E0E66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659</w:t>
            </w:r>
          </w:p>
        </w:tc>
        <w:tc>
          <w:tcPr>
            <w:tcW w:w="725" w:type="dxa"/>
            <w:tcBorders>
              <w:top w:val="single" w:sz="4" w:space="0" w:color="auto"/>
              <w:left w:val="single" w:sz="4" w:space="0" w:color="auto"/>
              <w:bottom w:val="single" w:sz="4" w:space="0" w:color="auto"/>
              <w:right w:val="single" w:sz="4" w:space="0" w:color="auto"/>
            </w:tcBorders>
            <w:noWrap/>
            <w:hideMark/>
          </w:tcPr>
          <w:p w14:paraId="79F4487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689</w:t>
            </w:r>
          </w:p>
        </w:tc>
        <w:tc>
          <w:tcPr>
            <w:tcW w:w="724" w:type="dxa"/>
            <w:tcBorders>
              <w:top w:val="single" w:sz="4" w:space="0" w:color="auto"/>
              <w:left w:val="single" w:sz="4" w:space="0" w:color="auto"/>
              <w:bottom w:val="single" w:sz="4" w:space="0" w:color="auto"/>
              <w:right w:val="single" w:sz="4" w:space="0" w:color="auto"/>
            </w:tcBorders>
            <w:noWrap/>
            <w:hideMark/>
          </w:tcPr>
          <w:p w14:paraId="2B8D2D3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716</w:t>
            </w:r>
          </w:p>
        </w:tc>
        <w:tc>
          <w:tcPr>
            <w:tcW w:w="724" w:type="dxa"/>
            <w:tcBorders>
              <w:top w:val="single" w:sz="4" w:space="0" w:color="auto"/>
              <w:left w:val="single" w:sz="4" w:space="0" w:color="auto"/>
              <w:bottom w:val="single" w:sz="4" w:space="0" w:color="auto"/>
              <w:right w:val="single" w:sz="4" w:space="0" w:color="auto"/>
            </w:tcBorders>
            <w:noWrap/>
            <w:hideMark/>
          </w:tcPr>
          <w:p w14:paraId="620D4A8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743</w:t>
            </w:r>
          </w:p>
        </w:tc>
        <w:tc>
          <w:tcPr>
            <w:tcW w:w="724" w:type="dxa"/>
            <w:tcBorders>
              <w:top w:val="single" w:sz="4" w:space="0" w:color="auto"/>
              <w:left w:val="single" w:sz="4" w:space="0" w:color="auto"/>
              <w:bottom w:val="single" w:sz="4" w:space="0" w:color="auto"/>
              <w:right w:val="single" w:sz="4" w:space="0" w:color="auto"/>
            </w:tcBorders>
            <w:noWrap/>
            <w:hideMark/>
          </w:tcPr>
          <w:p w14:paraId="32F2422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767</w:t>
            </w:r>
          </w:p>
        </w:tc>
        <w:tc>
          <w:tcPr>
            <w:tcW w:w="725" w:type="dxa"/>
            <w:tcBorders>
              <w:top w:val="single" w:sz="4" w:space="0" w:color="auto"/>
              <w:left w:val="single" w:sz="4" w:space="0" w:color="auto"/>
              <w:bottom w:val="single" w:sz="4" w:space="0" w:color="auto"/>
              <w:right w:val="single" w:sz="4" w:space="0" w:color="auto"/>
            </w:tcBorders>
            <w:noWrap/>
            <w:hideMark/>
          </w:tcPr>
          <w:p w14:paraId="12E0320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781</w:t>
            </w:r>
          </w:p>
        </w:tc>
        <w:tc>
          <w:tcPr>
            <w:tcW w:w="724" w:type="dxa"/>
            <w:tcBorders>
              <w:top w:val="single" w:sz="4" w:space="0" w:color="auto"/>
              <w:left w:val="single" w:sz="4" w:space="0" w:color="auto"/>
              <w:bottom w:val="single" w:sz="4" w:space="0" w:color="auto"/>
              <w:right w:val="single" w:sz="4" w:space="0" w:color="auto"/>
            </w:tcBorders>
            <w:noWrap/>
            <w:hideMark/>
          </w:tcPr>
          <w:p w14:paraId="3DEBECF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747</w:t>
            </w:r>
          </w:p>
        </w:tc>
        <w:tc>
          <w:tcPr>
            <w:tcW w:w="724" w:type="dxa"/>
            <w:tcBorders>
              <w:top w:val="single" w:sz="4" w:space="0" w:color="auto"/>
              <w:left w:val="single" w:sz="4" w:space="0" w:color="auto"/>
              <w:bottom w:val="single" w:sz="4" w:space="0" w:color="auto"/>
              <w:right w:val="single" w:sz="4" w:space="0" w:color="auto"/>
            </w:tcBorders>
            <w:noWrap/>
            <w:hideMark/>
          </w:tcPr>
          <w:p w14:paraId="1EEDAE7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764</w:t>
            </w:r>
          </w:p>
        </w:tc>
        <w:tc>
          <w:tcPr>
            <w:tcW w:w="725" w:type="dxa"/>
            <w:tcBorders>
              <w:top w:val="single" w:sz="4" w:space="0" w:color="auto"/>
              <w:left w:val="single" w:sz="4" w:space="0" w:color="auto"/>
              <w:bottom w:val="single" w:sz="4" w:space="0" w:color="auto"/>
              <w:right w:val="single" w:sz="4" w:space="0" w:color="auto"/>
            </w:tcBorders>
            <w:noWrap/>
            <w:hideMark/>
          </w:tcPr>
          <w:p w14:paraId="1F4A1D8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794</w:t>
            </w:r>
          </w:p>
        </w:tc>
      </w:tr>
      <w:tr w:rsidR="00614438" w:rsidRPr="00656BE7" w14:paraId="22315B3F"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56B72F2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Scenario-S-N</w:t>
            </w:r>
          </w:p>
        </w:tc>
        <w:tc>
          <w:tcPr>
            <w:tcW w:w="724" w:type="dxa"/>
            <w:tcBorders>
              <w:top w:val="single" w:sz="4" w:space="0" w:color="auto"/>
              <w:left w:val="single" w:sz="4" w:space="0" w:color="auto"/>
              <w:bottom w:val="single" w:sz="4" w:space="0" w:color="auto"/>
              <w:right w:val="single" w:sz="4" w:space="0" w:color="auto"/>
            </w:tcBorders>
            <w:noWrap/>
            <w:hideMark/>
          </w:tcPr>
          <w:p w14:paraId="4C99792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720</w:t>
            </w:r>
          </w:p>
        </w:tc>
        <w:tc>
          <w:tcPr>
            <w:tcW w:w="724" w:type="dxa"/>
            <w:tcBorders>
              <w:top w:val="single" w:sz="4" w:space="0" w:color="auto"/>
              <w:left w:val="single" w:sz="4" w:space="0" w:color="auto"/>
              <w:bottom w:val="single" w:sz="4" w:space="0" w:color="auto"/>
              <w:right w:val="single" w:sz="4" w:space="0" w:color="auto"/>
            </w:tcBorders>
            <w:noWrap/>
            <w:hideMark/>
          </w:tcPr>
          <w:p w14:paraId="36C8F88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659</w:t>
            </w:r>
          </w:p>
        </w:tc>
        <w:tc>
          <w:tcPr>
            <w:tcW w:w="724" w:type="dxa"/>
            <w:tcBorders>
              <w:top w:val="single" w:sz="4" w:space="0" w:color="auto"/>
              <w:left w:val="single" w:sz="4" w:space="0" w:color="auto"/>
              <w:bottom w:val="single" w:sz="4" w:space="0" w:color="auto"/>
              <w:right w:val="single" w:sz="4" w:space="0" w:color="auto"/>
            </w:tcBorders>
            <w:noWrap/>
            <w:hideMark/>
          </w:tcPr>
          <w:p w14:paraId="56F2169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659</w:t>
            </w:r>
          </w:p>
        </w:tc>
        <w:tc>
          <w:tcPr>
            <w:tcW w:w="725" w:type="dxa"/>
            <w:tcBorders>
              <w:top w:val="single" w:sz="4" w:space="0" w:color="auto"/>
              <w:left w:val="single" w:sz="4" w:space="0" w:color="auto"/>
              <w:bottom w:val="single" w:sz="4" w:space="0" w:color="auto"/>
              <w:right w:val="single" w:sz="4" w:space="0" w:color="auto"/>
            </w:tcBorders>
            <w:noWrap/>
            <w:hideMark/>
          </w:tcPr>
          <w:p w14:paraId="2059CC1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689</w:t>
            </w:r>
          </w:p>
        </w:tc>
        <w:tc>
          <w:tcPr>
            <w:tcW w:w="724" w:type="dxa"/>
            <w:tcBorders>
              <w:top w:val="single" w:sz="4" w:space="0" w:color="auto"/>
              <w:left w:val="single" w:sz="4" w:space="0" w:color="auto"/>
              <w:bottom w:val="single" w:sz="4" w:space="0" w:color="auto"/>
              <w:right w:val="single" w:sz="4" w:space="0" w:color="auto"/>
            </w:tcBorders>
            <w:noWrap/>
            <w:hideMark/>
          </w:tcPr>
          <w:p w14:paraId="2FF7666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716</w:t>
            </w:r>
          </w:p>
        </w:tc>
        <w:tc>
          <w:tcPr>
            <w:tcW w:w="724" w:type="dxa"/>
            <w:tcBorders>
              <w:top w:val="single" w:sz="4" w:space="0" w:color="auto"/>
              <w:left w:val="single" w:sz="4" w:space="0" w:color="auto"/>
              <w:bottom w:val="single" w:sz="4" w:space="0" w:color="auto"/>
              <w:right w:val="single" w:sz="4" w:space="0" w:color="auto"/>
            </w:tcBorders>
            <w:noWrap/>
            <w:hideMark/>
          </w:tcPr>
          <w:p w14:paraId="41201AF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743</w:t>
            </w:r>
          </w:p>
        </w:tc>
        <w:tc>
          <w:tcPr>
            <w:tcW w:w="724" w:type="dxa"/>
            <w:tcBorders>
              <w:top w:val="single" w:sz="4" w:space="0" w:color="auto"/>
              <w:left w:val="single" w:sz="4" w:space="0" w:color="auto"/>
              <w:bottom w:val="single" w:sz="4" w:space="0" w:color="auto"/>
              <w:right w:val="single" w:sz="4" w:space="0" w:color="auto"/>
            </w:tcBorders>
            <w:noWrap/>
            <w:hideMark/>
          </w:tcPr>
          <w:p w14:paraId="07B658C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767</w:t>
            </w:r>
          </w:p>
        </w:tc>
        <w:tc>
          <w:tcPr>
            <w:tcW w:w="725" w:type="dxa"/>
            <w:tcBorders>
              <w:top w:val="single" w:sz="4" w:space="0" w:color="auto"/>
              <w:left w:val="single" w:sz="4" w:space="0" w:color="auto"/>
              <w:bottom w:val="single" w:sz="4" w:space="0" w:color="auto"/>
              <w:right w:val="single" w:sz="4" w:space="0" w:color="auto"/>
            </w:tcBorders>
            <w:noWrap/>
            <w:hideMark/>
          </w:tcPr>
          <w:p w14:paraId="7977CFB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778</w:t>
            </w:r>
          </w:p>
        </w:tc>
        <w:tc>
          <w:tcPr>
            <w:tcW w:w="724" w:type="dxa"/>
            <w:tcBorders>
              <w:top w:val="single" w:sz="4" w:space="0" w:color="auto"/>
              <w:left w:val="single" w:sz="4" w:space="0" w:color="auto"/>
              <w:bottom w:val="single" w:sz="4" w:space="0" w:color="auto"/>
              <w:right w:val="single" w:sz="4" w:space="0" w:color="auto"/>
            </w:tcBorders>
            <w:noWrap/>
            <w:hideMark/>
          </w:tcPr>
          <w:p w14:paraId="04684CA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747</w:t>
            </w:r>
          </w:p>
        </w:tc>
        <w:tc>
          <w:tcPr>
            <w:tcW w:w="724" w:type="dxa"/>
            <w:tcBorders>
              <w:top w:val="single" w:sz="4" w:space="0" w:color="auto"/>
              <w:left w:val="single" w:sz="4" w:space="0" w:color="auto"/>
              <w:bottom w:val="single" w:sz="4" w:space="0" w:color="auto"/>
              <w:right w:val="single" w:sz="4" w:space="0" w:color="auto"/>
            </w:tcBorders>
            <w:noWrap/>
            <w:hideMark/>
          </w:tcPr>
          <w:p w14:paraId="3051DD9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751</w:t>
            </w:r>
          </w:p>
        </w:tc>
        <w:tc>
          <w:tcPr>
            <w:tcW w:w="725" w:type="dxa"/>
            <w:tcBorders>
              <w:top w:val="single" w:sz="4" w:space="0" w:color="auto"/>
              <w:left w:val="single" w:sz="4" w:space="0" w:color="auto"/>
              <w:bottom w:val="single" w:sz="4" w:space="0" w:color="auto"/>
              <w:right w:val="single" w:sz="4" w:space="0" w:color="auto"/>
            </w:tcBorders>
            <w:noWrap/>
            <w:hideMark/>
          </w:tcPr>
          <w:p w14:paraId="4FAFB14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768</w:t>
            </w:r>
          </w:p>
        </w:tc>
      </w:tr>
    </w:tbl>
    <w:p w14:paraId="5A8640EC" w14:textId="77777777" w:rsidR="00614438" w:rsidRPr="00614438" w:rsidRDefault="00614438" w:rsidP="00656BE7">
      <w:pPr>
        <w:spacing w:before="240"/>
        <w:jc w:val="both"/>
        <w:rPr>
          <w:rFonts w:ascii="Times New Roman" w:hAnsi="Times New Roman" w:cs="Times New Roman"/>
          <w:sz w:val="24"/>
          <w:szCs w:val="24"/>
          <w:lang w:val="en-GB"/>
        </w:rPr>
      </w:pPr>
      <w:bookmarkStart w:id="714" w:name="_Toc153545100"/>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7</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Other Sectors: Energy Use, Fugitive and Process Emissions - emissions in ktons of CO2-eq</w:t>
      </w:r>
      <w:bookmarkEnd w:id="714"/>
    </w:p>
    <w:tbl>
      <w:tblPr>
        <w:tblStyle w:val="TableGrid"/>
        <w:tblW w:w="0" w:type="auto"/>
        <w:tblLayout w:type="fixed"/>
        <w:tblLook w:val="04A0" w:firstRow="1" w:lastRow="0" w:firstColumn="1" w:lastColumn="0" w:noHBand="0" w:noVBand="1"/>
      </w:tblPr>
      <w:tblGrid>
        <w:gridCol w:w="1661"/>
        <w:gridCol w:w="724"/>
        <w:gridCol w:w="724"/>
        <w:gridCol w:w="724"/>
        <w:gridCol w:w="725"/>
        <w:gridCol w:w="724"/>
        <w:gridCol w:w="724"/>
        <w:gridCol w:w="724"/>
        <w:gridCol w:w="725"/>
        <w:gridCol w:w="724"/>
        <w:gridCol w:w="724"/>
        <w:gridCol w:w="725"/>
      </w:tblGrid>
      <w:tr w:rsidR="00614438" w:rsidRPr="00656BE7" w14:paraId="41424FD9"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6B75910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Other Sectors- emissions [ktons of CO2-eq]</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84A681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988994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86CAE2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C61F01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444D86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02FDCA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730298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DB6622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8E170C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BAF611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22DC74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r>
      <w:tr w:rsidR="00614438" w:rsidRPr="00656BE7" w14:paraId="7F323FB4"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27FE110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WEM</w:t>
            </w:r>
          </w:p>
        </w:tc>
        <w:tc>
          <w:tcPr>
            <w:tcW w:w="724" w:type="dxa"/>
            <w:tcBorders>
              <w:top w:val="single" w:sz="4" w:space="0" w:color="auto"/>
              <w:left w:val="single" w:sz="4" w:space="0" w:color="auto"/>
              <w:bottom w:val="single" w:sz="4" w:space="0" w:color="auto"/>
              <w:right w:val="single" w:sz="4" w:space="0" w:color="auto"/>
            </w:tcBorders>
            <w:noWrap/>
            <w:hideMark/>
          </w:tcPr>
          <w:p w14:paraId="58DEE65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3986</w:t>
            </w:r>
          </w:p>
        </w:tc>
        <w:tc>
          <w:tcPr>
            <w:tcW w:w="724" w:type="dxa"/>
            <w:tcBorders>
              <w:top w:val="single" w:sz="4" w:space="0" w:color="auto"/>
              <w:left w:val="single" w:sz="4" w:space="0" w:color="auto"/>
              <w:bottom w:val="single" w:sz="4" w:space="0" w:color="auto"/>
              <w:right w:val="single" w:sz="4" w:space="0" w:color="auto"/>
            </w:tcBorders>
            <w:noWrap/>
            <w:hideMark/>
          </w:tcPr>
          <w:p w14:paraId="7A36AFE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4415</w:t>
            </w:r>
          </w:p>
        </w:tc>
        <w:tc>
          <w:tcPr>
            <w:tcW w:w="724" w:type="dxa"/>
            <w:tcBorders>
              <w:top w:val="single" w:sz="4" w:space="0" w:color="auto"/>
              <w:left w:val="single" w:sz="4" w:space="0" w:color="auto"/>
              <w:bottom w:val="single" w:sz="4" w:space="0" w:color="auto"/>
              <w:right w:val="single" w:sz="4" w:space="0" w:color="auto"/>
            </w:tcBorders>
            <w:noWrap/>
            <w:hideMark/>
          </w:tcPr>
          <w:p w14:paraId="1F07222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4527</w:t>
            </w:r>
          </w:p>
        </w:tc>
        <w:tc>
          <w:tcPr>
            <w:tcW w:w="725" w:type="dxa"/>
            <w:tcBorders>
              <w:top w:val="single" w:sz="4" w:space="0" w:color="auto"/>
              <w:left w:val="single" w:sz="4" w:space="0" w:color="auto"/>
              <w:bottom w:val="single" w:sz="4" w:space="0" w:color="auto"/>
              <w:right w:val="single" w:sz="4" w:space="0" w:color="auto"/>
            </w:tcBorders>
            <w:noWrap/>
            <w:hideMark/>
          </w:tcPr>
          <w:p w14:paraId="6FB55DD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4622</w:t>
            </w:r>
          </w:p>
        </w:tc>
        <w:tc>
          <w:tcPr>
            <w:tcW w:w="724" w:type="dxa"/>
            <w:tcBorders>
              <w:top w:val="single" w:sz="4" w:space="0" w:color="auto"/>
              <w:left w:val="single" w:sz="4" w:space="0" w:color="auto"/>
              <w:bottom w:val="single" w:sz="4" w:space="0" w:color="auto"/>
              <w:right w:val="single" w:sz="4" w:space="0" w:color="auto"/>
            </w:tcBorders>
            <w:noWrap/>
            <w:hideMark/>
          </w:tcPr>
          <w:p w14:paraId="1BDF26F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4628</w:t>
            </w:r>
          </w:p>
        </w:tc>
        <w:tc>
          <w:tcPr>
            <w:tcW w:w="724" w:type="dxa"/>
            <w:tcBorders>
              <w:top w:val="single" w:sz="4" w:space="0" w:color="auto"/>
              <w:left w:val="single" w:sz="4" w:space="0" w:color="auto"/>
              <w:bottom w:val="single" w:sz="4" w:space="0" w:color="auto"/>
              <w:right w:val="single" w:sz="4" w:space="0" w:color="auto"/>
            </w:tcBorders>
            <w:noWrap/>
            <w:hideMark/>
          </w:tcPr>
          <w:p w14:paraId="5AE62AB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4608</w:t>
            </w:r>
          </w:p>
        </w:tc>
        <w:tc>
          <w:tcPr>
            <w:tcW w:w="724" w:type="dxa"/>
            <w:tcBorders>
              <w:top w:val="single" w:sz="4" w:space="0" w:color="auto"/>
              <w:left w:val="single" w:sz="4" w:space="0" w:color="auto"/>
              <w:bottom w:val="single" w:sz="4" w:space="0" w:color="auto"/>
              <w:right w:val="single" w:sz="4" w:space="0" w:color="auto"/>
            </w:tcBorders>
            <w:noWrap/>
            <w:hideMark/>
          </w:tcPr>
          <w:p w14:paraId="4B00B02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4616</w:t>
            </w:r>
          </w:p>
        </w:tc>
        <w:tc>
          <w:tcPr>
            <w:tcW w:w="725" w:type="dxa"/>
            <w:tcBorders>
              <w:top w:val="single" w:sz="4" w:space="0" w:color="auto"/>
              <w:left w:val="single" w:sz="4" w:space="0" w:color="auto"/>
              <w:bottom w:val="single" w:sz="4" w:space="0" w:color="auto"/>
              <w:right w:val="single" w:sz="4" w:space="0" w:color="auto"/>
            </w:tcBorders>
            <w:noWrap/>
            <w:hideMark/>
          </w:tcPr>
          <w:p w14:paraId="7472989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4379</w:t>
            </w:r>
          </w:p>
        </w:tc>
        <w:tc>
          <w:tcPr>
            <w:tcW w:w="724" w:type="dxa"/>
            <w:tcBorders>
              <w:top w:val="single" w:sz="4" w:space="0" w:color="auto"/>
              <w:left w:val="single" w:sz="4" w:space="0" w:color="auto"/>
              <w:bottom w:val="single" w:sz="4" w:space="0" w:color="auto"/>
              <w:right w:val="single" w:sz="4" w:space="0" w:color="auto"/>
            </w:tcBorders>
            <w:noWrap/>
            <w:hideMark/>
          </w:tcPr>
          <w:p w14:paraId="6B53C8B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4140</w:t>
            </w:r>
          </w:p>
        </w:tc>
        <w:tc>
          <w:tcPr>
            <w:tcW w:w="724" w:type="dxa"/>
            <w:tcBorders>
              <w:top w:val="single" w:sz="4" w:space="0" w:color="auto"/>
              <w:left w:val="single" w:sz="4" w:space="0" w:color="auto"/>
              <w:bottom w:val="single" w:sz="4" w:space="0" w:color="auto"/>
              <w:right w:val="single" w:sz="4" w:space="0" w:color="auto"/>
            </w:tcBorders>
            <w:noWrap/>
            <w:hideMark/>
          </w:tcPr>
          <w:p w14:paraId="08471C3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3865</w:t>
            </w:r>
          </w:p>
        </w:tc>
        <w:tc>
          <w:tcPr>
            <w:tcW w:w="725" w:type="dxa"/>
            <w:tcBorders>
              <w:top w:val="single" w:sz="4" w:space="0" w:color="auto"/>
              <w:left w:val="single" w:sz="4" w:space="0" w:color="auto"/>
              <w:bottom w:val="single" w:sz="4" w:space="0" w:color="auto"/>
              <w:right w:val="single" w:sz="4" w:space="0" w:color="auto"/>
            </w:tcBorders>
            <w:noWrap/>
            <w:hideMark/>
          </w:tcPr>
          <w:p w14:paraId="2B127C2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3502</w:t>
            </w:r>
          </w:p>
        </w:tc>
      </w:tr>
      <w:tr w:rsidR="00614438" w:rsidRPr="00656BE7" w14:paraId="3843E3F4"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45C2E48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w:t>
            </w:r>
          </w:p>
        </w:tc>
        <w:tc>
          <w:tcPr>
            <w:tcW w:w="724" w:type="dxa"/>
            <w:tcBorders>
              <w:top w:val="single" w:sz="4" w:space="0" w:color="auto"/>
              <w:left w:val="single" w:sz="4" w:space="0" w:color="auto"/>
              <w:bottom w:val="single" w:sz="4" w:space="0" w:color="auto"/>
              <w:right w:val="single" w:sz="4" w:space="0" w:color="auto"/>
            </w:tcBorders>
            <w:noWrap/>
            <w:hideMark/>
          </w:tcPr>
          <w:p w14:paraId="60C6374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3985</w:t>
            </w:r>
          </w:p>
        </w:tc>
        <w:tc>
          <w:tcPr>
            <w:tcW w:w="724" w:type="dxa"/>
            <w:tcBorders>
              <w:top w:val="single" w:sz="4" w:space="0" w:color="auto"/>
              <w:left w:val="single" w:sz="4" w:space="0" w:color="auto"/>
              <w:bottom w:val="single" w:sz="4" w:space="0" w:color="auto"/>
              <w:right w:val="single" w:sz="4" w:space="0" w:color="auto"/>
            </w:tcBorders>
            <w:noWrap/>
            <w:hideMark/>
          </w:tcPr>
          <w:p w14:paraId="2F42B08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4262</w:t>
            </w:r>
          </w:p>
        </w:tc>
        <w:tc>
          <w:tcPr>
            <w:tcW w:w="724" w:type="dxa"/>
            <w:tcBorders>
              <w:top w:val="single" w:sz="4" w:space="0" w:color="auto"/>
              <w:left w:val="single" w:sz="4" w:space="0" w:color="auto"/>
              <w:bottom w:val="single" w:sz="4" w:space="0" w:color="auto"/>
              <w:right w:val="single" w:sz="4" w:space="0" w:color="auto"/>
            </w:tcBorders>
            <w:noWrap/>
            <w:hideMark/>
          </w:tcPr>
          <w:p w14:paraId="2C79E9F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4303</w:t>
            </w:r>
          </w:p>
        </w:tc>
        <w:tc>
          <w:tcPr>
            <w:tcW w:w="725" w:type="dxa"/>
            <w:tcBorders>
              <w:top w:val="single" w:sz="4" w:space="0" w:color="auto"/>
              <w:left w:val="single" w:sz="4" w:space="0" w:color="auto"/>
              <w:bottom w:val="single" w:sz="4" w:space="0" w:color="auto"/>
              <w:right w:val="single" w:sz="4" w:space="0" w:color="auto"/>
            </w:tcBorders>
            <w:noWrap/>
            <w:hideMark/>
          </w:tcPr>
          <w:p w14:paraId="5C110C1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4355</w:t>
            </w:r>
          </w:p>
        </w:tc>
        <w:tc>
          <w:tcPr>
            <w:tcW w:w="724" w:type="dxa"/>
            <w:tcBorders>
              <w:top w:val="single" w:sz="4" w:space="0" w:color="auto"/>
              <w:left w:val="single" w:sz="4" w:space="0" w:color="auto"/>
              <w:bottom w:val="single" w:sz="4" w:space="0" w:color="auto"/>
              <w:right w:val="single" w:sz="4" w:space="0" w:color="auto"/>
            </w:tcBorders>
            <w:noWrap/>
            <w:hideMark/>
          </w:tcPr>
          <w:p w14:paraId="150A592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4289</w:t>
            </w:r>
          </w:p>
        </w:tc>
        <w:tc>
          <w:tcPr>
            <w:tcW w:w="724" w:type="dxa"/>
            <w:tcBorders>
              <w:top w:val="single" w:sz="4" w:space="0" w:color="auto"/>
              <w:left w:val="single" w:sz="4" w:space="0" w:color="auto"/>
              <w:bottom w:val="single" w:sz="4" w:space="0" w:color="auto"/>
              <w:right w:val="single" w:sz="4" w:space="0" w:color="auto"/>
            </w:tcBorders>
            <w:noWrap/>
            <w:hideMark/>
          </w:tcPr>
          <w:p w14:paraId="490BE65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4154</w:t>
            </w:r>
          </w:p>
        </w:tc>
        <w:tc>
          <w:tcPr>
            <w:tcW w:w="724" w:type="dxa"/>
            <w:tcBorders>
              <w:top w:val="single" w:sz="4" w:space="0" w:color="auto"/>
              <w:left w:val="single" w:sz="4" w:space="0" w:color="auto"/>
              <w:bottom w:val="single" w:sz="4" w:space="0" w:color="auto"/>
              <w:right w:val="single" w:sz="4" w:space="0" w:color="auto"/>
            </w:tcBorders>
            <w:noWrap/>
            <w:hideMark/>
          </w:tcPr>
          <w:p w14:paraId="689187E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3990</w:t>
            </w:r>
          </w:p>
        </w:tc>
        <w:tc>
          <w:tcPr>
            <w:tcW w:w="725" w:type="dxa"/>
            <w:tcBorders>
              <w:top w:val="single" w:sz="4" w:space="0" w:color="auto"/>
              <w:left w:val="single" w:sz="4" w:space="0" w:color="auto"/>
              <w:bottom w:val="single" w:sz="4" w:space="0" w:color="auto"/>
              <w:right w:val="single" w:sz="4" w:space="0" w:color="auto"/>
            </w:tcBorders>
            <w:noWrap/>
            <w:hideMark/>
          </w:tcPr>
          <w:p w14:paraId="3216938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3388</w:t>
            </w:r>
          </w:p>
        </w:tc>
        <w:tc>
          <w:tcPr>
            <w:tcW w:w="724" w:type="dxa"/>
            <w:tcBorders>
              <w:top w:val="single" w:sz="4" w:space="0" w:color="auto"/>
              <w:left w:val="single" w:sz="4" w:space="0" w:color="auto"/>
              <w:bottom w:val="single" w:sz="4" w:space="0" w:color="auto"/>
              <w:right w:val="single" w:sz="4" w:space="0" w:color="auto"/>
            </w:tcBorders>
            <w:noWrap/>
            <w:hideMark/>
          </w:tcPr>
          <w:p w14:paraId="2725DB1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2525</w:t>
            </w:r>
          </w:p>
        </w:tc>
        <w:tc>
          <w:tcPr>
            <w:tcW w:w="724" w:type="dxa"/>
            <w:tcBorders>
              <w:top w:val="single" w:sz="4" w:space="0" w:color="auto"/>
              <w:left w:val="single" w:sz="4" w:space="0" w:color="auto"/>
              <w:bottom w:val="single" w:sz="4" w:space="0" w:color="auto"/>
              <w:right w:val="single" w:sz="4" w:space="0" w:color="auto"/>
            </w:tcBorders>
            <w:noWrap/>
            <w:hideMark/>
          </w:tcPr>
          <w:p w14:paraId="7252B44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1897</w:t>
            </w:r>
          </w:p>
        </w:tc>
        <w:tc>
          <w:tcPr>
            <w:tcW w:w="725" w:type="dxa"/>
            <w:tcBorders>
              <w:top w:val="single" w:sz="4" w:space="0" w:color="auto"/>
              <w:left w:val="single" w:sz="4" w:space="0" w:color="auto"/>
              <w:bottom w:val="single" w:sz="4" w:space="0" w:color="auto"/>
              <w:right w:val="single" w:sz="4" w:space="0" w:color="auto"/>
            </w:tcBorders>
            <w:noWrap/>
            <w:hideMark/>
          </w:tcPr>
          <w:p w14:paraId="69DC01F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1448</w:t>
            </w:r>
          </w:p>
        </w:tc>
      </w:tr>
      <w:tr w:rsidR="00614438" w:rsidRPr="00656BE7" w14:paraId="50D6E607"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1F8CDA3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Scenario-S-N</w:t>
            </w:r>
          </w:p>
        </w:tc>
        <w:tc>
          <w:tcPr>
            <w:tcW w:w="724" w:type="dxa"/>
            <w:tcBorders>
              <w:top w:val="single" w:sz="4" w:space="0" w:color="auto"/>
              <w:left w:val="single" w:sz="4" w:space="0" w:color="auto"/>
              <w:bottom w:val="single" w:sz="4" w:space="0" w:color="auto"/>
              <w:right w:val="single" w:sz="4" w:space="0" w:color="auto"/>
            </w:tcBorders>
            <w:noWrap/>
            <w:hideMark/>
          </w:tcPr>
          <w:p w14:paraId="799C29E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3985</w:t>
            </w:r>
          </w:p>
        </w:tc>
        <w:tc>
          <w:tcPr>
            <w:tcW w:w="724" w:type="dxa"/>
            <w:tcBorders>
              <w:top w:val="single" w:sz="4" w:space="0" w:color="auto"/>
              <w:left w:val="single" w:sz="4" w:space="0" w:color="auto"/>
              <w:bottom w:val="single" w:sz="4" w:space="0" w:color="auto"/>
              <w:right w:val="single" w:sz="4" w:space="0" w:color="auto"/>
            </w:tcBorders>
            <w:noWrap/>
            <w:hideMark/>
          </w:tcPr>
          <w:p w14:paraId="7700460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4262</w:t>
            </w:r>
          </w:p>
        </w:tc>
        <w:tc>
          <w:tcPr>
            <w:tcW w:w="724" w:type="dxa"/>
            <w:tcBorders>
              <w:top w:val="single" w:sz="4" w:space="0" w:color="auto"/>
              <w:left w:val="single" w:sz="4" w:space="0" w:color="auto"/>
              <w:bottom w:val="single" w:sz="4" w:space="0" w:color="auto"/>
              <w:right w:val="single" w:sz="4" w:space="0" w:color="auto"/>
            </w:tcBorders>
            <w:noWrap/>
            <w:hideMark/>
          </w:tcPr>
          <w:p w14:paraId="608C575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4303</w:t>
            </w:r>
          </w:p>
        </w:tc>
        <w:tc>
          <w:tcPr>
            <w:tcW w:w="725" w:type="dxa"/>
            <w:tcBorders>
              <w:top w:val="single" w:sz="4" w:space="0" w:color="auto"/>
              <w:left w:val="single" w:sz="4" w:space="0" w:color="auto"/>
              <w:bottom w:val="single" w:sz="4" w:space="0" w:color="auto"/>
              <w:right w:val="single" w:sz="4" w:space="0" w:color="auto"/>
            </w:tcBorders>
            <w:noWrap/>
            <w:hideMark/>
          </w:tcPr>
          <w:p w14:paraId="02FF466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4355</w:t>
            </w:r>
          </w:p>
        </w:tc>
        <w:tc>
          <w:tcPr>
            <w:tcW w:w="724" w:type="dxa"/>
            <w:tcBorders>
              <w:top w:val="single" w:sz="4" w:space="0" w:color="auto"/>
              <w:left w:val="single" w:sz="4" w:space="0" w:color="auto"/>
              <w:bottom w:val="single" w:sz="4" w:space="0" w:color="auto"/>
              <w:right w:val="single" w:sz="4" w:space="0" w:color="auto"/>
            </w:tcBorders>
            <w:noWrap/>
            <w:hideMark/>
          </w:tcPr>
          <w:p w14:paraId="163C8DD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4289</w:t>
            </w:r>
          </w:p>
        </w:tc>
        <w:tc>
          <w:tcPr>
            <w:tcW w:w="724" w:type="dxa"/>
            <w:tcBorders>
              <w:top w:val="single" w:sz="4" w:space="0" w:color="auto"/>
              <w:left w:val="single" w:sz="4" w:space="0" w:color="auto"/>
              <w:bottom w:val="single" w:sz="4" w:space="0" w:color="auto"/>
              <w:right w:val="single" w:sz="4" w:space="0" w:color="auto"/>
            </w:tcBorders>
            <w:noWrap/>
            <w:hideMark/>
          </w:tcPr>
          <w:p w14:paraId="2C19982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4154</w:t>
            </w:r>
          </w:p>
        </w:tc>
        <w:tc>
          <w:tcPr>
            <w:tcW w:w="724" w:type="dxa"/>
            <w:tcBorders>
              <w:top w:val="single" w:sz="4" w:space="0" w:color="auto"/>
              <w:left w:val="single" w:sz="4" w:space="0" w:color="auto"/>
              <w:bottom w:val="single" w:sz="4" w:space="0" w:color="auto"/>
              <w:right w:val="single" w:sz="4" w:space="0" w:color="auto"/>
            </w:tcBorders>
            <w:noWrap/>
            <w:hideMark/>
          </w:tcPr>
          <w:p w14:paraId="6CEF832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3990</w:t>
            </w:r>
          </w:p>
        </w:tc>
        <w:tc>
          <w:tcPr>
            <w:tcW w:w="725" w:type="dxa"/>
            <w:tcBorders>
              <w:top w:val="single" w:sz="4" w:space="0" w:color="auto"/>
              <w:left w:val="single" w:sz="4" w:space="0" w:color="auto"/>
              <w:bottom w:val="single" w:sz="4" w:space="0" w:color="auto"/>
              <w:right w:val="single" w:sz="4" w:space="0" w:color="auto"/>
            </w:tcBorders>
            <w:noWrap/>
            <w:hideMark/>
          </w:tcPr>
          <w:p w14:paraId="3B87980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3388</w:t>
            </w:r>
          </w:p>
        </w:tc>
        <w:tc>
          <w:tcPr>
            <w:tcW w:w="724" w:type="dxa"/>
            <w:tcBorders>
              <w:top w:val="single" w:sz="4" w:space="0" w:color="auto"/>
              <w:left w:val="single" w:sz="4" w:space="0" w:color="auto"/>
              <w:bottom w:val="single" w:sz="4" w:space="0" w:color="auto"/>
              <w:right w:val="single" w:sz="4" w:space="0" w:color="auto"/>
            </w:tcBorders>
            <w:noWrap/>
            <w:hideMark/>
          </w:tcPr>
          <w:p w14:paraId="5BE13B1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2541</w:t>
            </w:r>
          </w:p>
        </w:tc>
        <w:tc>
          <w:tcPr>
            <w:tcW w:w="724" w:type="dxa"/>
            <w:tcBorders>
              <w:top w:val="single" w:sz="4" w:space="0" w:color="auto"/>
              <w:left w:val="single" w:sz="4" w:space="0" w:color="auto"/>
              <w:bottom w:val="single" w:sz="4" w:space="0" w:color="auto"/>
              <w:right w:val="single" w:sz="4" w:space="0" w:color="auto"/>
            </w:tcBorders>
            <w:noWrap/>
            <w:hideMark/>
          </w:tcPr>
          <w:p w14:paraId="6AA57BD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1715</w:t>
            </w:r>
          </w:p>
        </w:tc>
        <w:tc>
          <w:tcPr>
            <w:tcW w:w="725" w:type="dxa"/>
            <w:tcBorders>
              <w:top w:val="single" w:sz="4" w:space="0" w:color="auto"/>
              <w:left w:val="single" w:sz="4" w:space="0" w:color="auto"/>
              <w:bottom w:val="single" w:sz="4" w:space="0" w:color="auto"/>
              <w:right w:val="single" w:sz="4" w:space="0" w:color="auto"/>
            </w:tcBorders>
            <w:noWrap/>
            <w:hideMark/>
          </w:tcPr>
          <w:p w14:paraId="698C925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1204</w:t>
            </w:r>
          </w:p>
        </w:tc>
      </w:tr>
    </w:tbl>
    <w:p w14:paraId="5F436CE3" w14:textId="4D5C3199" w:rsidR="00614438" w:rsidRPr="00614438" w:rsidRDefault="00E10AC2" w:rsidP="00656BE7">
      <w:pPr>
        <w:spacing w:before="240"/>
        <w:ind w:left="720"/>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V.2 </w:t>
      </w:r>
      <w:r w:rsidR="00614438" w:rsidRPr="00614438">
        <w:rPr>
          <w:rFonts w:ascii="Times New Roman" w:hAnsi="Times New Roman" w:cs="Times New Roman"/>
          <w:sz w:val="24"/>
          <w:szCs w:val="24"/>
          <w:lang w:val="en-GB"/>
        </w:rPr>
        <w:t>Power Sector</w:t>
      </w:r>
    </w:p>
    <w:p w14:paraId="38B53235" w14:textId="77777777" w:rsidR="00614438" w:rsidRPr="00656BE7" w:rsidRDefault="00614438" w:rsidP="00656BE7">
      <w:pPr>
        <w:spacing w:after="0"/>
        <w:jc w:val="both"/>
        <w:rPr>
          <w:rFonts w:ascii="Times New Roman" w:hAnsi="Times New Roman" w:cs="Times New Roman"/>
          <w:sz w:val="20"/>
          <w:szCs w:val="20"/>
        </w:rPr>
      </w:pPr>
      <w:bookmarkStart w:id="715" w:name="_Toc153545101"/>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8</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Electricity Generation per source (TWh)</w:t>
      </w:r>
      <w:bookmarkEnd w:id="715"/>
    </w:p>
    <w:tbl>
      <w:tblPr>
        <w:tblStyle w:val="TableGrid"/>
        <w:tblW w:w="9780" w:type="dxa"/>
        <w:tblLayout w:type="fixed"/>
        <w:tblLook w:val="04A0" w:firstRow="1" w:lastRow="0" w:firstColumn="1" w:lastColumn="0" w:noHBand="0" w:noVBand="1"/>
      </w:tblPr>
      <w:tblGrid>
        <w:gridCol w:w="1273"/>
        <w:gridCol w:w="852"/>
        <w:gridCol w:w="851"/>
        <w:gridCol w:w="709"/>
        <w:gridCol w:w="992"/>
        <w:gridCol w:w="851"/>
        <w:gridCol w:w="1134"/>
        <w:gridCol w:w="850"/>
        <w:gridCol w:w="709"/>
        <w:gridCol w:w="709"/>
        <w:gridCol w:w="850"/>
      </w:tblGrid>
      <w:tr w:rsidR="00614438" w:rsidRPr="00656BE7" w14:paraId="34BC320A" w14:textId="77777777" w:rsidTr="00614438">
        <w:trPr>
          <w:trHeight w:val="300"/>
        </w:trPr>
        <w:tc>
          <w:tcPr>
            <w:tcW w:w="1271" w:type="dxa"/>
            <w:tcBorders>
              <w:top w:val="single" w:sz="4" w:space="0" w:color="auto"/>
              <w:left w:val="single" w:sz="4" w:space="0" w:color="auto"/>
              <w:bottom w:val="single" w:sz="12" w:space="0" w:color="auto"/>
              <w:right w:val="single" w:sz="4" w:space="0" w:color="auto"/>
            </w:tcBorders>
            <w:shd w:val="clear" w:color="auto" w:fill="404040"/>
            <w:noWrap/>
            <w:vAlign w:val="center"/>
            <w:hideMark/>
          </w:tcPr>
          <w:p w14:paraId="1A53EAC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Electricity Generation per source (TWh)</w:t>
            </w:r>
          </w:p>
        </w:tc>
        <w:tc>
          <w:tcPr>
            <w:tcW w:w="851" w:type="dxa"/>
            <w:tcBorders>
              <w:top w:val="single" w:sz="4" w:space="0" w:color="auto"/>
              <w:left w:val="single" w:sz="4" w:space="0" w:color="auto"/>
              <w:bottom w:val="single" w:sz="12" w:space="0" w:color="auto"/>
              <w:right w:val="single" w:sz="4" w:space="0" w:color="auto"/>
            </w:tcBorders>
            <w:shd w:val="clear" w:color="auto" w:fill="1F497D"/>
            <w:noWrap/>
            <w:vAlign w:val="center"/>
            <w:hideMark/>
          </w:tcPr>
          <w:p w14:paraId="2061BD3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Year</w:t>
            </w:r>
          </w:p>
        </w:tc>
        <w:tc>
          <w:tcPr>
            <w:tcW w:w="850" w:type="dxa"/>
            <w:tcBorders>
              <w:top w:val="single" w:sz="4" w:space="0" w:color="auto"/>
              <w:left w:val="single" w:sz="4" w:space="0" w:color="auto"/>
              <w:bottom w:val="single" w:sz="12" w:space="0" w:color="auto"/>
              <w:right w:val="single" w:sz="4" w:space="0" w:color="auto"/>
            </w:tcBorders>
            <w:shd w:val="clear" w:color="auto" w:fill="1F497D"/>
            <w:noWrap/>
            <w:vAlign w:val="center"/>
            <w:hideMark/>
          </w:tcPr>
          <w:p w14:paraId="60A59FC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Nuclear</w:t>
            </w:r>
          </w:p>
        </w:tc>
        <w:tc>
          <w:tcPr>
            <w:tcW w:w="709" w:type="dxa"/>
            <w:tcBorders>
              <w:top w:val="single" w:sz="4" w:space="0" w:color="auto"/>
              <w:left w:val="single" w:sz="4" w:space="0" w:color="auto"/>
              <w:bottom w:val="single" w:sz="12" w:space="0" w:color="auto"/>
              <w:right w:val="single" w:sz="4" w:space="0" w:color="auto"/>
            </w:tcBorders>
            <w:shd w:val="clear" w:color="auto" w:fill="1F497D"/>
            <w:noWrap/>
            <w:vAlign w:val="center"/>
            <w:hideMark/>
          </w:tcPr>
          <w:p w14:paraId="4CF0891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Solid Fuels</w:t>
            </w:r>
          </w:p>
        </w:tc>
        <w:tc>
          <w:tcPr>
            <w:tcW w:w="992" w:type="dxa"/>
            <w:tcBorders>
              <w:top w:val="single" w:sz="4" w:space="0" w:color="auto"/>
              <w:left w:val="single" w:sz="4" w:space="0" w:color="auto"/>
              <w:bottom w:val="single" w:sz="12" w:space="0" w:color="auto"/>
              <w:right w:val="single" w:sz="4" w:space="0" w:color="auto"/>
            </w:tcBorders>
            <w:shd w:val="clear" w:color="auto" w:fill="1F497D"/>
            <w:noWrap/>
            <w:vAlign w:val="center"/>
            <w:hideMark/>
          </w:tcPr>
          <w:p w14:paraId="42C7F65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Oil Products</w:t>
            </w:r>
          </w:p>
        </w:tc>
        <w:tc>
          <w:tcPr>
            <w:tcW w:w="851" w:type="dxa"/>
            <w:tcBorders>
              <w:top w:val="single" w:sz="4" w:space="0" w:color="auto"/>
              <w:left w:val="single" w:sz="4" w:space="0" w:color="auto"/>
              <w:bottom w:val="single" w:sz="12" w:space="0" w:color="auto"/>
              <w:right w:val="single" w:sz="4" w:space="0" w:color="auto"/>
            </w:tcBorders>
            <w:shd w:val="clear" w:color="auto" w:fill="1F497D"/>
            <w:noWrap/>
            <w:vAlign w:val="center"/>
            <w:hideMark/>
          </w:tcPr>
          <w:p w14:paraId="0C436B2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Natural Gas</w:t>
            </w:r>
          </w:p>
        </w:tc>
        <w:tc>
          <w:tcPr>
            <w:tcW w:w="1134" w:type="dxa"/>
            <w:tcBorders>
              <w:top w:val="single" w:sz="4" w:space="0" w:color="auto"/>
              <w:left w:val="single" w:sz="4" w:space="0" w:color="auto"/>
              <w:bottom w:val="single" w:sz="12" w:space="0" w:color="auto"/>
              <w:right w:val="single" w:sz="4" w:space="0" w:color="auto"/>
            </w:tcBorders>
            <w:shd w:val="clear" w:color="auto" w:fill="1F497D"/>
            <w:noWrap/>
            <w:vAlign w:val="center"/>
            <w:hideMark/>
          </w:tcPr>
          <w:p w14:paraId="1171E24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Bioenergy &amp; Waste</w:t>
            </w:r>
          </w:p>
        </w:tc>
        <w:tc>
          <w:tcPr>
            <w:tcW w:w="850" w:type="dxa"/>
            <w:tcBorders>
              <w:top w:val="single" w:sz="4" w:space="0" w:color="auto"/>
              <w:left w:val="single" w:sz="4" w:space="0" w:color="auto"/>
              <w:bottom w:val="single" w:sz="12" w:space="0" w:color="auto"/>
              <w:right w:val="single" w:sz="4" w:space="0" w:color="auto"/>
            </w:tcBorders>
            <w:shd w:val="clear" w:color="auto" w:fill="1F497D"/>
            <w:noWrap/>
            <w:vAlign w:val="center"/>
            <w:hideMark/>
          </w:tcPr>
          <w:p w14:paraId="590278F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Hydro power</w:t>
            </w:r>
          </w:p>
        </w:tc>
        <w:tc>
          <w:tcPr>
            <w:tcW w:w="709" w:type="dxa"/>
            <w:tcBorders>
              <w:top w:val="single" w:sz="4" w:space="0" w:color="auto"/>
              <w:left w:val="single" w:sz="4" w:space="0" w:color="auto"/>
              <w:bottom w:val="single" w:sz="12" w:space="0" w:color="auto"/>
              <w:right w:val="single" w:sz="4" w:space="0" w:color="auto"/>
            </w:tcBorders>
            <w:shd w:val="clear" w:color="auto" w:fill="1F497D"/>
            <w:noWrap/>
            <w:vAlign w:val="center"/>
            <w:hideMark/>
          </w:tcPr>
          <w:p w14:paraId="4EE8486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Wind</w:t>
            </w:r>
          </w:p>
        </w:tc>
        <w:tc>
          <w:tcPr>
            <w:tcW w:w="709" w:type="dxa"/>
            <w:tcBorders>
              <w:top w:val="single" w:sz="4" w:space="0" w:color="auto"/>
              <w:left w:val="single" w:sz="4" w:space="0" w:color="auto"/>
              <w:bottom w:val="single" w:sz="12" w:space="0" w:color="auto"/>
              <w:right w:val="single" w:sz="4" w:space="0" w:color="auto"/>
            </w:tcBorders>
            <w:shd w:val="clear" w:color="auto" w:fill="1F497D"/>
            <w:noWrap/>
            <w:vAlign w:val="center"/>
            <w:hideMark/>
          </w:tcPr>
          <w:p w14:paraId="402F07C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Solar</w:t>
            </w:r>
          </w:p>
        </w:tc>
        <w:tc>
          <w:tcPr>
            <w:tcW w:w="850" w:type="dxa"/>
            <w:tcBorders>
              <w:top w:val="single" w:sz="4" w:space="0" w:color="auto"/>
              <w:left w:val="single" w:sz="4" w:space="0" w:color="auto"/>
              <w:bottom w:val="single" w:sz="12" w:space="0" w:color="auto"/>
              <w:right w:val="single" w:sz="4" w:space="0" w:color="auto"/>
            </w:tcBorders>
            <w:shd w:val="clear" w:color="auto" w:fill="1F497D"/>
            <w:noWrap/>
            <w:vAlign w:val="center"/>
            <w:hideMark/>
          </w:tcPr>
          <w:p w14:paraId="674A9ED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Total (TWh)</w:t>
            </w:r>
          </w:p>
        </w:tc>
      </w:tr>
      <w:tr w:rsidR="00614438" w:rsidRPr="00656BE7" w14:paraId="140F2E27" w14:textId="77777777" w:rsidTr="00614438">
        <w:trPr>
          <w:trHeight w:val="300"/>
        </w:trPr>
        <w:tc>
          <w:tcPr>
            <w:tcW w:w="1271" w:type="dxa"/>
            <w:vMerge w:val="restart"/>
            <w:tcBorders>
              <w:top w:val="single" w:sz="12" w:space="0" w:color="auto"/>
              <w:left w:val="single" w:sz="12" w:space="0" w:color="auto"/>
              <w:bottom w:val="single" w:sz="12" w:space="0" w:color="auto"/>
              <w:right w:val="single" w:sz="8" w:space="0" w:color="auto"/>
            </w:tcBorders>
            <w:shd w:val="clear" w:color="auto" w:fill="E7E6E6"/>
            <w:noWrap/>
            <w:vAlign w:val="center"/>
            <w:hideMark/>
          </w:tcPr>
          <w:p w14:paraId="32D8694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WEM</w:t>
            </w:r>
          </w:p>
        </w:tc>
        <w:tc>
          <w:tcPr>
            <w:tcW w:w="851" w:type="dxa"/>
            <w:tcBorders>
              <w:top w:val="single" w:sz="12" w:space="0" w:color="auto"/>
              <w:left w:val="single" w:sz="8" w:space="0" w:color="auto"/>
              <w:bottom w:val="single" w:sz="8" w:space="0" w:color="auto"/>
              <w:right w:val="single" w:sz="8" w:space="0" w:color="auto"/>
            </w:tcBorders>
            <w:noWrap/>
            <w:hideMark/>
          </w:tcPr>
          <w:p w14:paraId="334A77E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2019</w:t>
            </w:r>
          </w:p>
        </w:tc>
        <w:tc>
          <w:tcPr>
            <w:tcW w:w="850" w:type="dxa"/>
            <w:tcBorders>
              <w:top w:val="single" w:sz="12" w:space="0" w:color="auto"/>
              <w:left w:val="single" w:sz="8" w:space="0" w:color="auto"/>
              <w:bottom w:val="single" w:sz="8" w:space="0" w:color="auto"/>
              <w:right w:val="single" w:sz="8" w:space="0" w:color="auto"/>
            </w:tcBorders>
            <w:noWrap/>
            <w:hideMark/>
          </w:tcPr>
          <w:p w14:paraId="4AE6562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12" w:space="0" w:color="auto"/>
              <w:left w:val="single" w:sz="8" w:space="0" w:color="auto"/>
              <w:bottom w:val="single" w:sz="8" w:space="0" w:color="auto"/>
              <w:right w:val="single" w:sz="8" w:space="0" w:color="auto"/>
            </w:tcBorders>
            <w:noWrap/>
            <w:hideMark/>
          </w:tcPr>
          <w:p w14:paraId="0183AE0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25.45</w:t>
            </w:r>
          </w:p>
        </w:tc>
        <w:tc>
          <w:tcPr>
            <w:tcW w:w="992" w:type="dxa"/>
            <w:tcBorders>
              <w:top w:val="single" w:sz="12" w:space="0" w:color="auto"/>
              <w:left w:val="single" w:sz="8" w:space="0" w:color="auto"/>
              <w:bottom w:val="single" w:sz="8" w:space="0" w:color="auto"/>
              <w:right w:val="single" w:sz="8" w:space="0" w:color="auto"/>
            </w:tcBorders>
            <w:noWrap/>
            <w:hideMark/>
          </w:tcPr>
          <w:p w14:paraId="33B6E05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0.05</w:t>
            </w:r>
          </w:p>
        </w:tc>
        <w:tc>
          <w:tcPr>
            <w:tcW w:w="851" w:type="dxa"/>
            <w:tcBorders>
              <w:top w:val="single" w:sz="12" w:space="0" w:color="auto"/>
              <w:left w:val="single" w:sz="8" w:space="0" w:color="auto"/>
              <w:bottom w:val="single" w:sz="8" w:space="0" w:color="auto"/>
              <w:right w:val="single" w:sz="8" w:space="0" w:color="auto"/>
            </w:tcBorders>
            <w:noWrap/>
            <w:hideMark/>
          </w:tcPr>
          <w:p w14:paraId="09C90EC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0.73</w:t>
            </w:r>
          </w:p>
        </w:tc>
        <w:tc>
          <w:tcPr>
            <w:tcW w:w="1134" w:type="dxa"/>
            <w:tcBorders>
              <w:top w:val="single" w:sz="12" w:space="0" w:color="auto"/>
              <w:left w:val="single" w:sz="8" w:space="0" w:color="auto"/>
              <w:bottom w:val="single" w:sz="8" w:space="0" w:color="auto"/>
              <w:right w:val="single" w:sz="8" w:space="0" w:color="auto"/>
            </w:tcBorders>
            <w:noWrap/>
            <w:hideMark/>
          </w:tcPr>
          <w:p w14:paraId="0148848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0.16</w:t>
            </w:r>
          </w:p>
        </w:tc>
        <w:tc>
          <w:tcPr>
            <w:tcW w:w="850" w:type="dxa"/>
            <w:tcBorders>
              <w:top w:val="single" w:sz="12" w:space="0" w:color="auto"/>
              <w:left w:val="single" w:sz="8" w:space="0" w:color="auto"/>
              <w:bottom w:val="single" w:sz="8" w:space="0" w:color="auto"/>
              <w:right w:val="single" w:sz="8" w:space="0" w:color="auto"/>
            </w:tcBorders>
            <w:noWrap/>
            <w:hideMark/>
          </w:tcPr>
          <w:p w14:paraId="56101E6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9.46</w:t>
            </w:r>
          </w:p>
        </w:tc>
        <w:tc>
          <w:tcPr>
            <w:tcW w:w="709" w:type="dxa"/>
            <w:tcBorders>
              <w:top w:val="single" w:sz="12" w:space="0" w:color="auto"/>
              <w:left w:val="single" w:sz="8" w:space="0" w:color="auto"/>
              <w:bottom w:val="single" w:sz="8" w:space="0" w:color="auto"/>
              <w:right w:val="single" w:sz="8" w:space="0" w:color="auto"/>
            </w:tcBorders>
            <w:noWrap/>
            <w:hideMark/>
          </w:tcPr>
          <w:p w14:paraId="436ADC8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0.90</w:t>
            </w:r>
          </w:p>
        </w:tc>
        <w:tc>
          <w:tcPr>
            <w:tcW w:w="709" w:type="dxa"/>
            <w:tcBorders>
              <w:top w:val="single" w:sz="12" w:space="0" w:color="auto"/>
              <w:left w:val="single" w:sz="8" w:space="0" w:color="auto"/>
              <w:bottom w:val="single" w:sz="8" w:space="0" w:color="auto"/>
              <w:right w:val="single" w:sz="8" w:space="0" w:color="auto"/>
            </w:tcBorders>
            <w:noWrap/>
            <w:hideMark/>
          </w:tcPr>
          <w:p w14:paraId="7599F2F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0.01</w:t>
            </w:r>
          </w:p>
        </w:tc>
        <w:tc>
          <w:tcPr>
            <w:tcW w:w="850" w:type="dxa"/>
            <w:tcBorders>
              <w:top w:val="single" w:sz="12" w:space="0" w:color="auto"/>
              <w:left w:val="single" w:sz="8" w:space="0" w:color="auto"/>
              <w:bottom w:val="single" w:sz="8" w:space="0" w:color="auto"/>
              <w:right w:val="single" w:sz="12" w:space="0" w:color="auto"/>
            </w:tcBorders>
            <w:noWrap/>
            <w:hideMark/>
          </w:tcPr>
          <w:p w14:paraId="2E0BC19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36.75</w:t>
            </w:r>
          </w:p>
        </w:tc>
      </w:tr>
      <w:tr w:rsidR="00614438" w:rsidRPr="00656BE7" w14:paraId="646BCEE8" w14:textId="77777777" w:rsidTr="00614438">
        <w:trPr>
          <w:trHeight w:val="300"/>
        </w:trPr>
        <w:tc>
          <w:tcPr>
            <w:tcW w:w="1271" w:type="dxa"/>
            <w:vMerge/>
            <w:tcBorders>
              <w:top w:val="single" w:sz="12" w:space="0" w:color="auto"/>
              <w:left w:val="single" w:sz="12" w:space="0" w:color="auto"/>
              <w:bottom w:val="single" w:sz="12" w:space="0" w:color="auto"/>
              <w:right w:val="single" w:sz="8" w:space="0" w:color="auto"/>
            </w:tcBorders>
            <w:vAlign w:val="center"/>
            <w:hideMark/>
          </w:tcPr>
          <w:p w14:paraId="256A55A7"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8" w:space="0" w:color="auto"/>
              <w:left w:val="single" w:sz="8" w:space="0" w:color="auto"/>
              <w:bottom w:val="single" w:sz="8" w:space="0" w:color="auto"/>
              <w:right w:val="single" w:sz="8" w:space="0" w:color="auto"/>
            </w:tcBorders>
            <w:noWrap/>
            <w:hideMark/>
          </w:tcPr>
          <w:p w14:paraId="7B64A61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850" w:type="dxa"/>
            <w:tcBorders>
              <w:top w:val="single" w:sz="8" w:space="0" w:color="auto"/>
              <w:left w:val="single" w:sz="8" w:space="0" w:color="auto"/>
              <w:bottom w:val="single" w:sz="8" w:space="0" w:color="auto"/>
              <w:right w:val="single" w:sz="8" w:space="0" w:color="auto"/>
            </w:tcBorders>
            <w:noWrap/>
            <w:hideMark/>
          </w:tcPr>
          <w:p w14:paraId="5F44593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8" w:space="0" w:color="auto"/>
              <w:left w:val="single" w:sz="8" w:space="0" w:color="auto"/>
              <w:bottom w:val="single" w:sz="8" w:space="0" w:color="auto"/>
              <w:right w:val="single" w:sz="8" w:space="0" w:color="auto"/>
            </w:tcBorders>
            <w:noWrap/>
            <w:hideMark/>
          </w:tcPr>
          <w:p w14:paraId="5C2011F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27.73</w:t>
            </w:r>
          </w:p>
        </w:tc>
        <w:tc>
          <w:tcPr>
            <w:tcW w:w="992" w:type="dxa"/>
            <w:tcBorders>
              <w:top w:val="single" w:sz="8" w:space="0" w:color="auto"/>
              <w:left w:val="single" w:sz="8" w:space="0" w:color="auto"/>
              <w:bottom w:val="single" w:sz="8" w:space="0" w:color="auto"/>
              <w:right w:val="single" w:sz="8" w:space="0" w:color="auto"/>
            </w:tcBorders>
            <w:noWrap/>
            <w:hideMark/>
          </w:tcPr>
          <w:p w14:paraId="555DE8E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0.04</w:t>
            </w:r>
          </w:p>
        </w:tc>
        <w:tc>
          <w:tcPr>
            <w:tcW w:w="851" w:type="dxa"/>
            <w:tcBorders>
              <w:top w:val="single" w:sz="8" w:space="0" w:color="auto"/>
              <w:left w:val="single" w:sz="8" w:space="0" w:color="auto"/>
              <w:bottom w:val="single" w:sz="8" w:space="0" w:color="auto"/>
              <w:right w:val="single" w:sz="8" w:space="0" w:color="auto"/>
            </w:tcBorders>
            <w:noWrap/>
            <w:hideMark/>
          </w:tcPr>
          <w:p w14:paraId="0EBDAEC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1.46</w:t>
            </w:r>
          </w:p>
        </w:tc>
        <w:tc>
          <w:tcPr>
            <w:tcW w:w="1134" w:type="dxa"/>
            <w:tcBorders>
              <w:top w:val="single" w:sz="8" w:space="0" w:color="auto"/>
              <w:left w:val="single" w:sz="8" w:space="0" w:color="auto"/>
              <w:bottom w:val="single" w:sz="8" w:space="0" w:color="auto"/>
              <w:right w:val="single" w:sz="8" w:space="0" w:color="auto"/>
            </w:tcBorders>
            <w:noWrap/>
            <w:hideMark/>
          </w:tcPr>
          <w:p w14:paraId="1DE6EA9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0.23</w:t>
            </w:r>
          </w:p>
        </w:tc>
        <w:tc>
          <w:tcPr>
            <w:tcW w:w="850" w:type="dxa"/>
            <w:tcBorders>
              <w:top w:val="single" w:sz="8" w:space="0" w:color="auto"/>
              <w:left w:val="single" w:sz="8" w:space="0" w:color="auto"/>
              <w:bottom w:val="single" w:sz="8" w:space="0" w:color="auto"/>
              <w:right w:val="single" w:sz="8" w:space="0" w:color="auto"/>
            </w:tcBorders>
            <w:noWrap/>
            <w:hideMark/>
          </w:tcPr>
          <w:p w14:paraId="3EC2D56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10.41</w:t>
            </w:r>
          </w:p>
        </w:tc>
        <w:tc>
          <w:tcPr>
            <w:tcW w:w="709" w:type="dxa"/>
            <w:tcBorders>
              <w:top w:val="single" w:sz="8" w:space="0" w:color="auto"/>
              <w:left w:val="single" w:sz="8" w:space="0" w:color="auto"/>
              <w:bottom w:val="single" w:sz="8" w:space="0" w:color="auto"/>
              <w:right w:val="single" w:sz="8" w:space="0" w:color="auto"/>
            </w:tcBorders>
            <w:noWrap/>
            <w:hideMark/>
          </w:tcPr>
          <w:p w14:paraId="5381F13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1.92</w:t>
            </w:r>
          </w:p>
        </w:tc>
        <w:tc>
          <w:tcPr>
            <w:tcW w:w="709" w:type="dxa"/>
            <w:tcBorders>
              <w:top w:val="single" w:sz="8" w:space="0" w:color="auto"/>
              <w:left w:val="single" w:sz="8" w:space="0" w:color="auto"/>
              <w:bottom w:val="single" w:sz="8" w:space="0" w:color="auto"/>
              <w:right w:val="single" w:sz="8" w:space="0" w:color="auto"/>
            </w:tcBorders>
            <w:noWrap/>
            <w:hideMark/>
          </w:tcPr>
          <w:p w14:paraId="3B0F9D2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0.40</w:t>
            </w:r>
          </w:p>
        </w:tc>
        <w:tc>
          <w:tcPr>
            <w:tcW w:w="850" w:type="dxa"/>
            <w:tcBorders>
              <w:top w:val="single" w:sz="8" w:space="0" w:color="auto"/>
              <w:left w:val="single" w:sz="8" w:space="0" w:color="auto"/>
              <w:bottom w:val="single" w:sz="8" w:space="0" w:color="auto"/>
              <w:right w:val="single" w:sz="12" w:space="0" w:color="auto"/>
            </w:tcBorders>
            <w:noWrap/>
            <w:hideMark/>
          </w:tcPr>
          <w:p w14:paraId="610DAB2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42.19</w:t>
            </w:r>
          </w:p>
        </w:tc>
      </w:tr>
      <w:tr w:rsidR="00614438" w:rsidRPr="00656BE7" w14:paraId="6DBFD1AC" w14:textId="77777777" w:rsidTr="00614438">
        <w:trPr>
          <w:trHeight w:val="300"/>
        </w:trPr>
        <w:tc>
          <w:tcPr>
            <w:tcW w:w="1271" w:type="dxa"/>
            <w:vMerge/>
            <w:tcBorders>
              <w:top w:val="single" w:sz="12" w:space="0" w:color="auto"/>
              <w:left w:val="single" w:sz="12" w:space="0" w:color="auto"/>
              <w:bottom w:val="single" w:sz="12" w:space="0" w:color="auto"/>
              <w:right w:val="single" w:sz="8" w:space="0" w:color="auto"/>
            </w:tcBorders>
            <w:vAlign w:val="center"/>
            <w:hideMark/>
          </w:tcPr>
          <w:p w14:paraId="16ED8F06"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8" w:space="0" w:color="auto"/>
              <w:left w:val="single" w:sz="8" w:space="0" w:color="auto"/>
              <w:bottom w:val="single" w:sz="8" w:space="0" w:color="auto"/>
              <w:right w:val="single" w:sz="8" w:space="0" w:color="auto"/>
            </w:tcBorders>
            <w:noWrap/>
            <w:hideMark/>
          </w:tcPr>
          <w:p w14:paraId="32948C8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850" w:type="dxa"/>
            <w:tcBorders>
              <w:top w:val="single" w:sz="8" w:space="0" w:color="auto"/>
              <w:left w:val="single" w:sz="8" w:space="0" w:color="auto"/>
              <w:bottom w:val="single" w:sz="8" w:space="0" w:color="auto"/>
              <w:right w:val="single" w:sz="8" w:space="0" w:color="auto"/>
            </w:tcBorders>
            <w:noWrap/>
            <w:hideMark/>
          </w:tcPr>
          <w:p w14:paraId="07DF1AF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8" w:space="0" w:color="auto"/>
              <w:left w:val="single" w:sz="8" w:space="0" w:color="auto"/>
              <w:bottom w:val="single" w:sz="8" w:space="0" w:color="auto"/>
              <w:right w:val="single" w:sz="8" w:space="0" w:color="auto"/>
            </w:tcBorders>
            <w:noWrap/>
            <w:hideMark/>
          </w:tcPr>
          <w:p w14:paraId="151A310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28.15</w:t>
            </w:r>
          </w:p>
        </w:tc>
        <w:tc>
          <w:tcPr>
            <w:tcW w:w="992" w:type="dxa"/>
            <w:tcBorders>
              <w:top w:val="single" w:sz="8" w:space="0" w:color="auto"/>
              <w:left w:val="single" w:sz="8" w:space="0" w:color="auto"/>
              <w:bottom w:val="single" w:sz="8" w:space="0" w:color="auto"/>
              <w:right w:val="single" w:sz="8" w:space="0" w:color="auto"/>
            </w:tcBorders>
            <w:noWrap/>
            <w:hideMark/>
          </w:tcPr>
          <w:p w14:paraId="28D69A7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0.03</w:t>
            </w:r>
          </w:p>
        </w:tc>
        <w:tc>
          <w:tcPr>
            <w:tcW w:w="851" w:type="dxa"/>
            <w:tcBorders>
              <w:top w:val="single" w:sz="8" w:space="0" w:color="auto"/>
              <w:left w:val="single" w:sz="8" w:space="0" w:color="auto"/>
              <w:bottom w:val="single" w:sz="8" w:space="0" w:color="auto"/>
              <w:right w:val="single" w:sz="8" w:space="0" w:color="auto"/>
            </w:tcBorders>
            <w:noWrap/>
            <w:hideMark/>
          </w:tcPr>
          <w:p w14:paraId="4BF10D1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1.66</w:t>
            </w:r>
          </w:p>
        </w:tc>
        <w:tc>
          <w:tcPr>
            <w:tcW w:w="1134" w:type="dxa"/>
            <w:tcBorders>
              <w:top w:val="single" w:sz="8" w:space="0" w:color="auto"/>
              <w:left w:val="single" w:sz="8" w:space="0" w:color="auto"/>
              <w:bottom w:val="single" w:sz="8" w:space="0" w:color="auto"/>
              <w:right w:val="single" w:sz="8" w:space="0" w:color="auto"/>
            </w:tcBorders>
            <w:noWrap/>
            <w:hideMark/>
          </w:tcPr>
          <w:p w14:paraId="799106B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0.22</w:t>
            </w:r>
          </w:p>
        </w:tc>
        <w:tc>
          <w:tcPr>
            <w:tcW w:w="850" w:type="dxa"/>
            <w:tcBorders>
              <w:top w:val="single" w:sz="8" w:space="0" w:color="auto"/>
              <w:left w:val="single" w:sz="8" w:space="0" w:color="auto"/>
              <w:bottom w:val="single" w:sz="8" w:space="0" w:color="auto"/>
              <w:right w:val="single" w:sz="8" w:space="0" w:color="auto"/>
            </w:tcBorders>
            <w:noWrap/>
            <w:hideMark/>
          </w:tcPr>
          <w:p w14:paraId="4BBBC45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10.41</w:t>
            </w:r>
          </w:p>
        </w:tc>
        <w:tc>
          <w:tcPr>
            <w:tcW w:w="709" w:type="dxa"/>
            <w:tcBorders>
              <w:top w:val="single" w:sz="8" w:space="0" w:color="auto"/>
              <w:left w:val="single" w:sz="8" w:space="0" w:color="auto"/>
              <w:bottom w:val="single" w:sz="8" w:space="0" w:color="auto"/>
              <w:right w:val="single" w:sz="8" w:space="0" w:color="auto"/>
            </w:tcBorders>
            <w:noWrap/>
            <w:hideMark/>
          </w:tcPr>
          <w:p w14:paraId="7D68356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1.92</w:t>
            </w:r>
          </w:p>
        </w:tc>
        <w:tc>
          <w:tcPr>
            <w:tcW w:w="709" w:type="dxa"/>
            <w:tcBorders>
              <w:top w:val="single" w:sz="8" w:space="0" w:color="auto"/>
              <w:left w:val="single" w:sz="8" w:space="0" w:color="auto"/>
              <w:bottom w:val="single" w:sz="8" w:space="0" w:color="auto"/>
              <w:right w:val="single" w:sz="8" w:space="0" w:color="auto"/>
            </w:tcBorders>
            <w:noWrap/>
            <w:hideMark/>
          </w:tcPr>
          <w:p w14:paraId="21D60E5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0.40</w:t>
            </w:r>
          </w:p>
        </w:tc>
        <w:tc>
          <w:tcPr>
            <w:tcW w:w="850" w:type="dxa"/>
            <w:tcBorders>
              <w:top w:val="single" w:sz="8" w:space="0" w:color="auto"/>
              <w:left w:val="single" w:sz="8" w:space="0" w:color="auto"/>
              <w:bottom w:val="single" w:sz="8" w:space="0" w:color="auto"/>
              <w:right w:val="single" w:sz="12" w:space="0" w:color="auto"/>
            </w:tcBorders>
            <w:noWrap/>
            <w:hideMark/>
          </w:tcPr>
          <w:p w14:paraId="2BF193C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42.80</w:t>
            </w:r>
          </w:p>
        </w:tc>
      </w:tr>
      <w:tr w:rsidR="00614438" w:rsidRPr="00656BE7" w14:paraId="42D97C35" w14:textId="77777777" w:rsidTr="00614438">
        <w:trPr>
          <w:trHeight w:val="300"/>
        </w:trPr>
        <w:tc>
          <w:tcPr>
            <w:tcW w:w="1271" w:type="dxa"/>
            <w:vMerge/>
            <w:tcBorders>
              <w:top w:val="single" w:sz="12" w:space="0" w:color="auto"/>
              <w:left w:val="single" w:sz="12" w:space="0" w:color="auto"/>
              <w:bottom w:val="single" w:sz="12" w:space="0" w:color="auto"/>
              <w:right w:val="single" w:sz="8" w:space="0" w:color="auto"/>
            </w:tcBorders>
            <w:vAlign w:val="center"/>
            <w:hideMark/>
          </w:tcPr>
          <w:p w14:paraId="72DBA825"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8" w:space="0" w:color="auto"/>
              <w:left w:val="single" w:sz="8" w:space="0" w:color="auto"/>
              <w:bottom w:val="single" w:sz="8" w:space="0" w:color="auto"/>
              <w:right w:val="single" w:sz="8" w:space="0" w:color="auto"/>
            </w:tcBorders>
            <w:noWrap/>
            <w:hideMark/>
          </w:tcPr>
          <w:p w14:paraId="6FCE8C9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850" w:type="dxa"/>
            <w:tcBorders>
              <w:top w:val="single" w:sz="8" w:space="0" w:color="auto"/>
              <w:left w:val="single" w:sz="8" w:space="0" w:color="auto"/>
              <w:bottom w:val="single" w:sz="8" w:space="0" w:color="auto"/>
              <w:right w:val="single" w:sz="8" w:space="0" w:color="auto"/>
            </w:tcBorders>
            <w:noWrap/>
            <w:hideMark/>
          </w:tcPr>
          <w:p w14:paraId="61F4BED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8" w:space="0" w:color="auto"/>
              <w:left w:val="single" w:sz="8" w:space="0" w:color="auto"/>
              <w:bottom w:val="single" w:sz="8" w:space="0" w:color="auto"/>
              <w:right w:val="single" w:sz="8" w:space="0" w:color="auto"/>
            </w:tcBorders>
            <w:noWrap/>
            <w:hideMark/>
          </w:tcPr>
          <w:p w14:paraId="054A48A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28.66</w:t>
            </w:r>
          </w:p>
        </w:tc>
        <w:tc>
          <w:tcPr>
            <w:tcW w:w="992" w:type="dxa"/>
            <w:tcBorders>
              <w:top w:val="single" w:sz="8" w:space="0" w:color="auto"/>
              <w:left w:val="single" w:sz="8" w:space="0" w:color="auto"/>
              <w:bottom w:val="single" w:sz="8" w:space="0" w:color="auto"/>
              <w:right w:val="single" w:sz="8" w:space="0" w:color="auto"/>
            </w:tcBorders>
            <w:noWrap/>
            <w:hideMark/>
          </w:tcPr>
          <w:p w14:paraId="0DD1DC8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0.03</w:t>
            </w:r>
          </w:p>
        </w:tc>
        <w:tc>
          <w:tcPr>
            <w:tcW w:w="851" w:type="dxa"/>
            <w:tcBorders>
              <w:top w:val="single" w:sz="8" w:space="0" w:color="auto"/>
              <w:left w:val="single" w:sz="8" w:space="0" w:color="auto"/>
              <w:bottom w:val="single" w:sz="8" w:space="0" w:color="auto"/>
              <w:right w:val="single" w:sz="8" w:space="0" w:color="auto"/>
            </w:tcBorders>
            <w:noWrap/>
            <w:hideMark/>
          </w:tcPr>
          <w:p w14:paraId="4705E0D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1.68</w:t>
            </w:r>
          </w:p>
        </w:tc>
        <w:tc>
          <w:tcPr>
            <w:tcW w:w="1134" w:type="dxa"/>
            <w:tcBorders>
              <w:top w:val="single" w:sz="8" w:space="0" w:color="auto"/>
              <w:left w:val="single" w:sz="8" w:space="0" w:color="auto"/>
              <w:bottom w:val="single" w:sz="8" w:space="0" w:color="auto"/>
              <w:right w:val="single" w:sz="8" w:space="0" w:color="auto"/>
            </w:tcBorders>
            <w:noWrap/>
            <w:hideMark/>
          </w:tcPr>
          <w:p w14:paraId="478E672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0.22</w:t>
            </w:r>
          </w:p>
        </w:tc>
        <w:tc>
          <w:tcPr>
            <w:tcW w:w="850" w:type="dxa"/>
            <w:tcBorders>
              <w:top w:val="single" w:sz="8" w:space="0" w:color="auto"/>
              <w:left w:val="single" w:sz="8" w:space="0" w:color="auto"/>
              <w:bottom w:val="single" w:sz="8" w:space="0" w:color="auto"/>
              <w:right w:val="single" w:sz="8" w:space="0" w:color="auto"/>
            </w:tcBorders>
            <w:noWrap/>
            <w:hideMark/>
          </w:tcPr>
          <w:p w14:paraId="3D170F1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10.44</w:t>
            </w:r>
          </w:p>
        </w:tc>
        <w:tc>
          <w:tcPr>
            <w:tcW w:w="709" w:type="dxa"/>
            <w:tcBorders>
              <w:top w:val="single" w:sz="8" w:space="0" w:color="auto"/>
              <w:left w:val="single" w:sz="8" w:space="0" w:color="auto"/>
              <w:bottom w:val="single" w:sz="8" w:space="0" w:color="auto"/>
              <w:right w:val="single" w:sz="8" w:space="0" w:color="auto"/>
            </w:tcBorders>
            <w:noWrap/>
            <w:hideMark/>
          </w:tcPr>
          <w:p w14:paraId="38ABB93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1.92</w:t>
            </w:r>
          </w:p>
        </w:tc>
        <w:tc>
          <w:tcPr>
            <w:tcW w:w="709" w:type="dxa"/>
            <w:tcBorders>
              <w:top w:val="single" w:sz="8" w:space="0" w:color="auto"/>
              <w:left w:val="single" w:sz="8" w:space="0" w:color="auto"/>
              <w:bottom w:val="single" w:sz="8" w:space="0" w:color="auto"/>
              <w:right w:val="single" w:sz="8" w:space="0" w:color="auto"/>
            </w:tcBorders>
            <w:noWrap/>
            <w:hideMark/>
          </w:tcPr>
          <w:p w14:paraId="2EEDE34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0.51</w:t>
            </w:r>
          </w:p>
        </w:tc>
        <w:tc>
          <w:tcPr>
            <w:tcW w:w="850" w:type="dxa"/>
            <w:tcBorders>
              <w:top w:val="single" w:sz="8" w:space="0" w:color="auto"/>
              <w:left w:val="single" w:sz="8" w:space="0" w:color="auto"/>
              <w:bottom w:val="single" w:sz="8" w:space="0" w:color="auto"/>
              <w:right w:val="single" w:sz="12" w:space="0" w:color="auto"/>
            </w:tcBorders>
            <w:noWrap/>
            <w:hideMark/>
          </w:tcPr>
          <w:p w14:paraId="7734E24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43.47</w:t>
            </w:r>
          </w:p>
        </w:tc>
      </w:tr>
      <w:tr w:rsidR="00614438" w:rsidRPr="00656BE7" w14:paraId="6FE43BCB" w14:textId="77777777" w:rsidTr="00614438">
        <w:trPr>
          <w:trHeight w:val="300"/>
        </w:trPr>
        <w:tc>
          <w:tcPr>
            <w:tcW w:w="1271" w:type="dxa"/>
            <w:vMerge/>
            <w:tcBorders>
              <w:top w:val="single" w:sz="12" w:space="0" w:color="auto"/>
              <w:left w:val="single" w:sz="12" w:space="0" w:color="auto"/>
              <w:bottom w:val="single" w:sz="12" w:space="0" w:color="auto"/>
              <w:right w:val="single" w:sz="8" w:space="0" w:color="auto"/>
            </w:tcBorders>
            <w:vAlign w:val="center"/>
            <w:hideMark/>
          </w:tcPr>
          <w:p w14:paraId="2C7EE2EF"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8" w:space="0" w:color="auto"/>
              <w:left w:val="single" w:sz="8" w:space="0" w:color="auto"/>
              <w:bottom w:val="single" w:sz="8" w:space="0" w:color="auto"/>
              <w:right w:val="single" w:sz="8" w:space="0" w:color="auto"/>
            </w:tcBorders>
            <w:noWrap/>
            <w:hideMark/>
          </w:tcPr>
          <w:p w14:paraId="1AD4B0F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850" w:type="dxa"/>
            <w:tcBorders>
              <w:top w:val="single" w:sz="8" w:space="0" w:color="auto"/>
              <w:left w:val="single" w:sz="8" w:space="0" w:color="auto"/>
              <w:bottom w:val="single" w:sz="8" w:space="0" w:color="auto"/>
              <w:right w:val="single" w:sz="8" w:space="0" w:color="auto"/>
            </w:tcBorders>
            <w:noWrap/>
            <w:hideMark/>
          </w:tcPr>
          <w:p w14:paraId="6C95817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8" w:space="0" w:color="auto"/>
              <w:left w:val="single" w:sz="8" w:space="0" w:color="auto"/>
              <w:bottom w:val="single" w:sz="8" w:space="0" w:color="auto"/>
              <w:right w:val="single" w:sz="8" w:space="0" w:color="auto"/>
            </w:tcBorders>
            <w:noWrap/>
            <w:hideMark/>
          </w:tcPr>
          <w:p w14:paraId="3E93AF1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29.44</w:t>
            </w:r>
          </w:p>
        </w:tc>
        <w:tc>
          <w:tcPr>
            <w:tcW w:w="992" w:type="dxa"/>
            <w:tcBorders>
              <w:top w:val="single" w:sz="8" w:space="0" w:color="auto"/>
              <w:left w:val="single" w:sz="8" w:space="0" w:color="auto"/>
              <w:bottom w:val="single" w:sz="8" w:space="0" w:color="auto"/>
              <w:right w:val="single" w:sz="8" w:space="0" w:color="auto"/>
            </w:tcBorders>
            <w:noWrap/>
            <w:hideMark/>
          </w:tcPr>
          <w:p w14:paraId="42B17DB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0.02</w:t>
            </w:r>
          </w:p>
        </w:tc>
        <w:tc>
          <w:tcPr>
            <w:tcW w:w="851" w:type="dxa"/>
            <w:tcBorders>
              <w:top w:val="single" w:sz="8" w:space="0" w:color="auto"/>
              <w:left w:val="single" w:sz="8" w:space="0" w:color="auto"/>
              <w:bottom w:val="single" w:sz="8" w:space="0" w:color="auto"/>
              <w:right w:val="single" w:sz="8" w:space="0" w:color="auto"/>
            </w:tcBorders>
            <w:noWrap/>
            <w:hideMark/>
          </w:tcPr>
          <w:p w14:paraId="2E31C12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1.66</w:t>
            </w:r>
          </w:p>
        </w:tc>
        <w:tc>
          <w:tcPr>
            <w:tcW w:w="1134" w:type="dxa"/>
            <w:tcBorders>
              <w:top w:val="single" w:sz="8" w:space="0" w:color="auto"/>
              <w:left w:val="single" w:sz="8" w:space="0" w:color="auto"/>
              <w:bottom w:val="single" w:sz="8" w:space="0" w:color="auto"/>
              <w:right w:val="single" w:sz="8" w:space="0" w:color="auto"/>
            </w:tcBorders>
            <w:noWrap/>
            <w:hideMark/>
          </w:tcPr>
          <w:p w14:paraId="45CCF5C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0.22</w:t>
            </w:r>
          </w:p>
        </w:tc>
        <w:tc>
          <w:tcPr>
            <w:tcW w:w="850" w:type="dxa"/>
            <w:tcBorders>
              <w:top w:val="single" w:sz="8" w:space="0" w:color="auto"/>
              <w:left w:val="single" w:sz="8" w:space="0" w:color="auto"/>
              <w:bottom w:val="single" w:sz="8" w:space="0" w:color="auto"/>
              <w:right w:val="single" w:sz="8" w:space="0" w:color="auto"/>
            </w:tcBorders>
            <w:noWrap/>
            <w:hideMark/>
          </w:tcPr>
          <w:p w14:paraId="62FD94A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10.44</w:t>
            </w:r>
          </w:p>
        </w:tc>
        <w:tc>
          <w:tcPr>
            <w:tcW w:w="709" w:type="dxa"/>
            <w:tcBorders>
              <w:top w:val="single" w:sz="8" w:space="0" w:color="auto"/>
              <w:left w:val="single" w:sz="8" w:space="0" w:color="auto"/>
              <w:bottom w:val="single" w:sz="8" w:space="0" w:color="auto"/>
              <w:right w:val="single" w:sz="8" w:space="0" w:color="auto"/>
            </w:tcBorders>
            <w:noWrap/>
            <w:hideMark/>
          </w:tcPr>
          <w:p w14:paraId="353BCD5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1.92</w:t>
            </w:r>
          </w:p>
        </w:tc>
        <w:tc>
          <w:tcPr>
            <w:tcW w:w="709" w:type="dxa"/>
            <w:tcBorders>
              <w:top w:val="single" w:sz="8" w:space="0" w:color="auto"/>
              <w:left w:val="single" w:sz="8" w:space="0" w:color="auto"/>
              <w:bottom w:val="single" w:sz="8" w:space="0" w:color="auto"/>
              <w:right w:val="single" w:sz="8" w:space="0" w:color="auto"/>
            </w:tcBorders>
            <w:noWrap/>
            <w:hideMark/>
          </w:tcPr>
          <w:p w14:paraId="5240545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0.51</w:t>
            </w:r>
          </w:p>
        </w:tc>
        <w:tc>
          <w:tcPr>
            <w:tcW w:w="850" w:type="dxa"/>
            <w:tcBorders>
              <w:top w:val="single" w:sz="8" w:space="0" w:color="auto"/>
              <w:left w:val="single" w:sz="8" w:space="0" w:color="auto"/>
              <w:bottom w:val="single" w:sz="8" w:space="0" w:color="auto"/>
              <w:right w:val="single" w:sz="12" w:space="0" w:color="auto"/>
            </w:tcBorders>
            <w:noWrap/>
            <w:hideMark/>
          </w:tcPr>
          <w:p w14:paraId="08EFBAF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44.22</w:t>
            </w:r>
          </w:p>
        </w:tc>
      </w:tr>
      <w:tr w:rsidR="00614438" w:rsidRPr="00656BE7" w14:paraId="2C4E6067" w14:textId="77777777" w:rsidTr="00614438">
        <w:trPr>
          <w:trHeight w:val="300"/>
        </w:trPr>
        <w:tc>
          <w:tcPr>
            <w:tcW w:w="1271" w:type="dxa"/>
            <w:vMerge/>
            <w:tcBorders>
              <w:top w:val="single" w:sz="12" w:space="0" w:color="auto"/>
              <w:left w:val="single" w:sz="12" w:space="0" w:color="auto"/>
              <w:bottom w:val="single" w:sz="12" w:space="0" w:color="auto"/>
              <w:right w:val="single" w:sz="8" w:space="0" w:color="auto"/>
            </w:tcBorders>
            <w:vAlign w:val="center"/>
            <w:hideMark/>
          </w:tcPr>
          <w:p w14:paraId="21D6BF14"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8" w:space="0" w:color="auto"/>
              <w:left w:val="single" w:sz="8" w:space="0" w:color="auto"/>
              <w:bottom w:val="single" w:sz="8" w:space="0" w:color="auto"/>
              <w:right w:val="single" w:sz="8" w:space="0" w:color="auto"/>
            </w:tcBorders>
            <w:noWrap/>
            <w:hideMark/>
          </w:tcPr>
          <w:p w14:paraId="466D1E2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850" w:type="dxa"/>
            <w:tcBorders>
              <w:top w:val="single" w:sz="8" w:space="0" w:color="auto"/>
              <w:left w:val="single" w:sz="8" w:space="0" w:color="auto"/>
              <w:bottom w:val="single" w:sz="8" w:space="0" w:color="auto"/>
              <w:right w:val="single" w:sz="8" w:space="0" w:color="auto"/>
            </w:tcBorders>
            <w:noWrap/>
            <w:hideMark/>
          </w:tcPr>
          <w:p w14:paraId="6329DD3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8" w:space="0" w:color="auto"/>
              <w:left w:val="single" w:sz="8" w:space="0" w:color="auto"/>
              <w:bottom w:val="single" w:sz="8" w:space="0" w:color="auto"/>
              <w:right w:val="single" w:sz="8" w:space="0" w:color="auto"/>
            </w:tcBorders>
            <w:noWrap/>
            <w:hideMark/>
          </w:tcPr>
          <w:p w14:paraId="581838C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30.21</w:t>
            </w:r>
          </w:p>
        </w:tc>
        <w:tc>
          <w:tcPr>
            <w:tcW w:w="992" w:type="dxa"/>
            <w:tcBorders>
              <w:top w:val="single" w:sz="8" w:space="0" w:color="auto"/>
              <w:left w:val="single" w:sz="8" w:space="0" w:color="auto"/>
              <w:bottom w:val="single" w:sz="8" w:space="0" w:color="auto"/>
              <w:right w:val="single" w:sz="8" w:space="0" w:color="auto"/>
            </w:tcBorders>
            <w:noWrap/>
            <w:hideMark/>
          </w:tcPr>
          <w:p w14:paraId="34482F0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0.03</w:t>
            </w:r>
          </w:p>
        </w:tc>
        <w:tc>
          <w:tcPr>
            <w:tcW w:w="851" w:type="dxa"/>
            <w:tcBorders>
              <w:top w:val="single" w:sz="8" w:space="0" w:color="auto"/>
              <w:left w:val="single" w:sz="8" w:space="0" w:color="auto"/>
              <w:bottom w:val="single" w:sz="8" w:space="0" w:color="auto"/>
              <w:right w:val="single" w:sz="8" w:space="0" w:color="auto"/>
            </w:tcBorders>
            <w:noWrap/>
            <w:hideMark/>
          </w:tcPr>
          <w:p w14:paraId="5040BA2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1.68</w:t>
            </w:r>
          </w:p>
        </w:tc>
        <w:tc>
          <w:tcPr>
            <w:tcW w:w="1134" w:type="dxa"/>
            <w:tcBorders>
              <w:top w:val="single" w:sz="8" w:space="0" w:color="auto"/>
              <w:left w:val="single" w:sz="8" w:space="0" w:color="auto"/>
              <w:bottom w:val="single" w:sz="8" w:space="0" w:color="auto"/>
              <w:right w:val="single" w:sz="8" w:space="0" w:color="auto"/>
            </w:tcBorders>
            <w:noWrap/>
            <w:hideMark/>
          </w:tcPr>
          <w:p w14:paraId="5E31E36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0.22</w:t>
            </w:r>
          </w:p>
        </w:tc>
        <w:tc>
          <w:tcPr>
            <w:tcW w:w="850" w:type="dxa"/>
            <w:tcBorders>
              <w:top w:val="single" w:sz="8" w:space="0" w:color="auto"/>
              <w:left w:val="single" w:sz="8" w:space="0" w:color="auto"/>
              <w:bottom w:val="single" w:sz="8" w:space="0" w:color="auto"/>
              <w:right w:val="single" w:sz="8" w:space="0" w:color="auto"/>
            </w:tcBorders>
            <w:noWrap/>
            <w:hideMark/>
          </w:tcPr>
          <w:p w14:paraId="3AEE991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10.44</w:t>
            </w:r>
          </w:p>
        </w:tc>
        <w:tc>
          <w:tcPr>
            <w:tcW w:w="709" w:type="dxa"/>
            <w:tcBorders>
              <w:top w:val="single" w:sz="8" w:space="0" w:color="auto"/>
              <w:left w:val="single" w:sz="8" w:space="0" w:color="auto"/>
              <w:bottom w:val="single" w:sz="8" w:space="0" w:color="auto"/>
              <w:right w:val="single" w:sz="8" w:space="0" w:color="auto"/>
            </w:tcBorders>
            <w:noWrap/>
            <w:hideMark/>
          </w:tcPr>
          <w:p w14:paraId="6E743F6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1.92</w:t>
            </w:r>
          </w:p>
        </w:tc>
        <w:tc>
          <w:tcPr>
            <w:tcW w:w="709" w:type="dxa"/>
            <w:tcBorders>
              <w:top w:val="single" w:sz="8" w:space="0" w:color="auto"/>
              <w:left w:val="single" w:sz="8" w:space="0" w:color="auto"/>
              <w:bottom w:val="single" w:sz="8" w:space="0" w:color="auto"/>
              <w:right w:val="single" w:sz="8" w:space="0" w:color="auto"/>
            </w:tcBorders>
            <w:noWrap/>
            <w:hideMark/>
          </w:tcPr>
          <w:p w14:paraId="7CB04A4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0.51</w:t>
            </w:r>
          </w:p>
        </w:tc>
        <w:tc>
          <w:tcPr>
            <w:tcW w:w="850" w:type="dxa"/>
            <w:tcBorders>
              <w:top w:val="single" w:sz="8" w:space="0" w:color="auto"/>
              <w:left w:val="single" w:sz="8" w:space="0" w:color="auto"/>
              <w:bottom w:val="single" w:sz="8" w:space="0" w:color="auto"/>
              <w:right w:val="single" w:sz="12" w:space="0" w:color="auto"/>
            </w:tcBorders>
            <w:noWrap/>
            <w:hideMark/>
          </w:tcPr>
          <w:p w14:paraId="121E37C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45.00</w:t>
            </w:r>
          </w:p>
        </w:tc>
      </w:tr>
      <w:tr w:rsidR="00614438" w:rsidRPr="00656BE7" w14:paraId="4BE6C45E" w14:textId="77777777" w:rsidTr="00614438">
        <w:trPr>
          <w:trHeight w:val="300"/>
        </w:trPr>
        <w:tc>
          <w:tcPr>
            <w:tcW w:w="1271" w:type="dxa"/>
            <w:vMerge/>
            <w:tcBorders>
              <w:top w:val="single" w:sz="12" w:space="0" w:color="auto"/>
              <w:left w:val="single" w:sz="12" w:space="0" w:color="auto"/>
              <w:bottom w:val="single" w:sz="12" w:space="0" w:color="auto"/>
              <w:right w:val="single" w:sz="8" w:space="0" w:color="auto"/>
            </w:tcBorders>
            <w:vAlign w:val="center"/>
            <w:hideMark/>
          </w:tcPr>
          <w:p w14:paraId="55D50F1B"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8" w:space="0" w:color="auto"/>
              <w:left w:val="single" w:sz="8" w:space="0" w:color="auto"/>
              <w:bottom w:val="single" w:sz="8" w:space="0" w:color="auto"/>
              <w:right w:val="single" w:sz="8" w:space="0" w:color="auto"/>
            </w:tcBorders>
            <w:noWrap/>
            <w:hideMark/>
          </w:tcPr>
          <w:p w14:paraId="69B167C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850" w:type="dxa"/>
            <w:tcBorders>
              <w:top w:val="single" w:sz="8" w:space="0" w:color="auto"/>
              <w:left w:val="single" w:sz="8" w:space="0" w:color="auto"/>
              <w:bottom w:val="single" w:sz="8" w:space="0" w:color="auto"/>
              <w:right w:val="single" w:sz="8" w:space="0" w:color="auto"/>
            </w:tcBorders>
            <w:noWrap/>
            <w:hideMark/>
          </w:tcPr>
          <w:p w14:paraId="55E74FD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8" w:space="0" w:color="auto"/>
              <w:left w:val="single" w:sz="8" w:space="0" w:color="auto"/>
              <w:bottom w:val="single" w:sz="8" w:space="0" w:color="auto"/>
              <w:right w:val="single" w:sz="8" w:space="0" w:color="auto"/>
            </w:tcBorders>
            <w:noWrap/>
            <w:hideMark/>
          </w:tcPr>
          <w:p w14:paraId="25EF432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31.05</w:t>
            </w:r>
          </w:p>
        </w:tc>
        <w:tc>
          <w:tcPr>
            <w:tcW w:w="992" w:type="dxa"/>
            <w:tcBorders>
              <w:top w:val="single" w:sz="8" w:space="0" w:color="auto"/>
              <w:left w:val="single" w:sz="8" w:space="0" w:color="auto"/>
              <w:bottom w:val="single" w:sz="8" w:space="0" w:color="auto"/>
              <w:right w:val="single" w:sz="8" w:space="0" w:color="auto"/>
            </w:tcBorders>
            <w:noWrap/>
            <w:hideMark/>
          </w:tcPr>
          <w:p w14:paraId="66EEEFC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0.03</w:t>
            </w:r>
          </w:p>
        </w:tc>
        <w:tc>
          <w:tcPr>
            <w:tcW w:w="851" w:type="dxa"/>
            <w:tcBorders>
              <w:top w:val="single" w:sz="8" w:space="0" w:color="auto"/>
              <w:left w:val="single" w:sz="8" w:space="0" w:color="auto"/>
              <w:bottom w:val="single" w:sz="8" w:space="0" w:color="auto"/>
              <w:right w:val="single" w:sz="8" w:space="0" w:color="auto"/>
            </w:tcBorders>
            <w:noWrap/>
            <w:hideMark/>
          </w:tcPr>
          <w:p w14:paraId="777268C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1.71</w:t>
            </w:r>
          </w:p>
        </w:tc>
        <w:tc>
          <w:tcPr>
            <w:tcW w:w="1134" w:type="dxa"/>
            <w:tcBorders>
              <w:top w:val="single" w:sz="8" w:space="0" w:color="auto"/>
              <w:left w:val="single" w:sz="8" w:space="0" w:color="auto"/>
              <w:bottom w:val="single" w:sz="8" w:space="0" w:color="auto"/>
              <w:right w:val="single" w:sz="8" w:space="0" w:color="auto"/>
            </w:tcBorders>
            <w:noWrap/>
            <w:hideMark/>
          </w:tcPr>
          <w:p w14:paraId="7B29B9C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0.22</w:t>
            </w:r>
          </w:p>
        </w:tc>
        <w:tc>
          <w:tcPr>
            <w:tcW w:w="850" w:type="dxa"/>
            <w:tcBorders>
              <w:top w:val="single" w:sz="8" w:space="0" w:color="auto"/>
              <w:left w:val="single" w:sz="8" w:space="0" w:color="auto"/>
              <w:bottom w:val="single" w:sz="8" w:space="0" w:color="auto"/>
              <w:right w:val="single" w:sz="8" w:space="0" w:color="auto"/>
            </w:tcBorders>
            <w:noWrap/>
            <w:hideMark/>
          </w:tcPr>
          <w:p w14:paraId="0AC92FA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10.44</w:t>
            </w:r>
          </w:p>
        </w:tc>
        <w:tc>
          <w:tcPr>
            <w:tcW w:w="709" w:type="dxa"/>
            <w:tcBorders>
              <w:top w:val="single" w:sz="8" w:space="0" w:color="auto"/>
              <w:left w:val="single" w:sz="8" w:space="0" w:color="auto"/>
              <w:bottom w:val="single" w:sz="8" w:space="0" w:color="auto"/>
              <w:right w:val="single" w:sz="8" w:space="0" w:color="auto"/>
            </w:tcBorders>
            <w:noWrap/>
            <w:hideMark/>
          </w:tcPr>
          <w:p w14:paraId="63361F9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1.92</w:t>
            </w:r>
          </w:p>
        </w:tc>
        <w:tc>
          <w:tcPr>
            <w:tcW w:w="709" w:type="dxa"/>
            <w:tcBorders>
              <w:top w:val="single" w:sz="8" w:space="0" w:color="auto"/>
              <w:left w:val="single" w:sz="8" w:space="0" w:color="auto"/>
              <w:bottom w:val="single" w:sz="8" w:space="0" w:color="auto"/>
              <w:right w:val="single" w:sz="8" w:space="0" w:color="auto"/>
            </w:tcBorders>
            <w:noWrap/>
            <w:hideMark/>
          </w:tcPr>
          <w:p w14:paraId="2E65C7D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0.51</w:t>
            </w:r>
          </w:p>
        </w:tc>
        <w:tc>
          <w:tcPr>
            <w:tcW w:w="850" w:type="dxa"/>
            <w:tcBorders>
              <w:top w:val="single" w:sz="8" w:space="0" w:color="auto"/>
              <w:left w:val="single" w:sz="8" w:space="0" w:color="auto"/>
              <w:bottom w:val="single" w:sz="8" w:space="0" w:color="auto"/>
              <w:right w:val="single" w:sz="12" w:space="0" w:color="auto"/>
            </w:tcBorders>
            <w:noWrap/>
            <w:hideMark/>
          </w:tcPr>
          <w:p w14:paraId="11B0EFA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45.89</w:t>
            </w:r>
          </w:p>
        </w:tc>
      </w:tr>
      <w:tr w:rsidR="00614438" w:rsidRPr="00656BE7" w14:paraId="36F1CCB0" w14:textId="77777777" w:rsidTr="00614438">
        <w:trPr>
          <w:trHeight w:val="300"/>
        </w:trPr>
        <w:tc>
          <w:tcPr>
            <w:tcW w:w="1271" w:type="dxa"/>
            <w:vMerge/>
            <w:tcBorders>
              <w:top w:val="single" w:sz="12" w:space="0" w:color="auto"/>
              <w:left w:val="single" w:sz="12" w:space="0" w:color="auto"/>
              <w:bottom w:val="single" w:sz="12" w:space="0" w:color="auto"/>
              <w:right w:val="single" w:sz="8" w:space="0" w:color="auto"/>
            </w:tcBorders>
            <w:vAlign w:val="center"/>
            <w:hideMark/>
          </w:tcPr>
          <w:p w14:paraId="6F0816CC"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8" w:space="0" w:color="auto"/>
              <w:left w:val="single" w:sz="8" w:space="0" w:color="auto"/>
              <w:bottom w:val="single" w:sz="8" w:space="0" w:color="auto"/>
              <w:right w:val="single" w:sz="8" w:space="0" w:color="auto"/>
            </w:tcBorders>
            <w:noWrap/>
            <w:hideMark/>
          </w:tcPr>
          <w:p w14:paraId="245F895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850" w:type="dxa"/>
            <w:tcBorders>
              <w:top w:val="single" w:sz="8" w:space="0" w:color="auto"/>
              <w:left w:val="single" w:sz="8" w:space="0" w:color="auto"/>
              <w:bottom w:val="single" w:sz="8" w:space="0" w:color="auto"/>
              <w:right w:val="single" w:sz="8" w:space="0" w:color="auto"/>
            </w:tcBorders>
            <w:noWrap/>
            <w:hideMark/>
          </w:tcPr>
          <w:p w14:paraId="0024CAE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8" w:space="0" w:color="auto"/>
              <w:left w:val="single" w:sz="8" w:space="0" w:color="auto"/>
              <w:bottom w:val="single" w:sz="8" w:space="0" w:color="auto"/>
              <w:right w:val="single" w:sz="8" w:space="0" w:color="auto"/>
            </w:tcBorders>
            <w:noWrap/>
            <w:hideMark/>
          </w:tcPr>
          <w:p w14:paraId="1E89339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32.85</w:t>
            </w:r>
          </w:p>
        </w:tc>
        <w:tc>
          <w:tcPr>
            <w:tcW w:w="992" w:type="dxa"/>
            <w:tcBorders>
              <w:top w:val="single" w:sz="8" w:space="0" w:color="auto"/>
              <w:left w:val="single" w:sz="8" w:space="0" w:color="auto"/>
              <w:bottom w:val="single" w:sz="8" w:space="0" w:color="auto"/>
              <w:right w:val="single" w:sz="8" w:space="0" w:color="auto"/>
            </w:tcBorders>
            <w:noWrap/>
            <w:hideMark/>
          </w:tcPr>
          <w:p w14:paraId="108D3E1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851" w:type="dxa"/>
            <w:tcBorders>
              <w:top w:val="single" w:sz="8" w:space="0" w:color="auto"/>
              <w:left w:val="single" w:sz="8" w:space="0" w:color="auto"/>
              <w:bottom w:val="single" w:sz="8" w:space="0" w:color="auto"/>
              <w:right w:val="single" w:sz="8" w:space="0" w:color="auto"/>
            </w:tcBorders>
            <w:noWrap/>
            <w:hideMark/>
          </w:tcPr>
          <w:p w14:paraId="1593C17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1.79</w:t>
            </w:r>
          </w:p>
        </w:tc>
        <w:tc>
          <w:tcPr>
            <w:tcW w:w="1134" w:type="dxa"/>
            <w:tcBorders>
              <w:top w:val="single" w:sz="8" w:space="0" w:color="auto"/>
              <w:left w:val="single" w:sz="8" w:space="0" w:color="auto"/>
              <w:bottom w:val="single" w:sz="8" w:space="0" w:color="auto"/>
              <w:right w:val="single" w:sz="8" w:space="0" w:color="auto"/>
            </w:tcBorders>
            <w:noWrap/>
            <w:hideMark/>
          </w:tcPr>
          <w:p w14:paraId="607296A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0.21</w:t>
            </w:r>
          </w:p>
        </w:tc>
        <w:tc>
          <w:tcPr>
            <w:tcW w:w="850" w:type="dxa"/>
            <w:tcBorders>
              <w:top w:val="single" w:sz="8" w:space="0" w:color="auto"/>
              <w:left w:val="single" w:sz="8" w:space="0" w:color="auto"/>
              <w:bottom w:val="single" w:sz="8" w:space="0" w:color="auto"/>
              <w:right w:val="single" w:sz="8" w:space="0" w:color="auto"/>
            </w:tcBorders>
            <w:noWrap/>
            <w:hideMark/>
          </w:tcPr>
          <w:p w14:paraId="270B428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11.06</w:t>
            </w:r>
          </w:p>
        </w:tc>
        <w:tc>
          <w:tcPr>
            <w:tcW w:w="709" w:type="dxa"/>
            <w:tcBorders>
              <w:top w:val="single" w:sz="8" w:space="0" w:color="auto"/>
              <w:left w:val="single" w:sz="8" w:space="0" w:color="auto"/>
              <w:bottom w:val="single" w:sz="8" w:space="0" w:color="auto"/>
              <w:right w:val="single" w:sz="8" w:space="0" w:color="auto"/>
            </w:tcBorders>
            <w:noWrap/>
            <w:hideMark/>
          </w:tcPr>
          <w:p w14:paraId="7603895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1.92</w:t>
            </w:r>
          </w:p>
        </w:tc>
        <w:tc>
          <w:tcPr>
            <w:tcW w:w="709" w:type="dxa"/>
            <w:tcBorders>
              <w:top w:val="single" w:sz="8" w:space="0" w:color="auto"/>
              <w:left w:val="single" w:sz="8" w:space="0" w:color="auto"/>
              <w:bottom w:val="single" w:sz="8" w:space="0" w:color="auto"/>
              <w:right w:val="single" w:sz="8" w:space="0" w:color="auto"/>
            </w:tcBorders>
            <w:noWrap/>
            <w:hideMark/>
          </w:tcPr>
          <w:p w14:paraId="00B96C3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0.51</w:t>
            </w:r>
          </w:p>
        </w:tc>
        <w:tc>
          <w:tcPr>
            <w:tcW w:w="850" w:type="dxa"/>
            <w:tcBorders>
              <w:top w:val="single" w:sz="8" w:space="0" w:color="auto"/>
              <w:left w:val="single" w:sz="8" w:space="0" w:color="auto"/>
              <w:bottom w:val="single" w:sz="8" w:space="0" w:color="auto"/>
              <w:right w:val="single" w:sz="12" w:space="0" w:color="auto"/>
            </w:tcBorders>
            <w:noWrap/>
            <w:hideMark/>
          </w:tcPr>
          <w:p w14:paraId="6479FD2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48.33</w:t>
            </w:r>
          </w:p>
        </w:tc>
      </w:tr>
      <w:tr w:rsidR="00614438" w:rsidRPr="00656BE7" w14:paraId="09AEB6CE" w14:textId="77777777" w:rsidTr="00614438">
        <w:trPr>
          <w:trHeight w:val="300"/>
        </w:trPr>
        <w:tc>
          <w:tcPr>
            <w:tcW w:w="1271" w:type="dxa"/>
            <w:vMerge/>
            <w:tcBorders>
              <w:top w:val="single" w:sz="12" w:space="0" w:color="auto"/>
              <w:left w:val="single" w:sz="12" w:space="0" w:color="auto"/>
              <w:bottom w:val="single" w:sz="12" w:space="0" w:color="auto"/>
              <w:right w:val="single" w:sz="8" w:space="0" w:color="auto"/>
            </w:tcBorders>
            <w:vAlign w:val="center"/>
            <w:hideMark/>
          </w:tcPr>
          <w:p w14:paraId="7546431E"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8" w:space="0" w:color="auto"/>
              <w:left w:val="single" w:sz="8" w:space="0" w:color="auto"/>
              <w:bottom w:val="single" w:sz="8" w:space="0" w:color="auto"/>
              <w:right w:val="single" w:sz="8" w:space="0" w:color="auto"/>
            </w:tcBorders>
            <w:noWrap/>
            <w:hideMark/>
          </w:tcPr>
          <w:p w14:paraId="2389C52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850" w:type="dxa"/>
            <w:tcBorders>
              <w:top w:val="single" w:sz="8" w:space="0" w:color="auto"/>
              <w:left w:val="single" w:sz="8" w:space="0" w:color="auto"/>
              <w:bottom w:val="single" w:sz="8" w:space="0" w:color="auto"/>
              <w:right w:val="single" w:sz="8" w:space="0" w:color="auto"/>
            </w:tcBorders>
            <w:noWrap/>
            <w:hideMark/>
          </w:tcPr>
          <w:p w14:paraId="775DD26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8" w:space="0" w:color="auto"/>
              <w:left w:val="single" w:sz="8" w:space="0" w:color="auto"/>
              <w:bottom w:val="single" w:sz="8" w:space="0" w:color="auto"/>
              <w:right w:val="single" w:sz="8" w:space="0" w:color="auto"/>
            </w:tcBorders>
            <w:noWrap/>
            <w:hideMark/>
          </w:tcPr>
          <w:p w14:paraId="655E3DD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34.50</w:t>
            </w:r>
          </w:p>
        </w:tc>
        <w:tc>
          <w:tcPr>
            <w:tcW w:w="992" w:type="dxa"/>
            <w:tcBorders>
              <w:top w:val="single" w:sz="8" w:space="0" w:color="auto"/>
              <w:left w:val="single" w:sz="8" w:space="0" w:color="auto"/>
              <w:bottom w:val="single" w:sz="8" w:space="0" w:color="auto"/>
              <w:right w:val="single" w:sz="8" w:space="0" w:color="auto"/>
            </w:tcBorders>
            <w:noWrap/>
            <w:hideMark/>
          </w:tcPr>
          <w:p w14:paraId="6B78562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851" w:type="dxa"/>
            <w:tcBorders>
              <w:top w:val="single" w:sz="8" w:space="0" w:color="auto"/>
              <w:left w:val="single" w:sz="8" w:space="0" w:color="auto"/>
              <w:bottom w:val="single" w:sz="8" w:space="0" w:color="auto"/>
              <w:right w:val="single" w:sz="8" w:space="0" w:color="auto"/>
            </w:tcBorders>
            <w:noWrap/>
            <w:hideMark/>
          </w:tcPr>
          <w:p w14:paraId="028EBEB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1.50</w:t>
            </w:r>
          </w:p>
        </w:tc>
        <w:tc>
          <w:tcPr>
            <w:tcW w:w="1134" w:type="dxa"/>
            <w:tcBorders>
              <w:top w:val="single" w:sz="8" w:space="0" w:color="auto"/>
              <w:left w:val="single" w:sz="8" w:space="0" w:color="auto"/>
              <w:bottom w:val="single" w:sz="8" w:space="0" w:color="auto"/>
              <w:right w:val="single" w:sz="8" w:space="0" w:color="auto"/>
            </w:tcBorders>
            <w:noWrap/>
            <w:hideMark/>
          </w:tcPr>
          <w:p w14:paraId="393809B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0.21</w:t>
            </w:r>
          </w:p>
        </w:tc>
        <w:tc>
          <w:tcPr>
            <w:tcW w:w="850" w:type="dxa"/>
            <w:tcBorders>
              <w:top w:val="single" w:sz="8" w:space="0" w:color="auto"/>
              <w:left w:val="single" w:sz="8" w:space="0" w:color="auto"/>
              <w:bottom w:val="single" w:sz="8" w:space="0" w:color="auto"/>
              <w:right w:val="single" w:sz="8" w:space="0" w:color="auto"/>
            </w:tcBorders>
            <w:noWrap/>
            <w:hideMark/>
          </w:tcPr>
          <w:p w14:paraId="35DA708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12.50</w:t>
            </w:r>
          </w:p>
        </w:tc>
        <w:tc>
          <w:tcPr>
            <w:tcW w:w="709" w:type="dxa"/>
            <w:tcBorders>
              <w:top w:val="single" w:sz="8" w:space="0" w:color="auto"/>
              <w:left w:val="single" w:sz="8" w:space="0" w:color="auto"/>
              <w:bottom w:val="single" w:sz="8" w:space="0" w:color="auto"/>
              <w:right w:val="single" w:sz="8" w:space="0" w:color="auto"/>
            </w:tcBorders>
            <w:noWrap/>
            <w:hideMark/>
          </w:tcPr>
          <w:p w14:paraId="181BC5D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1.92</w:t>
            </w:r>
          </w:p>
        </w:tc>
        <w:tc>
          <w:tcPr>
            <w:tcW w:w="709" w:type="dxa"/>
            <w:tcBorders>
              <w:top w:val="single" w:sz="8" w:space="0" w:color="auto"/>
              <w:left w:val="single" w:sz="8" w:space="0" w:color="auto"/>
              <w:bottom w:val="single" w:sz="8" w:space="0" w:color="auto"/>
              <w:right w:val="single" w:sz="8" w:space="0" w:color="auto"/>
            </w:tcBorders>
            <w:noWrap/>
            <w:hideMark/>
          </w:tcPr>
          <w:p w14:paraId="7C82421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0.50</w:t>
            </w:r>
          </w:p>
        </w:tc>
        <w:tc>
          <w:tcPr>
            <w:tcW w:w="850" w:type="dxa"/>
            <w:tcBorders>
              <w:top w:val="single" w:sz="8" w:space="0" w:color="auto"/>
              <w:left w:val="single" w:sz="8" w:space="0" w:color="auto"/>
              <w:bottom w:val="single" w:sz="8" w:space="0" w:color="auto"/>
              <w:right w:val="single" w:sz="12" w:space="0" w:color="auto"/>
            </w:tcBorders>
            <w:noWrap/>
            <w:hideMark/>
          </w:tcPr>
          <w:p w14:paraId="2C2E5CE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51.14</w:t>
            </w:r>
          </w:p>
        </w:tc>
      </w:tr>
      <w:tr w:rsidR="00614438" w:rsidRPr="00656BE7" w14:paraId="68FDF555" w14:textId="77777777" w:rsidTr="00614438">
        <w:trPr>
          <w:trHeight w:val="300"/>
        </w:trPr>
        <w:tc>
          <w:tcPr>
            <w:tcW w:w="1271" w:type="dxa"/>
            <w:vMerge/>
            <w:tcBorders>
              <w:top w:val="single" w:sz="12" w:space="0" w:color="auto"/>
              <w:left w:val="single" w:sz="12" w:space="0" w:color="auto"/>
              <w:bottom w:val="single" w:sz="12" w:space="0" w:color="auto"/>
              <w:right w:val="single" w:sz="8" w:space="0" w:color="auto"/>
            </w:tcBorders>
            <w:vAlign w:val="center"/>
            <w:hideMark/>
          </w:tcPr>
          <w:p w14:paraId="0EA7A8BF"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8" w:space="0" w:color="auto"/>
              <w:left w:val="single" w:sz="8" w:space="0" w:color="auto"/>
              <w:bottom w:val="single" w:sz="8" w:space="0" w:color="auto"/>
              <w:right w:val="single" w:sz="8" w:space="0" w:color="auto"/>
            </w:tcBorders>
            <w:noWrap/>
            <w:hideMark/>
          </w:tcPr>
          <w:p w14:paraId="51016BC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850" w:type="dxa"/>
            <w:tcBorders>
              <w:top w:val="single" w:sz="8" w:space="0" w:color="auto"/>
              <w:left w:val="single" w:sz="8" w:space="0" w:color="auto"/>
              <w:bottom w:val="single" w:sz="8" w:space="0" w:color="auto"/>
              <w:right w:val="single" w:sz="8" w:space="0" w:color="auto"/>
            </w:tcBorders>
            <w:noWrap/>
            <w:hideMark/>
          </w:tcPr>
          <w:p w14:paraId="3E9144B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8" w:space="0" w:color="auto"/>
              <w:left w:val="single" w:sz="8" w:space="0" w:color="auto"/>
              <w:bottom w:val="single" w:sz="8" w:space="0" w:color="auto"/>
              <w:right w:val="single" w:sz="8" w:space="0" w:color="auto"/>
            </w:tcBorders>
            <w:noWrap/>
            <w:hideMark/>
          </w:tcPr>
          <w:p w14:paraId="660688A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36.85</w:t>
            </w:r>
          </w:p>
        </w:tc>
        <w:tc>
          <w:tcPr>
            <w:tcW w:w="992" w:type="dxa"/>
            <w:tcBorders>
              <w:top w:val="single" w:sz="8" w:space="0" w:color="auto"/>
              <w:left w:val="single" w:sz="8" w:space="0" w:color="auto"/>
              <w:bottom w:val="single" w:sz="8" w:space="0" w:color="auto"/>
              <w:right w:val="single" w:sz="8" w:space="0" w:color="auto"/>
            </w:tcBorders>
            <w:noWrap/>
            <w:hideMark/>
          </w:tcPr>
          <w:p w14:paraId="23B677B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851" w:type="dxa"/>
            <w:tcBorders>
              <w:top w:val="single" w:sz="8" w:space="0" w:color="auto"/>
              <w:left w:val="single" w:sz="8" w:space="0" w:color="auto"/>
              <w:bottom w:val="single" w:sz="8" w:space="0" w:color="auto"/>
              <w:right w:val="single" w:sz="8" w:space="0" w:color="auto"/>
            </w:tcBorders>
            <w:noWrap/>
            <w:hideMark/>
          </w:tcPr>
          <w:p w14:paraId="2A1C898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0.98</w:t>
            </w:r>
          </w:p>
        </w:tc>
        <w:tc>
          <w:tcPr>
            <w:tcW w:w="1134" w:type="dxa"/>
            <w:tcBorders>
              <w:top w:val="single" w:sz="8" w:space="0" w:color="auto"/>
              <w:left w:val="single" w:sz="8" w:space="0" w:color="auto"/>
              <w:bottom w:val="single" w:sz="8" w:space="0" w:color="auto"/>
              <w:right w:val="single" w:sz="8" w:space="0" w:color="auto"/>
            </w:tcBorders>
            <w:noWrap/>
            <w:hideMark/>
          </w:tcPr>
          <w:p w14:paraId="23D4707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0.20</w:t>
            </w:r>
          </w:p>
        </w:tc>
        <w:tc>
          <w:tcPr>
            <w:tcW w:w="850" w:type="dxa"/>
            <w:tcBorders>
              <w:top w:val="single" w:sz="8" w:space="0" w:color="auto"/>
              <w:left w:val="single" w:sz="8" w:space="0" w:color="auto"/>
              <w:bottom w:val="single" w:sz="8" w:space="0" w:color="auto"/>
              <w:right w:val="single" w:sz="8" w:space="0" w:color="auto"/>
            </w:tcBorders>
            <w:noWrap/>
            <w:hideMark/>
          </w:tcPr>
          <w:p w14:paraId="27EB1AB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12.50</w:t>
            </w:r>
          </w:p>
        </w:tc>
        <w:tc>
          <w:tcPr>
            <w:tcW w:w="709" w:type="dxa"/>
            <w:tcBorders>
              <w:top w:val="single" w:sz="8" w:space="0" w:color="auto"/>
              <w:left w:val="single" w:sz="8" w:space="0" w:color="auto"/>
              <w:bottom w:val="single" w:sz="8" w:space="0" w:color="auto"/>
              <w:right w:val="single" w:sz="8" w:space="0" w:color="auto"/>
            </w:tcBorders>
            <w:noWrap/>
            <w:hideMark/>
          </w:tcPr>
          <w:p w14:paraId="016D7D2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1.91</w:t>
            </w:r>
          </w:p>
        </w:tc>
        <w:tc>
          <w:tcPr>
            <w:tcW w:w="709" w:type="dxa"/>
            <w:tcBorders>
              <w:top w:val="single" w:sz="8" w:space="0" w:color="auto"/>
              <w:left w:val="single" w:sz="8" w:space="0" w:color="auto"/>
              <w:bottom w:val="single" w:sz="8" w:space="0" w:color="auto"/>
              <w:right w:val="single" w:sz="8" w:space="0" w:color="auto"/>
            </w:tcBorders>
            <w:noWrap/>
            <w:hideMark/>
          </w:tcPr>
          <w:p w14:paraId="60673FB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0.49</w:t>
            </w:r>
          </w:p>
        </w:tc>
        <w:tc>
          <w:tcPr>
            <w:tcW w:w="850" w:type="dxa"/>
            <w:tcBorders>
              <w:top w:val="single" w:sz="8" w:space="0" w:color="auto"/>
              <w:left w:val="single" w:sz="8" w:space="0" w:color="auto"/>
              <w:bottom w:val="single" w:sz="8" w:space="0" w:color="auto"/>
              <w:right w:val="single" w:sz="12" w:space="0" w:color="auto"/>
            </w:tcBorders>
            <w:noWrap/>
            <w:hideMark/>
          </w:tcPr>
          <w:p w14:paraId="74046E0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52.94</w:t>
            </w:r>
          </w:p>
        </w:tc>
      </w:tr>
      <w:tr w:rsidR="00614438" w:rsidRPr="00656BE7" w14:paraId="6FD1B3E4" w14:textId="77777777" w:rsidTr="00614438">
        <w:trPr>
          <w:trHeight w:val="300"/>
        </w:trPr>
        <w:tc>
          <w:tcPr>
            <w:tcW w:w="1271" w:type="dxa"/>
            <w:vMerge/>
            <w:tcBorders>
              <w:top w:val="single" w:sz="12" w:space="0" w:color="auto"/>
              <w:left w:val="single" w:sz="12" w:space="0" w:color="auto"/>
              <w:bottom w:val="single" w:sz="12" w:space="0" w:color="auto"/>
              <w:right w:val="single" w:sz="8" w:space="0" w:color="auto"/>
            </w:tcBorders>
            <w:vAlign w:val="center"/>
            <w:hideMark/>
          </w:tcPr>
          <w:p w14:paraId="71B9A235"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8" w:space="0" w:color="auto"/>
              <w:left w:val="single" w:sz="8" w:space="0" w:color="auto"/>
              <w:bottom w:val="single" w:sz="12" w:space="0" w:color="auto"/>
              <w:right w:val="single" w:sz="8" w:space="0" w:color="auto"/>
            </w:tcBorders>
            <w:noWrap/>
            <w:hideMark/>
          </w:tcPr>
          <w:p w14:paraId="7990AD6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c>
          <w:tcPr>
            <w:tcW w:w="850" w:type="dxa"/>
            <w:tcBorders>
              <w:top w:val="single" w:sz="8" w:space="0" w:color="auto"/>
              <w:left w:val="single" w:sz="8" w:space="0" w:color="auto"/>
              <w:bottom w:val="single" w:sz="12" w:space="0" w:color="auto"/>
              <w:right w:val="single" w:sz="8" w:space="0" w:color="auto"/>
            </w:tcBorders>
            <w:noWrap/>
            <w:hideMark/>
          </w:tcPr>
          <w:p w14:paraId="3E596D3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8" w:space="0" w:color="auto"/>
              <w:left w:val="single" w:sz="8" w:space="0" w:color="auto"/>
              <w:bottom w:val="single" w:sz="12" w:space="0" w:color="auto"/>
              <w:right w:val="single" w:sz="8" w:space="0" w:color="auto"/>
            </w:tcBorders>
            <w:noWrap/>
            <w:hideMark/>
          </w:tcPr>
          <w:p w14:paraId="07BE8E6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32.15</w:t>
            </w:r>
          </w:p>
        </w:tc>
        <w:tc>
          <w:tcPr>
            <w:tcW w:w="992" w:type="dxa"/>
            <w:tcBorders>
              <w:top w:val="single" w:sz="8" w:space="0" w:color="auto"/>
              <w:left w:val="single" w:sz="8" w:space="0" w:color="auto"/>
              <w:bottom w:val="single" w:sz="12" w:space="0" w:color="auto"/>
              <w:right w:val="single" w:sz="8" w:space="0" w:color="auto"/>
            </w:tcBorders>
            <w:noWrap/>
            <w:hideMark/>
          </w:tcPr>
          <w:p w14:paraId="3469AF3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851" w:type="dxa"/>
            <w:tcBorders>
              <w:top w:val="single" w:sz="8" w:space="0" w:color="auto"/>
              <w:left w:val="single" w:sz="8" w:space="0" w:color="auto"/>
              <w:bottom w:val="single" w:sz="12" w:space="0" w:color="auto"/>
              <w:right w:val="single" w:sz="8" w:space="0" w:color="auto"/>
            </w:tcBorders>
            <w:noWrap/>
            <w:hideMark/>
          </w:tcPr>
          <w:p w14:paraId="55742B8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1.39</w:t>
            </w:r>
          </w:p>
        </w:tc>
        <w:tc>
          <w:tcPr>
            <w:tcW w:w="1134" w:type="dxa"/>
            <w:tcBorders>
              <w:top w:val="single" w:sz="8" w:space="0" w:color="auto"/>
              <w:left w:val="single" w:sz="8" w:space="0" w:color="auto"/>
              <w:bottom w:val="single" w:sz="12" w:space="0" w:color="auto"/>
              <w:right w:val="single" w:sz="8" w:space="0" w:color="auto"/>
            </w:tcBorders>
            <w:noWrap/>
            <w:hideMark/>
          </w:tcPr>
          <w:p w14:paraId="64B76DC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0.21</w:t>
            </w:r>
          </w:p>
        </w:tc>
        <w:tc>
          <w:tcPr>
            <w:tcW w:w="850" w:type="dxa"/>
            <w:tcBorders>
              <w:top w:val="single" w:sz="8" w:space="0" w:color="auto"/>
              <w:left w:val="single" w:sz="8" w:space="0" w:color="auto"/>
              <w:bottom w:val="single" w:sz="12" w:space="0" w:color="auto"/>
              <w:right w:val="single" w:sz="8" w:space="0" w:color="auto"/>
            </w:tcBorders>
            <w:noWrap/>
            <w:hideMark/>
          </w:tcPr>
          <w:p w14:paraId="6BFB55E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13.79</w:t>
            </w:r>
          </w:p>
        </w:tc>
        <w:tc>
          <w:tcPr>
            <w:tcW w:w="709" w:type="dxa"/>
            <w:tcBorders>
              <w:top w:val="single" w:sz="8" w:space="0" w:color="auto"/>
              <w:left w:val="single" w:sz="8" w:space="0" w:color="auto"/>
              <w:bottom w:val="single" w:sz="12" w:space="0" w:color="auto"/>
              <w:right w:val="single" w:sz="8" w:space="0" w:color="auto"/>
            </w:tcBorders>
            <w:noWrap/>
            <w:hideMark/>
          </w:tcPr>
          <w:p w14:paraId="241BDE0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4.20</w:t>
            </w:r>
          </w:p>
        </w:tc>
        <w:tc>
          <w:tcPr>
            <w:tcW w:w="709" w:type="dxa"/>
            <w:tcBorders>
              <w:top w:val="single" w:sz="8" w:space="0" w:color="auto"/>
              <w:left w:val="single" w:sz="8" w:space="0" w:color="auto"/>
              <w:bottom w:val="single" w:sz="12" w:space="0" w:color="auto"/>
              <w:right w:val="single" w:sz="8" w:space="0" w:color="auto"/>
            </w:tcBorders>
            <w:noWrap/>
            <w:hideMark/>
          </w:tcPr>
          <w:p w14:paraId="5C22963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2.36</w:t>
            </w:r>
          </w:p>
        </w:tc>
        <w:tc>
          <w:tcPr>
            <w:tcW w:w="850" w:type="dxa"/>
            <w:tcBorders>
              <w:top w:val="single" w:sz="8" w:space="0" w:color="auto"/>
              <w:left w:val="single" w:sz="8" w:space="0" w:color="auto"/>
              <w:bottom w:val="single" w:sz="12" w:space="0" w:color="auto"/>
              <w:right w:val="single" w:sz="12" w:space="0" w:color="auto"/>
            </w:tcBorders>
            <w:noWrap/>
            <w:hideMark/>
          </w:tcPr>
          <w:p w14:paraId="35EA126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54.10</w:t>
            </w:r>
          </w:p>
        </w:tc>
      </w:tr>
      <w:tr w:rsidR="00614438" w:rsidRPr="00656BE7" w14:paraId="6D44C3E0" w14:textId="77777777" w:rsidTr="00614438">
        <w:trPr>
          <w:trHeight w:val="300"/>
        </w:trPr>
        <w:tc>
          <w:tcPr>
            <w:tcW w:w="1271" w:type="dxa"/>
            <w:vMerge w:val="restart"/>
            <w:tcBorders>
              <w:top w:val="single" w:sz="12" w:space="0" w:color="auto"/>
              <w:left w:val="single" w:sz="12" w:space="0" w:color="auto"/>
              <w:bottom w:val="single" w:sz="12" w:space="0" w:color="auto"/>
              <w:right w:val="single" w:sz="4" w:space="0" w:color="auto"/>
            </w:tcBorders>
            <w:shd w:val="clear" w:color="auto" w:fill="E7E6E6"/>
            <w:noWrap/>
            <w:vAlign w:val="center"/>
            <w:hideMark/>
          </w:tcPr>
          <w:p w14:paraId="5AEF18E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w:t>
            </w:r>
          </w:p>
        </w:tc>
        <w:tc>
          <w:tcPr>
            <w:tcW w:w="851" w:type="dxa"/>
            <w:tcBorders>
              <w:top w:val="single" w:sz="12" w:space="0" w:color="auto"/>
              <w:left w:val="single" w:sz="4" w:space="0" w:color="auto"/>
              <w:bottom w:val="single" w:sz="4" w:space="0" w:color="auto"/>
              <w:right w:val="single" w:sz="4" w:space="0" w:color="auto"/>
            </w:tcBorders>
            <w:noWrap/>
            <w:hideMark/>
          </w:tcPr>
          <w:p w14:paraId="219C39E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2019</w:t>
            </w:r>
          </w:p>
        </w:tc>
        <w:tc>
          <w:tcPr>
            <w:tcW w:w="850" w:type="dxa"/>
            <w:tcBorders>
              <w:top w:val="single" w:sz="12" w:space="0" w:color="auto"/>
              <w:left w:val="single" w:sz="4" w:space="0" w:color="auto"/>
              <w:bottom w:val="single" w:sz="4" w:space="0" w:color="auto"/>
              <w:right w:val="single" w:sz="4" w:space="0" w:color="auto"/>
            </w:tcBorders>
            <w:noWrap/>
            <w:hideMark/>
          </w:tcPr>
          <w:p w14:paraId="01662BC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12" w:space="0" w:color="auto"/>
              <w:left w:val="single" w:sz="4" w:space="0" w:color="auto"/>
              <w:bottom w:val="single" w:sz="4" w:space="0" w:color="auto"/>
              <w:right w:val="single" w:sz="4" w:space="0" w:color="auto"/>
            </w:tcBorders>
            <w:noWrap/>
            <w:hideMark/>
          </w:tcPr>
          <w:p w14:paraId="47AA81D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25.55</w:t>
            </w:r>
          </w:p>
        </w:tc>
        <w:tc>
          <w:tcPr>
            <w:tcW w:w="992" w:type="dxa"/>
            <w:tcBorders>
              <w:top w:val="single" w:sz="12" w:space="0" w:color="auto"/>
              <w:left w:val="single" w:sz="4" w:space="0" w:color="auto"/>
              <w:bottom w:val="single" w:sz="4" w:space="0" w:color="auto"/>
              <w:right w:val="single" w:sz="4" w:space="0" w:color="auto"/>
            </w:tcBorders>
            <w:noWrap/>
            <w:hideMark/>
          </w:tcPr>
          <w:p w14:paraId="73438A9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0.05</w:t>
            </w:r>
          </w:p>
        </w:tc>
        <w:tc>
          <w:tcPr>
            <w:tcW w:w="851" w:type="dxa"/>
            <w:tcBorders>
              <w:top w:val="single" w:sz="12" w:space="0" w:color="auto"/>
              <w:left w:val="single" w:sz="4" w:space="0" w:color="auto"/>
              <w:bottom w:val="single" w:sz="4" w:space="0" w:color="auto"/>
              <w:right w:val="single" w:sz="4" w:space="0" w:color="auto"/>
            </w:tcBorders>
            <w:noWrap/>
            <w:hideMark/>
          </w:tcPr>
          <w:p w14:paraId="0129A43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0.73</w:t>
            </w:r>
          </w:p>
        </w:tc>
        <w:tc>
          <w:tcPr>
            <w:tcW w:w="1134" w:type="dxa"/>
            <w:tcBorders>
              <w:top w:val="single" w:sz="12" w:space="0" w:color="auto"/>
              <w:left w:val="single" w:sz="4" w:space="0" w:color="auto"/>
              <w:bottom w:val="single" w:sz="4" w:space="0" w:color="auto"/>
              <w:right w:val="single" w:sz="4" w:space="0" w:color="auto"/>
            </w:tcBorders>
            <w:noWrap/>
            <w:hideMark/>
          </w:tcPr>
          <w:p w14:paraId="358DC37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0.16</w:t>
            </w:r>
          </w:p>
        </w:tc>
        <w:tc>
          <w:tcPr>
            <w:tcW w:w="850" w:type="dxa"/>
            <w:tcBorders>
              <w:top w:val="single" w:sz="12" w:space="0" w:color="auto"/>
              <w:left w:val="single" w:sz="4" w:space="0" w:color="auto"/>
              <w:bottom w:val="single" w:sz="4" w:space="0" w:color="auto"/>
              <w:right w:val="single" w:sz="4" w:space="0" w:color="auto"/>
            </w:tcBorders>
            <w:noWrap/>
            <w:hideMark/>
          </w:tcPr>
          <w:p w14:paraId="1A91C01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9.46</w:t>
            </w:r>
          </w:p>
        </w:tc>
        <w:tc>
          <w:tcPr>
            <w:tcW w:w="709" w:type="dxa"/>
            <w:tcBorders>
              <w:top w:val="single" w:sz="12" w:space="0" w:color="auto"/>
              <w:left w:val="single" w:sz="4" w:space="0" w:color="auto"/>
              <w:bottom w:val="single" w:sz="4" w:space="0" w:color="auto"/>
              <w:right w:val="single" w:sz="4" w:space="0" w:color="auto"/>
            </w:tcBorders>
            <w:noWrap/>
            <w:hideMark/>
          </w:tcPr>
          <w:p w14:paraId="64833FA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0.90</w:t>
            </w:r>
          </w:p>
        </w:tc>
        <w:tc>
          <w:tcPr>
            <w:tcW w:w="709" w:type="dxa"/>
            <w:tcBorders>
              <w:top w:val="single" w:sz="12" w:space="0" w:color="auto"/>
              <w:left w:val="single" w:sz="4" w:space="0" w:color="auto"/>
              <w:bottom w:val="single" w:sz="4" w:space="0" w:color="auto"/>
              <w:right w:val="single" w:sz="4" w:space="0" w:color="auto"/>
            </w:tcBorders>
            <w:noWrap/>
            <w:hideMark/>
          </w:tcPr>
          <w:p w14:paraId="1A2E72F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0.01</w:t>
            </w:r>
          </w:p>
        </w:tc>
        <w:tc>
          <w:tcPr>
            <w:tcW w:w="850" w:type="dxa"/>
            <w:tcBorders>
              <w:top w:val="single" w:sz="12" w:space="0" w:color="auto"/>
              <w:left w:val="single" w:sz="4" w:space="0" w:color="auto"/>
              <w:bottom w:val="single" w:sz="4" w:space="0" w:color="auto"/>
              <w:right w:val="single" w:sz="12" w:space="0" w:color="auto"/>
            </w:tcBorders>
            <w:noWrap/>
            <w:hideMark/>
          </w:tcPr>
          <w:p w14:paraId="02FE350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36.85</w:t>
            </w:r>
          </w:p>
        </w:tc>
      </w:tr>
      <w:tr w:rsidR="00614438" w:rsidRPr="00656BE7" w14:paraId="67E7762B" w14:textId="77777777" w:rsidTr="00614438">
        <w:trPr>
          <w:trHeight w:val="300"/>
        </w:trPr>
        <w:tc>
          <w:tcPr>
            <w:tcW w:w="1271" w:type="dxa"/>
            <w:vMerge/>
            <w:tcBorders>
              <w:top w:val="single" w:sz="12" w:space="0" w:color="auto"/>
              <w:left w:val="single" w:sz="12" w:space="0" w:color="auto"/>
              <w:bottom w:val="single" w:sz="12" w:space="0" w:color="auto"/>
              <w:right w:val="single" w:sz="4" w:space="0" w:color="auto"/>
            </w:tcBorders>
            <w:vAlign w:val="center"/>
            <w:hideMark/>
          </w:tcPr>
          <w:p w14:paraId="021B5806"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4" w:space="0" w:color="auto"/>
              <w:left w:val="single" w:sz="4" w:space="0" w:color="auto"/>
              <w:bottom w:val="single" w:sz="4" w:space="0" w:color="auto"/>
              <w:right w:val="single" w:sz="4" w:space="0" w:color="auto"/>
            </w:tcBorders>
            <w:noWrap/>
            <w:hideMark/>
          </w:tcPr>
          <w:p w14:paraId="6E0C9B1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850" w:type="dxa"/>
            <w:tcBorders>
              <w:top w:val="single" w:sz="4" w:space="0" w:color="auto"/>
              <w:left w:val="single" w:sz="4" w:space="0" w:color="auto"/>
              <w:bottom w:val="single" w:sz="4" w:space="0" w:color="auto"/>
              <w:right w:val="single" w:sz="4" w:space="0" w:color="auto"/>
            </w:tcBorders>
            <w:noWrap/>
            <w:hideMark/>
          </w:tcPr>
          <w:p w14:paraId="74A6DB6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4" w:space="0" w:color="auto"/>
              <w:left w:val="single" w:sz="4" w:space="0" w:color="auto"/>
              <w:bottom w:val="single" w:sz="4" w:space="0" w:color="auto"/>
              <w:right w:val="single" w:sz="4" w:space="0" w:color="auto"/>
            </w:tcBorders>
            <w:noWrap/>
            <w:hideMark/>
          </w:tcPr>
          <w:p w14:paraId="403C271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24.27</w:t>
            </w:r>
          </w:p>
        </w:tc>
        <w:tc>
          <w:tcPr>
            <w:tcW w:w="992" w:type="dxa"/>
            <w:tcBorders>
              <w:top w:val="single" w:sz="4" w:space="0" w:color="auto"/>
              <w:left w:val="single" w:sz="4" w:space="0" w:color="auto"/>
              <w:bottom w:val="single" w:sz="4" w:space="0" w:color="auto"/>
              <w:right w:val="single" w:sz="4" w:space="0" w:color="auto"/>
            </w:tcBorders>
            <w:noWrap/>
            <w:hideMark/>
          </w:tcPr>
          <w:p w14:paraId="5EB425A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0.02</w:t>
            </w:r>
          </w:p>
        </w:tc>
        <w:tc>
          <w:tcPr>
            <w:tcW w:w="851" w:type="dxa"/>
            <w:tcBorders>
              <w:top w:val="single" w:sz="4" w:space="0" w:color="auto"/>
              <w:left w:val="single" w:sz="4" w:space="0" w:color="auto"/>
              <w:bottom w:val="single" w:sz="4" w:space="0" w:color="auto"/>
              <w:right w:val="single" w:sz="4" w:space="0" w:color="auto"/>
            </w:tcBorders>
            <w:noWrap/>
            <w:hideMark/>
          </w:tcPr>
          <w:p w14:paraId="4016178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1.41</w:t>
            </w:r>
          </w:p>
        </w:tc>
        <w:tc>
          <w:tcPr>
            <w:tcW w:w="1134" w:type="dxa"/>
            <w:tcBorders>
              <w:top w:val="single" w:sz="4" w:space="0" w:color="auto"/>
              <w:left w:val="single" w:sz="4" w:space="0" w:color="auto"/>
              <w:bottom w:val="single" w:sz="4" w:space="0" w:color="auto"/>
              <w:right w:val="single" w:sz="4" w:space="0" w:color="auto"/>
            </w:tcBorders>
            <w:noWrap/>
            <w:hideMark/>
          </w:tcPr>
          <w:p w14:paraId="2A92041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0.21</w:t>
            </w:r>
          </w:p>
        </w:tc>
        <w:tc>
          <w:tcPr>
            <w:tcW w:w="850" w:type="dxa"/>
            <w:tcBorders>
              <w:top w:val="single" w:sz="4" w:space="0" w:color="auto"/>
              <w:left w:val="single" w:sz="4" w:space="0" w:color="auto"/>
              <w:bottom w:val="single" w:sz="4" w:space="0" w:color="auto"/>
              <w:right w:val="single" w:sz="4" w:space="0" w:color="auto"/>
            </w:tcBorders>
            <w:noWrap/>
            <w:hideMark/>
          </w:tcPr>
          <w:p w14:paraId="3EB3C2F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10.41</w:t>
            </w:r>
          </w:p>
        </w:tc>
        <w:tc>
          <w:tcPr>
            <w:tcW w:w="709" w:type="dxa"/>
            <w:tcBorders>
              <w:top w:val="single" w:sz="4" w:space="0" w:color="auto"/>
              <w:left w:val="single" w:sz="4" w:space="0" w:color="auto"/>
              <w:bottom w:val="single" w:sz="4" w:space="0" w:color="auto"/>
              <w:right w:val="single" w:sz="4" w:space="0" w:color="auto"/>
            </w:tcBorders>
            <w:noWrap/>
            <w:hideMark/>
          </w:tcPr>
          <w:p w14:paraId="114B6B0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2.32</w:t>
            </w:r>
          </w:p>
        </w:tc>
        <w:tc>
          <w:tcPr>
            <w:tcW w:w="709" w:type="dxa"/>
            <w:tcBorders>
              <w:top w:val="single" w:sz="4" w:space="0" w:color="auto"/>
              <w:left w:val="single" w:sz="4" w:space="0" w:color="auto"/>
              <w:bottom w:val="single" w:sz="4" w:space="0" w:color="auto"/>
              <w:right w:val="single" w:sz="4" w:space="0" w:color="auto"/>
            </w:tcBorders>
            <w:noWrap/>
            <w:hideMark/>
          </w:tcPr>
          <w:p w14:paraId="1556AC1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0.68</w:t>
            </w:r>
          </w:p>
        </w:tc>
        <w:tc>
          <w:tcPr>
            <w:tcW w:w="850" w:type="dxa"/>
            <w:tcBorders>
              <w:top w:val="single" w:sz="4" w:space="0" w:color="auto"/>
              <w:left w:val="single" w:sz="4" w:space="0" w:color="auto"/>
              <w:bottom w:val="single" w:sz="4" w:space="0" w:color="auto"/>
              <w:right w:val="single" w:sz="12" w:space="0" w:color="auto"/>
            </w:tcBorders>
            <w:noWrap/>
            <w:hideMark/>
          </w:tcPr>
          <w:p w14:paraId="3914A41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39.31</w:t>
            </w:r>
          </w:p>
        </w:tc>
      </w:tr>
      <w:tr w:rsidR="00614438" w:rsidRPr="00656BE7" w14:paraId="4F6577EE" w14:textId="77777777" w:rsidTr="00614438">
        <w:trPr>
          <w:trHeight w:val="300"/>
        </w:trPr>
        <w:tc>
          <w:tcPr>
            <w:tcW w:w="1271" w:type="dxa"/>
            <w:vMerge/>
            <w:tcBorders>
              <w:top w:val="single" w:sz="12" w:space="0" w:color="auto"/>
              <w:left w:val="single" w:sz="12" w:space="0" w:color="auto"/>
              <w:bottom w:val="single" w:sz="12" w:space="0" w:color="auto"/>
              <w:right w:val="single" w:sz="4" w:space="0" w:color="auto"/>
            </w:tcBorders>
            <w:vAlign w:val="center"/>
            <w:hideMark/>
          </w:tcPr>
          <w:p w14:paraId="35AD46D5"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4" w:space="0" w:color="auto"/>
              <w:left w:val="single" w:sz="4" w:space="0" w:color="auto"/>
              <w:bottom w:val="single" w:sz="4" w:space="0" w:color="auto"/>
              <w:right w:val="single" w:sz="4" w:space="0" w:color="auto"/>
            </w:tcBorders>
            <w:noWrap/>
            <w:hideMark/>
          </w:tcPr>
          <w:p w14:paraId="538332D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850" w:type="dxa"/>
            <w:tcBorders>
              <w:top w:val="single" w:sz="4" w:space="0" w:color="auto"/>
              <w:left w:val="single" w:sz="4" w:space="0" w:color="auto"/>
              <w:bottom w:val="single" w:sz="4" w:space="0" w:color="auto"/>
              <w:right w:val="single" w:sz="4" w:space="0" w:color="auto"/>
            </w:tcBorders>
            <w:noWrap/>
            <w:hideMark/>
          </w:tcPr>
          <w:p w14:paraId="6B425DA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4" w:space="0" w:color="auto"/>
              <w:left w:val="single" w:sz="4" w:space="0" w:color="auto"/>
              <w:bottom w:val="single" w:sz="4" w:space="0" w:color="auto"/>
              <w:right w:val="single" w:sz="4" w:space="0" w:color="auto"/>
            </w:tcBorders>
            <w:noWrap/>
            <w:hideMark/>
          </w:tcPr>
          <w:p w14:paraId="6C100A6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23.52</w:t>
            </w:r>
          </w:p>
        </w:tc>
        <w:tc>
          <w:tcPr>
            <w:tcW w:w="992" w:type="dxa"/>
            <w:tcBorders>
              <w:top w:val="single" w:sz="4" w:space="0" w:color="auto"/>
              <w:left w:val="single" w:sz="4" w:space="0" w:color="auto"/>
              <w:bottom w:val="single" w:sz="4" w:space="0" w:color="auto"/>
              <w:right w:val="single" w:sz="4" w:space="0" w:color="auto"/>
            </w:tcBorders>
            <w:noWrap/>
            <w:hideMark/>
          </w:tcPr>
          <w:p w14:paraId="3E6B6AA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0.01</w:t>
            </w:r>
          </w:p>
        </w:tc>
        <w:tc>
          <w:tcPr>
            <w:tcW w:w="851" w:type="dxa"/>
            <w:tcBorders>
              <w:top w:val="single" w:sz="4" w:space="0" w:color="auto"/>
              <w:left w:val="single" w:sz="4" w:space="0" w:color="auto"/>
              <w:bottom w:val="single" w:sz="4" w:space="0" w:color="auto"/>
              <w:right w:val="single" w:sz="4" w:space="0" w:color="auto"/>
            </w:tcBorders>
            <w:noWrap/>
            <w:hideMark/>
          </w:tcPr>
          <w:p w14:paraId="39E872A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1.52</w:t>
            </w:r>
          </w:p>
        </w:tc>
        <w:tc>
          <w:tcPr>
            <w:tcW w:w="1134" w:type="dxa"/>
            <w:tcBorders>
              <w:top w:val="single" w:sz="4" w:space="0" w:color="auto"/>
              <w:left w:val="single" w:sz="4" w:space="0" w:color="auto"/>
              <w:bottom w:val="single" w:sz="4" w:space="0" w:color="auto"/>
              <w:right w:val="single" w:sz="4" w:space="0" w:color="auto"/>
            </w:tcBorders>
            <w:noWrap/>
            <w:hideMark/>
          </w:tcPr>
          <w:p w14:paraId="2583113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0.21</w:t>
            </w:r>
          </w:p>
        </w:tc>
        <w:tc>
          <w:tcPr>
            <w:tcW w:w="850" w:type="dxa"/>
            <w:tcBorders>
              <w:top w:val="single" w:sz="4" w:space="0" w:color="auto"/>
              <w:left w:val="single" w:sz="4" w:space="0" w:color="auto"/>
              <w:bottom w:val="single" w:sz="4" w:space="0" w:color="auto"/>
              <w:right w:val="single" w:sz="4" w:space="0" w:color="auto"/>
            </w:tcBorders>
            <w:noWrap/>
            <w:hideMark/>
          </w:tcPr>
          <w:p w14:paraId="303731D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10.41</w:t>
            </w:r>
          </w:p>
        </w:tc>
        <w:tc>
          <w:tcPr>
            <w:tcW w:w="709" w:type="dxa"/>
            <w:tcBorders>
              <w:top w:val="single" w:sz="4" w:space="0" w:color="auto"/>
              <w:left w:val="single" w:sz="4" w:space="0" w:color="auto"/>
              <w:bottom w:val="single" w:sz="4" w:space="0" w:color="auto"/>
              <w:right w:val="single" w:sz="4" w:space="0" w:color="auto"/>
            </w:tcBorders>
            <w:noWrap/>
            <w:hideMark/>
          </w:tcPr>
          <w:p w14:paraId="507F989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2.71</w:t>
            </w:r>
          </w:p>
        </w:tc>
        <w:tc>
          <w:tcPr>
            <w:tcW w:w="709" w:type="dxa"/>
            <w:tcBorders>
              <w:top w:val="single" w:sz="4" w:space="0" w:color="auto"/>
              <w:left w:val="single" w:sz="4" w:space="0" w:color="auto"/>
              <w:bottom w:val="single" w:sz="4" w:space="0" w:color="auto"/>
              <w:right w:val="single" w:sz="4" w:space="0" w:color="auto"/>
            </w:tcBorders>
            <w:noWrap/>
            <w:hideMark/>
          </w:tcPr>
          <w:p w14:paraId="4A0D950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1.00</w:t>
            </w:r>
          </w:p>
        </w:tc>
        <w:tc>
          <w:tcPr>
            <w:tcW w:w="850" w:type="dxa"/>
            <w:tcBorders>
              <w:top w:val="single" w:sz="4" w:space="0" w:color="auto"/>
              <w:left w:val="single" w:sz="4" w:space="0" w:color="auto"/>
              <w:bottom w:val="single" w:sz="4" w:space="0" w:color="auto"/>
              <w:right w:val="single" w:sz="12" w:space="0" w:color="auto"/>
            </w:tcBorders>
            <w:noWrap/>
            <w:hideMark/>
          </w:tcPr>
          <w:p w14:paraId="061ADB8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39.38</w:t>
            </w:r>
          </w:p>
        </w:tc>
      </w:tr>
      <w:tr w:rsidR="00614438" w:rsidRPr="00656BE7" w14:paraId="61C791CF" w14:textId="77777777" w:rsidTr="00614438">
        <w:trPr>
          <w:trHeight w:val="300"/>
        </w:trPr>
        <w:tc>
          <w:tcPr>
            <w:tcW w:w="1271" w:type="dxa"/>
            <w:vMerge/>
            <w:tcBorders>
              <w:top w:val="single" w:sz="12" w:space="0" w:color="auto"/>
              <w:left w:val="single" w:sz="12" w:space="0" w:color="auto"/>
              <w:bottom w:val="single" w:sz="12" w:space="0" w:color="auto"/>
              <w:right w:val="single" w:sz="4" w:space="0" w:color="auto"/>
            </w:tcBorders>
            <w:vAlign w:val="center"/>
            <w:hideMark/>
          </w:tcPr>
          <w:p w14:paraId="02B6B8C9"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4" w:space="0" w:color="auto"/>
              <w:left w:val="single" w:sz="4" w:space="0" w:color="auto"/>
              <w:bottom w:val="single" w:sz="4" w:space="0" w:color="auto"/>
              <w:right w:val="single" w:sz="4" w:space="0" w:color="auto"/>
            </w:tcBorders>
            <w:noWrap/>
            <w:hideMark/>
          </w:tcPr>
          <w:p w14:paraId="36DBA9E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850" w:type="dxa"/>
            <w:tcBorders>
              <w:top w:val="single" w:sz="4" w:space="0" w:color="auto"/>
              <w:left w:val="single" w:sz="4" w:space="0" w:color="auto"/>
              <w:bottom w:val="single" w:sz="4" w:space="0" w:color="auto"/>
              <w:right w:val="single" w:sz="4" w:space="0" w:color="auto"/>
            </w:tcBorders>
            <w:noWrap/>
            <w:hideMark/>
          </w:tcPr>
          <w:p w14:paraId="24119CD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4" w:space="0" w:color="auto"/>
              <w:left w:val="single" w:sz="4" w:space="0" w:color="auto"/>
              <w:bottom w:val="single" w:sz="4" w:space="0" w:color="auto"/>
              <w:right w:val="single" w:sz="4" w:space="0" w:color="auto"/>
            </w:tcBorders>
            <w:noWrap/>
            <w:hideMark/>
          </w:tcPr>
          <w:p w14:paraId="52BAF57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23.25</w:t>
            </w:r>
          </w:p>
        </w:tc>
        <w:tc>
          <w:tcPr>
            <w:tcW w:w="992" w:type="dxa"/>
            <w:tcBorders>
              <w:top w:val="single" w:sz="4" w:space="0" w:color="auto"/>
              <w:left w:val="single" w:sz="4" w:space="0" w:color="auto"/>
              <w:bottom w:val="single" w:sz="4" w:space="0" w:color="auto"/>
              <w:right w:val="single" w:sz="4" w:space="0" w:color="auto"/>
            </w:tcBorders>
            <w:noWrap/>
            <w:hideMark/>
          </w:tcPr>
          <w:p w14:paraId="6967BEC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0.01</w:t>
            </w:r>
          </w:p>
        </w:tc>
        <w:tc>
          <w:tcPr>
            <w:tcW w:w="851" w:type="dxa"/>
            <w:tcBorders>
              <w:top w:val="single" w:sz="4" w:space="0" w:color="auto"/>
              <w:left w:val="single" w:sz="4" w:space="0" w:color="auto"/>
              <w:bottom w:val="single" w:sz="4" w:space="0" w:color="auto"/>
              <w:right w:val="single" w:sz="4" w:space="0" w:color="auto"/>
            </w:tcBorders>
            <w:noWrap/>
            <w:hideMark/>
          </w:tcPr>
          <w:p w14:paraId="4C0DDAD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1.50</w:t>
            </w:r>
          </w:p>
        </w:tc>
        <w:tc>
          <w:tcPr>
            <w:tcW w:w="1134" w:type="dxa"/>
            <w:tcBorders>
              <w:top w:val="single" w:sz="4" w:space="0" w:color="auto"/>
              <w:left w:val="single" w:sz="4" w:space="0" w:color="auto"/>
              <w:bottom w:val="single" w:sz="4" w:space="0" w:color="auto"/>
              <w:right w:val="single" w:sz="4" w:space="0" w:color="auto"/>
            </w:tcBorders>
            <w:noWrap/>
            <w:hideMark/>
          </w:tcPr>
          <w:p w14:paraId="4A92279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0.20</w:t>
            </w:r>
          </w:p>
        </w:tc>
        <w:tc>
          <w:tcPr>
            <w:tcW w:w="850" w:type="dxa"/>
            <w:tcBorders>
              <w:top w:val="single" w:sz="4" w:space="0" w:color="auto"/>
              <w:left w:val="single" w:sz="4" w:space="0" w:color="auto"/>
              <w:bottom w:val="single" w:sz="4" w:space="0" w:color="auto"/>
              <w:right w:val="single" w:sz="4" w:space="0" w:color="auto"/>
            </w:tcBorders>
            <w:noWrap/>
            <w:hideMark/>
          </w:tcPr>
          <w:p w14:paraId="640523B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10.42</w:t>
            </w:r>
          </w:p>
        </w:tc>
        <w:tc>
          <w:tcPr>
            <w:tcW w:w="709" w:type="dxa"/>
            <w:tcBorders>
              <w:top w:val="single" w:sz="4" w:space="0" w:color="auto"/>
              <w:left w:val="single" w:sz="4" w:space="0" w:color="auto"/>
              <w:bottom w:val="single" w:sz="4" w:space="0" w:color="auto"/>
              <w:right w:val="single" w:sz="4" w:space="0" w:color="auto"/>
            </w:tcBorders>
            <w:noWrap/>
            <w:hideMark/>
          </w:tcPr>
          <w:p w14:paraId="34372FB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3.14</w:t>
            </w:r>
          </w:p>
        </w:tc>
        <w:tc>
          <w:tcPr>
            <w:tcW w:w="709" w:type="dxa"/>
            <w:tcBorders>
              <w:top w:val="single" w:sz="4" w:space="0" w:color="auto"/>
              <w:left w:val="single" w:sz="4" w:space="0" w:color="auto"/>
              <w:bottom w:val="single" w:sz="4" w:space="0" w:color="auto"/>
              <w:right w:val="single" w:sz="4" w:space="0" w:color="auto"/>
            </w:tcBorders>
            <w:noWrap/>
            <w:hideMark/>
          </w:tcPr>
          <w:p w14:paraId="442E675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1.32</w:t>
            </w:r>
          </w:p>
        </w:tc>
        <w:tc>
          <w:tcPr>
            <w:tcW w:w="850" w:type="dxa"/>
            <w:tcBorders>
              <w:top w:val="single" w:sz="4" w:space="0" w:color="auto"/>
              <w:left w:val="single" w:sz="4" w:space="0" w:color="auto"/>
              <w:bottom w:val="single" w:sz="4" w:space="0" w:color="auto"/>
              <w:right w:val="single" w:sz="12" w:space="0" w:color="auto"/>
            </w:tcBorders>
            <w:noWrap/>
            <w:hideMark/>
          </w:tcPr>
          <w:p w14:paraId="433EF84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39.85</w:t>
            </w:r>
          </w:p>
        </w:tc>
      </w:tr>
      <w:tr w:rsidR="00614438" w:rsidRPr="00656BE7" w14:paraId="6E3066D3" w14:textId="77777777" w:rsidTr="00614438">
        <w:trPr>
          <w:trHeight w:val="300"/>
        </w:trPr>
        <w:tc>
          <w:tcPr>
            <w:tcW w:w="1271" w:type="dxa"/>
            <w:vMerge/>
            <w:tcBorders>
              <w:top w:val="single" w:sz="12" w:space="0" w:color="auto"/>
              <w:left w:val="single" w:sz="12" w:space="0" w:color="auto"/>
              <w:bottom w:val="single" w:sz="12" w:space="0" w:color="auto"/>
              <w:right w:val="single" w:sz="4" w:space="0" w:color="auto"/>
            </w:tcBorders>
            <w:vAlign w:val="center"/>
            <w:hideMark/>
          </w:tcPr>
          <w:p w14:paraId="4031A01F"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4" w:space="0" w:color="auto"/>
              <w:left w:val="single" w:sz="4" w:space="0" w:color="auto"/>
              <w:bottom w:val="single" w:sz="4" w:space="0" w:color="auto"/>
              <w:right w:val="single" w:sz="4" w:space="0" w:color="auto"/>
            </w:tcBorders>
            <w:noWrap/>
            <w:hideMark/>
          </w:tcPr>
          <w:p w14:paraId="4AD88AA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850" w:type="dxa"/>
            <w:tcBorders>
              <w:top w:val="single" w:sz="4" w:space="0" w:color="auto"/>
              <w:left w:val="single" w:sz="4" w:space="0" w:color="auto"/>
              <w:bottom w:val="single" w:sz="4" w:space="0" w:color="auto"/>
              <w:right w:val="single" w:sz="4" w:space="0" w:color="auto"/>
            </w:tcBorders>
            <w:noWrap/>
            <w:hideMark/>
          </w:tcPr>
          <w:p w14:paraId="704BBD6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4" w:space="0" w:color="auto"/>
              <w:left w:val="single" w:sz="4" w:space="0" w:color="auto"/>
              <w:bottom w:val="single" w:sz="4" w:space="0" w:color="auto"/>
              <w:right w:val="single" w:sz="4" w:space="0" w:color="auto"/>
            </w:tcBorders>
            <w:noWrap/>
            <w:hideMark/>
          </w:tcPr>
          <w:p w14:paraId="24AEBE2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22.74</w:t>
            </w:r>
          </w:p>
        </w:tc>
        <w:tc>
          <w:tcPr>
            <w:tcW w:w="992" w:type="dxa"/>
            <w:tcBorders>
              <w:top w:val="single" w:sz="4" w:space="0" w:color="auto"/>
              <w:left w:val="single" w:sz="4" w:space="0" w:color="auto"/>
              <w:bottom w:val="single" w:sz="4" w:space="0" w:color="auto"/>
              <w:right w:val="single" w:sz="4" w:space="0" w:color="auto"/>
            </w:tcBorders>
            <w:noWrap/>
            <w:hideMark/>
          </w:tcPr>
          <w:p w14:paraId="5EC11FC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0.01</w:t>
            </w:r>
          </w:p>
        </w:tc>
        <w:tc>
          <w:tcPr>
            <w:tcW w:w="851" w:type="dxa"/>
            <w:tcBorders>
              <w:top w:val="single" w:sz="4" w:space="0" w:color="auto"/>
              <w:left w:val="single" w:sz="4" w:space="0" w:color="auto"/>
              <w:bottom w:val="single" w:sz="4" w:space="0" w:color="auto"/>
              <w:right w:val="single" w:sz="4" w:space="0" w:color="auto"/>
            </w:tcBorders>
            <w:noWrap/>
            <w:hideMark/>
          </w:tcPr>
          <w:p w14:paraId="31EBFD3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1.50</w:t>
            </w:r>
          </w:p>
        </w:tc>
        <w:tc>
          <w:tcPr>
            <w:tcW w:w="1134" w:type="dxa"/>
            <w:tcBorders>
              <w:top w:val="single" w:sz="4" w:space="0" w:color="auto"/>
              <w:left w:val="single" w:sz="4" w:space="0" w:color="auto"/>
              <w:bottom w:val="single" w:sz="4" w:space="0" w:color="auto"/>
              <w:right w:val="single" w:sz="4" w:space="0" w:color="auto"/>
            </w:tcBorders>
            <w:noWrap/>
            <w:hideMark/>
          </w:tcPr>
          <w:p w14:paraId="455CFE9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0.21</w:t>
            </w:r>
          </w:p>
        </w:tc>
        <w:tc>
          <w:tcPr>
            <w:tcW w:w="850" w:type="dxa"/>
            <w:tcBorders>
              <w:top w:val="single" w:sz="4" w:space="0" w:color="auto"/>
              <w:left w:val="single" w:sz="4" w:space="0" w:color="auto"/>
              <w:bottom w:val="single" w:sz="4" w:space="0" w:color="auto"/>
              <w:right w:val="single" w:sz="4" w:space="0" w:color="auto"/>
            </w:tcBorders>
            <w:noWrap/>
            <w:hideMark/>
          </w:tcPr>
          <w:p w14:paraId="1BA0C79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10.57</w:t>
            </w:r>
          </w:p>
        </w:tc>
        <w:tc>
          <w:tcPr>
            <w:tcW w:w="709" w:type="dxa"/>
            <w:tcBorders>
              <w:top w:val="single" w:sz="4" w:space="0" w:color="auto"/>
              <w:left w:val="single" w:sz="4" w:space="0" w:color="auto"/>
              <w:bottom w:val="single" w:sz="4" w:space="0" w:color="auto"/>
              <w:right w:val="single" w:sz="4" w:space="0" w:color="auto"/>
            </w:tcBorders>
            <w:noWrap/>
            <w:hideMark/>
          </w:tcPr>
          <w:p w14:paraId="0216D88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3.60</w:t>
            </w:r>
          </w:p>
        </w:tc>
        <w:tc>
          <w:tcPr>
            <w:tcW w:w="709" w:type="dxa"/>
            <w:tcBorders>
              <w:top w:val="single" w:sz="4" w:space="0" w:color="auto"/>
              <w:left w:val="single" w:sz="4" w:space="0" w:color="auto"/>
              <w:bottom w:val="single" w:sz="4" w:space="0" w:color="auto"/>
              <w:right w:val="single" w:sz="4" w:space="0" w:color="auto"/>
            </w:tcBorders>
            <w:noWrap/>
            <w:hideMark/>
          </w:tcPr>
          <w:p w14:paraId="417DB4F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1.64</w:t>
            </w:r>
          </w:p>
        </w:tc>
        <w:tc>
          <w:tcPr>
            <w:tcW w:w="850" w:type="dxa"/>
            <w:tcBorders>
              <w:top w:val="single" w:sz="4" w:space="0" w:color="auto"/>
              <w:left w:val="single" w:sz="4" w:space="0" w:color="auto"/>
              <w:bottom w:val="single" w:sz="4" w:space="0" w:color="auto"/>
              <w:right w:val="single" w:sz="12" w:space="0" w:color="auto"/>
            </w:tcBorders>
            <w:noWrap/>
            <w:hideMark/>
          </w:tcPr>
          <w:p w14:paraId="0E94669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40.27</w:t>
            </w:r>
          </w:p>
        </w:tc>
      </w:tr>
      <w:tr w:rsidR="00614438" w:rsidRPr="00656BE7" w14:paraId="10C17989" w14:textId="77777777" w:rsidTr="00614438">
        <w:trPr>
          <w:trHeight w:val="300"/>
        </w:trPr>
        <w:tc>
          <w:tcPr>
            <w:tcW w:w="1271" w:type="dxa"/>
            <w:vMerge/>
            <w:tcBorders>
              <w:top w:val="single" w:sz="12" w:space="0" w:color="auto"/>
              <w:left w:val="single" w:sz="12" w:space="0" w:color="auto"/>
              <w:bottom w:val="single" w:sz="12" w:space="0" w:color="auto"/>
              <w:right w:val="single" w:sz="4" w:space="0" w:color="auto"/>
            </w:tcBorders>
            <w:vAlign w:val="center"/>
            <w:hideMark/>
          </w:tcPr>
          <w:p w14:paraId="51E5A0CA"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4" w:space="0" w:color="auto"/>
              <w:left w:val="single" w:sz="4" w:space="0" w:color="auto"/>
              <w:bottom w:val="single" w:sz="4" w:space="0" w:color="auto"/>
              <w:right w:val="single" w:sz="4" w:space="0" w:color="auto"/>
            </w:tcBorders>
            <w:noWrap/>
            <w:hideMark/>
          </w:tcPr>
          <w:p w14:paraId="7156543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850" w:type="dxa"/>
            <w:tcBorders>
              <w:top w:val="single" w:sz="4" w:space="0" w:color="auto"/>
              <w:left w:val="single" w:sz="4" w:space="0" w:color="auto"/>
              <w:bottom w:val="single" w:sz="4" w:space="0" w:color="auto"/>
              <w:right w:val="single" w:sz="4" w:space="0" w:color="auto"/>
            </w:tcBorders>
            <w:noWrap/>
            <w:hideMark/>
          </w:tcPr>
          <w:p w14:paraId="17E91B2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4" w:space="0" w:color="auto"/>
              <w:left w:val="single" w:sz="4" w:space="0" w:color="auto"/>
              <w:bottom w:val="single" w:sz="4" w:space="0" w:color="auto"/>
              <w:right w:val="single" w:sz="4" w:space="0" w:color="auto"/>
            </w:tcBorders>
            <w:noWrap/>
            <w:hideMark/>
          </w:tcPr>
          <w:p w14:paraId="64C4172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21.18</w:t>
            </w:r>
          </w:p>
        </w:tc>
        <w:tc>
          <w:tcPr>
            <w:tcW w:w="992" w:type="dxa"/>
            <w:tcBorders>
              <w:top w:val="single" w:sz="4" w:space="0" w:color="auto"/>
              <w:left w:val="single" w:sz="4" w:space="0" w:color="auto"/>
              <w:bottom w:val="single" w:sz="4" w:space="0" w:color="auto"/>
              <w:right w:val="single" w:sz="4" w:space="0" w:color="auto"/>
            </w:tcBorders>
            <w:noWrap/>
            <w:hideMark/>
          </w:tcPr>
          <w:p w14:paraId="51B9783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0.01</w:t>
            </w:r>
          </w:p>
        </w:tc>
        <w:tc>
          <w:tcPr>
            <w:tcW w:w="851" w:type="dxa"/>
            <w:tcBorders>
              <w:top w:val="single" w:sz="4" w:space="0" w:color="auto"/>
              <w:left w:val="single" w:sz="4" w:space="0" w:color="auto"/>
              <w:bottom w:val="single" w:sz="4" w:space="0" w:color="auto"/>
              <w:right w:val="single" w:sz="4" w:space="0" w:color="auto"/>
            </w:tcBorders>
            <w:noWrap/>
            <w:hideMark/>
          </w:tcPr>
          <w:p w14:paraId="53463E5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2.74</w:t>
            </w:r>
          </w:p>
        </w:tc>
        <w:tc>
          <w:tcPr>
            <w:tcW w:w="1134" w:type="dxa"/>
            <w:tcBorders>
              <w:top w:val="single" w:sz="4" w:space="0" w:color="auto"/>
              <w:left w:val="single" w:sz="4" w:space="0" w:color="auto"/>
              <w:bottom w:val="single" w:sz="4" w:space="0" w:color="auto"/>
              <w:right w:val="single" w:sz="4" w:space="0" w:color="auto"/>
            </w:tcBorders>
            <w:noWrap/>
            <w:hideMark/>
          </w:tcPr>
          <w:p w14:paraId="48D226F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0.28</w:t>
            </w:r>
          </w:p>
        </w:tc>
        <w:tc>
          <w:tcPr>
            <w:tcW w:w="850" w:type="dxa"/>
            <w:tcBorders>
              <w:top w:val="single" w:sz="4" w:space="0" w:color="auto"/>
              <w:left w:val="single" w:sz="4" w:space="0" w:color="auto"/>
              <w:bottom w:val="single" w:sz="4" w:space="0" w:color="auto"/>
              <w:right w:val="single" w:sz="4" w:space="0" w:color="auto"/>
            </w:tcBorders>
            <w:noWrap/>
            <w:hideMark/>
          </w:tcPr>
          <w:p w14:paraId="412E5EC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10.57</w:t>
            </w:r>
          </w:p>
        </w:tc>
        <w:tc>
          <w:tcPr>
            <w:tcW w:w="709" w:type="dxa"/>
            <w:tcBorders>
              <w:top w:val="single" w:sz="4" w:space="0" w:color="auto"/>
              <w:left w:val="single" w:sz="4" w:space="0" w:color="auto"/>
              <w:bottom w:val="single" w:sz="4" w:space="0" w:color="auto"/>
              <w:right w:val="single" w:sz="4" w:space="0" w:color="auto"/>
            </w:tcBorders>
            <w:noWrap/>
            <w:hideMark/>
          </w:tcPr>
          <w:p w14:paraId="2AF79C5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4.09</w:t>
            </w:r>
          </w:p>
        </w:tc>
        <w:tc>
          <w:tcPr>
            <w:tcW w:w="709" w:type="dxa"/>
            <w:tcBorders>
              <w:top w:val="single" w:sz="4" w:space="0" w:color="auto"/>
              <w:left w:val="single" w:sz="4" w:space="0" w:color="auto"/>
              <w:bottom w:val="single" w:sz="4" w:space="0" w:color="auto"/>
              <w:right w:val="single" w:sz="4" w:space="0" w:color="auto"/>
            </w:tcBorders>
            <w:noWrap/>
            <w:hideMark/>
          </w:tcPr>
          <w:p w14:paraId="783676F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1.97</w:t>
            </w:r>
          </w:p>
        </w:tc>
        <w:tc>
          <w:tcPr>
            <w:tcW w:w="850" w:type="dxa"/>
            <w:tcBorders>
              <w:top w:val="single" w:sz="4" w:space="0" w:color="auto"/>
              <w:left w:val="single" w:sz="4" w:space="0" w:color="auto"/>
              <w:bottom w:val="single" w:sz="4" w:space="0" w:color="auto"/>
              <w:right w:val="single" w:sz="12" w:space="0" w:color="auto"/>
            </w:tcBorders>
            <w:noWrap/>
            <w:hideMark/>
          </w:tcPr>
          <w:p w14:paraId="5C7F0A7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40.83</w:t>
            </w:r>
          </w:p>
        </w:tc>
      </w:tr>
      <w:tr w:rsidR="00614438" w:rsidRPr="00656BE7" w14:paraId="6FE9D2E1" w14:textId="77777777" w:rsidTr="00614438">
        <w:trPr>
          <w:trHeight w:val="300"/>
        </w:trPr>
        <w:tc>
          <w:tcPr>
            <w:tcW w:w="1271" w:type="dxa"/>
            <w:vMerge/>
            <w:tcBorders>
              <w:top w:val="single" w:sz="12" w:space="0" w:color="auto"/>
              <w:left w:val="single" w:sz="12" w:space="0" w:color="auto"/>
              <w:bottom w:val="single" w:sz="12" w:space="0" w:color="auto"/>
              <w:right w:val="single" w:sz="4" w:space="0" w:color="auto"/>
            </w:tcBorders>
            <w:vAlign w:val="center"/>
            <w:hideMark/>
          </w:tcPr>
          <w:p w14:paraId="69602B5F"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4" w:space="0" w:color="auto"/>
              <w:left w:val="single" w:sz="4" w:space="0" w:color="auto"/>
              <w:bottom w:val="single" w:sz="4" w:space="0" w:color="auto"/>
              <w:right w:val="single" w:sz="4" w:space="0" w:color="auto"/>
            </w:tcBorders>
            <w:noWrap/>
            <w:hideMark/>
          </w:tcPr>
          <w:p w14:paraId="296CDAF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850" w:type="dxa"/>
            <w:tcBorders>
              <w:top w:val="single" w:sz="4" w:space="0" w:color="auto"/>
              <w:left w:val="single" w:sz="4" w:space="0" w:color="auto"/>
              <w:bottom w:val="single" w:sz="4" w:space="0" w:color="auto"/>
              <w:right w:val="single" w:sz="4" w:space="0" w:color="auto"/>
            </w:tcBorders>
            <w:noWrap/>
            <w:hideMark/>
          </w:tcPr>
          <w:p w14:paraId="50190E7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4" w:space="0" w:color="auto"/>
              <w:left w:val="single" w:sz="4" w:space="0" w:color="auto"/>
              <w:bottom w:val="single" w:sz="4" w:space="0" w:color="auto"/>
              <w:right w:val="single" w:sz="4" w:space="0" w:color="auto"/>
            </w:tcBorders>
            <w:noWrap/>
            <w:hideMark/>
          </w:tcPr>
          <w:p w14:paraId="6C4C07A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19.16</w:t>
            </w:r>
          </w:p>
        </w:tc>
        <w:tc>
          <w:tcPr>
            <w:tcW w:w="992" w:type="dxa"/>
            <w:tcBorders>
              <w:top w:val="single" w:sz="4" w:space="0" w:color="auto"/>
              <w:left w:val="single" w:sz="4" w:space="0" w:color="auto"/>
              <w:bottom w:val="single" w:sz="4" w:space="0" w:color="auto"/>
              <w:right w:val="single" w:sz="4" w:space="0" w:color="auto"/>
            </w:tcBorders>
            <w:noWrap/>
            <w:hideMark/>
          </w:tcPr>
          <w:p w14:paraId="3BCE5C2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0.01</w:t>
            </w:r>
          </w:p>
        </w:tc>
        <w:tc>
          <w:tcPr>
            <w:tcW w:w="851" w:type="dxa"/>
            <w:tcBorders>
              <w:top w:val="single" w:sz="4" w:space="0" w:color="auto"/>
              <w:left w:val="single" w:sz="4" w:space="0" w:color="auto"/>
              <w:bottom w:val="single" w:sz="4" w:space="0" w:color="auto"/>
              <w:right w:val="single" w:sz="4" w:space="0" w:color="auto"/>
            </w:tcBorders>
            <w:noWrap/>
            <w:hideMark/>
          </w:tcPr>
          <w:p w14:paraId="76B1E68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2.92</w:t>
            </w:r>
          </w:p>
        </w:tc>
        <w:tc>
          <w:tcPr>
            <w:tcW w:w="1134" w:type="dxa"/>
            <w:tcBorders>
              <w:top w:val="single" w:sz="4" w:space="0" w:color="auto"/>
              <w:left w:val="single" w:sz="4" w:space="0" w:color="auto"/>
              <w:bottom w:val="single" w:sz="4" w:space="0" w:color="auto"/>
              <w:right w:val="single" w:sz="4" w:space="0" w:color="auto"/>
            </w:tcBorders>
            <w:noWrap/>
            <w:hideMark/>
          </w:tcPr>
          <w:p w14:paraId="21E6E41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0.35</w:t>
            </w:r>
          </w:p>
        </w:tc>
        <w:tc>
          <w:tcPr>
            <w:tcW w:w="850" w:type="dxa"/>
            <w:tcBorders>
              <w:top w:val="single" w:sz="4" w:space="0" w:color="auto"/>
              <w:left w:val="single" w:sz="4" w:space="0" w:color="auto"/>
              <w:bottom w:val="single" w:sz="4" w:space="0" w:color="auto"/>
              <w:right w:val="single" w:sz="4" w:space="0" w:color="auto"/>
            </w:tcBorders>
            <w:noWrap/>
            <w:hideMark/>
          </w:tcPr>
          <w:p w14:paraId="31C97F8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10.84</w:t>
            </w:r>
          </w:p>
        </w:tc>
        <w:tc>
          <w:tcPr>
            <w:tcW w:w="709" w:type="dxa"/>
            <w:tcBorders>
              <w:top w:val="single" w:sz="4" w:space="0" w:color="auto"/>
              <w:left w:val="single" w:sz="4" w:space="0" w:color="auto"/>
              <w:bottom w:val="single" w:sz="4" w:space="0" w:color="auto"/>
              <w:right w:val="single" w:sz="4" w:space="0" w:color="auto"/>
            </w:tcBorders>
            <w:noWrap/>
            <w:hideMark/>
          </w:tcPr>
          <w:p w14:paraId="1A2D4B5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4.61</w:t>
            </w:r>
          </w:p>
        </w:tc>
        <w:tc>
          <w:tcPr>
            <w:tcW w:w="709" w:type="dxa"/>
            <w:tcBorders>
              <w:top w:val="single" w:sz="4" w:space="0" w:color="auto"/>
              <w:left w:val="single" w:sz="4" w:space="0" w:color="auto"/>
              <w:bottom w:val="single" w:sz="4" w:space="0" w:color="auto"/>
              <w:right w:val="single" w:sz="4" w:space="0" w:color="auto"/>
            </w:tcBorders>
            <w:noWrap/>
            <w:hideMark/>
          </w:tcPr>
          <w:p w14:paraId="56AFE30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2.30</w:t>
            </w:r>
          </w:p>
        </w:tc>
        <w:tc>
          <w:tcPr>
            <w:tcW w:w="850" w:type="dxa"/>
            <w:tcBorders>
              <w:top w:val="single" w:sz="4" w:space="0" w:color="auto"/>
              <w:left w:val="single" w:sz="4" w:space="0" w:color="auto"/>
              <w:bottom w:val="single" w:sz="4" w:space="0" w:color="auto"/>
              <w:right w:val="single" w:sz="12" w:space="0" w:color="auto"/>
            </w:tcBorders>
            <w:noWrap/>
            <w:hideMark/>
          </w:tcPr>
          <w:p w14:paraId="34A66E7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40.19</w:t>
            </w:r>
          </w:p>
        </w:tc>
      </w:tr>
      <w:tr w:rsidR="00614438" w:rsidRPr="00656BE7" w14:paraId="42305FFB" w14:textId="77777777" w:rsidTr="00614438">
        <w:trPr>
          <w:trHeight w:val="300"/>
        </w:trPr>
        <w:tc>
          <w:tcPr>
            <w:tcW w:w="1271" w:type="dxa"/>
            <w:vMerge/>
            <w:tcBorders>
              <w:top w:val="single" w:sz="12" w:space="0" w:color="auto"/>
              <w:left w:val="single" w:sz="12" w:space="0" w:color="auto"/>
              <w:bottom w:val="single" w:sz="12" w:space="0" w:color="auto"/>
              <w:right w:val="single" w:sz="4" w:space="0" w:color="auto"/>
            </w:tcBorders>
            <w:vAlign w:val="center"/>
            <w:hideMark/>
          </w:tcPr>
          <w:p w14:paraId="784BEC49"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4" w:space="0" w:color="auto"/>
              <w:left w:val="single" w:sz="4" w:space="0" w:color="auto"/>
              <w:bottom w:val="single" w:sz="4" w:space="0" w:color="auto"/>
              <w:right w:val="single" w:sz="4" w:space="0" w:color="auto"/>
            </w:tcBorders>
            <w:noWrap/>
            <w:hideMark/>
          </w:tcPr>
          <w:p w14:paraId="13B491C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850" w:type="dxa"/>
            <w:tcBorders>
              <w:top w:val="single" w:sz="4" w:space="0" w:color="auto"/>
              <w:left w:val="single" w:sz="4" w:space="0" w:color="auto"/>
              <w:bottom w:val="single" w:sz="4" w:space="0" w:color="auto"/>
              <w:right w:val="single" w:sz="4" w:space="0" w:color="auto"/>
            </w:tcBorders>
            <w:noWrap/>
            <w:hideMark/>
          </w:tcPr>
          <w:p w14:paraId="1148358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4" w:space="0" w:color="auto"/>
              <w:left w:val="single" w:sz="4" w:space="0" w:color="auto"/>
              <w:bottom w:val="single" w:sz="4" w:space="0" w:color="auto"/>
              <w:right w:val="single" w:sz="4" w:space="0" w:color="auto"/>
            </w:tcBorders>
            <w:noWrap/>
            <w:hideMark/>
          </w:tcPr>
          <w:p w14:paraId="1A39B65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14.69</w:t>
            </w:r>
          </w:p>
        </w:tc>
        <w:tc>
          <w:tcPr>
            <w:tcW w:w="992" w:type="dxa"/>
            <w:tcBorders>
              <w:top w:val="single" w:sz="4" w:space="0" w:color="auto"/>
              <w:left w:val="single" w:sz="4" w:space="0" w:color="auto"/>
              <w:bottom w:val="single" w:sz="4" w:space="0" w:color="auto"/>
              <w:right w:val="single" w:sz="4" w:space="0" w:color="auto"/>
            </w:tcBorders>
            <w:noWrap/>
            <w:hideMark/>
          </w:tcPr>
          <w:p w14:paraId="3315C41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0.01</w:t>
            </w:r>
          </w:p>
        </w:tc>
        <w:tc>
          <w:tcPr>
            <w:tcW w:w="851" w:type="dxa"/>
            <w:tcBorders>
              <w:top w:val="single" w:sz="4" w:space="0" w:color="auto"/>
              <w:left w:val="single" w:sz="4" w:space="0" w:color="auto"/>
              <w:bottom w:val="single" w:sz="4" w:space="0" w:color="auto"/>
              <w:right w:val="single" w:sz="4" w:space="0" w:color="auto"/>
            </w:tcBorders>
            <w:noWrap/>
            <w:hideMark/>
          </w:tcPr>
          <w:p w14:paraId="6511341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2.68</w:t>
            </w:r>
          </w:p>
        </w:tc>
        <w:tc>
          <w:tcPr>
            <w:tcW w:w="1134" w:type="dxa"/>
            <w:tcBorders>
              <w:top w:val="single" w:sz="4" w:space="0" w:color="auto"/>
              <w:left w:val="single" w:sz="4" w:space="0" w:color="auto"/>
              <w:bottom w:val="single" w:sz="4" w:space="0" w:color="auto"/>
              <w:right w:val="single" w:sz="4" w:space="0" w:color="auto"/>
            </w:tcBorders>
            <w:noWrap/>
            <w:hideMark/>
          </w:tcPr>
          <w:p w14:paraId="6008795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0.49</w:t>
            </w:r>
          </w:p>
        </w:tc>
        <w:tc>
          <w:tcPr>
            <w:tcW w:w="850" w:type="dxa"/>
            <w:tcBorders>
              <w:top w:val="single" w:sz="4" w:space="0" w:color="auto"/>
              <w:left w:val="single" w:sz="4" w:space="0" w:color="auto"/>
              <w:bottom w:val="single" w:sz="4" w:space="0" w:color="auto"/>
              <w:right w:val="single" w:sz="4" w:space="0" w:color="auto"/>
            </w:tcBorders>
            <w:noWrap/>
            <w:hideMark/>
          </w:tcPr>
          <w:p w14:paraId="4023419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12.31</w:t>
            </w:r>
          </w:p>
        </w:tc>
        <w:tc>
          <w:tcPr>
            <w:tcW w:w="709" w:type="dxa"/>
            <w:tcBorders>
              <w:top w:val="single" w:sz="4" w:space="0" w:color="auto"/>
              <w:left w:val="single" w:sz="4" w:space="0" w:color="auto"/>
              <w:bottom w:val="single" w:sz="4" w:space="0" w:color="auto"/>
              <w:right w:val="single" w:sz="4" w:space="0" w:color="auto"/>
            </w:tcBorders>
            <w:noWrap/>
            <w:hideMark/>
          </w:tcPr>
          <w:p w14:paraId="2399036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7.95</w:t>
            </w:r>
          </w:p>
        </w:tc>
        <w:tc>
          <w:tcPr>
            <w:tcW w:w="709" w:type="dxa"/>
            <w:tcBorders>
              <w:top w:val="single" w:sz="4" w:space="0" w:color="auto"/>
              <w:left w:val="single" w:sz="4" w:space="0" w:color="auto"/>
              <w:bottom w:val="single" w:sz="4" w:space="0" w:color="auto"/>
              <w:right w:val="single" w:sz="4" w:space="0" w:color="auto"/>
            </w:tcBorders>
            <w:noWrap/>
            <w:hideMark/>
          </w:tcPr>
          <w:p w14:paraId="4025027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5.23</w:t>
            </w:r>
          </w:p>
        </w:tc>
        <w:tc>
          <w:tcPr>
            <w:tcW w:w="850" w:type="dxa"/>
            <w:tcBorders>
              <w:top w:val="single" w:sz="4" w:space="0" w:color="auto"/>
              <w:left w:val="single" w:sz="4" w:space="0" w:color="auto"/>
              <w:bottom w:val="single" w:sz="4" w:space="0" w:color="auto"/>
              <w:right w:val="single" w:sz="12" w:space="0" w:color="auto"/>
            </w:tcBorders>
            <w:noWrap/>
            <w:hideMark/>
          </w:tcPr>
          <w:p w14:paraId="66DCDDA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43.34</w:t>
            </w:r>
          </w:p>
        </w:tc>
      </w:tr>
      <w:tr w:rsidR="00614438" w:rsidRPr="00656BE7" w14:paraId="7FBEBD3C" w14:textId="77777777" w:rsidTr="00614438">
        <w:trPr>
          <w:trHeight w:val="300"/>
        </w:trPr>
        <w:tc>
          <w:tcPr>
            <w:tcW w:w="1271" w:type="dxa"/>
            <w:vMerge/>
            <w:tcBorders>
              <w:top w:val="single" w:sz="12" w:space="0" w:color="auto"/>
              <w:left w:val="single" w:sz="12" w:space="0" w:color="auto"/>
              <w:bottom w:val="single" w:sz="12" w:space="0" w:color="auto"/>
              <w:right w:val="single" w:sz="4" w:space="0" w:color="auto"/>
            </w:tcBorders>
            <w:vAlign w:val="center"/>
            <w:hideMark/>
          </w:tcPr>
          <w:p w14:paraId="54DEF3E1"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4" w:space="0" w:color="auto"/>
              <w:left w:val="single" w:sz="4" w:space="0" w:color="auto"/>
              <w:bottom w:val="single" w:sz="4" w:space="0" w:color="auto"/>
              <w:right w:val="single" w:sz="4" w:space="0" w:color="auto"/>
            </w:tcBorders>
            <w:noWrap/>
            <w:hideMark/>
          </w:tcPr>
          <w:p w14:paraId="083ED47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850" w:type="dxa"/>
            <w:tcBorders>
              <w:top w:val="single" w:sz="4" w:space="0" w:color="auto"/>
              <w:left w:val="single" w:sz="4" w:space="0" w:color="auto"/>
              <w:bottom w:val="single" w:sz="4" w:space="0" w:color="auto"/>
              <w:right w:val="single" w:sz="4" w:space="0" w:color="auto"/>
            </w:tcBorders>
            <w:noWrap/>
            <w:hideMark/>
          </w:tcPr>
          <w:p w14:paraId="6D695E8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4" w:space="0" w:color="auto"/>
              <w:left w:val="single" w:sz="4" w:space="0" w:color="auto"/>
              <w:bottom w:val="single" w:sz="4" w:space="0" w:color="auto"/>
              <w:right w:val="single" w:sz="4" w:space="0" w:color="auto"/>
            </w:tcBorders>
            <w:noWrap/>
            <w:hideMark/>
          </w:tcPr>
          <w:p w14:paraId="7E5D1D1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10.22</w:t>
            </w:r>
          </w:p>
        </w:tc>
        <w:tc>
          <w:tcPr>
            <w:tcW w:w="992" w:type="dxa"/>
            <w:tcBorders>
              <w:top w:val="single" w:sz="4" w:space="0" w:color="auto"/>
              <w:left w:val="single" w:sz="4" w:space="0" w:color="auto"/>
              <w:bottom w:val="single" w:sz="4" w:space="0" w:color="auto"/>
              <w:right w:val="single" w:sz="4" w:space="0" w:color="auto"/>
            </w:tcBorders>
            <w:noWrap/>
            <w:hideMark/>
          </w:tcPr>
          <w:p w14:paraId="5531DB7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0.01</w:t>
            </w:r>
          </w:p>
        </w:tc>
        <w:tc>
          <w:tcPr>
            <w:tcW w:w="851" w:type="dxa"/>
            <w:tcBorders>
              <w:top w:val="single" w:sz="4" w:space="0" w:color="auto"/>
              <w:left w:val="single" w:sz="4" w:space="0" w:color="auto"/>
              <w:bottom w:val="single" w:sz="4" w:space="0" w:color="auto"/>
              <w:right w:val="single" w:sz="4" w:space="0" w:color="auto"/>
            </w:tcBorders>
            <w:noWrap/>
            <w:hideMark/>
          </w:tcPr>
          <w:p w14:paraId="74BE260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3.68</w:t>
            </w:r>
          </w:p>
        </w:tc>
        <w:tc>
          <w:tcPr>
            <w:tcW w:w="1134" w:type="dxa"/>
            <w:tcBorders>
              <w:top w:val="single" w:sz="4" w:space="0" w:color="auto"/>
              <w:left w:val="single" w:sz="4" w:space="0" w:color="auto"/>
              <w:bottom w:val="single" w:sz="4" w:space="0" w:color="auto"/>
              <w:right w:val="single" w:sz="4" w:space="0" w:color="auto"/>
            </w:tcBorders>
            <w:noWrap/>
            <w:hideMark/>
          </w:tcPr>
          <w:p w14:paraId="3DC679D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0.98</w:t>
            </w:r>
          </w:p>
        </w:tc>
        <w:tc>
          <w:tcPr>
            <w:tcW w:w="850" w:type="dxa"/>
            <w:tcBorders>
              <w:top w:val="single" w:sz="4" w:space="0" w:color="auto"/>
              <w:left w:val="single" w:sz="4" w:space="0" w:color="auto"/>
              <w:bottom w:val="single" w:sz="4" w:space="0" w:color="auto"/>
              <w:right w:val="single" w:sz="4" w:space="0" w:color="auto"/>
            </w:tcBorders>
            <w:noWrap/>
            <w:hideMark/>
          </w:tcPr>
          <w:p w14:paraId="023C30A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13.63</w:t>
            </w:r>
          </w:p>
        </w:tc>
        <w:tc>
          <w:tcPr>
            <w:tcW w:w="709" w:type="dxa"/>
            <w:tcBorders>
              <w:top w:val="single" w:sz="4" w:space="0" w:color="auto"/>
              <w:left w:val="single" w:sz="4" w:space="0" w:color="auto"/>
              <w:bottom w:val="single" w:sz="4" w:space="0" w:color="auto"/>
              <w:right w:val="single" w:sz="4" w:space="0" w:color="auto"/>
            </w:tcBorders>
            <w:noWrap/>
            <w:hideMark/>
          </w:tcPr>
          <w:p w14:paraId="5A23357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8.07</w:t>
            </w:r>
          </w:p>
        </w:tc>
        <w:tc>
          <w:tcPr>
            <w:tcW w:w="709" w:type="dxa"/>
            <w:tcBorders>
              <w:top w:val="single" w:sz="4" w:space="0" w:color="auto"/>
              <w:left w:val="single" w:sz="4" w:space="0" w:color="auto"/>
              <w:bottom w:val="single" w:sz="4" w:space="0" w:color="auto"/>
              <w:right w:val="single" w:sz="4" w:space="0" w:color="auto"/>
            </w:tcBorders>
            <w:noWrap/>
            <w:hideMark/>
          </w:tcPr>
          <w:p w14:paraId="13C6AB9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9.78</w:t>
            </w:r>
          </w:p>
        </w:tc>
        <w:tc>
          <w:tcPr>
            <w:tcW w:w="850" w:type="dxa"/>
            <w:tcBorders>
              <w:top w:val="single" w:sz="4" w:space="0" w:color="auto"/>
              <w:left w:val="single" w:sz="4" w:space="0" w:color="auto"/>
              <w:bottom w:val="single" w:sz="4" w:space="0" w:color="auto"/>
              <w:right w:val="single" w:sz="12" w:space="0" w:color="auto"/>
            </w:tcBorders>
            <w:noWrap/>
            <w:hideMark/>
          </w:tcPr>
          <w:p w14:paraId="47B1816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46.37</w:t>
            </w:r>
          </w:p>
        </w:tc>
      </w:tr>
      <w:tr w:rsidR="00614438" w:rsidRPr="00656BE7" w14:paraId="7D93A804" w14:textId="77777777" w:rsidTr="00614438">
        <w:trPr>
          <w:trHeight w:val="300"/>
        </w:trPr>
        <w:tc>
          <w:tcPr>
            <w:tcW w:w="1271" w:type="dxa"/>
            <w:vMerge/>
            <w:tcBorders>
              <w:top w:val="single" w:sz="12" w:space="0" w:color="auto"/>
              <w:left w:val="single" w:sz="12" w:space="0" w:color="auto"/>
              <w:bottom w:val="single" w:sz="12" w:space="0" w:color="auto"/>
              <w:right w:val="single" w:sz="4" w:space="0" w:color="auto"/>
            </w:tcBorders>
            <w:vAlign w:val="center"/>
            <w:hideMark/>
          </w:tcPr>
          <w:p w14:paraId="536E9F0E"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4" w:space="0" w:color="auto"/>
              <w:left w:val="single" w:sz="4" w:space="0" w:color="auto"/>
              <w:bottom w:val="single" w:sz="4" w:space="0" w:color="auto"/>
              <w:right w:val="single" w:sz="4" w:space="0" w:color="auto"/>
            </w:tcBorders>
            <w:noWrap/>
            <w:hideMark/>
          </w:tcPr>
          <w:p w14:paraId="55D8CA7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850" w:type="dxa"/>
            <w:tcBorders>
              <w:top w:val="single" w:sz="4" w:space="0" w:color="auto"/>
              <w:left w:val="single" w:sz="4" w:space="0" w:color="auto"/>
              <w:bottom w:val="single" w:sz="4" w:space="0" w:color="auto"/>
              <w:right w:val="single" w:sz="4" w:space="0" w:color="auto"/>
            </w:tcBorders>
            <w:noWrap/>
            <w:hideMark/>
          </w:tcPr>
          <w:p w14:paraId="78DBB35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4" w:space="0" w:color="auto"/>
              <w:left w:val="single" w:sz="4" w:space="0" w:color="auto"/>
              <w:bottom w:val="single" w:sz="4" w:space="0" w:color="auto"/>
              <w:right w:val="single" w:sz="4" w:space="0" w:color="auto"/>
            </w:tcBorders>
            <w:noWrap/>
            <w:hideMark/>
          </w:tcPr>
          <w:p w14:paraId="1F7BB30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6.11</w:t>
            </w:r>
          </w:p>
        </w:tc>
        <w:tc>
          <w:tcPr>
            <w:tcW w:w="992" w:type="dxa"/>
            <w:tcBorders>
              <w:top w:val="single" w:sz="4" w:space="0" w:color="auto"/>
              <w:left w:val="single" w:sz="4" w:space="0" w:color="auto"/>
              <w:bottom w:val="single" w:sz="4" w:space="0" w:color="auto"/>
              <w:right w:val="single" w:sz="4" w:space="0" w:color="auto"/>
            </w:tcBorders>
            <w:noWrap/>
            <w:hideMark/>
          </w:tcPr>
          <w:p w14:paraId="678EC8D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0.01</w:t>
            </w:r>
          </w:p>
        </w:tc>
        <w:tc>
          <w:tcPr>
            <w:tcW w:w="851" w:type="dxa"/>
            <w:tcBorders>
              <w:top w:val="single" w:sz="4" w:space="0" w:color="auto"/>
              <w:left w:val="single" w:sz="4" w:space="0" w:color="auto"/>
              <w:bottom w:val="single" w:sz="4" w:space="0" w:color="auto"/>
              <w:right w:val="single" w:sz="4" w:space="0" w:color="auto"/>
            </w:tcBorders>
            <w:noWrap/>
            <w:hideMark/>
          </w:tcPr>
          <w:p w14:paraId="6BBC932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4.07</w:t>
            </w:r>
          </w:p>
        </w:tc>
        <w:tc>
          <w:tcPr>
            <w:tcW w:w="1134" w:type="dxa"/>
            <w:tcBorders>
              <w:top w:val="single" w:sz="4" w:space="0" w:color="auto"/>
              <w:left w:val="single" w:sz="4" w:space="0" w:color="auto"/>
              <w:bottom w:val="single" w:sz="4" w:space="0" w:color="auto"/>
              <w:right w:val="single" w:sz="4" w:space="0" w:color="auto"/>
            </w:tcBorders>
            <w:noWrap/>
            <w:hideMark/>
          </w:tcPr>
          <w:p w14:paraId="3C6673A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1.52</w:t>
            </w:r>
          </w:p>
        </w:tc>
        <w:tc>
          <w:tcPr>
            <w:tcW w:w="850" w:type="dxa"/>
            <w:tcBorders>
              <w:top w:val="single" w:sz="4" w:space="0" w:color="auto"/>
              <w:left w:val="single" w:sz="4" w:space="0" w:color="auto"/>
              <w:bottom w:val="single" w:sz="4" w:space="0" w:color="auto"/>
              <w:right w:val="single" w:sz="4" w:space="0" w:color="auto"/>
            </w:tcBorders>
            <w:noWrap/>
            <w:hideMark/>
          </w:tcPr>
          <w:p w14:paraId="417056F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14.06</w:t>
            </w:r>
          </w:p>
        </w:tc>
        <w:tc>
          <w:tcPr>
            <w:tcW w:w="709" w:type="dxa"/>
            <w:tcBorders>
              <w:top w:val="single" w:sz="4" w:space="0" w:color="auto"/>
              <w:left w:val="single" w:sz="4" w:space="0" w:color="auto"/>
              <w:bottom w:val="single" w:sz="4" w:space="0" w:color="auto"/>
              <w:right w:val="single" w:sz="4" w:space="0" w:color="auto"/>
            </w:tcBorders>
            <w:noWrap/>
            <w:hideMark/>
          </w:tcPr>
          <w:p w14:paraId="0DC6090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14.03</w:t>
            </w:r>
          </w:p>
        </w:tc>
        <w:tc>
          <w:tcPr>
            <w:tcW w:w="709" w:type="dxa"/>
            <w:tcBorders>
              <w:top w:val="single" w:sz="4" w:space="0" w:color="auto"/>
              <w:left w:val="single" w:sz="4" w:space="0" w:color="auto"/>
              <w:bottom w:val="single" w:sz="4" w:space="0" w:color="auto"/>
              <w:right w:val="single" w:sz="4" w:space="0" w:color="auto"/>
            </w:tcBorders>
            <w:noWrap/>
            <w:hideMark/>
          </w:tcPr>
          <w:p w14:paraId="0154C7E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15.92</w:t>
            </w:r>
          </w:p>
        </w:tc>
        <w:tc>
          <w:tcPr>
            <w:tcW w:w="850" w:type="dxa"/>
            <w:tcBorders>
              <w:top w:val="single" w:sz="4" w:space="0" w:color="auto"/>
              <w:left w:val="single" w:sz="4" w:space="0" w:color="auto"/>
              <w:bottom w:val="single" w:sz="4" w:space="0" w:color="auto"/>
              <w:right w:val="single" w:sz="12" w:space="0" w:color="auto"/>
            </w:tcBorders>
            <w:noWrap/>
            <w:hideMark/>
          </w:tcPr>
          <w:p w14:paraId="2C84CC0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55.73</w:t>
            </w:r>
          </w:p>
        </w:tc>
      </w:tr>
      <w:tr w:rsidR="00614438" w:rsidRPr="00656BE7" w14:paraId="6518D337" w14:textId="77777777" w:rsidTr="00614438">
        <w:trPr>
          <w:trHeight w:val="300"/>
        </w:trPr>
        <w:tc>
          <w:tcPr>
            <w:tcW w:w="1271" w:type="dxa"/>
            <w:vMerge/>
            <w:tcBorders>
              <w:top w:val="single" w:sz="12" w:space="0" w:color="auto"/>
              <w:left w:val="single" w:sz="12" w:space="0" w:color="auto"/>
              <w:bottom w:val="single" w:sz="12" w:space="0" w:color="auto"/>
              <w:right w:val="single" w:sz="4" w:space="0" w:color="auto"/>
            </w:tcBorders>
            <w:vAlign w:val="center"/>
            <w:hideMark/>
          </w:tcPr>
          <w:p w14:paraId="24A1A2BE"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4" w:space="0" w:color="auto"/>
              <w:left w:val="single" w:sz="4" w:space="0" w:color="auto"/>
              <w:bottom w:val="single" w:sz="12" w:space="0" w:color="auto"/>
              <w:right w:val="single" w:sz="4" w:space="0" w:color="auto"/>
            </w:tcBorders>
            <w:noWrap/>
            <w:hideMark/>
          </w:tcPr>
          <w:p w14:paraId="67ED29D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c>
          <w:tcPr>
            <w:tcW w:w="850" w:type="dxa"/>
            <w:tcBorders>
              <w:top w:val="single" w:sz="4" w:space="0" w:color="auto"/>
              <w:left w:val="single" w:sz="4" w:space="0" w:color="auto"/>
              <w:bottom w:val="single" w:sz="12" w:space="0" w:color="auto"/>
              <w:right w:val="single" w:sz="4" w:space="0" w:color="auto"/>
            </w:tcBorders>
            <w:noWrap/>
            <w:hideMark/>
          </w:tcPr>
          <w:p w14:paraId="106BF12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4" w:space="0" w:color="auto"/>
              <w:left w:val="single" w:sz="4" w:space="0" w:color="auto"/>
              <w:bottom w:val="single" w:sz="12" w:space="0" w:color="auto"/>
              <w:right w:val="single" w:sz="4" w:space="0" w:color="auto"/>
            </w:tcBorders>
            <w:noWrap/>
            <w:hideMark/>
          </w:tcPr>
          <w:p w14:paraId="180E63C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992" w:type="dxa"/>
            <w:tcBorders>
              <w:top w:val="single" w:sz="4" w:space="0" w:color="auto"/>
              <w:left w:val="single" w:sz="4" w:space="0" w:color="auto"/>
              <w:bottom w:val="single" w:sz="12" w:space="0" w:color="auto"/>
              <w:right w:val="single" w:sz="4" w:space="0" w:color="auto"/>
            </w:tcBorders>
            <w:noWrap/>
            <w:hideMark/>
          </w:tcPr>
          <w:p w14:paraId="7B163BC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851" w:type="dxa"/>
            <w:tcBorders>
              <w:top w:val="single" w:sz="4" w:space="0" w:color="auto"/>
              <w:left w:val="single" w:sz="4" w:space="0" w:color="auto"/>
              <w:bottom w:val="single" w:sz="12" w:space="0" w:color="auto"/>
              <w:right w:val="single" w:sz="4" w:space="0" w:color="auto"/>
            </w:tcBorders>
            <w:noWrap/>
            <w:hideMark/>
          </w:tcPr>
          <w:p w14:paraId="1F01335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4.11</w:t>
            </w:r>
          </w:p>
        </w:tc>
        <w:tc>
          <w:tcPr>
            <w:tcW w:w="1134" w:type="dxa"/>
            <w:tcBorders>
              <w:top w:val="single" w:sz="4" w:space="0" w:color="auto"/>
              <w:left w:val="single" w:sz="4" w:space="0" w:color="auto"/>
              <w:bottom w:val="single" w:sz="12" w:space="0" w:color="auto"/>
              <w:right w:val="single" w:sz="4" w:space="0" w:color="auto"/>
            </w:tcBorders>
            <w:noWrap/>
            <w:hideMark/>
          </w:tcPr>
          <w:p w14:paraId="0C1C556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2.14</w:t>
            </w:r>
          </w:p>
        </w:tc>
        <w:tc>
          <w:tcPr>
            <w:tcW w:w="850" w:type="dxa"/>
            <w:tcBorders>
              <w:top w:val="single" w:sz="4" w:space="0" w:color="auto"/>
              <w:left w:val="single" w:sz="4" w:space="0" w:color="auto"/>
              <w:bottom w:val="single" w:sz="12" w:space="0" w:color="auto"/>
              <w:right w:val="single" w:sz="4" w:space="0" w:color="auto"/>
            </w:tcBorders>
            <w:noWrap/>
            <w:hideMark/>
          </w:tcPr>
          <w:p w14:paraId="3605D38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14.06</w:t>
            </w:r>
          </w:p>
        </w:tc>
        <w:tc>
          <w:tcPr>
            <w:tcW w:w="709" w:type="dxa"/>
            <w:tcBorders>
              <w:top w:val="single" w:sz="4" w:space="0" w:color="auto"/>
              <w:left w:val="single" w:sz="4" w:space="0" w:color="auto"/>
              <w:bottom w:val="single" w:sz="12" w:space="0" w:color="auto"/>
              <w:right w:val="single" w:sz="4" w:space="0" w:color="auto"/>
            </w:tcBorders>
            <w:noWrap/>
            <w:hideMark/>
          </w:tcPr>
          <w:p w14:paraId="1890738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20.71</w:t>
            </w:r>
          </w:p>
        </w:tc>
        <w:tc>
          <w:tcPr>
            <w:tcW w:w="709" w:type="dxa"/>
            <w:tcBorders>
              <w:top w:val="single" w:sz="4" w:space="0" w:color="auto"/>
              <w:left w:val="single" w:sz="4" w:space="0" w:color="auto"/>
              <w:bottom w:val="single" w:sz="12" w:space="0" w:color="auto"/>
              <w:right w:val="single" w:sz="4" w:space="0" w:color="auto"/>
            </w:tcBorders>
            <w:noWrap/>
            <w:hideMark/>
          </w:tcPr>
          <w:p w14:paraId="78ABDBB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24.59</w:t>
            </w:r>
          </w:p>
        </w:tc>
        <w:tc>
          <w:tcPr>
            <w:tcW w:w="850" w:type="dxa"/>
            <w:tcBorders>
              <w:top w:val="single" w:sz="4" w:space="0" w:color="auto"/>
              <w:left w:val="single" w:sz="4" w:space="0" w:color="auto"/>
              <w:bottom w:val="single" w:sz="12" w:space="0" w:color="auto"/>
              <w:right w:val="single" w:sz="12" w:space="0" w:color="auto"/>
            </w:tcBorders>
            <w:noWrap/>
            <w:hideMark/>
          </w:tcPr>
          <w:p w14:paraId="741858F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65.61</w:t>
            </w:r>
          </w:p>
        </w:tc>
      </w:tr>
      <w:tr w:rsidR="00614438" w:rsidRPr="00656BE7" w14:paraId="257DA9CF" w14:textId="77777777" w:rsidTr="00614438">
        <w:trPr>
          <w:trHeight w:val="300"/>
        </w:trPr>
        <w:tc>
          <w:tcPr>
            <w:tcW w:w="1271" w:type="dxa"/>
            <w:vMerge w:val="restart"/>
            <w:tcBorders>
              <w:top w:val="single" w:sz="12" w:space="0" w:color="auto"/>
              <w:left w:val="single" w:sz="12" w:space="0" w:color="auto"/>
              <w:bottom w:val="single" w:sz="12" w:space="0" w:color="auto"/>
              <w:right w:val="single" w:sz="4" w:space="0" w:color="auto"/>
            </w:tcBorders>
            <w:shd w:val="clear" w:color="auto" w:fill="E7E6E6"/>
            <w:noWrap/>
            <w:vAlign w:val="center"/>
            <w:hideMark/>
          </w:tcPr>
          <w:p w14:paraId="046BD1B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Scenario-S-N</w:t>
            </w:r>
          </w:p>
        </w:tc>
        <w:tc>
          <w:tcPr>
            <w:tcW w:w="851" w:type="dxa"/>
            <w:tcBorders>
              <w:top w:val="single" w:sz="12" w:space="0" w:color="auto"/>
              <w:left w:val="single" w:sz="4" w:space="0" w:color="auto"/>
              <w:bottom w:val="single" w:sz="4" w:space="0" w:color="auto"/>
              <w:right w:val="single" w:sz="4" w:space="0" w:color="auto"/>
            </w:tcBorders>
            <w:noWrap/>
            <w:hideMark/>
          </w:tcPr>
          <w:p w14:paraId="3758AF5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2019</w:t>
            </w:r>
          </w:p>
        </w:tc>
        <w:tc>
          <w:tcPr>
            <w:tcW w:w="850" w:type="dxa"/>
            <w:tcBorders>
              <w:top w:val="single" w:sz="12" w:space="0" w:color="auto"/>
              <w:left w:val="single" w:sz="4" w:space="0" w:color="auto"/>
              <w:bottom w:val="single" w:sz="4" w:space="0" w:color="auto"/>
              <w:right w:val="single" w:sz="4" w:space="0" w:color="auto"/>
            </w:tcBorders>
            <w:noWrap/>
            <w:hideMark/>
          </w:tcPr>
          <w:p w14:paraId="604CA63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12" w:space="0" w:color="auto"/>
              <w:left w:val="single" w:sz="4" w:space="0" w:color="auto"/>
              <w:bottom w:val="single" w:sz="4" w:space="0" w:color="auto"/>
              <w:right w:val="single" w:sz="4" w:space="0" w:color="auto"/>
            </w:tcBorders>
            <w:noWrap/>
            <w:hideMark/>
          </w:tcPr>
          <w:p w14:paraId="7790F8C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25.55</w:t>
            </w:r>
          </w:p>
        </w:tc>
        <w:tc>
          <w:tcPr>
            <w:tcW w:w="992" w:type="dxa"/>
            <w:tcBorders>
              <w:top w:val="single" w:sz="12" w:space="0" w:color="auto"/>
              <w:left w:val="single" w:sz="4" w:space="0" w:color="auto"/>
              <w:bottom w:val="single" w:sz="4" w:space="0" w:color="auto"/>
              <w:right w:val="single" w:sz="4" w:space="0" w:color="auto"/>
            </w:tcBorders>
            <w:noWrap/>
            <w:hideMark/>
          </w:tcPr>
          <w:p w14:paraId="0FA5972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0.05</w:t>
            </w:r>
          </w:p>
        </w:tc>
        <w:tc>
          <w:tcPr>
            <w:tcW w:w="851" w:type="dxa"/>
            <w:tcBorders>
              <w:top w:val="single" w:sz="12" w:space="0" w:color="auto"/>
              <w:left w:val="single" w:sz="4" w:space="0" w:color="auto"/>
              <w:bottom w:val="single" w:sz="4" w:space="0" w:color="auto"/>
              <w:right w:val="single" w:sz="4" w:space="0" w:color="auto"/>
            </w:tcBorders>
            <w:noWrap/>
            <w:hideMark/>
          </w:tcPr>
          <w:p w14:paraId="5EA3B1E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0.73</w:t>
            </w:r>
          </w:p>
        </w:tc>
        <w:tc>
          <w:tcPr>
            <w:tcW w:w="1134" w:type="dxa"/>
            <w:tcBorders>
              <w:top w:val="single" w:sz="12" w:space="0" w:color="auto"/>
              <w:left w:val="single" w:sz="4" w:space="0" w:color="auto"/>
              <w:bottom w:val="single" w:sz="4" w:space="0" w:color="auto"/>
              <w:right w:val="single" w:sz="4" w:space="0" w:color="auto"/>
            </w:tcBorders>
            <w:noWrap/>
            <w:hideMark/>
          </w:tcPr>
          <w:p w14:paraId="48ED518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0.16</w:t>
            </w:r>
          </w:p>
        </w:tc>
        <w:tc>
          <w:tcPr>
            <w:tcW w:w="850" w:type="dxa"/>
            <w:tcBorders>
              <w:top w:val="single" w:sz="12" w:space="0" w:color="auto"/>
              <w:left w:val="single" w:sz="4" w:space="0" w:color="auto"/>
              <w:bottom w:val="single" w:sz="4" w:space="0" w:color="auto"/>
              <w:right w:val="single" w:sz="4" w:space="0" w:color="auto"/>
            </w:tcBorders>
            <w:noWrap/>
            <w:hideMark/>
          </w:tcPr>
          <w:p w14:paraId="535E452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9.46</w:t>
            </w:r>
          </w:p>
        </w:tc>
        <w:tc>
          <w:tcPr>
            <w:tcW w:w="709" w:type="dxa"/>
            <w:tcBorders>
              <w:top w:val="single" w:sz="12" w:space="0" w:color="auto"/>
              <w:left w:val="single" w:sz="4" w:space="0" w:color="auto"/>
              <w:bottom w:val="single" w:sz="4" w:space="0" w:color="auto"/>
              <w:right w:val="single" w:sz="4" w:space="0" w:color="auto"/>
            </w:tcBorders>
            <w:noWrap/>
            <w:hideMark/>
          </w:tcPr>
          <w:p w14:paraId="628F7BC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0.90</w:t>
            </w:r>
          </w:p>
        </w:tc>
        <w:tc>
          <w:tcPr>
            <w:tcW w:w="709" w:type="dxa"/>
            <w:tcBorders>
              <w:top w:val="single" w:sz="12" w:space="0" w:color="auto"/>
              <w:left w:val="single" w:sz="4" w:space="0" w:color="auto"/>
              <w:bottom w:val="single" w:sz="4" w:space="0" w:color="auto"/>
              <w:right w:val="single" w:sz="4" w:space="0" w:color="auto"/>
            </w:tcBorders>
            <w:noWrap/>
            <w:hideMark/>
          </w:tcPr>
          <w:p w14:paraId="358B506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0.01</w:t>
            </w:r>
          </w:p>
        </w:tc>
        <w:tc>
          <w:tcPr>
            <w:tcW w:w="850" w:type="dxa"/>
            <w:tcBorders>
              <w:top w:val="single" w:sz="12" w:space="0" w:color="auto"/>
              <w:left w:val="single" w:sz="4" w:space="0" w:color="auto"/>
              <w:bottom w:val="single" w:sz="4" w:space="0" w:color="auto"/>
              <w:right w:val="single" w:sz="12" w:space="0" w:color="auto"/>
            </w:tcBorders>
            <w:noWrap/>
            <w:hideMark/>
          </w:tcPr>
          <w:p w14:paraId="3C97C56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36.85</w:t>
            </w:r>
          </w:p>
        </w:tc>
      </w:tr>
      <w:tr w:rsidR="00614438" w:rsidRPr="00656BE7" w14:paraId="5281E8B1" w14:textId="77777777" w:rsidTr="00614438">
        <w:trPr>
          <w:trHeight w:val="300"/>
        </w:trPr>
        <w:tc>
          <w:tcPr>
            <w:tcW w:w="1271" w:type="dxa"/>
            <w:vMerge/>
            <w:tcBorders>
              <w:top w:val="single" w:sz="12" w:space="0" w:color="auto"/>
              <w:left w:val="single" w:sz="12" w:space="0" w:color="auto"/>
              <w:bottom w:val="single" w:sz="12" w:space="0" w:color="auto"/>
              <w:right w:val="single" w:sz="4" w:space="0" w:color="auto"/>
            </w:tcBorders>
            <w:vAlign w:val="center"/>
            <w:hideMark/>
          </w:tcPr>
          <w:p w14:paraId="60E8416A"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4" w:space="0" w:color="auto"/>
              <w:left w:val="single" w:sz="4" w:space="0" w:color="auto"/>
              <w:bottom w:val="single" w:sz="4" w:space="0" w:color="auto"/>
              <w:right w:val="single" w:sz="4" w:space="0" w:color="auto"/>
            </w:tcBorders>
            <w:noWrap/>
            <w:hideMark/>
          </w:tcPr>
          <w:p w14:paraId="492269D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850" w:type="dxa"/>
            <w:tcBorders>
              <w:top w:val="single" w:sz="4" w:space="0" w:color="auto"/>
              <w:left w:val="single" w:sz="4" w:space="0" w:color="auto"/>
              <w:bottom w:val="single" w:sz="4" w:space="0" w:color="auto"/>
              <w:right w:val="single" w:sz="4" w:space="0" w:color="auto"/>
            </w:tcBorders>
            <w:noWrap/>
            <w:hideMark/>
          </w:tcPr>
          <w:p w14:paraId="4842E08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4" w:space="0" w:color="auto"/>
              <w:left w:val="single" w:sz="4" w:space="0" w:color="auto"/>
              <w:bottom w:val="single" w:sz="4" w:space="0" w:color="auto"/>
              <w:right w:val="single" w:sz="4" w:space="0" w:color="auto"/>
            </w:tcBorders>
            <w:noWrap/>
            <w:hideMark/>
          </w:tcPr>
          <w:p w14:paraId="48AD68B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24.27</w:t>
            </w:r>
          </w:p>
        </w:tc>
        <w:tc>
          <w:tcPr>
            <w:tcW w:w="992" w:type="dxa"/>
            <w:tcBorders>
              <w:top w:val="single" w:sz="4" w:space="0" w:color="auto"/>
              <w:left w:val="single" w:sz="4" w:space="0" w:color="auto"/>
              <w:bottom w:val="single" w:sz="4" w:space="0" w:color="auto"/>
              <w:right w:val="single" w:sz="4" w:space="0" w:color="auto"/>
            </w:tcBorders>
            <w:noWrap/>
            <w:hideMark/>
          </w:tcPr>
          <w:p w14:paraId="3F966EF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0.02</w:t>
            </w:r>
          </w:p>
        </w:tc>
        <w:tc>
          <w:tcPr>
            <w:tcW w:w="851" w:type="dxa"/>
            <w:tcBorders>
              <w:top w:val="single" w:sz="4" w:space="0" w:color="auto"/>
              <w:left w:val="single" w:sz="4" w:space="0" w:color="auto"/>
              <w:bottom w:val="single" w:sz="4" w:space="0" w:color="auto"/>
              <w:right w:val="single" w:sz="4" w:space="0" w:color="auto"/>
            </w:tcBorders>
            <w:noWrap/>
            <w:hideMark/>
          </w:tcPr>
          <w:p w14:paraId="092B248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1.41</w:t>
            </w:r>
          </w:p>
        </w:tc>
        <w:tc>
          <w:tcPr>
            <w:tcW w:w="1134" w:type="dxa"/>
            <w:tcBorders>
              <w:top w:val="single" w:sz="4" w:space="0" w:color="auto"/>
              <w:left w:val="single" w:sz="4" w:space="0" w:color="auto"/>
              <w:bottom w:val="single" w:sz="4" w:space="0" w:color="auto"/>
              <w:right w:val="single" w:sz="4" w:space="0" w:color="auto"/>
            </w:tcBorders>
            <w:noWrap/>
            <w:hideMark/>
          </w:tcPr>
          <w:p w14:paraId="572587D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0.21</w:t>
            </w:r>
          </w:p>
        </w:tc>
        <w:tc>
          <w:tcPr>
            <w:tcW w:w="850" w:type="dxa"/>
            <w:tcBorders>
              <w:top w:val="single" w:sz="4" w:space="0" w:color="auto"/>
              <w:left w:val="single" w:sz="4" w:space="0" w:color="auto"/>
              <w:bottom w:val="single" w:sz="4" w:space="0" w:color="auto"/>
              <w:right w:val="single" w:sz="4" w:space="0" w:color="auto"/>
            </w:tcBorders>
            <w:noWrap/>
            <w:hideMark/>
          </w:tcPr>
          <w:p w14:paraId="55D833E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10.41</w:t>
            </w:r>
          </w:p>
        </w:tc>
        <w:tc>
          <w:tcPr>
            <w:tcW w:w="709" w:type="dxa"/>
            <w:tcBorders>
              <w:top w:val="single" w:sz="4" w:space="0" w:color="auto"/>
              <w:left w:val="single" w:sz="4" w:space="0" w:color="auto"/>
              <w:bottom w:val="single" w:sz="4" w:space="0" w:color="auto"/>
              <w:right w:val="single" w:sz="4" w:space="0" w:color="auto"/>
            </w:tcBorders>
            <w:noWrap/>
            <w:hideMark/>
          </w:tcPr>
          <w:p w14:paraId="624C93C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2.32</w:t>
            </w:r>
          </w:p>
        </w:tc>
        <w:tc>
          <w:tcPr>
            <w:tcW w:w="709" w:type="dxa"/>
            <w:tcBorders>
              <w:top w:val="single" w:sz="4" w:space="0" w:color="auto"/>
              <w:left w:val="single" w:sz="4" w:space="0" w:color="auto"/>
              <w:bottom w:val="single" w:sz="4" w:space="0" w:color="auto"/>
              <w:right w:val="single" w:sz="4" w:space="0" w:color="auto"/>
            </w:tcBorders>
            <w:noWrap/>
            <w:hideMark/>
          </w:tcPr>
          <w:p w14:paraId="2ECE88E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0.68</w:t>
            </w:r>
          </w:p>
        </w:tc>
        <w:tc>
          <w:tcPr>
            <w:tcW w:w="850" w:type="dxa"/>
            <w:tcBorders>
              <w:top w:val="single" w:sz="4" w:space="0" w:color="auto"/>
              <w:left w:val="single" w:sz="4" w:space="0" w:color="auto"/>
              <w:bottom w:val="single" w:sz="4" w:space="0" w:color="auto"/>
              <w:right w:val="single" w:sz="12" w:space="0" w:color="auto"/>
            </w:tcBorders>
            <w:noWrap/>
            <w:hideMark/>
          </w:tcPr>
          <w:p w14:paraId="446785B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39.31</w:t>
            </w:r>
          </w:p>
        </w:tc>
      </w:tr>
      <w:tr w:rsidR="00614438" w:rsidRPr="00656BE7" w14:paraId="5A3CBA3F" w14:textId="77777777" w:rsidTr="00614438">
        <w:trPr>
          <w:trHeight w:val="300"/>
        </w:trPr>
        <w:tc>
          <w:tcPr>
            <w:tcW w:w="1271" w:type="dxa"/>
            <w:vMerge/>
            <w:tcBorders>
              <w:top w:val="single" w:sz="12" w:space="0" w:color="auto"/>
              <w:left w:val="single" w:sz="12" w:space="0" w:color="auto"/>
              <w:bottom w:val="single" w:sz="12" w:space="0" w:color="auto"/>
              <w:right w:val="single" w:sz="4" w:space="0" w:color="auto"/>
            </w:tcBorders>
            <w:vAlign w:val="center"/>
            <w:hideMark/>
          </w:tcPr>
          <w:p w14:paraId="5CC8AA03"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4" w:space="0" w:color="auto"/>
              <w:left w:val="single" w:sz="4" w:space="0" w:color="auto"/>
              <w:bottom w:val="single" w:sz="4" w:space="0" w:color="auto"/>
              <w:right w:val="single" w:sz="4" w:space="0" w:color="auto"/>
            </w:tcBorders>
            <w:noWrap/>
            <w:hideMark/>
          </w:tcPr>
          <w:p w14:paraId="192F1B8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850" w:type="dxa"/>
            <w:tcBorders>
              <w:top w:val="single" w:sz="4" w:space="0" w:color="auto"/>
              <w:left w:val="single" w:sz="4" w:space="0" w:color="auto"/>
              <w:bottom w:val="single" w:sz="4" w:space="0" w:color="auto"/>
              <w:right w:val="single" w:sz="4" w:space="0" w:color="auto"/>
            </w:tcBorders>
            <w:noWrap/>
            <w:hideMark/>
          </w:tcPr>
          <w:p w14:paraId="3F3F7C6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4" w:space="0" w:color="auto"/>
              <w:left w:val="single" w:sz="4" w:space="0" w:color="auto"/>
              <w:bottom w:val="single" w:sz="4" w:space="0" w:color="auto"/>
              <w:right w:val="single" w:sz="4" w:space="0" w:color="auto"/>
            </w:tcBorders>
            <w:noWrap/>
            <w:hideMark/>
          </w:tcPr>
          <w:p w14:paraId="0194796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23.52</w:t>
            </w:r>
          </w:p>
        </w:tc>
        <w:tc>
          <w:tcPr>
            <w:tcW w:w="992" w:type="dxa"/>
            <w:tcBorders>
              <w:top w:val="single" w:sz="4" w:space="0" w:color="auto"/>
              <w:left w:val="single" w:sz="4" w:space="0" w:color="auto"/>
              <w:bottom w:val="single" w:sz="4" w:space="0" w:color="auto"/>
              <w:right w:val="single" w:sz="4" w:space="0" w:color="auto"/>
            </w:tcBorders>
            <w:noWrap/>
            <w:hideMark/>
          </w:tcPr>
          <w:p w14:paraId="3801185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0.01</w:t>
            </w:r>
          </w:p>
        </w:tc>
        <w:tc>
          <w:tcPr>
            <w:tcW w:w="851" w:type="dxa"/>
            <w:tcBorders>
              <w:top w:val="single" w:sz="4" w:space="0" w:color="auto"/>
              <w:left w:val="single" w:sz="4" w:space="0" w:color="auto"/>
              <w:bottom w:val="single" w:sz="4" w:space="0" w:color="auto"/>
              <w:right w:val="single" w:sz="4" w:space="0" w:color="auto"/>
            </w:tcBorders>
            <w:noWrap/>
            <w:hideMark/>
          </w:tcPr>
          <w:p w14:paraId="1D0E96F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1.52</w:t>
            </w:r>
          </w:p>
        </w:tc>
        <w:tc>
          <w:tcPr>
            <w:tcW w:w="1134" w:type="dxa"/>
            <w:tcBorders>
              <w:top w:val="single" w:sz="4" w:space="0" w:color="auto"/>
              <w:left w:val="single" w:sz="4" w:space="0" w:color="auto"/>
              <w:bottom w:val="single" w:sz="4" w:space="0" w:color="auto"/>
              <w:right w:val="single" w:sz="4" w:space="0" w:color="auto"/>
            </w:tcBorders>
            <w:noWrap/>
            <w:hideMark/>
          </w:tcPr>
          <w:p w14:paraId="53C3831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0.21</w:t>
            </w:r>
          </w:p>
        </w:tc>
        <w:tc>
          <w:tcPr>
            <w:tcW w:w="850" w:type="dxa"/>
            <w:tcBorders>
              <w:top w:val="single" w:sz="4" w:space="0" w:color="auto"/>
              <w:left w:val="single" w:sz="4" w:space="0" w:color="auto"/>
              <w:bottom w:val="single" w:sz="4" w:space="0" w:color="auto"/>
              <w:right w:val="single" w:sz="4" w:space="0" w:color="auto"/>
            </w:tcBorders>
            <w:noWrap/>
            <w:hideMark/>
          </w:tcPr>
          <w:p w14:paraId="0E88C3A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10.41</w:t>
            </w:r>
          </w:p>
        </w:tc>
        <w:tc>
          <w:tcPr>
            <w:tcW w:w="709" w:type="dxa"/>
            <w:tcBorders>
              <w:top w:val="single" w:sz="4" w:space="0" w:color="auto"/>
              <w:left w:val="single" w:sz="4" w:space="0" w:color="auto"/>
              <w:bottom w:val="single" w:sz="4" w:space="0" w:color="auto"/>
              <w:right w:val="single" w:sz="4" w:space="0" w:color="auto"/>
            </w:tcBorders>
            <w:noWrap/>
            <w:hideMark/>
          </w:tcPr>
          <w:p w14:paraId="2FC69D4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2.71</w:t>
            </w:r>
          </w:p>
        </w:tc>
        <w:tc>
          <w:tcPr>
            <w:tcW w:w="709" w:type="dxa"/>
            <w:tcBorders>
              <w:top w:val="single" w:sz="4" w:space="0" w:color="auto"/>
              <w:left w:val="single" w:sz="4" w:space="0" w:color="auto"/>
              <w:bottom w:val="single" w:sz="4" w:space="0" w:color="auto"/>
              <w:right w:val="single" w:sz="4" w:space="0" w:color="auto"/>
            </w:tcBorders>
            <w:noWrap/>
            <w:hideMark/>
          </w:tcPr>
          <w:p w14:paraId="718CB52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1.00</w:t>
            </w:r>
          </w:p>
        </w:tc>
        <w:tc>
          <w:tcPr>
            <w:tcW w:w="850" w:type="dxa"/>
            <w:tcBorders>
              <w:top w:val="single" w:sz="4" w:space="0" w:color="auto"/>
              <w:left w:val="single" w:sz="4" w:space="0" w:color="auto"/>
              <w:bottom w:val="single" w:sz="4" w:space="0" w:color="auto"/>
              <w:right w:val="single" w:sz="12" w:space="0" w:color="auto"/>
            </w:tcBorders>
            <w:noWrap/>
            <w:hideMark/>
          </w:tcPr>
          <w:p w14:paraId="3E0ED63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39.38</w:t>
            </w:r>
          </w:p>
        </w:tc>
      </w:tr>
      <w:tr w:rsidR="00614438" w:rsidRPr="00656BE7" w14:paraId="7A601EF4" w14:textId="77777777" w:rsidTr="00614438">
        <w:trPr>
          <w:trHeight w:val="300"/>
        </w:trPr>
        <w:tc>
          <w:tcPr>
            <w:tcW w:w="1271" w:type="dxa"/>
            <w:vMerge/>
            <w:tcBorders>
              <w:top w:val="single" w:sz="12" w:space="0" w:color="auto"/>
              <w:left w:val="single" w:sz="12" w:space="0" w:color="auto"/>
              <w:bottom w:val="single" w:sz="12" w:space="0" w:color="auto"/>
              <w:right w:val="single" w:sz="4" w:space="0" w:color="auto"/>
            </w:tcBorders>
            <w:vAlign w:val="center"/>
            <w:hideMark/>
          </w:tcPr>
          <w:p w14:paraId="66C1DA8D"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4" w:space="0" w:color="auto"/>
              <w:left w:val="single" w:sz="4" w:space="0" w:color="auto"/>
              <w:bottom w:val="single" w:sz="4" w:space="0" w:color="auto"/>
              <w:right w:val="single" w:sz="4" w:space="0" w:color="auto"/>
            </w:tcBorders>
            <w:noWrap/>
            <w:hideMark/>
          </w:tcPr>
          <w:p w14:paraId="35EA40F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850" w:type="dxa"/>
            <w:tcBorders>
              <w:top w:val="single" w:sz="4" w:space="0" w:color="auto"/>
              <w:left w:val="single" w:sz="4" w:space="0" w:color="auto"/>
              <w:bottom w:val="single" w:sz="4" w:space="0" w:color="auto"/>
              <w:right w:val="single" w:sz="4" w:space="0" w:color="auto"/>
            </w:tcBorders>
            <w:noWrap/>
            <w:hideMark/>
          </w:tcPr>
          <w:p w14:paraId="76CC2E1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4" w:space="0" w:color="auto"/>
              <w:left w:val="single" w:sz="4" w:space="0" w:color="auto"/>
              <w:bottom w:val="single" w:sz="4" w:space="0" w:color="auto"/>
              <w:right w:val="single" w:sz="4" w:space="0" w:color="auto"/>
            </w:tcBorders>
            <w:noWrap/>
            <w:hideMark/>
          </w:tcPr>
          <w:p w14:paraId="1210C55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23.25</w:t>
            </w:r>
          </w:p>
        </w:tc>
        <w:tc>
          <w:tcPr>
            <w:tcW w:w="992" w:type="dxa"/>
            <w:tcBorders>
              <w:top w:val="single" w:sz="4" w:space="0" w:color="auto"/>
              <w:left w:val="single" w:sz="4" w:space="0" w:color="auto"/>
              <w:bottom w:val="single" w:sz="4" w:space="0" w:color="auto"/>
              <w:right w:val="single" w:sz="4" w:space="0" w:color="auto"/>
            </w:tcBorders>
            <w:noWrap/>
            <w:hideMark/>
          </w:tcPr>
          <w:p w14:paraId="286FF2E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0.01</w:t>
            </w:r>
          </w:p>
        </w:tc>
        <w:tc>
          <w:tcPr>
            <w:tcW w:w="851" w:type="dxa"/>
            <w:tcBorders>
              <w:top w:val="single" w:sz="4" w:space="0" w:color="auto"/>
              <w:left w:val="single" w:sz="4" w:space="0" w:color="auto"/>
              <w:bottom w:val="single" w:sz="4" w:space="0" w:color="auto"/>
              <w:right w:val="single" w:sz="4" w:space="0" w:color="auto"/>
            </w:tcBorders>
            <w:noWrap/>
            <w:hideMark/>
          </w:tcPr>
          <w:p w14:paraId="69C730C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1.50</w:t>
            </w:r>
          </w:p>
        </w:tc>
        <w:tc>
          <w:tcPr>
            <w:tcW w:w="1134" w:type="dxa"/>
            <w:tcBorders>
              <w:top w:val="single" w:sz="4" w:space="0" w:color="auto"/>
              <w:left w:val="single" w:sz="4" w:space="0" w:color="auto"/>
              <w:bottom w:val="single" w:sz="4" w:space="0" w:color="auto"/>
              <w:right w:val="single" w:sz="4" w:space="0" w:color="auto"/>
            </w:tcBorders>
            <w:noWrap/>
            <w:hideMark/>
          </w:tcPr>
          <w:p w14:paraId="19A75BD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0.20</w:t>
            </w:r>
          </w:p>
        </w:tc>
        <w:tc>
          <w:tcPr>
            <w:tcW w:w="850" w:type="dxa"/>
            <w:tcBorders>
              <w:top w:val="single" w:sz="4" w:space="0" w:color="auto"/>
              <w:left w:val="single" w:sz="4" w:space="0" w:color="auto"/>
              <w:bottom w:val="single" w:sz="4" w:space="0" w:color="auto"/>
              <w:right w:val="single" w:sz="4" w:space="0" w:color="auto"/>
            </w:tcBorders>
            <w:noWrap/>
            <w:hideMark/>
          </w:tcPr>
          <w:p w14:paraId="447A681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10.42</w:t>
            </w:r>
          </w:p>
        </w:tc>
        <w:tc>
          <w:tcPr>
            <w:tcW w:w="709" w:type="dxa"/>
            <w:tcBorders>
              <w:top w:val="single" w:sz="4" w:space="0" w:color="auto"/>
              <w:left w:val="single" w:sz="4" w:space="0" w:color="auto"/>
              <w:bottom w:val="single" w:sz="4" w:space="0" w:color="auto"/>
              <w:right w:val="single" w:sz="4" w:space="0" w:color="auto"/>
            </w:tcBorders>
            <w:noWrap/>
            <w:hideMark/>
          </w:tcPr>
          <w:p w14:paraId="26F854A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3.14</w:t>
            </w:r>
          </w:p>
        </w:tc>
        <w:tc>
          <w:tcPr>
            <w:tcW w:w="709" w:type="dxa"/>
            <w:tcBorders>
              <w:top w:val="single" w:sz="4" w:space="0" w:color="auto"/>
              <w:left w:val="single" w:sz="4" w:space="0" w:color="auto"/>
              <w:bottom w:val="single" w:sz="4" w:space="0" w:color="auto"/>
              <w:right w:val="single" w:sz="4" w:space="0" w:color="auto"/>
            </w:tcBorders>
            <w:noWrap/>
            <w:hideMark/>
          </w:tcPr>
          <w:p w14:paraId="1FD3A49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1.32</w:t>
            </w:r>
          </w:p>
        </w:tc>
        <w:tc>
          <w:tcPr>
            <w:tcW w:w="850" w:type="dxa"/>
            <w:tcBorders>
              <w:top w:val="single" w:sz="4" w:space="0" w:color="auto"/>
              <w:left w:val="single" w:sz="4" w:space="0" w:color="auto"/>
              <w:bottom w:val="single" w:sz="4" w:space="0" w:color="auto"/>
              <w:right w:val="single" w:sz="12" w:space="0" w:color="auto"/>
            </w:tcBorders>
            <w:noWrap/>
            <w:hideMark/>
          </w:tcPr>
          <w:p w14:paraId="155F0C1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39.85</w:t>
            </w:r>
          </w:p>
        </w:tc>
      </w:tr>
      <w:tr w:rsidR="00614438" w:rsidRPr="00656BE7" w14:paraId="38A90ED0" w14:textId="77777777" w:rsidTr="00614438">
        <w:trPr>
          <w:trHeight w:val="300"/>
        </w:trPr>
        <w:tc>
          <w:tcPr>
            <w:tcW w:w="1271" w:type="dxa"/>
            <w:vMerge/>
            <w:tcBorders>
              <w:top w:val="single" w:sz="12" w:space="0" w:color="auto"/>
              <w:left w:val="single" w:sz="12" w:space="0" w:color="auto"/>
              <w:bottom w:val="single" w:sz="12" w:space="0" w:color="auto"/>
              <w:right w:val="single" w:sz="4" w:space="0" w:color="auto"/>
            </w:tcBorders>
            <w:vAlign w:val="center"/>
            <w:hideMark/>
          </w:tcPr>
          <w:p w14:paraId="54906ADA"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4" w:space="0" w:color="auto"/>
              <w:left w:val="single" w:sz="4" w:space="0" w:color="auto"/>
              <w:bottom w:val="single" w:sz="4" w:space="0" w:color="auto"/>
              <w:right w:val="single" w:sz="4" w:space="0" w:color="auto"/>
            </w:tcBorders>
            <w:noWrap/>
            <w:hideMark/>
          </w:tcPr>
          <w:p w14:paraId="436022E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850" w:type="dxa"/>
            <w:tcBorders>
              <w:top w:val="single" w:sz="4" w:space="0" w:color="auto"/>
              <w:left w:val="single" w:sz="4" w:space="0" w:color="auto"/>
              <w:bottom w:val="single" w:sz="4" w:space="0" w:color="auto"/>
              <w:right w:val="single" w:sz="4" w:space="0" w:color="auto"/>
            </w:tcBorders>
            <w:noWrap/>
            <w:hideMark/>
          </w:tcPr>
          <w:p w14:paraId="5A2805D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4" w:space="0" w:color="auto"/>
              <w:left w:val="single" w:sz="4" w:space="0" w:color="auto"/>
              <w:bottom w:val="single" w:sz="4" w:space="0" w:color="auto"/>
              <w:right w:val="single" w:sz="4" w:space="0" w:color="auto"/>
            </w:tcBorders>
            <w:noWrap/>
            <w:hideMark/>
          </w:tcPr>
          <w:p w14:paraId="4C74974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22.74</w:t>
            </w:r>
          </w:p>
        </w:tc>
        <w:tc>
          <w:tcPr>
            <w:tcW w:w="992" w:type="dxa"/>
            <w:tcBorders>
              <w:top w:val="single" w:sz="4" w:space="0" w:color="auto"/>
              <w:left w:val="single" w:sz="4" w:space="0" w:color="auto"/>
              <w:bottom w:val="single" w:sz="4" w:space="0" w:color="auto"/>
              <w:right w:val="single" w:sz="4" w:space="0" w:color="auto"/>
            </w:tcBorders>
            <w:noWrap/>
            <w:hideMark/>
          </w:tcPr>
          <w:p w14:paraId="2FDBF23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0.01</w:t>
            </w:r>
          </w:p>
        </w:tc>
        <w:tc>
          <w:tcPr>
            <w:tcW w:w="851" w:type="dxa"/>
            <w:tcBorders>
              <w:top w:val="single" w:sz="4" w:space="0" w:color="auto"/>
              <w:left w:val="single" w:sz="4" w:space="0" w:color="auto"/>
              <w:bottom w:val="single" w:sz="4" w:space="0" w:color="auto"/>
              <w:right w:val="single" w:sz="4" w:space="0" w:color="auto"/>
            </w:tcBorders>
            <w:noWrap/>
            <w:hideMark/>
          </w:tcPr>
          <w:p w14:paraId="23E7A15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1.50</w:t>
            </w:r>
          </w:p>
        </w:tc>
        <w:tc>
          <w:tcPr>
            <w:tcW w:w="1134" w:type="dxa"/>
            <w:tcBorders>
              <w:top w:val="single" w:sz="4" w:space="0" w:color="auto"/>
              <w:left w:val="single" w:sz="4" w:space="0" w:color="auto"/>
              <w:bottom w:val="single" w:sz="4" w:space="0" w:color="auto"/>
              <w:right w:val="single" w:sz="4" w:space="0" w:color="auto"/>
            </w:tcBorders>
            <w:noWrap/>
            <w:hideMark/>
          </w:tcPr>
          <w:p w14:paraId="08244D8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0.21</w:t>
            </w:r>
          </w:p>
        </w:tc>
        <w:tc>
          <w:tcPr>
            <w:tcW w:w="850" w:type="dxa"/>
            <w:tcBorders>
              <w:top w:val="single" w:sz="4" w:space="0" w:color="auto"/>
              <w:left w:val="single" w:sz="4" w:space="0" w:color="auto"/>
              <w:bottom w:val="single" w:sz="4" w:space="0" w:color="auto"/>
              <w:right w:val="single" w:sz="4" w:space="0" w:color="auto"/>
            </w:tcBorders>
            <w:noWrap/>
            <w:hideMark/>
          </w:tcPr>
          <w:p w14:paraId="73BF419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10.57</w:t>
            </w:r>
          </w:p>
        </w:tc>
        <w:tc>
          <w:tcPr>
            <w:tcW w:w="709" w:type="dxa"/>
            <w:tcBorders>
              <w:top w:val="single" w:sz="4" w:space="0" w:color="auto"/>
              <w:left w:val="single" w:sz="4" w:space="0" w:color="auto"/>
              <w:bottom w:val="single" w:sz="4" w:space="0" w:color="auto"/>
              <w:right w:val="single" w:sz="4" w:space="0" w:color="auto"/>
            </w:tcBorders>
            <w:noWrap/>
            <w:hideMark/>
          </w:tcPr>
          <w:p w14:paraId="0B43CF8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3.60</w:t>
            </w:r>
          </w:p>
        </w:tc>
        <w:tc>
          <w:tcPr>
            <w:tcW w:w="709" w:type="dxa"/>
            <w:tcBorders>
              <w:top w:val="single" w:sz="4" w:space="0" w:color="auto"/>
              <w:left w:val="single" w:sz="4" w:space="0" w:color="auto"/>
              <w:bottom w:val="single" w:sz="4" w:space="0" w:color="auto"/>
              <w:right w:val="single" w:sz="4" w:space="0" w:color="auto"/>
            </w:tcBorders>
            <w:noWrap/>
            <w:hideMark/>
          </w:tcPr>
          <w:p w14:paraId="437DB5E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1.64</w:t>
            </w:r>
          </w:p>
        </w:tc>
        <w:tc>
          <w:tcPr>
            <w:tcW w:w="850" w:type="dxa"/>
            <w:tcBorders>
              <w:top w:val="single" w:sz="4" w:space="0" w:color="auto"/>
              <w:left w:val="single" w:sz="4" w:space="0" w:color="auto"/>
              <w:bottom w:val="single" w:sz="4" w:space="0" w:color="auto"/>
              <w:right w:val="single" w:sz="12" w:space="0" w:color="auto"/>
            </w:tcBorders>
            <w:noWrap/>
            <w:hideMark/>
          </w:tcPr>
          <w:p w14:paraId="48B73CE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40.27</w:t>
            </w:r>
          </w:p>
        </w:tc>
      </w:tr>
      <w:tr w:rsidR="00614438" w:rsidRPr="00656BE7" w14:paraId="324A5EBA" w14:textId="77777777" w:rsidTr="00614438">
        <w:trPr>
          <w:trHeight w:val="300"/>
        </w:trPr>
        <w:tc>
          <w:tcPr>
            <w:tcW w:w="1271" w:type="dxa"/>
            <w:vMerge/>
            <w:tcBorders>
              <w:top w:val="single" w:sz="12" w:space="0" w:color="auto"/>
              <w:left w:val="single" w:sz="12" w:space="0" w:color="auto"/>
              <w:bottom w:val="single" w:sz="12" w:space="0" w:color="auto"/>
              <w:right w:val="single" w:sz="4" w:space="0" w:color="auto"/>
            </w:tcBorders>
            <w:vAlign w:val="center"/>
            <w:hideMark/>
          </w:tcPr>
          <w:p w14:paraId="48AA1CAD"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4" w:space="0" w:color="auto"/>
              <w:left w:val="single" w:sz="4" w:space="0" w:color="auto"/>
              <w:bottom w:val="single" w:sz="4" w:space="0" w:color="auto"/>
              <w:right w:val="single" w:sz="4" w:space="0" w:color="auto"/>
            </w:tcBorders>
            <w:noWrap/>
            <w:hideMark/>
          </w:tcPr>
          <w:p w14:paraId="411AEDE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850" w:type="dxa"/>
            <w:tcBorders>
              <w:top w:val="single" w:sz="4" w:space="0" w:color="auto"/>
              <w:left w:val="single" w:sz="4" w:space="0" w:color="auto"/>
              <w:bottom w:val="single" w:sz="4" w:space="0" w:color="auto"/>
              <w:right w:val="single" w:sz="4" w:space="0" w:color="auto"/>
            </w:tcBorders>
            <w:noWrap/>
            <w:hideMark/>
          </w:tcPr>
          <w:p w14:paraId="412523E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4" w:space="0" w:color="auto"/>
              <w:left w:val="single" w:sz="4" w:space="0" w:color="auto"/>
              <w:bottom w:val="single" w:sz="4" w:space="0" w:color="auto"/>
              <w:right w:val="single" w:sz="4" w:space="0" w:color="auto"/>
            </w:tcBorders>
            <w:noWrap/>
            <w:hideMark/>
          </w:tcPr>
          <w:p w14:paraId="48DE900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21.18</w:t>
            </w:r>
          </w:p>
        </w:tc>
        <w:tc>
          <w:tcPr>
            <w:tcW w:w="992" w:type="dxa"/>
            <w:tcBorders>
              <w:top w:val="single" w:sz="4" w:space="0" w:color="auto"/>
              <w:left w:val="single" w:sz="4" w:space="0" w:color="auto"/>
              <w:bottom w:val="single" w:sz="4" w:space="0" w:color="auto"/>
              <w:right w:val="single" w:sz="4" w:space="0" w:color="auto"/>
            </w:tcBorders>
            <w:noWrap/>
            <w:hideMark/>
          </w:tcPr>
          <w:p w14:paraId="1D496C1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0.01</w:t>
            </w:r>
          </w:p>
        </w:tc>
        <w:tc>
          <w:tcPr>
            <w:tcW w:w="851" w:type="dxa"/>
            <w:tcBorders>
              <w:top w:val="single" w:sz="4" w:space="0" w:color="auto"/>
              <w:left w:val="single" w:sz="4" w:space="0" w:color="auto"/>
              <w:bottom w:val="single" w:sz="4" w:space="0" w:color="auto"/>
              <w:right w:val="single" w:sz="4" w:space="0" w:color="auto"/>
            </w:tcBorders>
            <w:noWrap/>
            <w:hideMark/>
          </w:tcPr>
          <w:p w14:paraId="24C368C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2.74</w:t>
            </w:r>
          </w:p>
        </w:tc>
        <w:tc>
          <w:tcPr>
            <w:tcW w:w="1134" w:type="dxa"/>
            <w:tcBorders>
              <w:top w:val="single" w:sz="4" w:space="0" w:color="auto"/>
              <w:left w:val="single" w:sz="4" w:space="0" w:color="auto"/>
              <w:bottom w:val="single" w:sz="4" w:space="0" w:color="auto"/>
              <w:right w:val="single" w:sz="4" w:space="0" w:color="auto"/>
            </w:tcBorders>
            <w:noWrap/>
            <w:hideMark/>
          </w:tcPr>
          <w:p w14:paraId="779727E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0.28</w:t>
            </w:r>
          </w:p>
        </w:tc>
        <w:tc>
          <w:tcPr>
            <w:tcW w:w="850" w:type="dxa"/>
            <w:tcBorders>
              <w:top w:val="single" w:sz="4" w:space="0" w:color="auto"/>
              <w:left w:val="single" w:sz="4" w:space="0" w:color="auto"/>
              <w:bottom w:val="single" w:sz="4" w:space="0" w:color="auto"/>
              <w:right w:val="single" w:sz="4" w:space="0" w:color="auto"/>
            </w:tcBorders>
            <w:noWrap/>
            <w:hideMark/>
          </w:tcPr>
          <w:p w14:paraId="7CE3B18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10.57</w:t>
            </w:r>
          </w:p>
        </w:tc>
        <w:tc>
          <w:tcPr>
            <w:tcW w:w="709" w:type="dxa"/>
            <w:tcBorders>
              <w:top w:val="single" w:sz="4" w:space="0" w:color="auto"/>
              <w:left w:val="single" w:sz="4" w:space="0" w:color="auto"/>
              <w:bottom w:val="single" w:sz="4" w:space="0" w:color="auto"/>
              <w:right w:val="single" w:sz="4" w:space="0" w:color="auto"/>
            </w:tcBorders>
            <w:noWrap/>
            <w:hideMark/>
          </w:tcPr>
          <w:p w14:paraId="461F2AD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4.09</w:t>
            </w:r>
          </w:p>
        </w:tc>
        <w:tc>
          <w:tcPr>
            <w:tcW w:w="709" w:type="dxa"/>
            <w:tcBorders>
              <w:top w:val="single" w:sz="4" w:space="0" w:color="auto"/>
              <w:left w:val="single" w:sz="4" w:space="0" w:color="auto"/>
              <w:bottom w:val="single" w:sz="4" w:space="0" w:color="auto"/>
              <w:right w:val="single" w:sz="4" w:space="0" w:color="auto"/>
            </w:tcBorders>
            <w:noWrap/>
            <w:hideMark/>
          </w:tcPr>
          <w:p w14:paraId="34BB51F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1.97</w:t>
            </w:r>
          </w:p>
        </w:tc>
        <w:tc>
          <w:tcPr>
            <w:tcW w:w="850" w:type="dxa"/>
            <w:tcBorders>
              <w:top w:val="single" w:sz="4" w:space="0" w:color="auto"/>
              <w:left w:val="single" w:sz="4" w:space="0" w:color="auto"/>
              <w:bottom w:val="single" w:sz="4" w:space="0" w:color="auto"/>
              <w:right w:val="single" w:sz="12" w:space="0" w:color="auto"/>
            </w:tcBorders>
            <w:noWrap/>
            <w:hideMark/>
          </w:tcPr>
          <w:p w14:paraId="11457FF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40.83</w:t>
            </w:r>
          </w:p>
        </w:tc>
      </w:tr>
      <w:tr w:rsidR="00614438" w:rsidRPr="00656BE7" w14:paraId="7CA6619D" w14:textId="77777777" w:rsidTr="00614438">
        <w:trPr>
          <w:trHeight w:val="300"/>
        </w:trPr>
        <w:tc>
          <w:tcPr>
            <w:tcW w:w="1271" w:type="dxa"/>
            <w:vMerge/>
            <w:tcBorders>
              <w:top w:val="single" w:sz="12" w:space="0" w:color="auto"/>
              <w:left w:val="single" w:sz="12" w:space="0" w:color="auto"/>
              <w:bottom w:val="single" w:sz="12" w:space="0" w:color="auto"/>
              <w:right w:val="single" w:sz="4" w:space="0" w:color="auto"/>
            </w:tcBorders>
            <w:vAlign w:val="center"/>
            <w:hideMark/>
          </w:tcPr>
          <w:p w14:paraId="6A20CA0D"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4" w:space="0" w:color="auto"/>
              <w:left w:val="single" w:sz="4" w:space="0" w:color="auto"/>
              <w:bottom w:val="single" w:sz="4" w:space="0" w:color="auto"/>
              <w:right w:val="single" w:sz="4" w:space="0" w:color="auto"/>
            </w:tcBorders>
            <w:noWrap/>
            <w:hideMark/>
          </w:tcPr>
          <w:p w14:paraId="06F455A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850" w:type="dxa"/>
            <w:tcBorders>
              <w:top w:val="single" w:sz="4" w:space="0" w:color="auto"/>
              <w:left w:val="single" w:sz="4" w:space="0" w:color="auto"/>
              <w:bottom w:val="single" w:sz="4" w:space="0" w:color="auto"/>
              <w:right w:val="single" w:sz="4" w:space="0" w:color="auto"/>
            </w:tcBorders>
            <w:noWrap/>
            <w:hideMark/>
          </w:tcPr>
          <w:p w14:paraId="6687987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4" w:space="0" w:color="auto"/>
              <w:left w:val="single" w:sz="4" w:space="0" w:color="auto"/>
              <w:bottom w:val="single" w:sz="4" w:space="0" w:color="auto"/>
              <w:right w:val="single" w:sz="4" w:space="0" w:color="auto"/>
            </w:tcBorders>
            <w:noWrap/>
            <w:hideMark/>
          </w:tcPr>
          <w:p w14:paraId="7AF156D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19.16</w:t>
            </w:r>
          </w:p>
        </w:tc>
        <w:tc>
          <w:tcPr>
            <w:tcW w:w="992" w:type="dxa"/>
            <w:tcBorders>
              <w:top w:val="single" w:sz="4" w:space="0" w:color="auto"/>
              <w:left w:val="single" w:sz="4" w:space="0" w:color="auto"/>
              <w:bottom w:val="single" w:sz="4" w:space="0" w:color="auto"/>
              <w:right w:val="single" w:sz="4" w:space="0" w:color="auto"/>
            </w:tcBorders>
            <w:noWrap/>
            <w:hideMark/>
          </w:tcPr>
          <w:p w14:paraId="179E2E4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0.01</w:t>
            </w:r>
          </w:p>
        </w:tc>
        <w:tc>
          <w:tcPr>
            <w:tcW w:w="851" w:type="dxa"/>
            <w:tcBorders>
              <w:top w:val="single" w:sz="4" w:space="0" w:color="auto"/>
              <w:left w:val="single" w:sz="4" w:space="0" w:color="auto"/>
              <w:bottom w:val="single" w:sz="4" w:space="0" w:color="auto"/>
              <w:right w:val="single" w:sz="4" w:space="0" w:color="auto"/>
            </w:tcBorders>
            <w:noWrap/>
            <w:hideMark/>
          </w:tcPr>
          <w:p w14:paraId="2A61690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2.92</w:t>
            </w:r>
          </w:p>
        </w:tc>
        <w:tc>
          <w:tcPr>
            <w:tcW w:w="1134" w:type="dxa"/>
            <w:tcBorders>
              <w:top w:val="single" w:sz="4" w:space="0" w:color="auto"/>
              <w:left w:val="single" w:sz="4" w:space="0" w:color="auto"/>
              <w:bottom w:val="single" w:sz="4" w:space="0" w:color="auto"/>
              <w:right w:val="single" w:sz="4" w:space="0" w:color="auto"/>
            </w:tcBorders>
            <w:noWrap/>
            <w:hideMark/>
          </w:tcPr>
          <w:p w14:paraId="7606FD3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0.35</w:t>
            </w:r>
          </w:p>
        </w:tc>
        <w:tc>
          <w:tcPr>
            <w:tcW w:w="850" w:type="dxa"/>
            <w:tcBorders>
              <w:top w:val="single" w:sz="4" w:space="0" w:color="auto"/>
              <w:left w:val="single" w:sz="4" w:space="0" w:color="auto"/>
              <w:bottom w:val="single" w:sz="4" w:space="0" w:color="auto"/>
              <w:right w:val="single" w:sz="4" w:space="0" w:color="auto"/>
            </w:tcBorders>
            <w:noWrap/>
            <w:hideMark/>
          </w:tcPr>
          <w:p w14:paraId="052D38B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10.84</w:t>
            </w:r>
          </w:p>
        </w:tc>
        <w:tc>
          <w:tcPr>
            <w:tcW w:w="709" w:type="dxa"/>
            <w:tcBorders>
              <w:top w:val="single" w:sz="4" w:space="0" w:color="auto"/>
              <w:left w:val="single" w:sz="4" w:space="0" w:color="auto"/>
              <w:bottom w:val="single" w:sz="4" w:space="0" w:color="auto"/>
              <w:right w:val="single" w:sz="4" w:space="0" w:color="auto"/>
            </w:tcBorders>
            <w:noWrap/>
            <w:hideMark/>
          </w:tcPr>
          <w:p w14:paraId="32E5A98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4.61</w:t>
            </w:r>
          </w:p>
        </w:tc>
        <w:tc>
          <w:tcPr>
            <w:tcW w:w="709" w:type="dxa"/>
            <w:tcBorders>
              <w:top w:val="single" w:sz="4" w:space="0" w:color="auto"/>
              <w:left w:val="single" w:sz="4" w:space="0" w:color="auto"/>
              <w:bottom w:val="single" w:sz="4" w:space="0" w:color="auto"/>
              <w:right w:val="single" w:sz="4" w:space="0" w:color="auto"/>
            </w:tcBorders>
            <w:noWrap/>
            <w:hideMark/>
          </w:tcPr>
          <w:p w14:paraId="2FA6AE1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2.30</w:t>
            </w:r>
          </w:p>
        </w:tc>
        <w:tc>
          <w:tcPr>
            <w:tcW w:w="850" w:type="dxa"/>
            <w:tcBorders>
              <w:top w:val="single" w:sz="4" w:space="0" w:color="auto"/>
              <w:left w:val="single" w:sz="4" w:space="0" w:color="auto"/>
              <w:bottom w:val="single" w:sz="4" w:space="0" w:color="auto"/>
              <w:right w:val="single" w:sz="12" w:space="0" w:color="auto"/>
            </w:tcBorders>
            <w:noWrap/>
            <w:hideMark/>
          </w:tcPr>
          <w:p w14:paraId="287070D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40.19</w:t>
            </w:r>
          </w:p>
        </w:tc>
      </w:tr>
      <w:tr w:rsidR="00614438" w:rsidRPr="00656BE7" w14:paraId="05A7571C" w14:textId="77777777" w:rsidTr="00614438">
        <w:trPr>
          <w:trHeight w:val="300"/>
        </w:trPr>
        <w:tc>
          <w:tcPr>
            <w:tcW w:w="1271" w:type="dxa"/>
            <w:vMerge/>
            <w:tcBorders>
              <w:top w:val="single" w:sz="12" w:space="0" w:color="auto"/>
              <w:left w:val="single" w:sz="12" w:space="0" w:color="auto"/>
              <w:bottom w:val="single" w:sz="12" w:space="0" w:color="auto"/>
              <w:right w:val="single" w:sz="4" w:space="0" w:color="auto"/>
            </w:tcBorders>
            <w:vAlign w:val="center"/>
            <w:hideMark/>
          </w:tcPr>
          <w:p w14:paraId="15FBBEFF"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4" w:space="0" w:color="auto"/>
              <w:left w:val="single" w:sz="4" w:space="0" w:color="auto"/>
              <w:bottom w:val="single" w:sz="4" w:space="0" w:color="auto"/>
              <w:right w:val="single" w:sz="4" w:space="0" w:color="auto"/>
            </w:tcBorders>
            <w:noWrap/>
            <w:hideMark/>
          </w:tcPr>
          <w:p w14:paraId="75DAF2F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850" w:type="dxa"/>
            <w:tcBorders>
              <w:top w:val="single" w:sz="4" w:space="0" w:color="auto"/>
              <w:left w:val="single" w:sz="4" w:space="0" w:color="auto"/>
              <w:bottom w:val="single" w:sz="4" w:space="0" w:color="auto"/>
              <w:right w:val="single" w:sz="4" w:space="0" w:color="auto"/>
            </w:tcBorders>
            <w:noWrap/>
            <w:hideMark/>
          </w:tcPr>
          <w:p w14:paraId="6BA7954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4" w:space="0" w:color="auto"/>
              <w:left w:val="single" w:sz="4" w:space="0" w:color="auto"/>
              <w:bottom w:val="single" w:sz="4" w:space="0" w:color="auto"/>
              <w:right w:val="single" w:sz="4" w:space="0" w:color="auto"/>
            </w:tcBorders>
            <w:noWrap/>
            <w:hideMark/>
          </w:tcPr>
          <w:p w14:paraId="1717347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14.69</w:t>
            </w:r>
          </w:p>
        </w:tc>
        <w:tc>
          <w:tcPr>
            <w:tcW w:w="992" w:type="dxa"/>
            <w:tcBorders>
              <w:top w:val="single" w:sz="4" w:space="0" w:color="auto"/>
              <w:left w:val="single" w:sz="4" w:space="0" w:color="auto"/>
              <w:bottom w:val="single" w:sz="4" w:space="0" w:color="auto"/>
              <w:right w:val="single" w:sz="4" w:space="0" w:color="auto"/>
            </w:tcBorders>
            <w:noWrap/>
            <w:hideMark/>
          </w:tcPr>
          <w:p w14:paraId="70457BF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0.01</w:t>
            </w:r>
          </w:p>
        </w:tc>
        <w:tc>
          <w:tcPr>
            <w:tcW w:w="851" w:type="dxa"/>
            <w:tcBorders>
              <w:top w:val="single" w:sz="4" w:space="0" w:color="auto"/>
              <w:left w:val="single" w:sz="4" w:space="0" w:color="auto"/>
              <w:bottom w:val="single" w:sz="4" w:space="0" w:color="auto"/>
              <w:right w:val="single" w:sz="4" w:space="0" w:color="auto"/>
            </w:tcBorders>
            <w:noWrap/>
            <w:hideMark/>
          </w:tcPr>
          <w:p w14:paraId="34B0D94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2.68</w:t>
            </w:r>
          </w:p>
        </w:tc>
        <w:tc>
          <w:tcPr>
            <w:tcW w:w="1134" w:type="dxa"/>
            <w:tcBorders>
              <w:top w:val="single" w:sz="4" w:space="0" w:color="auto"/>
              <w:left w:val="single" w:sz="4" w:space="0" w:color="auto"/>
              <w:bottom w:val="single" w:sz="4" w:space="0" w:color="auto"/>
              <w:right w:val="single" w:sz="4" w:space="0" w:color="auto"/>
            </w:tcBorders>
            <w:noWrap/>
            <w:hideMark/>
          </w:tcPr>
          <w:p w14:paraId="7F8BE45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0.48</w:t>
            </w:r>
          </w:p>
        </w:tc>
        <w:tc>
          <w:tcPr>
            <w:tcW w:w="850" w:type="dxa"/>
            <w:tcBorders>
              <w:top w:val="single" w:sz="4" w:space="0" w:color="auto"/>
              <w:left w:val="single" w:sz="4" w:space="0" w:color="auto"/>
              <w:bottom w:val="single" w:sz="4" w:space="0" w:color="auto"/>
              <w:right w:val="single" w:sz="4" w:space="0" w:color="auto"/>
            </w:tcBorders>
            <w:noWrap/>
            <w:hideMark/>
          </w:tcPr>
          <w:p w14:paraId="34C3A0E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12.31</w:t>
            </w:r>
          </w:p>
        </w:tc>
        <w:tc>
          <w:tcPr>
            <w:tcW w:w="709" w:type="dxa"/>
            <w:tcBorders>
              <w:top w:val="single" w:sz="4" w:space="0" w:color="auto"/>
              <w:left w:val="single" w:sz="4" w:space="0" w:color="auto"/>
              <w:bottom w:val="single" w:sz="4" w:space="0" w:color="auto"/>
              <w:right w:val="single" w:sz="4" w:space="0" w:color="auto"/>
            </w:tcBorders>
            <w:noWrap/>
            <w:hideMark/>
          </w:tcPr>
          <w:p w14:paraId="5000292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8.05</w:t>
            </w:r>
          </w:p>
        </w:tc>
        <w:tc>
          <w:tcPr>
            <w:tcW w:w="709" w:type="dxa"/>
            <w:tcBorders>
              <w:top w:val="single" w:sz="4" w:space="0" w:color="auto"/>
              <w:left w:val="single" w:sz="4" w:space="0" w:color="auto"/>
              <w:bottom w:val="single" w:sz="4" w:space="0" w:color="auto"/>
              <w:right w:val="single" w:sz="4" w:space="0" w:color="auto"/>
            </w:tcBorders>
            <w:noWrap/>
            <w:hideMark/>
          </w:tcPr>
          <w:p w14:paraId="3137FE0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5.23</w:t>
            </w:r>
          </w:p>
        </w:tc>
        <w:tc>
          <w:tcPr>
            <w:tcW w:w="850" w:type="dxa"/>
            <w:tcBorders>
              <w:top w:val="single" w:sz="4" w:space="0" w:color="auto"/>
              <w:left w:val="single" w:sz="4" w:space="0" w:color="auto"/>
              <w:bottom w:val="single" w:sz="4" w:space="0" w:color="auto"/>
              <w:right w:val="single" w:sz="12" w:space="0" w:color="auto"/>
            </w:tcBorders>
            <w:noWrap/>
            <w:hideMark/>
          </w:tcPr>
          <w:p w14:paraId="4C19679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43.44</w:t>
            </w:r>
          </w:p>
        </w:tc>
      </w:tr>
      <w:tr w:rsidR="00614438" w:rsidRPr="00656BE7" w14:paraId="5E104A99" w14:textId="77777777" w:rsidTr="00614438">
        <w:trPr>
          <w:trHeight w:val="300"/>
        </w:trPr>
        <w:tc>
          <w:tcPr>
            <w:tcW w:w="1271" w:type="dxa"/>
            <w:vMerge/>
            <w:tcBorders>
              <w:top w:val="single" w:sz="12" w:space="0" w:color="auto"/>
              <w:left w:val="single" w:sz="12" w:space="0" w:color="auto"/>
              <w:bottom w:val="single" w:sz="12" w:space="0" w:color="auto"/>
              <w:right w:val="single" w:sz="4" w:space="0" w:color="auto"/>
            </w:tcBorders>
            <w:vAlign w:val="center"/>
            <w:hideMark/>
          </w:tcPr>
          <w:p w14:paraId="7FC58571"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4" w:space="0" w:color="auto"/>
              <w:left w:val="single" w:sz="4" w:space="0" w:color="auto"/>
              <w:bottom w:val="single" w:sz="4" w:space="0" w:color="auto"/>
              <w:right w:val="single" w:sz="4" w:space="0" w:color="auto"/>
            </w:tcBorders>
            <w:noWrap/>
            <w:hideMark/>
          </w:tcPr>
          <w:p w14:paraId="579D29B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850" w:type="dxa"/>
            <w:tcBorders>
              <w:top w:val="single" w:sz="4" w:space="0" w:color="auto"/>
              <w:left w:val="single" w:sz="4" w:space="0" w:color="auto"/>
              <w:bottom w:val="single" w:sz="4" w:space="0" w:color="auto"/>
              <w:right w:val="single" w:sz="4" w:space="0" w:color="auto"/>
            </w:tcBorders>
            <w:noWrap/>
            <w:hideMark/>
          </w:tcPr>
          <w:p w14:paraId="4355965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709" w:type="dxa"/>
            <w:tcBorders>
              <w:top w:val="single" w:sz="4" w:space="0" w:color="auto"/>
              <w:left w:val="single" w:sz="4" w:space="0" w:color="auto"/>
              <w:bottom w:val="single" w:sz="4" w:space="0" w:color="auto"/>
              <w:right w:val="single" w:sz="4" w:space="0" w:color="auto"/>
            </w:tcBorders>
            <w:noWrap/>
            <w:hideMark/>
          </w:tcPr>
          <w:p w14:paraId="45763B9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11.39</w:t>
            </w:r>
          </w:p>
        </w:tc>
        <w:tc>
          <w:tcPr>
            <w:tcW w:w="992" w:type="dxa"/>
            <w:tcBorders>
              <w:top w:val="single" w:sz="4" w:space="0" w:color="auto"/>
              <w:left w:val="single" w:sz="4" w:space="0" w:color="auto"/>
              <w:bottom w:val="single" w:sz="4" w:space="0" w:color="auto"/>
              <w:right w:val="single" w:sz="4" w:space="0" w:color="auto"/>
            </w:tcBorders>
            <w:noWrap/>
            <w:hideMark/>
          </w:tcPr>
          <w:p w14:paraId="63D7CB9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0.01</w:t>
            </w:r>
          </w:p>
        </w:tc>
        <w:tc>
          <w:tcPr>
            <w:tcW w:w="851" w:type="dxa"/>
            <w:tcBorders>
              <w:top w:val="single" w:sz="4" w:space="0" w:color="auto"/>
              <w:left w:val="single" w:sz="4" w:space="0" w:color="auto"/>
              <w:bottom w:val="single" w:sz="4" w:space="0" w:color="auto"/>
              <w:right w:val="single" w:sz="4" w:space="0" w:color="auto"/>
            </w:tcBorders>
            <w:noWrap/>
            <w:hideMark/>
          </w:tcPr>
          <w:p w14:paraId="68AB511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2.63</w:t>
            </w:r>
          </w:p>
        </w:tc>
        <w:tc>
          <w:tcPr>
            <w:tcW w:w="1134" w:type="dxa"/>
            <w:tcBorders>
              <w:top w:val="single" w:sz="4" w:space="0" w:color="auto"/>
              <w:left w:val="single" w:sz="4" w:space="0" w:color="auto"/>
              <w:bottom w:val="single" w:sz="4" w:space="0" w:color="auto"/>
              <w:right w:val="single" w:sz="4" w:space="0" w:color="auto"/>
            </w:tcBorders>
            <w:noWrap/>
            <w:hideMark/>
          </w:tcPr>
          <w:p w14:paraId="0F53311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0.98</w:t>
            </w:r>
          </w:p>
        </w:tc>
        <w:tc>
          <w:tcPr>
            <w:tcW w:w="850" w:type="dxa"/>
            <w:tcBorders>
              <w:top w:val="single" w:sz="4" w:space="0" w:color="auto"/>
              <w:left w:val="single" w:sz="4" w:space="0" w:color="auto"/>
              <w:bottom w:val="single" w:sz="4" w:space="0" w:color="auto"/>
              <w:right w:val="single" w:sz="4" w:space="0" w:color="auto"/>
            </w:tcBorders>
            <w:noWrap/>
            <w:hideMark/>
          </w:tcPr>
          <w:p w14:paraId="058EB5E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13.63</w:t>
            </w:r>
          </w:p>
        </w:tc>
        <w:tc>
          <w:tcPr>
            <w:tcW w:w="709" w:type="dxa"/>
            <w:tcBorders>
              <w:top w:val="single" w:sz="4" w:space="0" w:color="auto"/>
              <w:left w:val="single" w:sz="4" w:space="0" w:color="auto"/>
              <w:bottom w:val="single" w:sz="4" w:space="0" w:color="auto"/>
              <w:right w:val="single" w:sz="4" w:space="0" w:color="auto"/>
            </w:tcBorders>
            <w:noWrap/>
            <w:hideMark/>
          </w:tcPr>
          <w:p w14:paraId="4EE5B03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8.17</w:t>
            </w:r>
          </w:p>
        </w:tc>
        <w:tc>
          <w:tcPr>
            <w:tcW w:w="709" w:type="dxa"/>
            <w:tcBorders>
              <w:top w:val="single" w:sz="4" w:space="0" w:color="auto"/>
              <w:left w:val="single" w:sz="4" w:space="0" w:color="auto"/>
              <w:bottom w:val="single" w:sz="4" w:space="0" w:color="auto"/>
              <w:right w:val="single" w:sz="4" w:space="0" w:color="auto"/>
            </w:tcBorders>
            <w:noWrap/>
            <w:hideMark/>
          </w:tcPr>
          <w:p w14:paraId="5CA52E0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9.80</w:t>
            </w:r>
          </w:p>
        </w:tc>
        <w:tc>
          <w:tcPr>
            <w:tcW w:w="850" w:type="dxa"/>
            <w:tcBorders>
              <w:top w:val="single" w:sz="4" w:space="0" w:color="auto"/>
              <w:left w:val="single" w:sz="4" w:space="0" w:color="auto"/>
              <w:bottom w:val="single" w:sz="4" w:space="0" w:color="auto"/>
              <w:right w:val="single" w:sz="12" w:space="0" w:color="auto"/>
            </w:tcBorders>
            <w:noWrap/>
            <w:hideMark/>
          </w:tcPr>
          <w:p w14:paraId="47E2ACE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46.61</w:t>
            </w:r>
          </w:p>
        </w:tc>
      </w:tr>
      <w:tr w:rsidR="00614438" w:rsidRPr="00656BE7" w14:paraId="00D9442B" w14:textId="77777777" w:rsidTr="00614438">
        <w:trPr>
          <w:trHeight w:val="300"/>
        </w:trPr>
        <w:tc>
          <w:tcPr>
            <w:tcW w:w="1271" w:type="dxa"/>
            <w:vMerge/>
            <w:tcBorders>
              <w:top w:val="single" w:sz="12" w:space="0" w:color="auto"/>
              <w:left w:val="single" w:sz="12" w:space="0" w:color="auto"/>
              <w:bottom w:val="single" w:sz="12" w:space="0" w:color="auto"/>
              <w:right w:val="single" w:sz="4" w:space="0" w:color="auto"/>
            </w:tcBorders>
            <w:vAlign w:val="center"/>
            <w:hideMark/>
          </w:tcPr>
          <w:p w14:paraId="320AB543"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4" w:space="0" w:color="auto"/>
              <w:left w:val="single" w:sz="4" w:space="0" w:color="auto"/>
              <w:bottom w:val="single" w:sz="4" w:space="0" w:color="auto"/>
              <w:right w:val="single" w:sz="4" w:space="0" w:color="auto"/>
            </w:tcBorders>
            <w:noWrap/>
            <w:hideMark/>
          </w:tcPr>
          <w:p w14:paraId="5FD8917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850" w:type="dxa"/>
            <w:tcBorders>
              <w:top w:val="single" w:sz="4" w:space="0" w:color="auto"/>
              <w:left w:val="single" w:sz="4" w:space="0" w:color="auto"/>
              <w:bottom w:val="single" w:sz="4" w:space="0" w:color="auto"/>
              <w:right w:val="single" w:sz="4" w:space="0" w:color="auto"/>
            </w:tcBorders>
            <w:noWrap/>
            <w:hideMark/>
          </w:tcPr>
          <w:p w14:paraId="1251A96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7.01</w:t>
            </w:r>
          </w:p>
        </w:tc>
        <w:tc>
          <w:tcPr>
            <w:tcW w:w="709" w:type="dxa"/>
            <w:tcBorders>
              <w:top w:val="single" w:sz="4" w:space="0" w:color="auto"/>
              <w:left w:val="single" w:sz="4" w:space="0" w:color="auto"/>
              <w:bottom w:val="single" w:sz="4" w:space="0" w:color="auto"/>
              <w:right w:val="single" w:sz="4" w:space="0" w:color="auto"/>
            </w:tcBorders>
            <w:noWrap/>
            <w:hideMark/>
          </w:tcPr>
          <w:p w14:paraId="61DC6AB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4.02</w:t>
            </w:r>
          </w:p>
        </w:tc>
        <w:tc>
          <w:tcPr>
            <w:tcW w:w="992" w:type="dxa"/>
            <w:tcBorders>
              <w:top w:val="single" w:sz="4" w:space="0" w:color="auto"/>
              <w:left w:val="single" w:sz="4" w:space="0" w:color="auto"/>
              <w:bottom w:val="single" w:sz="4" w:space="0" w:color="auto"/>
              <w:right w:val="single" w:sz="4" w:space="0" w:color="auto"/>
            </w:tcBorders>
            <w:noWrap/>
            <w:hideMark/>
          </w:tcPr>
          <w:p w14:paraId="5FF8002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0.01</w:t>
            </w:r>
          </w:p>
        </w:tc>
        <w:tc>
          <w:tcPr>
            <w:tcW w:w="851" w:type="dxa"/>
            <w:tcBorders>
              <w:top w:val="single" w:sz="4" w:space="0" w:color="auto"/>
              <w:left w:val="single" w:sz="4" w:space="0" w:color="auto"/>
              <w:bottom w:val="single" w:sz="4" w:space="0" w:color="auto"/>
              <w:right w:val="single" w:sz="4" w:space="0" w:color="auto"/>
            </w:tcBorders>
            <w:noWrap/>
            <w:hideMark/>
          </w:tcPr>
          <w:p w14:paraId="482B693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1.84</w:t>
            </w:r>
          </w:p>
        </w:tc>
        <w:tc>
          <w:tcPr>
            <w:tcW w:w="1134" w:type="dxa"/>
            <w:tcBorders>
              <w:top w:val="single" w:sz="4" w:space="0" w:color="auto"/>
              <w:left w:val="single" w:sz="4" w:space="0" w:color="auto"/>
              <w:bottom w:val="single" w:sz="4" w:space="0" w:color="auto"/>
              <w:right w:val="single" w:sz="4" w:space="0" w:color="auto"/>
            </w:tcBorders>
            <w:noWrap/>
            <w:hideMark/>
          </w:tcPr>
          <w:p w14:paraId="446FEC3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1.05</w:t>
            </w:r>
          </w:p>
        </w:tc>
        <w:tc>
          <w:tcPr>
            <w:tcW w:w="850" w:type="dxa"/>
            <w:tcBorders>
              <w:top w:val="single" w:sz="4" w:space="0" w:color="auto"/>
              <w:left w:val="single" w:sz="4" w:space="0" w:color="auto"/>
              <w:bottom w:val="single" w:sz="4" w:space="0" w:color="auto"/>
              <w:right w:val="single" w:sz="4" w:space="0" w:color="auto"/>
            </w:tcBorders>
            <w:noWrap/>
            <w:hideMark/>
          </w:tcPr>
          <w:p w14:paraId="14C5211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14.06</w:t>
            </w:r>
          </w:p>
        </w:tc>
        <w:tc>
          <w:tcPr>
            <w:tcW w:w="709" w:type="dxa"/>
            <w:tcBorders>
              <w:top w:val="single" w:sz="4" w:space="0" w:color="auto"/>
              <w:left w:val="single" w:sz="4" w:space="0" w:color="auto"/>
              <w:bottom w:val="single" w:sz="4" w:space="0" w:color="auto"/>
              <w:right w:val="single" w:sz="4" w:space="0" w:color="auto"/>
            </w:tcBorders>
            <w:noWrap/>
            <w:hideMark/>
          </w:tcPr>
          <w:p w14:paraId="6994456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14.14</w:t>
            </w:r>
          </w:p>
        </w:tc>
        <w:tc>
          <w:tcPr>
            <w:tcW w:w="709" w:type="dxa"/>
            <w:tcBorders>
              <w:top w:val="single" w:sz="4" w:space="0" w:color="auto"/>
              <w:left w:val="single" w:sz="4" w:space="0" w:color="auto"/>
              <w:bottom w:val="single" w:sz="4" w:space="0" w:color="auto"/>
              <w:right w:val="single" w:sz="4" w:space="0" w:color="auto"/>
            </w:tcBorders>
            <w:noWrap/>
            <w:hideMark/>
          </w:tcPr>
          <w:p w14:paraId="7837618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15.56</w:t>
            </w:r>
          </w:p>
        </w:tc>
        <w:tc>
          <w:tcPr>
            <w:tcW w:w="850" w:type="dxa"/>
            <w:tcBorders>
              <w:top w:val="single" w:sz="4" w:space="0" w:color="auto"/>
              <w:left w:val="single" w:sz="4" w:space="0" w:color="auto"/>
              <w:bottom w:val="single" w:sz="4" w:space="0" w:color="auto"/>
              <w:right w:val="single" w:sz="12" w:space="0" w:color="auto"/>
            </w:tcBorders>
            <w:noWrap/>
            <w:hideMark/>
          </w:tcPr>
          <w:p w14:paraId="7FA53B1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57.68</w:t>
            </w:r>
          </w:p>
        </w:tc>
      </w:tr>
      <w:tr w:rsidR="00614438" w:rsidRPr="00656BE7" w14:paraId="3798CFB6" w14:textId="77777777" w:rsidTr="00614438">
        <w:trPr>
          <w:trHeight w:val="300"/>
        </w:trPr>
        <w:tc>
          <w:tcPr>
            <w:tcW w:w="1271" w:type="dxa"/>
            <w:vMerge/>
            <w:tcBorders>
              <w:top w:val="single" w:sz="12" w:space="0" w:color="auto"/>
              <w:left w:val="single" w:sz="12" w:space="0" w:color="auto"/>
              <w:bottom w:val="single" w:sz="12" w:space="0" w:color="auto"/>
              <w:right w:val="single" w:sz="4" w:space="0" w:color="auto"/>
            </w:tcBorders>
            <w:vAlign w:val="center"/>
            <w:hideMark/>
          </w:tcPr>
          <w:p w14:paraId="2A18D281"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851" w:type="dxa"/>
            <w:tcBorders>
              <w:top w:val="single" w:sz="4" w:space="0" w:color="auto"/>
              <w:left w:val="single" w:sz="4" w:space="0" w:color="auto"/>
              <w:bottom w:val="single" w:sz="12" w:space="0" w:color="auto"/>
              <w:right w:val="single" w:sz="4" w:space="0" w:color="auto"/>
            </w:tcBorders>
            <w:noWrap/>
            <w:hideMark/>
          </w:tcPr>
          <w:p w14:paraId="1550712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c>
          <w:tcPr>
            <w:tcW w:w="850" w:type="dxa"/>
            <w:tcBorders>
              <w:top w:val="single" w:sz="4" w:space="0" w:color="auto"/>
              <w:left w:val="single" w:sz="4" w:space="0" w:color="auto"/>
              <w:bottom w:val="single" w:sz="12" w:space="0" w:color="auto"/>
              <w:right w:val="single" w:sz="4" w:space="0" w:color="auto"/>
            </w:tcBorders>
            <w:noWrap/>
            <w:hideMark/>
          </w:tcPr>
          <w:p w14:paraId="4A111BA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7.01</w:t>
            </w:r>
          </w:p>
        </w:tc>
        <w:tc>
          <w:tcPr>
            <w:tcW w:w="709" w:type="dxa"/>
            <w:tcBorders>
              <w:top w:val="single" w:sz="4" w:space="0" w:color="auto"/>
              <w:left w:val="single" w:sz="4" w:space="0" w:color="auto"/>
              <w:bottom w:val="single" w:sz="12" w:space="0" w:color="auto"/>
              <w:right w:val="single" w:sz="4" w:space="0" w:color="auto"/>
            </w:tcBorders>
            <w:noWrap/>
            <w:hideMark/>
          </w:tcPr>
          <w:p w14:paraId="0D5DAB6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992" w:type="dxa"/>
            <w:tcBorders>
              <w:top w:val="single" w:sz="4" w:space="0" w:color="auto"/>
              <w:left w:val="single" w:sz="4" w:space="0" w:color="auto"/>
              <w:bottom w:val="single" w:sz="12" w:space="0" w:color="auto"/>
              <w:right w:val="single" w:sz="4" w:space="0" w:color="auto"/>
            </w:tcBorders>
            <w:noWrap/>
            <w:hideMark/>
          </w:tcPr>
          <w:p w14:paraId="5D8510D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0.00</w:t>
            </w:r>
          </w:p>
        </w:tc>
        <w:tc>
          <w:tcPr>
            <w:tcW w:w="851" w:type="dxa"/>
            <w:tcBorders>
              <w:top w:val="single" w:sz="4" w:space="0" w:color="auto"/>
              <w:left w:val="single" w:sz="4" w:space="0" w:color="auto"/>
              <w:bottom w:val="single" w:sz="12" w:space="0" w:color="auto"/>
              <w:right w:val="single" w:sz="4" w:space="0" w:color="auto"/>
            </w:tcBorders>
            <w:noWrap/>
            <w:hideMark/>
          </w:tcPr>
          <w:p w14:paraId="54E2F49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1.63</w:t>
            </w:r>
          </w:p>
        </w:tc>
        <w:tc>
          <w:tcPr>
            <w:tcW w:w="1134" w:type="dxa"/>
            <w:tcBorders>
              <w:top w:val="single" w:sz="4" w:space="0" w:color="auto"/>
              <w:left w:val="single" w:sz="4" w:space="0" w:color="auto"/>
              <w:bottom w:val="single" w:sz="12" w:space="0" w:color="auto"/>
              <w:right w:val="single" w:sz="4" w:space="0" w:color="auto"/>
            </w:tcBorders>
            <w:noWrap/>
            <w:hideMark/>
          </w:tcPr>
          <w:p w14:paraId="21CD6C4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1.84</w:t>
            </w:r>
          </w:p>
        </w:tc>
        <w:tc>
          <w:tcPr>
            <w:tcW w:w="850" w:type="dxa"/>
            <w:tcBorders>
              <w:top w:val="single" w:sz="4" w:space="0" w:color="auto"/>
              <w:left w:val="single" w:sz="4" w:space="0" w:color="auto"/>
              <w:bottom w:val="single" w:sz="12" w:space="0" w:color="auto"/>
              <w:right w:val="single" w:sz="4" w:space="0" w:color="auto"/>
            </w:tcBorders>
            <w:noWrap/>
            <w:hideMark/>
          </w:tcPr>
          <w:p w14:paraId="60C0384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14.06</w:t>
            </w:r>
          </w:p>
        </w:tc>
        <w:tc>
          <w:tcPr>
            <w:tcW w:w="709" w:type="dxa"/>
            <w:tcBorders>
              <w:top w:val="single" w:sz="4" w:space="0" w:color="auto"/>
              <w:left w:val="single" w:sz="4" w:space="0" w:color="auto"/>
              <w:bottom w:val="single" w:sz="12" w:space="0" w:color="auto"/>
              <w:right w:val="single" w:sz="4" w:space="0" w:color="auto"/>
            </w:tcBorders>
            <w:noWrap/>
            <w:hideMark/>
          </w:tcPr>
          <w:p w14:paraId="493B32F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20.82</w:t>
            </w:r>
          </w:p>
        </w:tc>
        <w:tc>
          <w:tcPr>
            <w:tcW w:w="709" w:type="dxa"/>
            <w:tcBorders>
              <w:top w:val="single" w:sz="4" w:space="0" w:color="auto"/>
              <w:left w:val="single" w:sz="4" w:space="0" w:color="auto"/>
              <w:bottom w:val="single" w:sz="12" w:space="0" w:color="auto"/>
              <w:right w:val="single" w:sz="4" w:space="0" w:color="auto"/>
            </w:tcBorders>
            <w:noWrap/>
            <w:hideMark/>
          </w:tcPr>
          <w:p w14:paraId="7F1EF24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22.14</w:t>
            </w:r>
          </w:p>
        </w:tc>
        <w:tc>
          <w:tcPr>
            <w:tcW w:w="850" w:type="dxa"/>
            <w:tcBorders>
              <w:top w:val="single" w:sz="4" w:space="0" w:color="auto"/>
              <w:left w:val="single" w:sz="4" w:space="0" w:color="auto"/>
              <w:bottom w:val="single" w:sz="12" w:space="0" w:color="auto"/>
              <w:right w:val="single" w:sz="12" w:space="0" w:color="auto"/>
            </w:tcBorders>
            <w:noWrap/>
            <w:hideMark/>
          </w:tcPr>
          <w:p w14:paraId="6141E27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67.50</w:t>
            </w:r>
          </w:p>
        </w:tc>
      </w:tr>
    </w:tbl>
    <w:p w14:paraId="7C65379B" w14:textId="5C408070" w:rsidR="00614438" w:rsidRPr="00614438" w:rsidRDefault="00E10AC2" w:rsidP="00E10AC2">
      <w:pPr>
        <w:ind w:left="720"/>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V.3 </w:t>
      </w:r>
      <w:r w:rsidR="00614438" w:rsidRPr="00614438">
        <w:rPr>
          <w:rFonts w:ascii="Times New Roman" w:hAnsi="Times New Roman" w:cs="Times New Roman"/>
          <w:sz w:val="24"/>
          <w:szCs w:val="24"/>
          <w:lang w:val="en-GB"/>
        </w:rPr>
        <w:t>Indicators and Final Energy Consumption</w:t>
      </w:r>
    </w:p>
    <w:p w14:paraId="521321E1" w14:textId="77777777" w:rsidR="00614438" w:rsidRPr="00614438" w:rsidRDefault="00614438" w:rsidP="00614438">
      <w:pPr>
        <w:jc w:val="both"/>
        <w:rPr>
          <w:rFonts w:ascii="Times New Roman" w:hAnsi="Times New Roman" w:cs="Times New Roman"/>
          <w:sz w:val="24"/>
          <w:szCs w:val="24"/>
        </w:rPr>
      </w:pPr>
      <w:bookmarkStart w:id="716" w:name="_Toc153545102"/>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9</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Final Energy Consumption [ktoe]</w:t>
      </w:r>
      <w:bookmarkEnd w:id="716"/>
    </w:p>
    <w:tbl>
      <w:tblPr>
        <w:tblStyle w:val="TableGrid"/>
        <w:tblW w:w="0" w:type="auto"/>
        <w:tblLayout w:type="fixed"/>
        <w:tblLook w:val="04A0" w:firstRow="1" w:lastRow="0" w:firstColumn="1" w:lastColumn="0" w:noHBand="0" w:noVBand="1"/>
      </w:tblPr>
      <w:tblGrid>
        <w:gridCol w:w="1661"/>
        <w:gridCol w:w="724"/>
        <w:gridCol w:w="724"/>
        <w:gridCol w:w="724"/>
        <w:gridCol w:w="725"/>
        <w:gridCol w:w="724"/>
        <w:gridCol w:w="724"/>
        <w:gridCol w:w="724"/>
        <w:gridCol w:w="725"/>
        <w:gridCol w:w="724"/>
        <w:gridCol w:w="724"/>
        <w:gridCol w:w="725"/>
      </w:tblGrid>
      <w:tr w:rsidR="00614438" w:rsidRPr="00656BE7" w14:paraId="5692F739"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4307963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Final Energy Consumption [ktoe]</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51AC84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F80F3E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11A992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473112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D664C7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890C47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4CD71B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88FDEE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2664B6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968B82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16E111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r>
      <w:tr w:rsidR="00614438" w:rsidRPr="00656BE7" w14:paraId="0373552A"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5F232B4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WEM</w:t>
            </w:r>
          </w:p>
        </w:tc>
        <w:tc>
          <w:tcPr>
            <w:tcW w:w="724" w:type="dxa"/>
            <w:tcBorders>
              <w:top w:val="single" w:sz="4" w:space="0" w:color="auto"/>
              <w:left w:val="single" w:sz="4" w:space="0" w:color="auto"/>
              <w:bottom w:val="single" w:sz="4" w:space="0" w:color="auto"/>
              <w:right w:val="single" w:sz="4" w:space="0" w:color="auto"/>
            </w:tcBorders>
            <w:noWrap/>
            <w:hideMark/>
          </w:tcPr>
          <w:p w14:paraId="63415B3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8887</w:t>
            </w:r>
          </w:p>
        </w:tc>
        <w:tc>
          <w:tcPr>
            <w:tcW w:w="724" w:type="dxa"/>
            <w:tcBorders>
              <w:top w:val="single" w:sz="4" w:space="0" w:color="auto"/>
              <w:left w:val="single" w:sz="4" w:space="0" w:color="auto"/>
              <w:bottom w:val="single" w:sz="4" w:space="0" w:color="auto"/>
              <w:right w:val="single" w:sz="4" w:space="0" w:color="auto"/>
            </w:tcBorders>
            <w:noWrap/>
            <w:hideMark/>
          </w:tcPr>
          <w:p w14:paraId="5D559EA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9823</w:t>
            </w:r>
          </w:p>
        </w:tc>
        <w:tc>
          <w:tcPr>
            <w:tcW w:w="724" w:type="dxa"/>
            <w:tcBorders>
              <w:top w:val="single" w:sz="4" w:space="0" w:color="auto"/>
              <w:left w:val="single" w:sz="4" w:space="0" w:color="auto"/>
              <w:bottom w:val="single" w:sz="4" w:space="0" w:color="auto"/>
              <w:right w:val="single" w:sz="4" w:space="0" w:color="auto"/>
            </w:tcBorders>
            <w:noWrap/>
            <w:hideMark/>
          </w:tcPr>
          <w:p w14:paraId="38B3692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9976</w:t>
            </w:r>
          </w:p>
        </w:tc>
        <w:tc>
          <w:tcPr>
            <w:tcW w:w="725" w:type="dxa"/>
            <w:tcBorders>
              <w:top w:val="single" w:sz="4" w:space="0" w:color="auto"/>
              <w:left w:val="single" w:sz="4" w:space="0" w:color="auto"/>
              <w:bottom w:val="single" w:sz="4" w:space="0" w:color="auto"/>
              <w:right w:val="single" w:sz="4" w:space="0" w:color="auto"/>
            </w:tcBorders>
            <w:noWrap/>
            <w:hideMark/>
          </w:tcPr>
          <w:p w14:paraId="55D678E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10139</w:t>
            </w:r>
          </w:p>
        </w:tc>
        <w:tc>
          <w:tcPr>
            <w:tcW w:w="724" w:type="dxa"/>
            <w:tcBorders>
              <w:top w:val="single" w:sz="4" w:space="0" w:color="auto"/>
              <w:left w:val="single" w:sz="4" w:space="0" w:color="auto"/>
              <w:bottom w:val="single" w:sz="4" w:space="0" w:color="auto"/>
              <w:right w:val="single" w:sz="4" w:space="0" w:color="auto"/>
            </w:tcBorders>
            <w:noWrap/>
            <w:hideMark/>
          </w:tcPr>
          <w:p w14:paraId="1FEA01E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10295</w:t>
            </w:r>
          </w:p>
        </w:tc>
        <w:tc>
          <w:tcPr>
            <w:tcW w:w="724" w:type="dxa"/>
            <w:tcBorders>
              <w:top w:val="single" w:sz="4" w:space="0" w:color="auto"/>
              <w:left w:val="single" w:sz="4" w:space="0" w:color="auto"/>
              <w:bottom w:val="single" w:sz="4" w:space="0" w:color="auto"/>
              <w:right w:val="single" w:sz="4" w:space="0" w:color="auto"/>
            </w:tcBorders>
            <w:noWrap/>
            <w:hideMark/>
          </w:tcPr>
          <w:p w14:paraId="6F58B52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10461</w:t>
            </w:r>
          </w:p>
        </w:tc>
        <w:tc>
          <w:tcPr>
            <w:tcW w:w="724" w:type="dxa"/>
            <w:tcBorders>
              <w:top w:val="single" w:sz="4" w:space="0" w:color="auto"/>
              <w:left w:val="single" w:sz="4" w:space="0" w:color="auto"/>
              <w:bottom w:val="single" w:sz="4" w:space="0" w:color="auto"/>
              <w:right w:val="single" w:sz="4" w:space="0" w:color="auto"/>
            </w:tcBorders>
            <w:noWrap/>
            <w:hideMark/>
          </w:tcPr>
          <w:p w14:paraId="392B04D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10615</w:t>
            </w:r>
          </w:p>
        </w:tc>
        <w:tc>
          <w:tcPr>
            <w:tcW w:w="725" w:type="dxa"/>
            <w:tcBorders>
              <w:top w:val="single" w:sz="4" w:space="0" w:color="auto"/>
              <w:left w:val="single" w:sz="4" w:space="0" w:color="auto"/>
              <w:bottom w:val="single" w:sz="4" w:space="0" w:color="auto"/>
              <w:right w:val="single" w:sz="4" w:space="0" w:color="auto"/>
            </w:tcBorders>
            <w:noWrap/>
            <w:hideMark/>
          </w:tcPr>
          <w:p w14:paraId="4264A9C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11149</w:t>
            </w:r>
          </w:p>
        </w:tc>
        <w:tc>
          <w:tcPr>
            <w:tcW w:w="724" w:type="dxa"/>
            <w:tcBorders>
              <w:top w:val="single" w:sz="4" w:space="0" w:color="auto"/>
              <w:left w:val="single" w:sz="4" w:space="0" w:color="auto"/>
              <w:bottom w:val="single" w:sz="4" w:space="0" w:color="auto"/>
              <w:right w:val="single" w:sz="4" w:space="0" w:color="auto"/>
            </w:tcBorders>
            <w:noWrap/>
            <w:hideMark/>
          </w:tcPr>
          <w:p w14:paraId="2AD3228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11765</w:t>
            </w:r>
          </w:p>
        </w:tc>
        <w:tc>
          <w:tcPr>
            <w:tcW w:w="724" w:type="dxa"/>
            <w:tcBorders>
              <w:top w:val="single" w:sz="4" w:space="0" w:color="auto"/>
              <w:left w:val="single" w:sz="4" w:space="0" w:color="auto"/>
              <w:bottom w:val="single" w:sz="4" w:space="0" w:color="auto"/>
              <w:right w:val="single" w:sz="4" w:space="0" w:color="auto"/>
            </w:tcBorders>
            <w:noWrap/>
            <w:hideMark/>
          </w:tcPr>
          <w:p w14:paraId="00E11F1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12327</w:t>
            </w:r>
          </w:p>
        </w:tc>
        <w:tc>
          <w:tcPr>
            <w:tcW w:w="725" w:type="dxa"/>
            <w:tcBorders>
              <w:top w:val="single" w:sz="4" w:space="0" w:color="auto"/>
              <w:left w:val="single" w:sz="4" w:space="0" w:color="auto"/>
              <w:bottom w:val="single" w:sz="4" w:space="0" w:color="auto"/>
              <w:right w:val="single" w:sz="4" w:space="0" w:color="auto"/>
            </w:tcBorders>
            <w:noWrap/>
            <w:hideMark/>
          </w:tcPr>
          <w:p w14:paraId="5773759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12969</w:t>
            </w:r>
          </w:p>
        </w:tc>
      </w:tr>
      <w:tr w:rsidR="00614438" w:rsidRPr="00656BE7" w14:paraId="06136EC3"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7A96DE6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w:t>
            </w:r>
          </w:p>
        </w:tc>
        <w:tc>
          <w:tcPr>
            <w:tcW w:w="724" w:type="dxa"/>
            <w:tcBorders>
              <w:top w:val="single" w:sz="4" w:space="0" w:color="auto"/>
              <w:left w:val="single" w:sz="4" w:space="0" w:color="auto"/>
              <w:bottom w:val="single" w:sz="4" w:space="0" w:color="auto"/>
              <w:right w:val="single" w:sz="4" w:space="0" w:color="auto"/>
            </w:tcBorders>
            <w:noWrap/>
            <w:hideMark/>
          </w:tcPr>
          <w:p w14:paraId="08DE434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8887</w:t>
            </w:r>
          </w:p>
        </w:tc>
        <w:tc>
          <w:tcPr>
            <w:tcW w:w="724" w:type="dxa"/>
            <w:tcBorders>
              <w:top w:val="single" w:sz="4" w:space="0" w:color="auto"/>
              <w:left w:val="single" w:sz="4" w:space="0" w:color="auto"/>
              <w:bottom w:val="single" w:sz="4" w:space="0" w:color="auto"/>
              <w:right w:val="single" w:sz="4" w:space="0" w:color="auto"/>
            </w:tcBorders>
            <w:noWrap/>
            <w:hideMark/>
          </w:tcPr>
          <w:p w14:paraId="51C8917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9333</w:t>
            </w:r>
          </w:p>
        </w:tc>
        <w:tc>
          <w:tcPr>
            <w:tcW w:w="724" w:type="dxa"/>
            <w:tcBorders>
              <w:top w:val="single" w:sz="4" w:space="0" w:color="auto"/>
              <w:left w:val="single" w:sz="4" w:space="0" w:color="auto"/>
              <w:bottom w:val="single" w:sz="4" w:space="0" w:color="auto"/>
              <w:right w:val="single" w:sz="4" w:space="0" w:color="auto"/>
            </w:tcBorders>
            <w:noWrap/>
            <w:hideMark/>
          </w:tcPr>
          <w:p w14:paraId="1680D6A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9335</w:t>
            </w:r>
          </w:p>
        </w:tc>
        <w:tc>
          <w:tcPr>
            <w:tcW w:w="725" w:type="dxa"/>
            <w:tcBorders>
              <w:top w:val="single" w:sz="4" w:space="0" w:color="auto"/>
              <w:left w:val="single" w:sz="4" w:space="0" w:color="auto"/>
              <w:bottom w:val="single" w:sz="4" w:space="0" w:color="auto"/>
              <w:right w:val="single" w:sz="4" w:space="0" w:color="auto"/>
            </w:tcBorders>
            <w:noWrap/>
            <w:hideMark/>
          </w:tcPr>
          <w:p w14:paraId="67B6768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9407</w:t>
            </w:r>
          </w:p>
        </w:tc>
        <w:tc>
          <w:tcPr>
            <w:tcW w:w="724" w:type="dxa"/>
            <w:tcBorders>
              <w:top w:val="single" w:sz="4" w:space="0" w:color="auto"/>
              <w:left w:val="single" w:sz="4" w:space="0" w:color="auto"/>
              <w:bottom w:val="single" w:sz="4" w:space="0" w:color="auto"/>
              <w:right w:val="single" w:sz="4" w:space="0" w:color="auto"/>
            </w:tcBorders>
            <w:noWrap/>
            <w:hideMark/>
          </w:tcPr>
          <w:p w14:paraId="5DEE71B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9493</w:t>
            </w:r>
          </w:p>
        </w:tc>
        <w:tc>
          <w:tcPr>
            <w:tcW w:w="724" w:type="dxa"/>
            <w:tcBorders>
              <w:top w:val="single" w:sz="4" w:space="0" w:color="auto"/>
              <w:left w:val="single" w:sz="4" w:space="0" w:color="auto"/>
              <w:bottom w:val="single" w:sz="4" w:space="0" w:color="auto"/>
              <w:right w:val="single" w:sz="4" w:space="0" w:color="auto"/>
            </w:tcBorders>
            <w:noWrap/>
            <w:hideMark/>
          </w:tcPr>
          <w:p w14:paraId="1F8E1ED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9554</w:t>
            </w:r>
          </w:p>
        </w:tc>
        <w:tc>
          <w:tcPr>
            <w:tcW w:w="724" w:type="dxa"/>
            <w:tcBorders>
              <w:top w:val="single" w:sz="4" w:space="0" w:color="auto"/>
              <w:left w:val="single" w:sz="4" w:space="0" w:color="auto"/>
              <w:bottom w:val="single" w:sz="4" w:space="0" w:color="auto"/>
              <w:right w:val="single" w:sz="4" w:space="0" w:color="auto"/>
            </w:tcBorders>
            <w:noWrap/>
            <w:hideMark/>
          </w:tcPr>
          <w:p w14:paraId="2A41633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9670</w:t>
            </w:r>
          </w:p>
        </w:tc>
        <w:tc>
          <w:tcPr>
            <w:tcW w:w="725" w:type="dxa"/>
            <w:tcBorders>
              <w:top w:val="single" w:sz="4" w:space="0" w:color="auto"/>
              <w:left w:val="single" w:sz="4" w:space="0" w:color="auto"/>
              <w:bottom w:val="single" w:sz="4" w:space="0" w:color="auto"/>
              <w:right w:val="single" w:sz="4" w:space="0" w:color="auto"/>
            </w:tcBorders>
            <w:noWrap/>
            <w:hideMark/>
          </w:tcPr>
          <w:p w14:paraId="2987F14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9718</w:t>
            </w:r>
          </w:p>
        </w:tc>
        <w:tc>
          <w:tcPr>
            <w:tcW w:w="724" w:type="dxa"/>
            <w:tcBorders>
              <w:top w:val="single" w:sz="4" w:space="0" w:color="auto"/>
              <w:left w:val="single" w:sz="4" w:space="0" w:color="auto"/>
              <w:bottom w:val="single" w:sz="4" w:space="0" w:color="auto"/>
              <w:right w:val="single" w:sz="4" w:space="0" w:color="auto"/>
            </w:tcBorders>
            <w:noWrap/>
            <w:hideMark/>
          </w:tcPr>
          <w:p w14:paraId="5F40D2E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9790</w:t>
            </w:r>
          </w:p>
        </w:tc>
        <w:tc>
          <w:tcPr>
            <w:tcW w:w="724" w:type="dxa"/>
            <w:tcBorders>
              <w:top w:val="single" w:sz="4" w:space="0" w:color="auto"/>
              <w:left w:val="single" w:sz="4" w:space="0" w:color="auto"/>
              <w:bottom w:val="single" w:sz="4" w:space="0" w:color="auto"/>
              <w:right w:val="single" w:sz="4" w:space="0" w:color="auto"/>
            </w:tcBorders>
            <w:noWrap/>
            <w:hideMark/>
          </w:tcPr>
          <w:p w14:paraId="54E840D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9567</w:t>
            </w:r>
          </w:p>
        </w:tc>
        <w:tc>
          <w:tcPr>
            <w:tcW w:w="725" w:type="dxa"/>
            <w:tcBorders>
              <w:top w:val="single" w:sz="4" w:space="0" w:color="auto"/>
              <w:left w:val="single" w:sz="4" w:space="0" w:color="auto"/>
              <w:bottom w:val="single" w:sz="4" w:space="0" w:color="auto"/>
              <w:right w:val="single" w:sz="4" w:space="0" w:color="auto"/>
            </w:tcBorders>
            <w:noWrap/>
            <w:hideMark/>
          </w:tcPr>
          <w:p w14:paraId="6D0C25C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9528</w:t>
            </w:r>
          </w:p>
        </w:tc>
      </w:tr>
      <w:tr w:rsidR="00614438" w:rsidRPr="00656BE7" w14:paraId="6A8F5123"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328CEC5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Scenario-S-N</w:t>
            </w:r>
          </w:p>
        </w:tc>
        <w:tc>
          <w:tcPr>
            <w:tcW w:w="724" w:type="dxa"/>
            <w:tcBorders>
              <w:top w:val="single" w:sz="4" w:space="0" w:color="auto"/>
              <w:left w:val="single" w:sz="4" w:space="0" w:color="auto"/>
              <w:bottom w:val="single" w:sz="4" w:space="0" w:color="auto"/>
              <w:right w:val="single" w:sz="4" w:space="0" w:color="auto"/>
            </w:tcBorders>
            <w:noWrap/>
            <w:hideMark/>
          </w:tcPr>
          <w:p w14:paraId="63543DC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8887</w:t>
            </w:r>
          </w:p>
        </w:tc>
        <w:tc>
          <w:tcPr>
            <w:tcW w:w="724" w:type="dxa"/>
            <w:tcBorders>
              <w:top w:val="single" w:sz="4" w:space="0" w:color="auto"/>
              <w:left w:val="single" w:sz="4" w:space="0" w:color="auto"/>
              <w:bottom w:val="single" w:sz="4" w:space="0" w:color="auto"/>
              <w:right w:val="single" w:sz="4" w:space="0" w:color="auto"/>
            </w:tcBorders>
            <w:noWrap/>
            <w:hideMark/>
          </w:tcPr>
          <w:p w14:paraId="31D278D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9333</w:t>
            </w:r>
          </w:p>
        </w:tc>
        <w:tc>
          <w:tcPr>
            <w:tcW w:w="724" w:type="dxa"/>
            <w:tcBorders>
              <w:top w:val="single" w:sz="4" w:space="0" w:color="auto"/>
              <w:left w:val="single" w:sz="4" w:space="0" w:color="auto"/>
              <w:bottom w:val="single" w:sz="4" w:space="0" w:color="auto"/>
              <w:right w:val="single" w:sz="4" w:space="0" w:color="auto"/>
            </w:tcBorders>
            <w:noWrap/>
            <w:hideMark/>
          </w:tcPr>
          <w:p w14:paraId="7271EA5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9335</w:t>
            </w:r>
          </w:p>
        </w:tc>
        <w:tc>
          <w:tcPr>
            <w:tcW w:w="725" w:type="dxa"/>
            <w:tcBorders>
              <w:top w:val="single" w:sz="4" w:space="0" w:color="auto"/>
              <w:left w:val="single" w:sz="4" w:space="0" w:color="auto"/>
              <w:bottom w:val="single" w:sz="4" w:space="0" w:color="auto"/>
              <w:right w:val="single" w:sz="4" w:space="0" w:color="auto"/>
            </w:tcBorders>
            <w:noWrap/>
            <w:hideMark/>
          </w:tcPr>
          <w:p w14:paraId="1738654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9407</w:t>
            </w:r>
          </w:p>
        </w:tc>
        <w:tc>
          <w:tcPr>
            <w:tcW w:w="724" w:type="dxa"/>
            <w:tcBorders>
              <w:top w:val="single" w:sz="4" w:space="0" w:color="auto"/>
              <w:left w:val="single" w:sz="4" w:space="0" w:color="auto"/>
              <w:bottom w:val="single" w:sz="4" w:space="0" w:color="auto"/>
              <w:right w:val="single" w:sz="4" w:space="0" w:color="auto"/>
            </w:tcBorders>
            <w:noWrap/>
            <w:hideMark/>
          </w:tcPr>
          <w:p w14:paraId="6991FB8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9493</w:t>
            </w:r>
          </w:p>
        </w:tc>
        <w:tc>
          <w:tcPr>
            <w:tcW w:w="724" w:type="dxa"/>
            <w:tcBorders>
              <w:top w:val="single" w:sz="4" w:space="0" w:color="auto"/>
              <w:left w:val="single" w:sz="4" w:space="0" w:color="auto"/>
              <w:bottom w:val="single" w:sz="4" w:space="0" w:color="auto"/>
              <w:right w:val="single" w:sz="4" w:space="0" w:color="auto"/>
            </w:tcBorders>
            <w:noWrap/>
            <w:hideMark/>
          </w:tcPr>
          <w:p w14:paraId="206B66B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9554</w:t>
            </w:r>
          </w:p>
        </w:tc>
        <w:tc>
          <w:tcPr>
            <w:tcW w:w="724" w:type="dxa"/>
            <w:tcBorders>
              <w:top w:val="single" w:sz="4" w:space="0" w:color="auto"/>
              <w:left w:val="single" w:sz="4" w:space="0" w:color="auto"/>
              <w:bottom w:val="single" w:sz="4" w:space="0" w:color="auto"/>
              <w:right w:val="single" w:sz="4" w:space="0" w:color="auto"/>
            </w:tcBorders>
            <w:noWrap/>
            <w:hideMark/>
          </w:tcPr>
          <w:p w14:paraId="5350AAA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9670</w:t>
            </w:r>
          </w:p>
        </w:tc>
        <w:tc>
          <w:tcPr>
            <w:tcW w:w="725" w:type="dxa"/>
            <w:tcBorders>
              <w:top w:val="single" w:sz="4" w:space="0" w:color="auto"/>
              <w:left w:val="single" w:sz="4" w:space="0" w:color="auto"/>
              <w:bottom w:val="single" w:sz="4" w:space="0" w:color="auto"/>
              <w:right w:val="single" w:sz="4" w:space="0" w:color="auto"/>
            </w:tcBorders>
            <w:noWrap/>
            <w:hideMark/>
          </w:tcPr>
          <w:p w14:paraId="58AF0A7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9737</w:t>
            </w:r>
          </w:p>
        </w:tc>
        <w:tc>
          <w:tcPr>
            <w:tcW w:w="724" w:type="dxa"/>
            <w:tcBorders>
              <w:top w:val="single" w:sz="4" w:space="0" w:color="auto"/>
              <w:left w:val="single" w:sz="4" w:space="0" w:color="auto"/>
              <w:bottom w:val="single" w:sz="4" w:space="0" w:color="auto"/>
              <w:right w:val="single" w:sz="4" w:space="0" w:color="auto"/>
            </w:tcBorders>
            <w:noWrap/>
            <w:hideMark/>
          </w:tcPr>
          <w:p w14:paraId="4E31CD4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9757</w:t>
            </w:r>
          </w:p>
        </w:tc>
        <w:tc>
          <w:tcPr>
            <w:tcW w:w="724" w:type="dxa"/>
            <w:tcBorders>
              <w:top w:val="single" w:sz="4" w:space="0" w:color="auto"/>
              <w:left w:val="single" w:sz="4" w:space="0" w:color="auto"/>
              <w:bottom w:val="single" w:sz="4" w:space="0" w:color="auto"/>
              <w:right w:val="single" w:sz="4" w:space="0" w:color="auto"/>
            </w:tcBorders>
            <w:noWrap/>
            <w:hideMark/>
          </w:tcPr>
          <w:p w14:paraId="679DDAC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9501</w:t>
            </w:r>
          </w:p>
        </w:tc>
        <w:tc>
          <w:tcPr>
            <w:tcW w:w="725" w:type="dxa"/>
            <w:tcBorders>
              <w:top w:val="single" w:sz="4" w:space="0" w:color="auto"/>
              <w:left w:val="single" w:sz="4" w:space="0" w:color="auto"/>
              <w:bottom w:val="single" w:sz="4" w:space="0" w:color="auto"/>
              <w:right w:val="single" w:sz="4" w:space="0" w:color="auto"/>
            </w:tcBorders>
            <w:noWrap/>
            <w:hideMark/>
          </w:tcPr>
          <w:p w14:paraId="2DDF4CB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9455</w:t>
            </w:r>
          </w:p>
        </w:tc>
      </w:tr>
    </w:tbl>
    <w:p w14:paraId="17289631" w14:textId="77777777" w:rsidR="00614438" w:rsidRPr="00614438" w:rsidRDefault="00614438" w:rsidP="00656BE7">
      <w:pPr>
        <w:spacing w:before="240"/>
        <w:jc w:val="both"/>
        <w:rPr>
          <w:rFonts w:ascii="Times New Roman" w:hAnsi="Times New Roman" w:cs="Times New Roman"/>
          <w:sz w:val="24"/>
          <w:szCs w:val="24"/>
          <w:lang w:val="en-GB"/>
        </w:rPr>
      </w:pPr>
      <w:bookmarkStart w:id="717" w:name="_Toc153545103"/>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10</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Primary Energy Supply [ktoe]</w:t>
      </w:r>
      <w:bookmarkEnd w:id="717"/>
    </w:p>
    <w:tbl>
      <w:tblPr>
        <w:tblStyle w:val="TableGrid"/>
        <w:tblW w:w="0" w:type="auto"/>
        <w:tblLayout w:type="fixed"/>
        <w:tblLook w:val="04A0" w:firstRow="1" w:lastRow="0" w:firstColumn="1" w:lastColumn="0" w:noHBand="0" w:noVBand="1"/>
      </w:tblPr>
      <w:tblGrid>
        <w:gridCol w:w="1661"/>
        <w:gridCol w:w="724"/>
        <w:gridCol w:w="724"/>
        <w:gridCol w:w="724"/>
        <w:gridCol w:w="725"/>
        <w:gridCol w:w="724"/>
        <w:gridCol w:w="724"/>
        <w:gridCol w:w="724"/>
        <w:gridCol w:w="725"/>
        <w:gridCol w:w="724"/>
        <w:gridCol w:w="724"/>
        <w:gridCol w:w="725"/>
      </w:tblGrid>
      <w:tr w:rsidR="00614438" w:rsidRPr="00656BE7" w14:paraId="5821FF6C"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0B168D8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Primary Energy Supply [ktoe]</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B41131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A86546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E603DB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D2BA67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E9CE92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4AA896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D65889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B35B25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6088BE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0EBE8E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5527A1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r>
      <w:tr w:rsidR="00614438" w:rsidRPr="00656BE7" w14:paraId="0CE5CD72"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2B50A7E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WEM</w:t>
            </w:r>
          </w:p>
        </w:tc>
        <w:tc>
          <w:tcPr>
            <w:tcW w:w="724" w:type="dxa"/>
            <w:tcBorders>
              <w:top w:val="single" w:sz="4" w:space="0" w:color="auto"/>
              <w:left w:val="single" w:sz="4" w:space="0" w:color="auto"/>
              <w:bottom w:val="single" w:sz="4" w:space="0" w:color="auto"/>
              <w:right w:val="single" w:sz="4" w:space="0" w:color="auto"/>
            </w:tcBorders>
            <w:noWrap/>
            <w:hideMark/>
          </w:tcPr>
          <w:p w14:paraId="50452DD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15954</w:t>
            </w:r>
          </w:p>
        </w:tc>
        <w:tc>
          <w:tcPr>
            <w:tcW w:w="724" w:type="dxa"/>
            <w:tcBorders>
              <w:top w:val="single" w:sz="4" w:space="0" w:color="auto"/>
              <w:left w:val="single" w:sz="4" w:space="0" w:color="auto"/>
              <w:bottom w:val="single" w:sz="4" w:space="0" w:color="auto"/>
              <w:right w:val="single" w:sz="4" w:space="0" w:color="auto"/>
            </w:tcBorders>
            <w:noWrap/>
            <w:hideMark/>
          </w:tcPr>
          <w:p w14:paraId="08FB84E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17100</w:t>
            </w:r>
          </w:p>
        </w:tc>
        <w:tc>
          <w:tcPr>
            <w:tcW w:w="724" w:type="dxa"/>
            <w:tcBorders>
              <w:top w:val="single" w:sz="4" w:space="0" w:color="auto"/>
              <w:left w:val="single" w:sz="4" w:space="0" w:color="auto"/>
              <w:bottom w:val="single" w:sz="4" w:space="0" w:color="auto"/>
              <w:right w:val="single" w:sz="4" w:space="0" w:color="auto"/>
            </w:tcBorders>
            <w:noWrap/>
            <w:hideMark/>
          </w:tcPr>
          <w:p w14:paraId="3426E49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17468</w:t>
            </w:r>
          </w:p>
        </w:tc>
        <w:tc>
          <w:tcPr>
            <w:tcW w:w="725" w:type="dxa"/>
            <w:tcBorders>
              <w:top w:val="single" w:sz="4" w:space="0" w:color="auto"/>
              <w:left w:val="single" w:sz="4" w:space="0" w:color="auto"/>
              <w:bottom w:val="single" w:sz="4" w:space="0" w:color="auto"/>
              <w:right w:val="single" w:sz="4" w:space="0" w:color="auto"/>
            </w:tcBorders>
            <w:noWrap/>
            <w:hideMark/>
          </w:tcPr>
          <w:p w14:paraId="531D528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17781</w:t>
            </w:r>
          </w:p>
        </w:tc>
        <w:tc>
          <w:tcPr>
            <w:tcW w:w="724" w:type="dxa"/>
            <w:tcBorders>
              <w:top w:val="single" w:sz="4" w:space="0" w:color="auto"/>
              <w:left w:val="single" w:sz="4" w:space="0" w:color="auto"/>
              <w:bottom w:val="single" w:sz="4" w:space="0" w:color="auto"/>
              <w:right w:val="single" w:sz="4" w:space="0" w:color="auto"/>
            </w:tcBorders>
            <w:noWrap/>
            <w:hideMark/>
          </w:tcPr>
          <w:p w14:paraId="26F493D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18115</w:t>
            </w:r>
          </w:p>
        </w:tc>
        <w:tc>
          <w:tcPr>
            <w:tcW w:w="724" w:type="dxa"/>
            <w:tcBorders>
              <w:top w:val="single" w:sz="4" w:space="0" w:color="auto"/>
              <w:left w:val="single" w:sz="4" w:space="0" w:color="auto"/>
              <w:bottom w:val="single" w:sz="4" w:space="0" w:color="auto"/>
              <w:right w:val="single" w:sz="4" w:space="0" w:color="auto"/>
            </w:tcBorders>
            <w:noWrap/>
            <w:hideMark/>
          </w:tcPr>
          <w:p w14:paraId="0FD83D7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18321</w:t>
            </w:r>
          </w:p>
        </w:tc>
        <w:tc>
          <w:tcPr>
            <w:tcW w:w="724" w:type="dxa"/>
            <w:tcBorders>
              <w:top w:val="single" w:sz="4" w:space="0" w:color="auto"/>
              <w:left w:val="single" w:sz="4" w:space="0" w:color="auto"/>
              <w:bottom w:val="single" w:sz="4" w:space="0" w:color="auto"/>
              <w:right w:val="single" w:sz="4" w:space="0" w:color="auto"/>
            </w:tcBorders>
            <w:noWrap/>
            <w:hideMark/>
          </w:tcPr>
          <w:p w14:paraId="75BA544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18757</w:t>
            </w:r>
          </w:p>
        </w:tc>
        <w:tc>
          <w:tcPr>
            <w:tcW w:w="725" w:type="dxa"/>
            <w:tcBorders>
              <w:top w:val="single" w:sz="4" w:space="0" w:color="auto"/>
              <w:left w:val="single" w:sz="4" w:space="0" w:color="auto"/>
              <w:bottom w:val="single" w:sz="4" w:space="0" w:color="auto"/>
              <w:right w:val="single" w:sz="4" w:space="0" w:color="auto"/>
            </w:tcBorders>
            <w:noWrap/>
            <w:hideMark/>
          </w:tcPr>
          <w:p w14:paraId="083FBFB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19615</w:t>
            </w:r>
          </w:p>
        </w:tc>
        <w:tc>
          <w:tcPr>
            <w:tcW w:w="724" w:type="dxa"/>
            <w:tcBorders>
              <w:top w:val="single" w:sz="4" w:space="0" w:color="auto"/>
              <w:left w:val="single" w:sz="4" w:space="0" w:color="auto"/>
              <w:bottom w:val="single" w:sz="4" w:space="0" w:color="auto"/>
              <w:right w:val="single" w:sz="4" w:space="0" w:color="auto"/>
            </w:tcBorders>
            <w:noWrap/>
            <w:hideMark/>
          </w:tcPr>
          <w:p w14:paraId="10A9E76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20468</w:t>
            </w:r>
          </w:p>
        </w:tc>
        <w:tc>
          <w:tcPr>
            <w:tcW w:w="724" w:type="dxa"/>
            <w:tcBorders>
              <w:top w:val="single" w:sz="4" w:space="0" w:color="auto"/>
              <w:left w:val="single" w:sz="4" w:space="0" w:color="auto"/>
              <w:bottom w:val="single" w:sz="4" w:space="0" w:color="auto"/>
              <w:right w:val="single" w:sz="4" w:space="0" w:color="auto"/>
            </w:tcBorders>
            <w:noWrap/>
            <w:hideMark/>
          </w:tcPr>
          <w:p w14:paraId="611F4F2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21190</w:t>
            </w:r>
          </w:p>
        </w:tc>
        <w:tc>
          <w:tcPr>
            <w:tcW w:w="725" w:type="dxa"/>
            <w:tcBorders>
              <w:top w:val="single" w:sz="4" w:space="0" w:color="auto"/>
              <w:left w:val="single" w:sz="4" w:space="0" w:color="auto"/>
              <w:bottom w:val="single" w:sz="4" w:space="0" w:color="auto"/>
              <w:right w:val="single" w:sz="4" w:space="0" w:color="auto"/>
            </w:tcBorders>
            <w:noWrap/>
            <w:hideMark/>
          </w:tcPr>
          <w:p w14:paraId="092C8B3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20926</w:t>
            </w:r>
          </w:p>
        </w:tc>
      </w:tr>
      <w:tr w:rsidR="00614438" w:rsidRPr="00656BE7" w14:paraId="0DF5BF87"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670749A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w:t>
            </w:r>
          </w:p>
        </w:tc>
        <w:tc>
          <w:tcPr>
            <w:tcW w:w="724" w:type="dxa"/>
            <w:tcBorders>
              <w:top w:val="single" w:sz="4" w:space="0" w:color="auto"/>
              <w:left w:val="single" w:sz="4" w:space="0" w:color="auto"/>
              <w:bottom w:val="single" w:sz="4" w:space="0" w:color="auto"/>
              <w:right w:val="single" w:sz="4" w:space="0" w:color="auto"/>
            </w:tcBorders>
            <w:noWrap/>
            <w:hideMark/>
          </w:tcPr>
          <w:p w14:paraId="1DA28C0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15955</w:t>
            </w:r>
          </w:p>
        </w:tc>
        <w:tc>
          <w:tcPr>
            <w:tcW w:w="724" w:type="dxa"/>
            <w:tcBorders>
              <w:top w:val="single" w:sz="4" w:space="0" w:color="auto"/>
              <w:left w:val="single" w:sz="4" w:space="0" w:color="auto"/>
              <w:bottom w:val="single" w:sz="4" w:space="0" w:color="auto"/>
              <w:right w:val="single" w:sz="4" w:space="0" w:color="auto"/>
            </w:tcBorders>
            <w:noWrap/>
            <w:hideMark/>
          </w:tcPr>
          <w:p w14:paraId="7FE3A18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16170</w:t>
            </w:r>
          </w:p>
        </w:tc>
        <w:tc>
          <w:tcPr>
            <w:tcW w:w="724" w:type="dxa"/>
            <w:tcBorders>
              <w:top w:val="single" w:sz="4" w:space="0" w:color="auto"/>
              <w:left w:val="single" w:sz="4" w:space="0" w:color="auto"/>
              <w:bottom w:val="single" w:sz="4" w:space="0" w:color="auto"/>
              <w:right w:val="single" w:sz="4" w:space="0" w:color="auto"/>
            </w:tcBorders>
            <w:noWrap/>
            <w:hideMark/>
          </w:tcPr>
          <w:p w14:paraId="5AB83A2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16140</w:t>
            </w:r>
          </w:p>
        </w:tc>
        <w:tc>
          <w:tcPr>
            <w:tcW w:w="725" w:type="dxa"/>
            <w:tcBorders>
              <w:top w:val="single" w:sz="4" w:space="0" w:color="auto"/>
              <w:left w:val="single" w:sz="4" w:space="0" w:color="auto"/>
              <w:bottom w:val="single" w:sz="4" w:space="0" w:color="auto"/>
              <w:right w:val="single" w:sz="4" w:space="0" w:color="auto"/>
            </w:tcBorders>
            <w:noWrap/>
            <w:hideMark/>
          </w:tcPr>
          <w:p w14:paraId="689B543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16190</w:t>
            </w:r>
          </w:p>
        </w:tc>
        <w:tc>
          <w:tcPr>
            <w:tcW w:w="724" w:type="dxa"/>
            <w:tcBorders>
              <w:top w:val="single" w:sz="4" w:space="0" w:color="auto"/>
              <w:left w:val="single" w:sz="4" w:space="0" w:color="auto"/>
              <w:bottom w:val="single" w:sz="4" w:space="0" w:color="auto"/>
              <w:right w:val="single" w:sz="4" w:space="0" w:color="auto"/>
            </w:tcBorders>
            <w:noWrap/>
            <w:hideMark/>
          </w:tcPr>
          <w:p w14:paraId="29FA935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16163</w:t>
            </w:r>
          </w:p>
        </w:tc>
        <w:tc>
          <w:tcPr>
            <w:tcW w:w="724" w:type="dxa"/>
            <w:tcBorders>
              <w:top w:val="single" w:sz="4" w:space="0" w:color="auto"/>
              <w:left w:val="single" w:sz="4" w:space="0" w:color="auto"/>
              <w:bottom w:val="single" w:sz="4" w:space="0" w:color="auto"/>
              <w:right w:val="single" w:sz="4" w:space="0" w:color="auto"/>
            </w:tcBorders>
            <w:noWrap/>
            <w:hideMark/>
          </w:tcPr>
          <w:p w14:paraId="0CF3C79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15960</w:t>
            </w:r>
          </w:p>
        </w:tc>
        <w:tc>
          <w:tcPr>
            <w:tcW w:w="724" w:type="dxa"/>
            <w:tcBorders>
              <w:top w:val="single" w:sz="4" w:space="0" w:color="auto"/>
              <w:left w:val="single" w:sz="4" w:space="0" w:color="auto"/>
              <w:bottom w:val="single" w:sz="4" w:space="0" w:color="auto"/>
              <w:right w:val="single" w:sz="4" w:space="0" w:color="auto"/>
            </w:tcBorders>
            <w:noWrap/>
            <w:hideMark/>
          </w:tcPr>
          <w:p w14:paraId="7F3C311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15846</w:t>
            </w:r>
          </w:p>
        </w:tc>
        <w:tc>
          <w:tcPr>
            <w:tcW w:w="725" w:type="dxa"/>
            <w:tcBorders>
              <w:top w:val="single" w:sz="4" w:space="0" w:color="auto"/>
              <w:left w:val="single" w:sz="4" w:space="0" w:color="auto"/>
              <w:bottom w:val="single" w:sz="4" w:space="0" w:color="auto"/>
              <w:right w:val="single" w:sz="4" w:space="0" w:color="auto"/>
            </w:tcBorders>
            <w:noWrap/>
            <w:hideMark/>
          </w:tcPr>
          <w:p w14:paraId="4334EFC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14948</w:t>
            </w:r>
          </w:p>
        </w:tc>
        <w:tc>
          <w:tcPr>
            <w:tcW w:w="724" w:type="dxa"/>
            <w:tcBorders>
              <w:top w:val="single" w:sz="4" w:space="0" w:color="auto"/>
              <w:left w:val="single" w:sz="4" w:space="0" w:color="auto"/>
              <w:bottom w:val="single" w:sz="4" w:space="0" w:color="auto"/>
              <w:right w:val="single" w:sz="4" w:space="0" w:color="auto"/>
            </w:tcBorders>
            <w:noWrap/>
            <w:hideMark/>
          </w:tcPr>
          <w:p w14:paraId="60DFF28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14466</w:t>
            </w:r>
          </w:p>
        </w:tc>
        <w:tc>
          <w:tcPr>
            <w:tcW w:w="724" w:type="dxa"/>
            <w:tcBorders>
              <w:top w:val="single" w:sz="4" w:space="0" w:color="auto"/>
              <w:left w:val="single" w:sz="4" w:space="0" w:color="auto"/>
              <w:bottom w:val="single" w:sz="4" w:space="0" w:color="auto"/>
              <w:right w:val="single" w:sz="4" w:space="0" w:color="auto"/>
            </w:tcBorders>
            <w:noWrap/>
            <w:hideMark/>
          </w:tcPr>
          <w:p w14:paraId="0A67C5D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13773</w:t>
            </w:r>
          </w:p>
        </w:tc>
        <w:tc>
          <w:tcPr>
            <w:tcW w:w="725" w:type="dxa"/>
            <w:tcBorders>
              <w:top w:val="single" w:sz="4" w:space="0" w:color="auto"/>
              <w:left w:val="single" w:sz="4" w:space="0" w:color="auto"/>
              <w:bottom w:val="single" w:sz="4" w:space="0" w:color="auto"/>
              <w:right w:val="single" w:sz="4" w:space="0" w:color="auto"/>
            </w:tcBorders>
            <w:noWrap/>
            <w:hideMark/>
          </w:tcPr>
          <w:p w14:paraId="4A1E783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13052</w:t>
            </w:r>
          </w:p>
        </w:tc>
      </w:tr>
      <w:tr w:rsidR="00614438" w:rsidRPr="00656BE7" w14:paraId="679827E2"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27C15BB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Scenario-S-N</w:t>
            </w:r>
          </w:p>
        </w:tc>
        <w:tc>
          <w:tcPr>
            <w:tcW w:w="724" w:type="dxa"/>
            <w:tcBorders>
              <w:top w:val="single" w:sz="4" w:space="0" w:color="auto"/>
              <w:left w:val="single" w:sz="4" w:space="0" w:color="auto"/>
              <w:bottom w:val="single" w:sz="4" w:space="0" w:color="auto"/>
              <w:right w:val="single" w:sz="4" w:space="0" w:color="auto"/>
            </w:tcBorders>
            <w:noWrap/>
            <w:hideMark/>
          </w:tcPr>
          <w:p w14:paraId="3FE81B6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15955</w:t>
            </w:r>
          </w:p>
        </w:tc>
        <w:tc>
          <w:tcPr>
            <w:tcW w:w="724" w:type="dxa"/>
            <w:tcBorders>
              <w:top w:val="single" w:sz="4" w:space="0" w:color="auto"/>
              <w:left w:val="single" w:sz="4" w:space="0" w:color="auto"/>
              <w:bottom w:val="single" w:sz="4" w:space="0" w:color="auto"/>
              <w:right w:val="single" w:sz="4" w:space="0" w:color="auto"/>
            </w:tcBorders>
            <w:noWrap/>
            <w:hideMark/>
          </w:tcPr>
          <w:p w14:paraId="4670006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16170</w:t>
            </w:r>
          </w:p>
        </w:tc>
        <w:tc>
          <w:tcPr>
            <w:tcW w:w="724" w:type="dxa"/>
            <w:tcBorders>
              <w:top w:val="single" w:sz="4" w:space="0" w:color="auto"/>
              <w:left w:val="single" w:sz="4" w:space="0" w:color="auto"/>
              <w:bottom w:val="single" w:sz="4" w:space="0" w:color="auto"/>
              <w:right w:val="single" w:sz="4" w:space="0" w:color="auto"/>
            </w:tcBorders>
            <w:noWrap/>
            <w:hideMark/>
          </w:tcPr>
          <w:p w14:paraId="51CD56C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16140</w:t>
            </w:r>
          </w:p>
        </w:tc>
        <w:tc>
          <w:tcPr>
            <w:tcW w:w="725" w:type="dxa"/>
            <w:tcBorders>
              <w:top w:val="single" w:sz="4" w:space="0" w:color="auto"/>
              <w:left w:val="single" w:sz="4" w:space="0" w:color="auto"/>
              <w:bottom w:val="single" w:sz="4" w:space="0" w:color="auto"/>
              <w:right w:val="single" w:sz="4" w:space="0" w:color="auto"/>
            </w:tcBorders>
            <w:noWrap/>
            <w:hideMark/>
          </w:tcPr>
          <w:p w14:paraId="4D86C97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16190</w:t>
            </w:r>
          </w:p>
        </w:tc>
        <w:tc>
          <w:tcPr>
            <w:tcW w:w="724" w:type="dxa"/>
            <w:tcBorders>
              <w:top w:val="single" w:sz="4" w:space="0" w:color="auto"/>
              <w:left w:val="single" w:sz="4" w:space="0" w:color="auto"/>
              <w:bottom w:val="single" w:sz="4" w:space="0" w:color="auto"/>
              <w:right w:val="single" w:sz="4" w:space="0" w:color="auto"/>
            </w:tcBorders>
            <w:noWrap/>
            <w:hideMark/>
          </w:tcPr>
          <w:p w14:paraId="46EBA46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16163</w:t>
            </w:r>
          </w:p>
        </w:tc>
        <w:tc>
          <w:tcPr>
            <w:tcW w:w="724" w:type="dxa"/>
            <w:tcBorders>
              <w:top w:val="single" w:sz="4" w:space="0" w:color="auto"/>
              <w:left w:val="single" w:sz="4" w:space="0" w:color="auto"/>
              <w:bottom w:val="single" w:sz="4" w:space="0" w:color="auto"/>
              <w:right w:val="single" w:sz="4" w:space="0" w:color="auto"/>
            </w:tcBorders>
            <w:noWrap/>
            <w:hideMark/>
          </w:tcPr>
          <w:p w14:paraId="590F233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15960</w:t>
            </w:r>
          </w:p>
        </w:tc>
        <w:tc>
          <w:tcPr>
            <w:tcW w:w="724" w:type="dxa"/>
            <w:tcBorders>
              <w:top w:val="single" w:sz="4" w:space="0" w:color="auto"/>
              <w:left w:val="single" w:sz="4" w:space="0" w:color="auto"/>
              <w:bottom w:val="single" w:sz="4" w:space="0" w:color="auto"/>
              <w:right w:val="single" w:sz="4" w:space="0" w:color="auto"/>
            </w:tcBorders>
            <w:noWrap/>
            <w:hideMark/>
          </w:tcPr>
          <w:p w14:paraId="34C7C5D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15846</w:t>
            </w:r>
          </w:p>
        </w:tc>
        <w:tc>
          <w:tcPr>
            <w:tcW w:w="725" w:type="dxa"/>
            <w:tcBorders>
              <w:top w:val="single" w:sz="4" w:space="0" w:color="auto"/>
              <w:left w:val="single" w:sz="4" w:space="0" w:color="auto"/>
              <w:bottom w:val="single" w:sz="4" w:space="0" w:color="auto"/>
              <w:right w:val="single" w:sz="4" w:space="0" w:color="auto"/>
            </w:tcBorders>
            <w:noWrap/>
            <w:hideMark/>
          </w:tcPr>
          <w:p w14:paraId="6EFE559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14963</w:t>
            </w:r>
          </w:p>
        </w:tc>
        <w:tc>
          <w:tcPr>
            <w:tcW w:w="724" w:type="dxa"/>
            <w:tcBorders>
              <w:top w:val="single" w:sz="4" w:space="0" w:color="auto"/>
              <w:left w:val="single" w:sz="4" w:space="0" w:color="auto"/>
              <w:bottom w:val="single" w:sz="4" w:space="0" w:color="auto"/>
              <w:right w:val="single" w:sz="4" w:space="0" w:color="auto"/>
            </w:tcBorders>
            <w:noWrap/>
            <w:hideMark/>
          </w:tcPr>
          <w:p w14:paraId="2E25BB4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14567</w:t>
            </w:r>
          </w:p>
        </w:tc>
        <w:tc>
          <w:tcPr>
            <w:tcW w:w="724" w:type="dxa"/>
            <w:tcBorders>
              <w:top w:val="single" w:sz="4" w:space="0" w:color="auto"/>
              <w:left w:val="single" w:sz="4" w:space="0" w:color="auto"/>
              <w:bottom w:val="single" w:sz="4" w:space="0" w:color="auto"/>
              <w:right w:val="single" w:sz="4" w:space="0" w:color="auto"/>
            </w:tcBorders>
            <w:noWrap/>
            <w:hideMark/>
          </w:tcPr>
          <w:p w14:paraId="788E425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14487</w:t>
            </w:r>
          </w:p>
        </w:tc>
        <w:tc>
          <w:tcPr>
            <w:tcW w:w="725" w:type="dxa"/>
            <w:tcBorders>
              <w:top w:val="single" w:sz="4" w:space="0" w:color="auto"/>
              <w:left w:val="single" w:sz="4" w:space="0" w:color="auto"/>
              <w:bottom w:val="single" w:sz="4" w:space="0" w:color="auto"/>
              <w:right w:val="single" w:sz="4" w:space="0" w:color="auto"/>
            </w:tcBorders>
            <w:noWrap/>
            <w:hideMark/>
          </w:tcPr>
          <w:p w14:paraId="04951D7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14009</w:t>
            </w:r>
          </w:p>
        </w:tc>
      </w:tr>
    </w:tbl>
    <w:p w14:paraId="533EF825" w14:textId="77777777" w:rsidR="00614438" w:rsidRPr="00614438" w:rsidRDefault="00614438" w:rsidP="00656BE7">
      <w:pPr>
        <w:spacing w:before="240"/>
        <w:jc w:val="both"/>
        <w:rPr>
          <w:rFonts w:ascii="Times New Roman" w:hAnsi="Times New Roman" w:cs="Times New Roman"/>
          <w:sz w:val="24"/>
          <w:szCs w:val="24"/>
          <w:lang w:val="en-GB"/>
        </w:rPr>
      </w:pPr>
      <w:bookmarkStart w:id="718" w:name="_Toc153545104"/>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Primary Energy Consumption [ktoe]</w:t>
      </w:r>
      <w:bookmarkEnd w:id="718"/>
    </w:p>
    <w:tbl>
      <w:tblPr>
        <w:tblStyle w:val="TableGrid"/>
        <w:tblW w:w="0" w:type="auto"/>
        <w:tblLayout w:type="fixed"/>
        <w:tblLook w:val="04A0" w:firstRow="1" w:lastRow="0" w:firstColumn="1" w:lastColumn="0" w:noHBand="0" w:noVBand="1"/>
      </w:tblPr>
      <w:tblGrid>
        <w:gridCol w:w="1661"/>
        <w:gridCol w:w="724"/>
        <w:gridCol w:w="724"/>
        <w:gridCol w:w="724"/>
        <w:gridCol w:w="725"/>
        <w:gridCol w:w="724"/>
        <w:gridCol w:w="724"/>
        <w:gridCol w:w="724"/>
        <w:gridCol w:w="725"/>
        <w:gridCol w:w="724"/>
        <w:gridCol w:w="724"/>
        <w:gridCol w:w="725"/>
      </w:tblGrid>
      <w:tr w:rsidR="00614438" w:rsidRPr="00656BE7" w14:paraId="31CCD91C"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31C284A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lastRenderedPageBreak/>
              <w:t>Primary Energy Consumption [ktoe]</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E66B82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5B39BB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668A1E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71700A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8806D7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1F5536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B8DDEC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CA846E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EB4876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EBC17F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0F067D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r>
      <w:tr w:rsidR="00614438" w:rsidRPr="00656BE7" w14:paraId="192759DA"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1AB1C28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WEM</w:t>
            </w:r>
          </w:p>
        </w:tc>
        <w:tc>
          <w:tcPr>
            <w:tcW w:w="724" w:type="dxa"/>
            <w:tcBorders>
              <w:top w:val="single" w:sz="4" w:space="0" w:color="auto"/>
              <w:left w:val="single" w:sz="4" w:space="0" w:color="auto"/>
              <w:bottom w:val="single" w:sz="4" w:space="0" w:color="auto"/>
              <w:right w:val="single" w:sz="4" w:space="0" w:color="auto"/>
            </w:tcBorders>
            <w:noWrap/>
            <w:hideMark/>
          </w:tcPr>
          <w:p w14:paraId="3080166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15083</w:t>
            </w:r>
          </w:p>
        </w:tc>
        <w:tc>
          <w:tcPr>
            <w:tcW w:w="724" w:type="dxa"/>
            <w:tcBorders>
              <w:top w:val="single" w:sz="4" w:space="0" w:color="auto"/>
              <w:left w:val="single" w:sz="4" w:space="0" w:color="auto"/>
              <w:bottom w:val="single" w:sz="4" w:space="0" w:color="auto"/>
              <w:right w:val="single" w:sz="4" w:space="0" w:color="auto"/>
            </w:tcBorders>
            <w:noWrap/>
            <w:hideMark/>
          </w:tcPr>
          <w:p w14:paraId="3CE815B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16079</w:t>
            </w:r>
          </w:p>
        </w:tc>
        <w:tc>
          <w:tcPr>
            <w:tcW w:w="724" w:type="dxa"/>
            <w:tcBorders>
              <w:top w:val="single" w:sz="4" w:space="0" w:color="auto"/>
              <w:left w:val="single" w:sz="4" w:space="0" w:color="auto"/>
              <w:bottom w:val="single" w:sz="4" w:space="0" w:color="auto"/>
              <w:right w:val="single" w:sz="4" w:space="0" w:color="auto"/>
            </w:tcBorders>
            <w:noWrap/>
            <w:hideMark/>
          </w:tcPr>
          <w:p w14:paraId="2E96762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16416</w:t>
            </w:r>
          </w:p>
        </w:tc>
        <w:tc>
          <w:tcPr>
            <w:tcW w:w="725" w:type="dxa"/>
            <w:tcBorders>
              <w:top w:val="single" w:sz="4" w:space="0" w:color="auto"/>
              <w:left w:val="single" w:sz="4" w:space="0" w:color="auto"/>
              <w:bottom w:val="single" w:sz="4" w:space="0" w:color="auto"/>
              <w:right w:val="single" w:sz="4" w:space="0" w:color="auto"/>
            </w:tcBorders>
            <w:noWrap/>
            <w:hideMark/>
          </w:tcPr>
          <w:p w14:paraId="5D3ECFF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16702</w:t>
            </w:r>
          </w:p>
        </w:tc>
        <w:tc>
          <w:tcPr>
            <w:tcW w:w="724" w:type="dxa"/>
            <w:tcBorders>
              <w:top w:val="single" w:sz="4" w:space="0" w:color="auto"/>
              <w:left w:val="single" w:sz="4" w:space="0" w:color="auto"/>
              <w:bottom w:val="single" w:sz="4" w:space="0" w:color="auto"/>
              <w:right w:val="single" w:sz="4" w:space="0" w:color="auto"/>
            </w:tcBorders>
            <w:noWrap/>
            <w:hideMark/>
          </w:tcPr>
          <w:p w14:paraId="4DBD19D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17010</w:t>
            </w:r>
          </w:p>
        </w:tc>
        <w:tc>
          <w:tcPr>
            <w:tcW w:w="724" w:type="dxa"/>
            <w:tcBorders>
              <w:top w:val="single" w:sz="4" w:space="0" w:color="auto"/>
              <w:left w:val="single" w:sz="4" w:space="0" w:color="auto"/>
              <w:bottom w:val="single" w:sz="4" w:space="0" w:color="auto"/>
              <w:right w:val="single" w:sz="4" w:space="0" w:color="auto"/>
            </w:tcBorders>
            <w:noWrap/>
            <w:hideMark/>
          </w:tcPr>
          <w:p w14:paraId="6A95F2A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17190</w:t>
            </w:r>
          </w:p>
        </w:tc>
        <w:tc>
          <w:tcPr>
            <w:tcW w:w="724" w:type="dxa"/>
            <w:tcBorders>
              <w:top w:val="single" w:sz="4" w:space="0" w:color="auto"/>
              <w:left w:val="single" w:sz="4" w:space="0" w:color="auto"/>
              <w:bottom w:val="single" w:sz="4" w:space="0" w:color="auto"/>
              <w:right w:val="single" w:sz="4" w:space="0" w:color="auto"/>
            </w:tcBorders>
            <w:noWrap/>
            <w:hideMark/>
          </w:tcPr>
          <w:p w14:paraId="158BA3F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17600</w:t>
            </w:r>
          </w:p>
        </w:tc>
        <w:tc>
          <w:tcPr>
            <w:tcW w:w="725" w:type="dxa"/>
            <w:tcBorders>
              <w:top w:val="single" w:sz="4" w:space="0" w:color="auto"/>
              <w:left w:val="single" w:sz="4" w:space="0" w:color="auto"/>
              <w:bottom w:val="single" w:sz="4" w:space="0" w:color="auto"/>
              <w:right w:val="single" w:sz="4" w:space="0" w:color="auto"/>
            </w:tcBorders>
            <w:noWrap/>
            <w:hideMark/>
          </w:tcPr>
          <w:p w14:paraId="291D779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18323</w:t>
            </w:r>
          </w:p>
        </w:tc>
        <w:tc>
          <w:tcPr>
            <w:tcW w:w="724" w:type="dxa"/>
            <w:tcBorders>
              <w:top w:val="single" w:sz="4" w:space="0" w:color="auto"/>
              <w:left w:val="single" w:sz="4" w:space="0" w:color="auto"/>
              <w:bottom w:val="single" w:sz="4" w:space="0" w:color="auto"/>
              <w:right w:val="single" w:sz="4" w:space="0" w:color="auto"/>
            </w:tcBorders>
            <w:noWrap/>
            <w:hideMark/>
          </w:tcPr>
          <w:p w14:paraId="6A81E5A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19044</w:t>
            </w:r>
          </w:p>
        </w:tc>
        <w:tc>
          <w:tcPr>
            <w:tcW w:w="724" w:type="dxa"/>
            <w:tcBorders>
              <w:top w:val="single" w:sz="4" w:space="0" w:color="auto"/>
              <w:left w:val="single" w:sz="4" w:space="0" w:color="auto"/>
              <w:bottom w:val="single" w:sz="4" w:space="0" w:color="auto"/>
              <w:right w:val="single" w:sz="4" w:space="0" w:color="auto"/>
            </w:tcBorders>
            <w:noWrap/>
            <w:hideMark/>
          </w:tcPr>
          <w:p w14:paraId="1453EC9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19653</w:t>
            </w:r>
          </w:p>
        </w:tc>
        <w:tc>
          <w:tcPr>
            <w:tcW w:w="725" w:type="dxa"/>
            <w:tcBorders>
              <w:top w:val="single" w:sz="4" w:space="0" w:color="auto"/>
              <w:left w:val="single" w:sz="4" w:space="0" w:color="auto"/>
              <w:bottom w:val="single" w:sz="4" w:space="0" w:color="auto"/>
              <w:right w:val="single" w:sz="4" w:space="0" w:color="auto"/>
            </w:tcBorders>
            <w:noWrap/>
            <w:hideMark/>
          </w:tcPr>
          <w:p w14:paraId="72A759A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19298</w:t>
            </w:r>
          </w:p>
        </w:tc>
      </w:tr>
      <w:tr w:rsidR="00614438" w:rsidRPr="00656BE7" w14:paraId="3925C683"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15AEAF2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w:t>
            </w:r>
          </w:p>
        </w:tc>
        <w:tc>
          <w:tcPr>
            <w:tcW w:w="724" w:type="dxa"/>
            <w:tcBorders>
              <w:top w:val="single" w:sz="4" w:space="0" w:color="auto"/>
              <w:left w:val="single" w:sz="4" w:space="0" w:color="auto"/>
              <w:bottom w:val="single" w:sz="4" w:space="0" w:color="auto"/>
              <w:right w:val="single" w:sz="4" w:space="0" w:color="auto"/>
            </w:tcBorders>
            <w:noWrap/>
            <w:hideMark/>
          </w:tcPr>
          <w:p w14:paraId="698326E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15083</w:t>
            </w:r>
          </w:p>
        </w:tc>
        <w:tc>
          <w:tcPr>
            <w:tcW w:w="724" w:type="dxa"/>
            <w:tcBorders>
              <w:top w:val="single" w:sz="4" w:space="0" w:color="auto"/>
              <w:left w:val="single" w:sz="4" w:space="0" w:color="auto"/>
              <w:bottom w:val="single" w:sz="4" w:space="0" w:color="auto"/>
              <w:right w:val="single" w:sz="4" w:space="0" w:color="auto"/>
            </w:tcBorders>
            <w:noWrap/>
            <w:hideMark/>
          </w:tcPr>
          <w:p w14:paraId="6778C97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15149</w:t>
            </w:r>
          </w:p>
        </w:tc>
        <w:tc>
          <w:tcPr>
            <w:tcW w:w="724" w:type="dxa"/>
            <w:tcBorders>
              <w:top w:val="single" w:sz="4" w:space="0" w:color="auto"/>
              <w:left w:val="single" w:sz="4" w:space="0" w:color="auto"/>
              <w:bottom w:val="single" w:sz="4" w:space="0" w:color="auto"/>
              <w:right w:val="single" w:sz="4" w:space="0" w:color="auto"/>
            </w:tcBorders>
            <w:noWrap/>
            <w:hideMark/>
          </w:tcPr>
          <w:p w14:paraId="1FD651C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15088</w:t>
            </w:r>
          </w:p>
        </w:tc>
        <w:tc>
          <w:tcPr>
            <w:tcW w:w="725" w:type="dxa"/>
            <w:tcBorders>
              <w:top w:val="single" w:sz="4" w:space="0" w:color="auto"/>
              <w:left w:val="single" w:sz="4" w:space="0" w:color="auto"/>
              <w:bottom w:val="single" w:sz="4" w:space="0" w:color="auto"/>
              <w:right w:val="single" w:sz="4" w:space="0" w:color="auto"/>
            </w:tcBorders>
            <w:noWrap/>
            <w:hideMark/>
          </w:tcPr>
          <w:p w14:paraId="7C0CB7F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15112</w:t>
            </w:r>
          </w:p>
        </w:tc>
        <w:tc>
          <w:tcPr>
            <w:tcW w:w="724" w:type="dxa"/>
            <w:tcBorders>
              <w:top w:val="single" w:sz="4" w:space="0" w:color="auto"/>
              <w:left w:val="single" w:sz="4" w:space="0" w:color="auto"/>
              <w:bottom w:val="single" w:sz="4" w:space="0" w:color="auto"/>
              <w:right w:val="single" w:sz="4" w:space="0" w:color="auto"/>
            </w:tcBorders>
            <w:noWrap/>
            <w:hideMark/>
          </w:tcPr>
          <w:p w14:paraId="0EFAECD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15059</w:t>
            </w:r>
          </w:p>
        </w:tc>
        <w:tc>
          <w:tcPr>
            <w:tcW w:w="724" w:type="dxa"/>
            <w:tcBorders>
              <w:top w:val="single" w:sz="4" w:space="0" w:color="auto"/>
              <w:left w:val="single" w:sz="4" w:space="0" w:color="auto"/>
              <w:bottom w:val="single" w:sz="4" w:space="0" w:color="auto"/>
              <w:right w:val="single" w:sz="4" w:space="0" w:color="auto"/>
            </w:tcBorders>
            <w:noWrap/>
            <w:hideMark/>
          </w:tcPr>
          <w:p w14:paraId="4B5D4AE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14829</w:t>
            </w:r>
          </w:p>
        </w:tc>
        <w:tc>
          <w:tcPr>
            <w:tcW w:w="724" w:type="dxa"/>
            <w:tcBorders>
              <w:top w:val="single" w:sz="4" w:space="0" w:color="auto"/>
              <w:left w:val="single" w:sz="4" w:space="0" w:color="auto"/>
              <w:bottom w:val="single" w:sz="4" w:space="0" w:color="auto"/>
              <w:right w:val="single" w:sz="4" w:space="0" w:color="auto"/>
            </w:tcBorders>
            <w:noWrap/>
            <w:hideMark/>
          </w:tcPr>
          <w:p w14:paraId="551036D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14689</w:t>
            </w:r>
          </w:p>
        </w:tc>
        <w:tc>
          <w:tcPr>
            <w:tcW w:w="725" w:type="dxa"/>
            <w:tcBorders>
              <w:top w:val="single" w:sz="4" w:space="0" w:color="auto"/>
              <w:left w:val="single" w:sz="4" w:space="0" w:color="auto"/>
              <w:bottom w:val="single" w:sz="4" w:space="0" w:color="auto"/>
              <w:right w:val="single" w:sz="4" w:space="0" w:color="auto"/>
            </w:tcBorders>
            <w:noWrap/>
            <w:hideMark/>
          </w:tcPr>
          <w:p w14:paraId="6A15DB8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13665</w:t>
            </w:r>
          </w:p>
        </w:tc>
        <w:tc>
          <w:tcPr>
            <w:tcW w:w="724" w:type="dxa"/>
            <w:tcBorders>
              <w:top w:val="single" w:sz="4" w:space="0" w:color="auto"/>
              <w:left w:val="single" w:sz="4" w:space="0" w:color="auto"/>
              <w:bottom w:val="single" w:sz="4" w:space="0" w:color="auto"/>
              <w:right w:val="single" w:sz="4" w:space="0" w:color="auto"/>
            </w:tcBorders>
            <w:noWrap/>
            <w:hideMark/>
          </w:tcPr>
          <w:p w14:paraId="6392E38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13097</w:t>
            </w:r>
          </w:p>
        </w:tc>
        <w:tc>
          <w:tcPr>
            <w:tcW w:w="724" w:type="dxa"/>
            <w:tcBorders>
              <w:top w:val="single" w:sz="4" w:space="0" w:color="auto"/>
              <w:left w:val="single" w:sz="4" w:space="0" w:color="auto"/>
              <w:bottom w:val="single" w:sz="4" w:space="0" w:color="auto"/>
              <w:right w:val="single" w:sz="4" w:space="0" w:color="auto"/>
            </w:tcBorders>
            <w:noWrap/>
            <w:hideMark/>
          </w:tcPr>
          <w:p w14:paraId="153012C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12330</w:t>
            </w:r>
          </w:p>
        </w:tc>
        <w:tc>
          <w:tcPr>
            <w:tcW w:w="725" w:type="dxa"/>
            <w:tcBorders>
              <w:top w:val="single" w:sz="4" w:space="0" w:color="auto"/>
              <w:left w:val="single" w:sz="4" w:space="0" w:color="auto"/>
              <w:bottom w:val="single" w:sz="4" w:space="0" w:color="auto"/>
              <w:right w:val="single" w:sz="4" w:space="0" w:color="auto"/>
            </w:tcBorders>
            <w:noWrap/>
            <w:hideMark/>
          </w:tcPr>
          <w:p w14:paraId="704C45F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11548</w:t>
            </w:r>
          </w:p>
        </w:tc>
      </w:tr>
      <w:tr w:rsidR="00614438" w:rsidRPr="00656BE7" w14:paraId="60F115F4"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793D741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Scenario-S-N</w:t>
            </w:r>
          </w:p>
        </w:tc>
        <w:tc>
          <w:tcPr>
            <w:tcW w:w="724" w:type="dxa"/>
            <w:tcBorders>
              <w:top w:val="single" w:sz="4" w:space="0" w:color="auto"/>
              <w:left w:val="single" w:sz="4" w:space="0" w:color="auto"/>
              <w:bottom w:val="single" w:sz="4" w:space="0" w:color="auto"/>
              <w:right w:val="single" w:sz="4" w:space="0" w:color="auto"/>
            </w:tcBorders>
            <w:noWrap/>
            <w:hideMark/>
          </w:tcPr>
          <w:p w14:paraId="459AA04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15083</w:t>
            </w:r>
          </w:p>
        </w:tc>
        <w:tc>
          <w:tcPr>
            <w:tcW w:w="724" w:type="dxa"/>
            <w:tcBorders>
              <w:top w:val="single" w:sz="4" w:space="0" w:color="auto"/>
              <w:left w:val="single" w:sz="4" w:space="0" w:color="auto"/>
              <w:bottom w:val="single" w:sz="4" w:space="0" w:color="auto"/>
              <w:right w:val="single" w:sz="4" w:space="0" w:color="auto"/>
            </w:tcBorders>
            <w:noWrap/>
            <w:hideMark/>
          </w:tcPr>
          <w:p w14:paraId="580346B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15149</w:t>
            </w:r>
          </w:p>
        </w:tc>
        <w:tc>
          <w:tcPr>
            <w:tcW w:w="724" w:type="dxa"/>
            <w:tcBorders>
              <w:top w:val="single" w:sz="4" w:space="0" w:color="auto"/>
              <w:left w:val="single" w:sz="4" w:space="0" w:color="auto"/>
              <w:bottom w:val="single" w:sz="4" w:space="0" w:color="auto"/>
              <w:right w:val="single" w:sz="4" w:space="0" w:color="auto"/>
            </w:tcBorders>
            <w:noWrap/>
            <w:hideMark/>
          </w:tcPr>
          <w:p w14:paraId="10BCB78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15088</w:t>
            </w:r>
          </w:p>
        </w:tc>
        <w:tc>
          <w:tcPr>
            <w:tcW w:w="725" w:type="dxa"/>
            <w:tcBorders>
              <w:top w:val="single" w:sz="4" w:space="0" w:color="auto"/>
              <w:left w:val="single" w:sz="4" w:space="0" w:color="auto"/>
              <w:bottom w:val="single" w:sz="4" w:space="0" w:color="auto"/>
              <w:right w:val="single" w:sz="4" w:space="0" w:color="auto"/>
            </w:tcBorders>
            <w:noWrap/>
            <w:hideMark/>
          </w:tcPr>
          <w:p w14:paraId="32DA19E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15112</w:t>
            </w:r>
          </w:p>
        </w:tc>
        <w:tc>
          <w:tcPr>
            <w:tcW w:w="724" w:type="dxa"/>
            <w:tcBorders>
              <w:top w:val="single" w:sz="4" w:space="0" w:color="auto"/>
              <w:left w:val="single" w:sz="4" w:space="0" w:color="auto"/>
              <w:bottom w:val="single" w:sz="4" w:space="0" w:color="auto"/>
              <w:right w:val="single" w:sz="4" w:space="0" w:color="auto"/>
            </w:tcBorders>
            <w:noWrap/>
            <w:hideMark/>
          </w:tcPr>
          <w:p w14:paraId="7420748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15059</w:t>
            </w:r>
          </w:p>
        </w:tc>
        <w:tc>
          <w:tcPr>
            <w:tcW w:w="724" w:type="dxa"/>
            <w:tcBorders>
              <w:top w:val="single" w:sz="4" w:space="0" w:color="auto"/>
              <w:left w:val="single" w:sz="4" w:space="0" w:color="auto"/>
              <w:bottom w:val="single" w:sz="4" w:space="0" w:color="auto"/>
              <w:right w:val="single" w:sz="4" w:space="0" w:color="auto"/>
            </w:tcBorders>
            <w:noWrap/>
            <w:hideMark/>
          </w:tcPr>
          <w:p w14:paraId="1C2449E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14829</w:t>
            </w:r>
          </w:p>
        </w:tc>
        <w:tc>
          <w:tcPr>
            <w:tcW w:w="724" w:type="dxa"/>
            <w:tcBorders>
              <w:top w:val="single" w:sz="4" w:space="0" w:color="auto"/>
              <w:left w:val="single" w:sz="4" w:space="0" w:color="auto"/>
              <w:bottom w:val="single" w:sz="4" w:space="0" w:color="auto"/>
              <w:right w:val="single" w:sz="4" w:space="0" w:color="auto"/>
            </w:tcBorders>
            <w:noWrap/>
            <w:hideMark/>
          </w:tcPr>
          <w:p w14:paraId="3734B09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14689</w:t>
            </w:r>
          </w:p>
        </w:tc>
        <w:tc>
          <w:tcPr>
            <w:tcW w:w="725" w:type="dxa"/>
            <w:tcBorders>
              <w:top w:val="single" w:sz="4" w:space="0" w:color="auto"/>
              <w:left w:val="single" w:sz="4" w:space="0" w:color="auto"/>
              <w:bottom w:val="single" w:sz="4" w:space="0" w:color="auto"/>
              <w:right w:val="single" w:sz="4" w:space="0" w:color="auto"/>
            </w:tcBorders>
            <w:noWrap/>
            <w:hideMark/>
          </w:tcPr>
          <w:p w14:paraId="7B6739C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13680</w:t>
            </w:r>
          </w:p>
        </w:tc>
        <w:tc>
          <w:tcPr>
            <w:tcW w:w="724" w:type="dxa"/>
            <w:tcBorders>
              <w:top w:val="single" w:sz="4" w:space="0" w:color="auto"/>
              <w:left w:val="single" w:sz="4" w:space="0" w:color="auto"/>
              <w:bottom w:val="single" w:sz="4" w:space="0" w:color="auto"/>
              <w:right w:val="single" w:sz="4" w:space="0" w:color="auto"/>
            </w:tcBorders>
            <w:noWrap/>
            <w:hideMark/>
          </w:tcPr>
          <w:p w14:paraId="421FF4C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13198</w:t>
            </w:r>
          </w:p>
        </w:tc>
        <w:tc>
          <w:tcPr>
            <w:tcW w:w="724" w:type="dxa"/>
            <w:tcBorders>
              <w:top w:val="single" w:sz="4" w:space="0" w:color="auto"/>
              <w:left w:val="single" w:sz="4" w:space="0" w:color="auto"/>
              <w:bottom w:val="single" w:sz="4" w:space="0" w:color="auto"/>
              <w:right w:val="single" w:sz="4" w:space="0" w:color="auto"/>
            </w:tcBorders>
            <w:noWrap/>
            <w:hideMark/>
          </w:tcPr>
          <w:p w14:paraId="5EFEA21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13044</w:t>
            </w:r>
          </w:p>
        </w:tc>
        <w:tc>
          <w:tcPr>
            <w:tcW w:w="725" w:type="dxa"/>
            <w:tcBorders>
              <w:top w:val="single" w:sz="4" w:space="0" w:color="auto"/>
              <w:left w:val="single" w:sz="4" w:space="0" w:color="auto"/>
              <w:bottom w:val="single" w:sz="4" w:space="0" w:color="auto"/>
              <w:right w:val="single" w:sz="4" w:space="0" w:color="auto"/>
            </w:tcBorders>
            <w:noWrap/>
            <w:hideMark/>
          </w:tcPr>
          <w:p w14:paraId="699DAC8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12505</w:t>
            </w:r>
          </w:p>
        </w:tc>
      </w:tr>
    </w:tbl>
    <w:p w14:paraId="1BE41A18" w14:textId="77777777" w:rsidR="00614438" w:rsidRPr="00614438" w:rsidRDefault="00614438" w:rsidP="00656BE7">
      <w:pPr>
        <w:spacing w:before="240"/>
        <w:jc w:val="both"/>
        <w:rPr>
          <w:rFonts w:ascii="Times New Roman" w:hAnsi="Times New Roman" w:cs="Times New Roman"/>
          <w:sz w:val="24"/>
          <w:szCs w:val="24"/>
          <w:lang w:val="en-GB"/>
        </w:rPr>
      </w:pPr>
      <w:bookmarkStart w:id="719" w:name="_Toc153545105"/>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12</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Energy Import Dependency [%]</w:t>
      </w:r>
      <w:bookmarkEnd w:id="719"/>
    </w:p>
    <w:tbl>
      <w:tblPr>
        <w:tblStyle w:val="TableGrid"/>
        <w:tblW w:w="0" w:type="auto"/>
        <w:tblLayout w:type="fixed"/>
        <w:tblLook w:val="04A0" w:firstRow="1" w:lastRow="0" w:firstColumn="1" w:lastColumn="0" w:noHBand="0" w:noVBand="1"/>
      </w:tblPr>
      <w:tblGrid>
        <w:gridCol w:w="1661"/>
        <w:gridCol w:w="724"/>
        <w:gridCol w:w="724"/>
        <w:gridCol w:w="724"/>
        <w:gridCol w:w="725"/>
        <w:gridCol w:w="724"/>
        <w:gridCol w:w="724"/>
        <w:gridCol w:w="724"/>
        <w:gridCol w:w="725"/>
        <w:gridCol w:w="724"/>
        <w:gridCol w:w="724"/>
        <w:gridCol w:w="725"/>
      </w:tblGrid>
      <w:tr w:rsidR="00614438" w:rsidRPr="00656BE7" w14:paraId="525F27D3"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18C9C62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Energy Import Dependency [%]</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FC3082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81BA48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784381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667E0A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A21756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0A0CB8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3ABCF5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13EB87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E368D7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DDE9DF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0601DA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r>
      <w:tr w:rsidR="00614438" w:rsidRPr="00656BE7" w14:paraId="3A16AA4D"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2787A96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WEM</w:t>
            </w:r>
          </w:p>
        </w:tc>
        <w:tc>
          <w:tcPr>
            <w:tcW w:w="724" w:type="dxa"/>
            <w:tcBorders>
              <w:top w:val="single" w:sz="4" w:space="0" w:color="auto"/>
              <w:left w:val="single" w:sz="4" w:space="0" w:color="auto"/>
              <w:bottom w:val="single" w:sz="4" w:space="0" w:color="auto"/>
              <w:right w:val="single" w:sz="4" w:space="0" w:color="auto"/>
            </w:tcBorders>
            <w:noWrap/>
            <w:hideMark/>
          </w:tcPr>
          <w:p w14:paraId="1A7B003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32.3%</w:t>
            </w:r>
          </w:p>
        </w:tc>
        <w:tc>
          <w:tcPr>
            <w:tcW w:w="724" w:type="dxa"/>
            <w:tcBorders>
              <w:top w:val="single" w:sz="4" w:space="0" w:color="auto"/>
              <w:left w:val="single" w:sz="4" w:space="0" w:color="auto"/>
              <w:bottom w:val="single" w:sz="4" w:space="0" w:color="auto"/>
              <w:right w:val="single" w:sz="4" w:space="0" w:color="auto"/>
            </w:tcBorders>
            <w:noWrap/>
            <w:hideMark/>
          </w:tcPr>
          <w:p w14:paraId="7BC49E2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33.3%</w:t>
            </w:r>
          </w:p>
        </w:tc>
        <w:tc>
          <w:tcPr>
            <w:tcW w:w="724" w:type="dxa"/>
            <w:tcBorders>
              <w:top w:val="single" w:sz="4" w:space="0" w:color="auto"/>
              <w:left w:val="single" w:sz="4" w:space="0" w:color="auto"/>
              <w:bottom w:val="single" w:sz="4" w:space="0" w:color="auto"/>
              <w:right w:val="single" w:sz="4" w:space="0" w:color="auto"/>
            </w:tcBorders>
            <w:noWrap/>
            <w:hideMark/>
          </w:tcPr>
          <w:p w14:paraId="40F49D1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33.9%</w:t>
            </w:r>
          </w:p>
        </w:tc>
        <w:tc>
          <w:tcPr>
            <w:tcW w:w="725" w:type="dxa"/>
            <w:tcBorders>
              <w:top w:val="single" w:sz="4" w:space="0" w:color="auto"/>
              <w:left w:val="single" w:sz="4" w:space="0" w:color="auto"/>
              <w:bottom w:val="single" w:sz="4" w:space="0" w:color="auto"/>
              <w:right w:val="single" w:sz="4" w:space="0" w:color="auto"/>
            </w:tcBorders>
            <w:noWrap/>
            <w:hideMark/>
          </w:tcPr>
          <w:p w14:paraId="033AF0C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34.3%</w:t>
            </w:r>
          </w:p>
        </w:tc>
        <w:tc>
          <w:tcPr>
            <w:tcW w:w="724" w:type="dxa"/>
            <w:tcBorders>
              <w:top w:val="single" w:sz="4" w:space="0" w:color="auto"/>
              <w:left w:val="single" w:sz="4" w:space="0" w:color="auto"/>
              <w:bottom w:val="single" w:sz="4" w:space="0" w:color="auto"/>
              <w:right w:val="single" w:sz="4" w:space="0" w:color="auto"/>
            </w:tcBorders>
            <w:noWrap/>
            <w:hideMark/>
          </w:tcPr>
          <w:p w14:paraId="07345E2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34.7%</w:t>
            </w:r>
          </w:p>
        </w:tc>
        <w:tc>
          <w:tcPr>
            <w:tcW w:w="724" w:type="dxa"/>
            <w:tcBorders>
              <w:top w:val="single" w:sz="4" w:space="0" w:color="auto"/>
              <w:left w:val="single" w:sz="4" w:space="0" w:color="auto"/>
              <w:bottom w:val="single" w:sz="4" w:space="0" w:color="auto"/>
              <w:right w:val="single" w:sz="4" w:space="0" w:color="auto"/>
            </w:tcBorders>
            <w:noWrap/>
            <w:hideMark/>
          </w:tcPr>
          <w:p w14:paraId="7F0C15A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34.8%</w:t>
            </w:r>
          </w:p>
        </w:tc>
        <w:tc>
          <w:tcPr>
            <w:tcW w:w="724" w:type="dxa"/>
            <w:tcBorders>
              <w:top w:val="single" w:sz="4" w:space="0" w:color="auto"/>
              <w:left w:val="single" w:sz="4" w:space="0" w:color="auto"/>
              <w:bottom w:val="single" w:sz="4" w:space="0" w:color="auto"/>
              <w:right w:val="single" w:sz="4" w:space="0" w:color="auto"/>
            </w:tcBorders>
            <w:noWrap/>
            <w:hideMark/>
          </w:tcPr>
          <w:p w14:paraId="0DA73CD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35.5%</w:t>
            </w:r>
          </w:p>
        </w:tc>
        <w:tc>
          <w:tcPr>
            <w:tcW w:w="725" w:type="dxa"/>
            <w:tcBorders>
              <w:top w:val="single" w:sz="4" w:space="0" w:color="auto"/>
              <w:left w:val="single" w:sz="4" w:space="0" w:color="auto"/>
              <w:bottom w:val="single" w:sz="4" w:space="0" w:color="auto"/>
              <w:right w:val="single" w:sz="4" w:space="0" w:color="auto"/>
            </w:tcBorders>
            <w:noWrap/>
            <w:hideMark/>
          </w:tcPr>
          <w:p w14:paraId="63D6C46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36.7%</w:t>
            </w:r>
          </w:p>
        </w:tc>
        <w:tc>
          <w:tcPr>
            <w:tcW w:w="724" w:type="dxa"/>
            <w:tcBorders>
              <w:top w:val="single" w:sz="4" w:space="0" w:color="auto"/>
              <w:left w:val="single" w:sz="4" w:space="0" w:color="auto"/>
              <w:bottom w:val="single" w:sz="4" w:space="0" w:color="auto"/>
              <w:right w:val="single" w:sz="4" w:space="0" w:color="auto"/>
            </w:tcBorders>
            <w:noWrap/>
            <w:hideMark/>
          </w:tcPr>
          <w:p w14:paraId="413A50C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39.2%</w:t>
            </w:r>
          </w:p>
        </w:tc>
        <w:tc>
          <w:tcPr>
            <w:tcW w:w="724" w:type="dxa"/>
            <w:tcBorders>
              <w:top w:val="single" w:sz="4" w:space="0" w:color="auto"/>
              <w:left w:val="single" w:sz="4" w:space="0" w:color="auto"/>
              <w:bottom w:val="single" w:sz="4" w:space="0" w:color="auto"/>
              <w:right w:val="single" w:sz="4" w:space="0" w:color="auto"/>
            </w:tcBorders>
            <w:noWrap/>
            <w:hideMark/>
          </w:tcPr>
          <w:p w14:paraId="7539D18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40.8%</w:t>
            </w:r>
          </w:p>
        </w:tc>
        <w:tc>
          <w:tcPr>
            <w:tcW w:w="725" w:type="dxa"/>
            <w:tcBorders>
              <w:top w:val="single" w:sz="4" w:space="0" w:color="auto"/>
              <w:left w:val="single" w:sz="4" w:space="0" w:color="auto"/>
              <w:bottom w:val="single" w:sz="4" w:space="0" w:color="auto"/>
              <w:right w:val="single" w:sz="4" w:space="0" w:color="auto"/>
            </w:tcBorders>
            <w:noWrap/>
            <w:hideMark/>
          </w:tcPr>
          <w:p w14:paraId="4629510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44.5%</w:t>
            </w:r>
          </w:p>
        </w:tc>
      </w:tr>
      <w:tr w:rsidR="00614438" w:rsidRPr="00656BE7" w14:paraId="551124BE"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1290124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w:t>
            </w:r>
          </w:p>
        </w:tc>
        <w:tc>
          <w:tcPr>
            <w:tcW w:w="724" w:type="dxa"/>
            <w:tcBorders>
              <w:top w:val="single" w:sz="4" w:space="0" w:color="auto"/>
              <w:left w:val="single" w:sz="4" w:space="0" w:color="auto"/>
              <w:bottom w:val="single" w:sz="4" w:space="0" w:color="auto"/>
              <w:right w:val="single" w:sz="4" w:space="0" w:color="auto"/>
            </w:tcBorders>
            <w:noWrap/>
            <w:hideMark/>
          </w:tcPr>
          <w:p w14:paraId="3C192FF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32.3%</w:t>
            </w:r>
          </w:p>
        </w:tc>
        <w:tc>
          <w:tcPr>
            <w:tcW w:w="724" w:type="dxa"/>
            <w:tcBorders>
              <w:top w:val="single" w:sz="4" w:space="0" w:color="auto"/>
              <w:left w:val="single" w:sz="4" w:space="0" w:color="auto"/>
              <w:bottom w:val="single" w:sz="4" w:space="0" w:color="auto"/>
              <w:right w:val="single" w:sz="4" w:space="0" w:color="auto"/>
            </w:tcBorders>
            <w:noWrap/>
            <w:hideMark/>
          </w:tcPr>
          <w:p w14:paraId="2D52D7B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34.5%</w:t>
            </w:r>
          </w:p>
        </w:tc>
        <w:tc>
          <w:tcPr>
            <w:tcW w:w="724" w:type="dxa"/>
            <w:tcBorders>
              <w:top w:val="single" w:sz="4" w:space="0" w:color="auto"/>
              <w:left w:val="single" w:sz="4" w:space="0" w:color="auto"/>
              <w:bottom w:val="single" w:sz="4" w:space="0" w:color="auto"/>
              <w:right w:val="single" w:sz="4" w:space="0" w:color="auto"/>
            </w:tcBorders>
            <w:noWrap/>
            <w:hideMark/>
          </w:tcPr>
          <w:p w14:paraId="5E2AB3B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35.2%</w:t>
            </w:r>
          </w:p>
        </w:tc>
        <w:tc>
          <w:tcPr>
            <w:tcW w:w="725" w:type="dxa"/>
            <w:tcBorders>
              <w:top w:val="single" w:sz="4" w:space="0" w:color="auto"/>
              <w:left w:val="single" w:sz="4" w:space="0" w:color="auto"/>
              <w:bottom w:val="single" w:sz="4" w:space="0" w:color="auto"/>
              <w:right w:val="single" w:sz="4" w:space="0" w:color="auto"/>
            </w:tcBorders>
            <w:noWrap/>
            <w:hideMark/>
          </w:tcPr>
          <w:p w14:paraId="273E4A3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35.4%</w:t>
            </w:r>
          </w:p>
        </w:tc>
        <w:tc>
          <w:tcPr>
            <w:tcW w:w="724" w:type="dxa"/>
            <w:tcBorders>
              <w:top w:val="single" w:sz="4" w:space="0" w:color="auto"/>
              <w:left w:val="single" w:sz="4" w:space="0" w:color="auto"/>
              <w:bottom w:val="single" w:sz="4" w:space="0" w:color="auto"/>
              <w:right w:val="single" w:sz="4" w:space="0" w:color="auto"/>
            </w:tcBorders>
            <w:noWrap/>
            <w:hideMark/>
          </w:tcPr>
          <w:p w14:paraId="1BB17FF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36.1%</w:t>
            </w:r>
          </w:p>
        </w:tc>
        <w:tc>
          <w:tcPr>
            <w:tcW w:w="724" w:type="dxa"/>
            <w:tcBorders>
              <w:top w:val="single" w:sz="4" w:space="0" w:color="auto"/>
              <w:left w:val="single" w:sz="4" w:space="0" w:color="auto"/>
              <w:bottom w:val="single" w:sz="4" w:space="0" w:color="auto"/>
              <w:right w:val="single" w:sz="4" w:space="0" w:color="auto"/>
            </w:tcBorders>
            <w:noWrap/>
            <w:hideMark/>
          </w:tcPr>
          <w:p w14:paraId="0387D14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37.5%</w:t>
            </w:r>
          </w:p>
        </w:tc>
        <w:tc>
          <w:tcPr>
            <w:tcW w:w="724" w:type="dxa"/>
            <w:tcBorders>
              <w:top w:val="single" w:sz="4" w:space="0" w:color="auto"/>
              <w:left w:val="single" w:sz="4" w:space="0" w:color="auto"/>
              <w:bottom w:val="single" w:sz="4" w:space="0" w:color="auto"/>
              <w:right w:val="single" w:sz="4" w:space="0" w:color="auto"/>
            </w:tcBorders>
            <w:noWrap/>
            <w:hideMark/>
          </w:tcPr>
          <w:p w14:paraId="0C732A8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40.7%</w:t>
            </w:r>
          </w:p>
        </w:tc>
        <w:tc>
          <w:tcPr>
            <w:tcW w:w="725" w:type="dxa"/>
            <w:tcBorders>
              <w:top w:val="single" w:sz="4" w:space="0" w:color="auto"/>
              <w:left w:val="single" w:sz="4" w:space="0" w:color="auto"/>
              <w:bottom w:val="single" w:sz="4" w:space="0" w:color="auto"/>
              <w:right w:val="single" w:sz="4" w:space="0" w:color="auto"/>
            </w:tcBorders>
            <w:noWrap/>
            <w:hideMark/>
          </w:tcPr>
          <w:p w14:paraId="3933C30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42.0%</w:t>
            </w:r>
          </w:p>
        </w:tc>
        <w:tc>
          <w:tcPr>
            <w:tcW w:w="724" w:type="dxa"/>
            <w:tcBorders>
              <w:top w:val="single" w:sz="4" w:space="0" w:color="auto"/>
              <w:left w:val="single" w:sz="4" w:space="0" w:color="auto"/>
              <w:bottom w:val="single" w:sz="4" w:space="0" w:color="auto"/>
              <w:right w:val="single" w:sz="4" w:space="0" w:color="auto"/>
            </w:tcBorders>
            <w:noWrap/>
            <w:hideMark/>
          </w:tcPr>
          <w:p w14:paraId="11CCD32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45.4%</w:t>
            </w:r>
          </w:p>
        </w:tc>
        <w:tc>
          <w:tcPr>
            <w:tcW w:w="724" w:type="dxa"/>
            <w:tcBorders>
              <w:top w:val="single" w:sz="4" w:space="0" w:color="auto"/>
              <w:left w:val="single" w:sz="4" w:space="0" w:color="auto"/>
              <w:bottom w:val="single" w:sz="4" w:space="0" w:color="auto"/>
              <w:right w:val="single" w:sz="4" w:space="0" w:color="auto"/>
            </w:tcBorders>
            <w:noWrap/>
            <w:hideMark/>
          </w:tcPr>
          <w:p w14:paraId="79CD7E8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45.0%</w:t>
            </w:r>
          </w:p>
        </w:tc>
        <w:tc>
          <w:tcPr>
            <w:tcW w:w="725" w:type="dxa"/>
            <w:tcBorders>
              <w:top w:val="single" w:sz="4" w:space="0" w:color="auto"/>
              <w:left w:val="single" w:sz="4" w:space="0" w:color="auto"/>
              <w:bottom w:val="single" w:sz="4" w:space="0" w:color="auto"/>
              <w:right w:val="single" w:sz="4" w:space="0" w:color="auto"/>
            </w:tcBorders>
            <w:noWrap/>
            <w:hideMark/>
          </w:tcPr>
          <w:p w14:paraId="5B7C929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44.4%</w:t>
            </w:r>
          </w:p>
        </w:tc>
      </w:tr>
      <w:tr w:rsidR="00614438" w:rsidRPr="00656BE7" w14:paraId="3DF715F3"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0DBB5E1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Scenario-S-N</w:t>
            </w:r>
          </w:p>
        </w:tc>
        <w:tc>
          <w:tcPr>
            <w:tcW w:w="724" w:type="dxa"/>
            <w:tcBorders>
              <w:top w:val="single" w:sz="4" w:space="0" w:color="auto"/>
              <w:left w:val="single" w:sz="4" w:space="0" w:color="auto"/>
              <w:bottom w:val="single" w:sz="4" w:space="0" w:color="auto"/>
              <w:right w:val="single" w:sz="4" w:space="0" w:color="auto"/>
            </w:tcBorders>
            <w:noWrap/>
            <w:hideMark/>
          </w:tcPr>
          <w:p w14:paraId="6815AD1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32.3%</w:t>
            </w:r>
          </w:p>
        </w:tc>
        <w:tc>
          <w:tcPr>
            <w:tcW w:w="724" w:type="dxa"/>
            <w:tcBorders>
              <w:top w:val="single" w:sz="4" w:space="0" w:color="auto"/>
              <w:left w:val="single" w:sz="4" w:space="0" w:color="auto"/>
              <w:bottom w:val="single" w:sz="4" w:space="0" w:color="auto"/>
              <w:right w:val="single" w:sz="4" w:space="0" w:color="auto"/>
            </w:tcBorders>
            <w:noWrap/>
            <w:hideMark/>
          </w:tcPr>
          <w:p w14:paraId="229E143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34.5%</w:t>
            </w:r>
          </w:p>
        </w:tc>
        <w:tc>
          <w:tcPr>
            <w:tcW w:w="724" w:type="dxa"/>
            <w:tcBorders>
              <w:top w:val="single" w:sz="4" w:space="0" w:color="auto"/>
              <w:left w:val="single" w:sz="4" w:space="0" w:color="auto"/>
              <w:bottom w:val="single" w:sz="4" w:space="0" w:color="auto"/>
              <w:right w:val="single" w:sz="4" w:space="0" w:color="auto"/>
            </w:tcBorders>
            <w:noWrap/>
            <w:hideMark/>
          </w:tcPr>
          <w:p w14:paraId="25793E3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35.2%</w:t>
            </w:r>
          </w:p>
        </w:tc>
        <w:tc>
          <w:tcPr>
            <w:tcW w:w="725" w:type="dxa"/>
            <w:tcBorders>
              <w:top w:val="single" w:sz="4" w:space="0" w:color="auto"/>
              <w:left w:val="single" w:sz="4" w:space="0" w:color="auto"/>
              <w:bottom w:val="single" w:sz="4" w:space="0" w:color="auto"/>
              <w:right w:val="single" w:sz="4" w:space="0" w:color="auto"/>
            </w:tcBorders>
            <w:noWrap/>
            <w:hideMark/>
          </w:tcPr>
          <w:p w14:paraId="3753C5F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35.4%</w:t>
            </w:r>
          </w:p>
        </w:tc>
        <w:tc>
          <w:tcPr>
            <w:tcW w:w="724" w:type="dxa"/>
            <w:tcBorders>
              <w:top w:val="single" w:sz="4" w:space="0" w:color="auto"/>
              <w:left w:val="single" w:sz="4" w:space="0" w:color="auto"/>
              <w:bottom w:val="single" w:sz="4" w:space="0" w:color="auto"/>
              <w:right w:val="single" w:sz="4" w:space="0" w:color="auto"/>
            </w:tcBorders>
            <w:noWrap/>
            <w:hideMark/>
          </w:tcPr>
          <w:p w14:paraId="23DDE78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36.1%</w:t>
            </w:r>
          </w:p>
        </w:tc>
        <w:tc>
          <w:tcPr>
            <w:tcW w:w="724" w:type="dxa"/>
            <w:tcBorders>
              <w:top w:val="single" w:sz="4" w:space="0" w:color="auto"/>
              <w:left w:val="single" w:sz="4" w:space="0" w:color="auto"/>
              <w:bottom w:val="single" w:sz="4" w:space="0" w:color="auto"/>
              <w:right w:val="single" w:sz="4" w:space="0" w:color="auto"/>
            </w:tcBorders>
            <w:noWrap/>
            <w:hideMark/>
          </w:tcPr>
          <w:p w14:paraId="1308D1C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37.5%</w:t>
            </w:r>
          </w:p>
        </w:tc>
        <w:tc>
          <w:tcPr>
            <w:tcW w:w="724" w:type="dxa"/>
            <w:tcBorders>
              <w:top w:val="single" w:sz="4" w:space="0" w:color="auto"/>
              <w:left w:val="single" w:sz="4" w:space="0" w:color="auto"/>
              <w:bottom w:val="single" w:sz="4" w:space="0" w:color="auto"/>
              <w:right w:val="single" w:sz="4" w:space="0" w:color="auto"/>
            </w:tcBorders>
            <w:noWrap/>
            <w:hideMark/>
          </w:tcPr>
          <w:p w14:paraId="5463C88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40.7%</w:t>
            </w:r>
          </w:p>
        </w:tc>
        <w:tc>
          <w:tcPr>
            <w:tcW w:w="725" w:type="dxa"/>
            <w:tcBorders>
              <w:top w:val="single" w:sz="4" w:space="0" w:color="auto"/>
              <w:left w:val="single" w:sz="4" w:space="0" w:color="auto"/>
              <w:bottom w:val="single" w:sz="4" w:space="0" w:color="auto"/>
              <w:right w:val="single" w:sz="4" w:space="0" w:color="auto"/>
            </w:tcBorders>
            <w:noWrap/>
            <w:hideMark/>
          </w:tcPr>
          <w:p w14:paraId="1310E71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42.0%</w:t>
            </w:r>
          </w:p>
        </w:tc>
        <w:tc>
          <w:tcPr>
            <w:tcW w:w="724" w:type="dxa"/>
            <w:tcBorders>
              <w:top w:val="single" w:sz="4" w:space="0" w:color="auto"/>
              <w:left w:val="single" w:sz="4" w:space="0" w:color="auto"/>
              <w:bottom w:val="single" w:sz="4" w:space="0" w:color="auto"/>
              <w:right w:val="single" w:sz="4" w:space="0" w:color="auto"/>
            </w:tcBorders>
            <w:noWrap/>
            <w:hideMark/>
          </w:tcPr>
          <w:p w14:paraId="0A7D52F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43.8%</w:t>
            </w:r>
          </w:p>
        </w:tc>
        <w:tc>
          <w:tcPr>
            <w:tcW w:w="724" w:type="dxa"/>
            <w:tcBorders>
              <w:top w:val="single" w:sz="4" w:space="0" w:color="auto"/>
              <w:left w:val="single" w:sz="4" w:space="0" w:color="auto"/>
              <w:bottom w:val="single" w:sz="4" w:space="0" w:color="auto"/>
              <w:right w:val="single" w:sz="4" w:space="0" w:color="auto"/>
            </w:tcBorders>
            <w:noWrap/>
            <w:hideMark/>
          </w:tcPr>
          <w:p w14:paraId="04E494C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39.5%</w:t>
            </w:r>
          </w:p>
        </w:tc>
        <w:tc>
          <w:tcPr>
            <w:tcW w:w="725" w:type="dxa"/>
            <w:tcBorders>
              <w:top w:val="single" w:sz="4" w:space="0" w:color="auto"/>
              <w:left w:val="single" w:sz="4" w:space="0" w:color="auto"/>
              <w:bottom w:val="single" w:sz="4" w:space="0" w:color="auto"/>
              <w:right w:val="single" w:sz="4" w:space="0" w:color="auto"/>
            </w:tcBorders>
            <w:noWrap/>
            <w:hideMark/>
          </w:tcPr>
          <w:p w14:paraId="502BDE2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37.2%</w:t>
            </w:r>
          </w:p>
        </w:tc>
      </w:tr>
    </w:tbl>
    <w:p w14:paraId="4B11EE8F" w14:textId="77777777" w:rsidR="00614438" w:rsidRPr="00614438" w:rsidRDefault="00614438" w:rsidP="00656BE7">
      <w:pPr>
        <w:spacing w:before="240"/>
        <w:jc w:val="both"/>
        <w:rPr>
          <w:rFonts w:ascii="Times New Roman" w:hAnsi="Times New Roman" w:cs="Times New Roman"/>
          <w:sz w:val="24"/>
          <w:szCs w:val="24"/>
          <w:lang w:val="en-GB"/>
        </w:rPr>
      </w:pPr>
      <w:bookmarkStart w:id="720" w:name="_Toc153545106"/>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13</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Electricity Import Dependency [%]</w:t>
      </w:r>
      <w:bookmarkEnd w:id="720"/>
    </w:p>
    <w:tbl>
      <w:tblPr>
        <w:tblStyle w:val="TableGrid"/>
        <w:tblW w:w="0" w:type="auto"/>
        <w:tblLayout w:type="fixed"/>
        <w:tblLook w:val="04A0" w:firstRow="1" w:lastRow="0" w:firstColumn="1" w:lastColumn="0" w:noHBand="0" w:noVBand="1"/>
      </w:tblPr>
      <w:tblGrid>
        <w:gridCol w:w="1661"/>
        <w:gridCol w:w="724"/>
        <w:gridCol w:w="724"/>
        <w:gridCol w:w="724"/>
        <w:gridCol w:w="725"/>
        <w:gridCol w:w="724"/>
        <w:gridCol w:w="724"/>
        <w:gridCol w:w="724"/>
        <w:gridCol w:w="725"/>
        <w:gridCol w:w="724"/>
        <w:gridCol w:w="724"/>
        <w:gridCol w:w="725"/>
      </w:tblGrid>
      <w:tr w:rsidR="00614438" w:rsidRPr="00656BE7" w14:paraId="6AF6B1F4"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09F9B14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Energy Import Dependency [%]</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B12B5A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7CF9EB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3096EA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BE807F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F875BA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6D3574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4C726B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724121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DD7DD1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72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D4AA80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72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41D168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r>
      <w:tr w:rsidR="00614438" w:rsidRPr="00656BE7" w14:paraId="771DF010"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1515C73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WEM</w:t>
            </w:r>
          </w:p>
        </w:tc>
        <w:tc>
          <w:tcPr>
            <w:tcW w:w="724" w:type="dxa"/>
            <w:tcBorders>
              <w:top w:val="single" w:sz="4" w:space="0" w:color="auto"/>
              <w:left w:val="single" w:sz="4" w:space="0" w:color="auto"/>
              <w:bottom w:val="single" w:sz="4" w:space="0" w:color="auto"/>
              <w:right w:val="single" w:sz="4" w:space="0" w:color="auto"/>
            </w:tcBorders>
            <w:noWrap/>
            <w:hideMark/>
          </w:tcPr>
          <w:p w14:paraId="7F88604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-0.5%</w:t>
            </w:r>
          </w:p>
        </w:tc>
        <w:tc>
          <w:tcPr>
            <w:tcW w:w="724" w:type="dxa"/>
            <w:tcBorders>
              <w:top w:val="single" w:sz="4" w:space="0" w:color="auto"/>
              <w:left w:val="single" w:sz="4" w:space="0" w:color="auto"/>
              <w:bottom w:val="single" w:sz="4" w:space="0" w:color="auto"/>
              <w:right w:val="single" w:sz="4" w:space="0" w:color="auto"/>
            </w:tcBorders>
            <w:noWrap/>
            <w:hideMark/>
          </w:tcPr>
          <w:p w14:paraId="2DE2285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-4.2%</w:t>
            </w:r>
          </w:p>
        </w:tc>
        <w:tc>
          <w:tcPr>
            <w:tcW w:w="724" w:type="dxa"/>
            <w:tcBorders>
              <w:top w:val="single" w:sz="4" w:space="0" w:color="auto"/>
              <w:left w:val="single" w:sz="4" w:space="0" w:color="auto"/>
              <w:bottom w:val="single" w:sz="4" w:space="0" w:color="auto"/>
              <w:right w:val="single" w:sz="4" w:space="0" w:color="auto"/>
            </w:tcBorders>
            <w:noWrap/>
            <w:hideMark/>
          </w:tcPr>
          <w:p w14:paraId="58331D7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-4.3%</w:t>
            </w:r>
          </w:p>
        </w:tc>
        <w:tc>
          <w:tcPr>
            <w:tcW w:w="725" w:type="dxa"/>
            <w:tcBorders>
              <w:top w:val="single" w:sz="4" w:space="0" w:color="auto"/>
              <w:left w:val="single" w:sz="4" w:space="0" w:color="auto"/>
              <w:bottom w:val="single" w:sz="4" w:space="0" w:color="auto"/>
              <w:right w:val="single" w:sz="4" w:space="0" w:color="auto"/>
            </w:tcBorders>
            <w:noWrap/>
            <w:hideMark/>
          </w:tcPr>
          <w:p w14:paraId="3BFE92C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-4.3%</w:t>
            </w:r>
          </w:p>
        </w:tc>
        <w:tc>
          <w:tcPr>
            <w:tcW w:w="724" w:type="dxa"/>
            <w:tcBorders>
              <w:top w:val="single" w:sz="4" w:space="0" w:color="auto"/>
              <w:left w:val="single" w:sz="4" w:space="0" w:color="auto"/>
              <w:bottom w:val="single" w:sz="4" w:space="0" w:color="auto"/>
              <w:right w:val="single" w:sz="4" w:space="0" w:color="auto"/>
            </w:tcBorders>
            <w:noWrap/>
            <w:hideMark/>
          </w:tcPr>
          <w:p w14:paraId="3052DF9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-4.4%</w:t>
            </w:r>
          </w:p>
        </w:tc>
        <w:tc>
          <w:tcPr>
            <w:tcW w:w="724" w:type="dxa"/>
            <w:tcBorders>
              <w:top w:val="single" w:sz="4" w:space="0" w:color="auto"/>
              <w:left w:val="single" w:sz="4" w:space="0" w:color="auto"/>
              <w:bottom w:val="single" w:sz="4" w:space="0" w:color="auto"/>
              <w:right w:val="single" w:sz="4" w:space="0" w:color="auto"/>
            </w:tcBorders>
            <w:noWrap/>
            <w:hideMark/>
          </w:tcPr>
          <w:p w14:paraId="7658C69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-4.4%</w:t>
            </w:r>
          </w:p>
        </w:tc>
        <w:tc>
          <w:tcPr>
            <w:tcW w:w="724" w:type="dxa"/>
            <w:tcBorders>
              <w:top w:val="single" w:sz="4" w:space="0" w:color="auto"/>
              <w:left w:val="single" w:sz="4" w:space="0" w:color="auto"/>
              <w:bottom w:val="single" w:sz="4" w:space="0" w:color="auto"/>
              <w:right w:val="single" w:sz="4" w:space="0" w:color="auto"/>
            </w:tcBorders>
            <w:noWrap/>
            <w:hideMark/>
          </w:tcPr>
          <w:p w14:paraId="46C7C98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-4.4%</w:t>
            </w:r>
          </w:p>
        </w:tc>
        <w:tc>
          <w:tcPr>
            <w:tcW w:w="725" w:type="dxa"/>
            <w:tcBorders>
              <w:top w:val="single" w:sz="4" w:space="0" w:color="auto"/>
              <w:left w:val="single" w:sz="4" w:space="0" w:color="auto"/>
              <w:bottom w:val="single" w:sz="4" w:space="0" w:color="auto"/>
              <w:right w:val="single" w:sz="4" w:space="0" w:color="auto"/>
            </w:tcBorders>
            <w:noWrap/>
            <w:hideMark/>
          </w:tcPr>
          <w:p w14:paraId="798A1F5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-4.6%</w:t>
            </w:r>
          </w:p>
        </w:tc>
        <w:tc>
          <w:tcPr>
            <w:tcW w:w="724" w:type="dxa"/>
            <w:tcBorders>
              <w:top w:val="single" w:sz="4" w:space="0" w:color="auto"/>
              <w:left w:val="single" w:sz="4" w:space="0" w:color="auto"/>
              <w:bottom w:val="single" w:sz="4" w:space="0" w:color="auto"/>
              <w:right w:val="single" w:sz="4" w:space="0" w:color="auto"/>
            </w:tcBorders>
            <w:noWrap/>
            <w:hideMark/>
          </w:tcPr>
          <w:p w14:paraId="42E0753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-4.8%</w:t>
            </w:r>
          </w:p>
        </w:tc>
        <w:tc>
          <w:tcPr>
            <w:tcW w:w="724" w:type="dxa"/>
            <w:tcBorders>
              <w:top w:val="single" w:sz="4" w:space="0" w:color="auto"/>
              <w:left w:val="single" w:sz="4" w:space="0" w:color="auto"/>
              <w:bottom w:val="single" w:sz="4" w:space="0" w:color="auto"/>
              <w:right w:val="single" w:sz="4" w:space="0" w:color="auto"/>
            </w:tcBorders>
            <w:noWrap/>
            <w:hideMark/>
          </w:tcPr>
          <w:p w14:paraId="37FE871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-5.1%</w:t>
            </w:r>
          </w:p>
        </w:tc>
        <w:tc>
          <w:tcPr>
            <w:tcW w:w="725" w:type="dxa"/>
            <w:tcBorders>
              <w:top w:val="single" w:sz="4" w:space="0" w:color="auto"/>
              <w:left w:val="single" w:sz="4" w:space="0" w:color="auto"/>
              <w:bottom w:val="single" w:sz="4" w:space="0" w:color="auto"/>
              <w:right w:val="single" w:sz="4" w:space="0" w:color="auto"/>
            </w:tcBorders>
            <w:noWrap/>
            <w:hideMark/>
          </w:tcPr>
          <w:p w14:paraId="3A9166B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-5.4%</w:t>
            </w:r>
          </w:p>
        </w:tc>
      </w:tr>
      <w:tr w:rsidR="00614438" w:rsidRPr="00656BE7" w14:paraId="7D63012F"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528F8C8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w:t>
            </w:r>
          </w:p>
        </w:tc>
        <w:tc>
          <w:tcPr>
            <w:tcW w:w="724" w:type="dxa"/>
            <w:tcBorders>
              <w:top w:val="single" w:sz="4" w:space="0" w:color="auto"/>
              <w:left w:val="single" w:sz="4" w:space="0" w:color="auto"/>
              <w:bottom w:val="single" w:sz="4" w:space="0" w:color="auto"/>
              <w:right w:val="single" w:sz="4" w:space="0" w:color="auto"/>
            </w:tcBorders>
            <w:noWrap/>
            <w:hideMark/>
          </w:tcPr>
          <w:p w14:paraId="680DD98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-0.5%</w:t>
            </w:r>
          </w:p>
        </w:tc>
        <w:tc>
          <w:tcPr>
            <w:tcW w:w="724" w:type="dxa"/>
            <w:tcBorders>
              <w:top w:val="single" w:sz="4" w:space="0" w:color="auto"/>
              <w:left w:val="single" w:sz="4" w:space="0" w:color="auto"/>
              <w:bottom w:val="single" w:sz="4" w:space="0" w:color="auto"/>
              <w:right w:val="single" w:sz="4" w:space="0" w:color="auto"/>
            </w:tcBorders>
            <w:noWrap/>
            <w:hideMark/>
          </w:tcPr>
          <w:p w14:paraId="765FC1E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-3.6%</w:t>
            </w:r>
          </w:p>
        </w:tc>
        <w:tc>
          <w:tcPr>
            <w:tcW w:w="724" w:type="dxa"/>
            <w:tcBorders>
              <w:top w:val="single" w:sz="4" w:space="0" w:color="auto"/>
              <w:left w:val="single" w:sz="4" w:space="0" w:color="auto"/>
              <w:bottom w:val="single" w:sz="4" w:space="0" w:color="auto"/>
              <w:right w:val="single" w:sz="4" w:space="0" w:color="auto"/>
            </w:tcBorders>
            <w:noWrap/>
            <w:hideMark/>
          </w:tcPr>
          <w:p w14:paraId="529E7FE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-3.7%</w:t>
            </w:r>
          </w:p>
        </w:tc>
        <w:tc>
          <w:tcPr>
            <w:tcW w:w="725" w:type="dxa"/>
            <w:tcBorders>
              <w:top w:val="single" w:sz="4" w:space="0" w:color="auto"/>
              <w:left w:val="single" w:sz="4" w:space="0" w:color="auto"/>
              <w:bottom w:val="single" w:sz="4" w:space="0" w:color="auto"/>
              <w:right w:val="single" w:sz="4" w:space="0" w:color="auto"/>
            </w:tcBorders>
            <w:noWrap/>
            <w:hideMark/>
          </w:tcPr>
          <w:p w14:paraId="259E8C2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w:t>
            </w:r>
          </w:p>
        </w:tc>
        <w:tc>
          <w:tcPr>
            <w:tcW w:w="724" w:type="dxa"/>
            <w:tcBorders>
              <w:top w:val="single" w:sz="4" w:space="0" w:color="auto"/>
              <w:left w:val="single" w:sz="4" w:space="0" w:color="auto"/>
              <w:bottom w:val="single" w:sz="4" w:space="0" w:color="auto"/>
              <w:right w:val="single" w:sz="4" w:space="0" w:color="auto"/>
            </w:tcBorders>
            <w:noWrap/>
            <w:hideMark/>
          </w:tcPr>
          <w:p w14:paraId="4E74757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w:t>
            </w:r>
          </w:p>
        </w:tc>
        <w:tc>
          <w:tcPr>
            <w:tcW w:w="724" w:type="dxa"/>
            <w:tcBorders>
              <w:top w:val="single" w:sz="4" w:space="0" w:color="auto"/>
              <w:left w:val="single" w:sz="4" w:space="0" w:color="auto"/>
              <w:bottom w:val="single" w:sz="4" w:space="0" w:color="auto"/>
              <w:right w:val="single" w:sz="4" w:space="0" w:color="auto"/>
            </w:tcBorders>
            <w:noWrap/>
            <w:hideMark/>
          </w:tcPr>
          <w:p w14:paraId="64CB04E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w:t>
            </w:r>
          </w:p>
        </w:tc>
        <w:tc>
          <w:tcPr>
            <w:tcW w:w="724" w:type="dxa"/>
            <w:tcBorders>
              <w:top w:val="single" w:sz="4" w:space="0" w:color="auto"/>
              <w:left w:val="single" w:sz="4" w:space="0" w:color="auto"/>
              <w:bottom w:val="single" w:sz="4" w:space="0" w:color="auto"/>
              <w:right w:val="single" w:sz="4" w:space="0" w:color="auto"/>
            </w:tcBorders>
            <w:noWrap/>
            <w:hideMark/>
          </w:tcPr>
          <w:p w14:paraId="5B883EB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w:t>
            </w:r>
          </w:p>
        </w:tc>
        <w:tc>
          <w:tcPr>
            <w:tcW w:w="725" w:type="dxa"/>
            <w:tcBorders>
              <w:top w:val="single" w:sz="4" w:space="0" w:color="auto"/>
              <w:left w:val="single" w:sz="4" w:space="0" w:color="auto"/>
              <w:bottom w:val="single" w:sz="4" w:space="0" w:color="auto"/>
              <w:right w:val="single" w:sz="4" w:space="0" w:color="auto"/>
            </w:tcBorders>
            <w:noWrap/>
            <w:hideMark/>
          </w:tcPr>
          <w:p w14:paraId="14DA53F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-4.7%</w:t>
            </w:r>
          </w:p>
        </w:tc>
        <w:tc>
          <w:tcPr>
            <w:tcW w:w="724" w:type="dxa"/>
            <w:tcBorders>
              <w:top w:val="single" w:sz="4" w:space="0" w:color="auto"/>
              <w:left w:val="single" w:sz="4" w:space="0" w:color="auto"/>
              <w:bottom w:val="single" w:sz="4" w:space="0" w:color="auto"/>
              <w:right w:val="single" w:sz="4" w:space="0" w:color="auto"/>
            </w:tcBorders>
            <w:noWrap/>
            <w:hideMark/>
          </w:tcPr>
          <w:p w14:paraId="16D4C72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w:t>
            </w:r>
          </w:p>
        </w:tc>
        <w:tc>
          <w:tcPr>
            <w:tcW w:w="724" w:type="dxa"/>
            <w:tcBorders>
              <w:top w:val="single" w:sz="4" w:space="0" w:color="auto"/>
              <w:left w:val="single" w:sz="4" w:space="0" w:color="auto"/>
              <w:bottom w:val="single" w:sz="4" w:space="0" w:color="auto"/>
              <w:right w:val="single" w:sz="4" w:space="0" w:color="auto"/>
            </w:tcBorders>
            <w:noWrap/>
            <w:hideMark/>
          </w:tcPr>
          <w:p w14:paraId="7BE936D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-4.5%</w:t>
            </w:r>
          </w:p>
        </w:tc>
        <w:tc>
          <w:tcPr>
            <w:tcW w:w="725" w:type="dxa"/>
            <w:tcBorders>
              <w:top w:val="single" w:sz="4" w:space="0" w:color="auto"/>
              <w:left w:val="single" w:sz="4" w:space="0" w:color="auto"/>
              <w:bottom w:val="single" w:sz="4" w:space="0" w:color="auto"/>
              <w:right w:val="single" w:sz="4" w:space="0" w:color="auto"/>
            </w:tcBorders>
            <w:noWrap/>
            <w:hideMark/>
          </w:tcPr>
          <w:p w14:paraId="3CEA238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-4.3%</w:t>
            </w:r>
          </w:p>
        </w:tc>
      </w:tr>
      <w:tr w:rsidR="00614438" w:rsidRPr="00656BE7" w14:paraId="011E9D16"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5A3158E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Scenario-S-N</w:t>
            </w:r>
          </w:p>
        </w:tc>
        <w:tc>
          <w:tcPr>
            <w:tcW w:w="724" w:type="dxa"/>
            <w:tcBorders>
              <w:top w:val="single" w:sz="4" w:space="0" w:color="auto"/>
              <w:left w:val="single" w:sz="4" w:space="0" w:color="auto"/>
              <w:bottom w:val="single" w:sz="4" w:space="0" w:color="auto"/>
              <w:right w:val="single" w:sz="4" w:space="0" w:color="auto"/>
            </w:tcBorders>
            <w:noWrap/>
            <w:hideMark/>
          </w:tcPr>
          <w:p w14:paraId="322CF82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-0.5%</w:t>
            </w:r>
          </w:p>
        </w:tc>
        <w:tc>
          <w:tcPr>
            <w:tcW w:w="724" w:type="dxa"/>
            <w:tcBorders>
              <w:top w:val="single" w:sz="4" w:space="0" w:color="auto"/>
              <w:left w:val="single" w:sz="4" w:space="0" w:color="auto"/>
              <w:bottom w:val="single" w:sz="4" w:space="0" w:color="auto"/>
              <w:right w:val="single" w:sz="4" w:space="0" w:color="auto"/>
            </w:tcBorders>
            <w:noWrap/>
            <w:hideMark/>
          </w:tcPr>
          <w:p w14:paraId="0237CBC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-3.6%</w:t>
            </w:r>
          </w:p>
        </w:tc>
        <w:tc>
          <w:tcPr>
            <w:tcW w:w="724" w:type="dxa"/>
            <w:tcBorders>
              <w:top w:val="single" w:sz="4" w:space="0" w:color="auto"/>
              <w:left w:val="single" w:sz="4" w:space="0" w:color="auto"/>
              <w:bottom w:val="single" w:sz="4" w:space="0" w:color="auto"/>
              <w:right w:val="single" w:sz="4" w:space="0" w:color="auto"/>
            </w:tcBorders>
            <w:noWrap/>
            <w:hideMark/>
          </w:tcPr>
          <w:p w14:paraId="3191573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-3.7%</w:t>
            </w:r>
          </w:p>
        </w:tc>
        <w:tc>
          <w:tcPr>
            <w:tcW w:w="725" w:type="dxa"/>
            <w:tcBorders>
              <w:top w:val="single" w:sz="4" w:space="0" w:color="auto"/>
              <w:left w:val="single" w:sz="4" w:space="0" w:color="auto"/>
              <w:bottom w:val="single" w:sz="4" w:space="0" w:color="auto"/>
              <w:right w:val="single" w:sz="4" w:space="0" w:color="auto"/>
            </w:tcBorders>
            <w:noWrap/>
            <w:hideMark/>
          </w:tcPr>
          <w:p w14:paraId="2FCB2B6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w:t>
            </w:r>
          </w:p>
        </w:tc>
        <w:tc>
          <w:tcPr>
            <w:tcW w:w="724" w:type="dxa"/>
            <w:tcBorders>
              <w:top w:val="single" w:sz="4" w:space="0" w:color="auto"/>
              <w:left w:val="single" w:sz="4" w:space="0" w:color="auto"/>
              <w:bottom w:val="single" w:sz="4" w:space="0" w:color="auto"/>
              <w:right w:val="single" w:sz="4" w:space="0" w:color="auto"/>
            </w:tcBorders>
            <w:noWrap/>
            <w:hideMark/>
          </w:tcPr>
          <w:p w14:paraId="204DD4A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w:t>
            </w:r>
          </w:p>
        </w:tc>
        <w:tc>
          <w:tcPr>
            <w:tcW w:w="724" w:type="dxa"/>
            <w:tcBorders>
              <w:top w:val="single" w:sz="4" w:space="0" w:color="auto"/>
              <w:left w:val="single" w:sz="4" w:space="0" w:color="auto"/>
              <w:bottom w:val="single" w:sz="4" w:space="0" w:color="auto"/>
              <w:right w:val="single" w:sz="4" w:space="0" w:color="auto"/>
            </w:tcBorders>
            <w:noWrap/>
            <w:hideMark/>
          </w:tcPr>
          <w:p w14:paraId="64E405A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w:t>
            </w:r>
          </w:p>
        </w:tc>
        <w:tc>
          <w:tcPr>
            <w:tcW w:w="724" w:type="dxa"/>
            <w:tcBorders>
              <w:top w:val="single" w:sz="4" w:space="0" w:color="auto"/>
              <w:left w:val="single" w:sz="4" w:space="0" w:color="auto"/>
              <w:bottom w:val="single" w:sz="4" w:space="0" w:color="auto"/>
              <w:right w:val="single" w:sz="4" w:space="0" w:color="auto"/>
            </w:tcBorders>
            <w:noWrap/>
            <w:hideMark/>
          </w:tcPr>
          <w:p w14:paraId="1AB8A7B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w:t>
            </w:r>
          </w:p>
        </w:tc>
        <w:tc>
          <w:tcPr>
            <w:tcW w:w="725" w:type="dxa"/>
            <w:tcBorders>
              <w:top w:val="single" w:sz="4" w:space="0" w:color="auto"/>
              <w:left w:val="single" w:sz="4" w:space="0" w:color="auto"/>
              <w:bottom w:val="single" w:sz="4" w:space="0" w:color="auto"/>
              <w:right w:val="single" w:sz="4" w:space="0" w:color="auto"/>
            </w:tcBorders>
            <w:noWrap/>
            <w:hideMark/>
          </w:tcPr>
          <w:p w14:paraId="3907C49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-4.6%</w:t>
            </w:r>
          </w:p>
        </w:tc>
        <w:tc>
          <w:tcPr>
            <w:tcW w:w="724" w:type="dxa"/>
            <w:tcBorders>
              <w:top w:val="single" w:sz="4" w:space="0" w:color="auto"/>
              <w:left w:val="single" w:sz="4" w:space="0" w:color="auto"/>
              <w:bottom w:val="single" w:sz="4" w:space="0" w:color="auto"/>
              <w:right w:val="single" w:sz="4" w:space="0" w:color="auto"/>
            </w:tcBorders>
            <w:noWrap/>
            <w:hideMark/>
          </w:tcPr>
          <w:p w14:paraId="7A0EBBC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w:t>
            </w:r>
          </w:p>
        </w:tc>
        <w:tc>
          <w:tcPr>
            <w:tcW w:w="724" w:type="dxa"/>
            <w:tcBorders>
              <w:top w:val="single" w:sz="4" w:space="0" w:color="auto"/>
              <w:left w:val="single" w:sz="4" w:space="0" w:color="auto"/>
              <w:bottom w:val="single" w:sz="4" w:space="0" w:color="auto"/>
              <w:right w:val="single" w:sz="4" w:space="0" w:color="auto"/>
            </w:tcBorders>
            <w:noWrap/>
            <w:hideMark/>
          </w:tcPr>
          <w:p w14:paraId="224603E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-4.4%</w:t>
            </w:r>
          </w:p>
        </w:tc>
        <w:tc>
          <w:tcPr>
            <w:tcW w:w="725" w:type="dxa"/>
            <w:tcBorders>
              <w:top w:val="single" w:sz="4" w:space="0" w:color="auto"/>
              <w:left w:val="single" w:sz="4" w:space="0" w:color="auto"/>
              <w:bottom w:val="single" w:sz="4" w:space="0" w:color="auto"/>
              <w:right w:val="single" w:sz="4" w:space="0" w:color="auto"/>
            </w:tcBorders>
            <w:noWrap/>
            <w:hideMark/>
          </w:tcPr>
          <w:p w14:paraId="73117E1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-4.2%</w:t>
            </w:r>
          </w:p>
        </w:tc>
      </w:tr>
    </w:tbl>
    <w:p w14:paraId="0E7D03FA" w14:textId="77777777" w:rsidR="00614438" w:rsidRPr="00614438" w:rsidRDefault="00614438" w:rsidP="00656BE7">
      <w:pPr>
        <w:spacing w:before="240"/>
        <w:jc w:val="both"/>
        <w:rPr>
          <w:rFonts w:ascii="Times New Roman" w:hAnsi="Times New Roman" w:cs="Times New Roman"/>
          <w:sz w:val="24"/>
          <w:szCs w:val="24"/>
          <w:lang w:val="en-GB"/>
        </w:rPr>
      </w:pPr>
      <w:bookmarkStart w:id="721" w:name="_Toc153545107"/>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Total Emissions (including agriculture, waste and LULUCF) in ktons of CO2eq</w:t>
      </w:r>
      <w:bookmarkEnd w:id="721"/>
    </w:p>
    <w:tbl>
      <w:tblPr>
        <w:tblStyle w:val="TableGrid"/>
        <w:tblW w:w="9690" w:type="dxa"/>
        <w:tblLayout w:type="fixed"/>
        <w:tblLook w:val="04A0" w:firstRow="1" w:lastRow="0" w:firstColumn="1" w:lastColumn="0" w:noHBand="0" w:noVBand="1"/>
      </w:tblPr>
      <w:tblGrid>
        <w:gridCol w:w="1114"/>
        <w:gridCol w:w="660"/>
        <w:gridCol w:w="660"/>
        <w:gridCol w:w="659"/>
        <w:gridCol w:w="660"/>
        <w:gridCol w:w="660"/>
        <w:gridCol w:w="659"/>
        <w:gridCol w:w="660"/>
        <w:gridCol w:w="659"/>
        <w:gridCol w:w="660"/>
        <w:gridCol w:w="660"/>
        <w:gridCol w:w="659"/>
        <w:gridCol w:w="660"/>
        <w:gridCol w:w="660"/>
      </w:tblGrid>
      <w:tr w:rsidR="00614438" w:rsidRPr="00656BE7" w14:paraId="33BF6666" w14:textId="77777777" w:rsidTr="00614438">
        <w:trPr>
          <w:trHeight w:val="328"/>
        </w:trPr>
        <w:tc>
          <w:tcPr>
            <w:tcW w:w="1113"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6D0E3D06"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Total Emissions (with a. w. LULUCF) [ktons of CO2eq]</w:t>
            </w:r>
          </w:p>
        </w:tc>
        <w:tc>
          <w:tcPr>
            <w:tcW w:w="65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56480527"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1990</w:t>
            </w:r>
          </w:p>
        </w:tc>
        <w:tc>
          <w:tcPr>
            <w:tcW w:w="660"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23FA960A"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2010</w:t>
            </w:r>
          </w:p>
        </w:tc>
        <w:tc>
          <w:tcPr>
            <w:tcW w:w="659"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F5AD48C"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2020</w:t>
            </w:r>
          </w:p>
        </w:tc>
        <w:tc>
          <w:tcPr>
            <w:tcW w:w="660"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A98F3AC"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2025</w:t>
            </w:r>
          </w:p>
        </w:tc>
        <w:tc>
          <w:tcPr>
            <w:tcW w:w="660"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8C8EE25"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2026</w:t>
            </w:r>
          </w:p>
        </w:tc>
        <w:tc>
          <w:tcPr>
            <w:tcW w:w="659"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F64C10E"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2027</w:t>
            </w:r>
          </w:p>
        </w:tc>
        <w:tc>
          <w:tcPr>
            <w:tcW w:w="660"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74F1819"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2028</w:t>
            </w:r>
          </w:p>
        </w:tc>
        <w:tc>
          <w:tcPr>
            <w:tcW w:w="659"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05C1AAD"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2029</w:t>
            </w:r>
          </w:p>
        </w:tc>
        <w:tc>
          <w:tcPr>
            <w:tcW w:w="660"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8781D09"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2030</w:t>
            </w:r>
          </w:p>
        </w:tc>
        <w:tc>
          <w:tcPr>
            <w:tcW w:w="660"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2FED955"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2035</w:t>
            </w:r>
          </w:p>
        </w:tc>
        <w:tc>
          <w:tcPr>
            <w:tcW w:w="659"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5E46BCA"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2040</w:t>
            </w:r>
          </w:p>
        </w:tc>
        <w:tc>
          <w:tcPr>
            <w:tcW w:w="660"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7082364"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2045</w:t>
            </w:r>
          </w:p>
        </w:tc>
        <w:tc>
          <w:tcPr>
            <w:tcW w:w="660"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E42623B"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2050</w:t>
            </w:r>
          </w:p>
        </w:tc>
      </w:tr>
      <w:tr w:rsidR="00614438" w:rsidRPr="00656BE7" w14:paraId="44A02B87" w14:textId="77777777" w:rsidTr="00614438">
        <w:trPr>
          <w:trHeight w:val="328"/>
        </w:trPr>
        <w:tc>
          <w:tcPr>
            <w:tcW w:w="1113"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50C81F49"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WEM</w:t>
            </w:r>
          </w:p>
        </w:tc>
        <w:tc>
          <w:tcPr>
            <w:tcW w:w="659" w:type="dxa"/>
            <w:tcBorders>
              <w:top w:val="single" w:sz="4" w:space="0" w:color="auto"/>
              <w:left w:val="single" w:sz="4" w:space="0" w:color="auto"/>
              <w:bottom w:val="single" w:sz="4" w:space="0" w:color="auto"/>
              <w:right w:val="single" w:sz="4" w:space="0" w:color="auto"/>
            </w:tcBorders>
            <w:vAlign w:val="center"/>
            <w:hideMark/>
          </w:tcPr>
          <w:p w14:paraId="28651142"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80094</w:t>
            </w:r>
          </w:p>
        </w:tc>
        <w:tc>
          <w:tcPr>
            <w:tcW w:w="660" w:type="dxa"/>
            <w:tcBorders>
              <w:top w:val="single" w:sz="4" w:space="0" w:color="auto"/>
              <w:left w:val="single" w:sz="4" w:space="0" w:color="auto"/>
              <w:bottom w:val="single" w:sz="4" w:space="0" w:color="auto"/>
              <w:right w:val="single" w:sz="4" w:space="0" w:color="auto"/>
            </w:tcBorders>
            <w:vAlign w:val="center"/>
            <w:hideMark/>
          </w:tcPr>
          <w:p w14:paraId="4853CD5E"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57024</w:t>
            </w:r>
          </w:p>
        </w:tc>
        <w:tc>
          <w:tcPr>
            <w:tcW w:w="659" w:type="dxa"/>
            <w:tcBorders>
              <w:top w:val="single" w:sz="4" w:space="0" w:color="auto"/>
              <w:left w:val="single" w:sz="4" w:space="0" w:color="auto"/>
              <w:bottom w:val="single" w:sz="4" w:space="0" w:color="auto"/>
              <w:right w:val="single" w:sz="4" w:space="0" w:color="auto"/>
            </w:tcBorders>
            <w:noWrap/>
            <w:vAlign w:val="center"/>
            <w:hideMark/>
          </w:tcPr>
          <w:p w14:paraId="51FA786C"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56163</w:t>
            </w:r>
          </w:p>
        </w:tc>
        <w:tc>
          <w:tcPr>
            <w:tcW w:w="660" w:type="dxa"/>
            <w:tcBorders>
              <w:top w:val="single" w:sz="4" w:space="0" w:color="auto"/>
              <w:left w:val="single" w:sz="4" w:space="0" w:color="auto"/>
              <w:bottom w:val="single" w:sz="4" w:space="0" w:color="auto"/>
              <w:right w:val="single" w:sz="4" w:space="0" w:color="auto"/>
            </w:tcBorders>
            <w:noWrap/>
            <w:vAlign w:val="center"/>
            <w:hideMark/>
          </w:tcPr>
          <w:p w14:paraId="10EAA8F2"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59493</w:t>
            </w:r>
          </w:p>
        </w:tc>
        <w:tc>
          <w:tcPr>
            <w:tcW w:w="660" w:type="dxa"/>
            <w:tcBorders>
              <w:top w:val="single" w:sz="4" w:space="0" w:color="auto"/>
              <w:left w:val="single" w:sz="4" w:space="0" w:color="auto"/>
              <w:bottom w:val="single" w:sz="4" w:space="0" w:color="auto"/>
              <w:right w:val="single" w:sz="4" w:space="0" w:color="auto"/>
            </w:tcBorders>
            <w:noWrap/>
            <w:vAlign w:val="center"/>
            <w:hideMark/>
          </w:tcPr>
          <w:p w14:paraId="155FF9FF"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60319</w:t>
            </w:r>
          </w:p>
        </w:tc>
        <w:tc>
          <w:tcPr>
            <w:tcW w:w="659" w:type="dxa"/>
            <w:tcBorders>
              <w:top w:val="single" w:sz="4" w:space="0" w:color="auto"/>
              <w:left w:val="single" w:sz="4" w:space="0" w:color="auto"/>
              <w:bottom w:val="single" w:sz="4" w:space="0" w:color="auto"/>
              <w:right w:val="single" w:sz="4" w:space="0" w:color="auto"/>
            </w:tcBorders>
            <w:noWrap/>
            <w:vAlign w:val="center"/>
            <w:hideMark/>
          </w:tcPr>
          <w:p w14:paraId="1E067A50"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61305</w:t>
            </w:r>
          </w:p>
        </w:tc>
        <w:tc>
          <w:tcPr>
            <w:tcW w:w="660" w:type="dxa"/>
            <w:tcBorders>
              <w:top w:val="single" w:sz="4" w:space="0" w:color="auto"/>
              <w:left w:val="single" w:sz="4" w:space="0" w:color="auto"/>
              <w:bottom w:val="single" w:sz="4" w:space="0" w:color="auto"/>
              <w:right w:val="single" w:sz="4" w:space="0" w:color="auto"/>
            </w:tcBorders>
            <w:noWrap/>
            <w:vAlign w:val="center"/>
            <w:hideMark/>
          </w:tcPr>
          <w:p w14:paraId="798F1E42"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62254</w:t>
            </w:r>
          </w:p>
        </w:tc>
        <w:tc>
          <w:tcPr>
            <w:tcW w:w="659" w:type="dxa"/>
            <w:tcBorders>
              <w:top w:val="single" w:sz="4" w:space="0" w:color="auto"/>
              <w:left w:val="single" w:sz="4" w:space="0" w:color="auto"/>
              <w:bottom w:val="single" w:sz="4" w:space="0" w:color="auto"/>
              <w:right w:val="single" w:sz="4" w:space="0" w:color="auto"/>
            </w:tcBorders>
            <w:noWrap/>
            <w:vAlign w:val="center"/>
            <w:hideMark/>
          </w:tcPr>
          <w:p w14:paraId="0288C9F5"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63327</w:t>
            </w:r>
          </w:p>
        </w:tc>
        <w:tc>
          <w:tcPr>
            <w:tcW w:w="660" w:type="dxa"/>
            <w:tcBorders>
              <w:top w:val="single" w:sz="4" w:space="0" w:color="auto"/>
              <w:left w:val="single" w:sz="4" w:space="0" w:color="auto"/>
              <w:bottom w:val="single" w:sz="4" w:space="0" w:color="auto"/>
              <w:right w:val="single" w:sz="4" w:space="0" w:color="auto"/>
            </w:tcBorders>
            <w:noWrap/>
            <w:vAlign w:val="center"/>
            <w:hideMark/>
          </w:tcPr>
          <w:p w14:paraId="54B878C5"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64577</w:t>
            </w:r>
          </w:p>
        </w:tc>
        <w:tc>
          <w:tcPr>
            <w:tcW w:w="660" w:type="dxa"/>
            <w:tcBorders>
              <w:top w:val="single" w:sz="4" w:space="0" w:color="auto"/>
              <w:left w:val="single" w:sz="4" w:space="0" w:color="auto"/>
              <w:bottom w:val="single" w:sz="4" w:space="0" w:color="auto"/>
              <w:right w:val="single" w:sz="4" w:space="0" w:color="auto"/>
            </w:tcBorders>
            <w:noWrap/>
            <w:vAlign w:val="center"/>
            <w:hideMark/>
          </w:tcPr>
          <w:p w14:paraId="43FE0352"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68874</w:t>
            </w:r>
          </w:p>
        </w:tc>
        <w:tc>
          <w:tcPr>
            <w:tcW w:w="659" w:type="dxa"/>
            <w:tcBorders>
              <w:top w:val="single" w:sz="4" w:space="0" w:color="auto"/>
              <w:left w:val="single" w:sz="4" w:space="0" w:color="auto"/>
              <w:bottom w:val="single" w:sz="4" w:space="0" w:color="auto"/>
              <w:right w:val="single" w:sz="4" w:space="0" w:color="auto"/>
            </w:tcBorders>
            <w:noWrap/>
            <w:vAlign w:val="center"/>
            <w:hideMark/>
          </w:tcPr>
          <w:p w14:paraId="02D244E6"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73068</w:t>
            </w:r>
          </w:p>
        </w:tc>
        <w:tc>
          <w:tcPr>
            <w:tcW w:w="660" w:type="dxa"/>
            <w:tcBorders>
              <w:top w:val="single" w:sz="4" w:space="0" w:color="auto"/>
              <w:left w:val="single" w:sz="4" w:space="0" w:color="auto"/>
              <w:bottom w:val="single" w:sz="4" w:space="0" w:color="auto"/>
              <w:right w:val="single" w:sz="4" w:space="0" w:color="auto"/>
            </w:tcBorders>
            <w:noWrap/>
            <w:vAlign w:val="center"/>
            <w:hideMark/>
          </w:tcPr>
          <w:p w14:paraId="57A9D271"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76529</w:t>
            </w:r>
          </w:p>
        </w:tc>
        <w:tc>
          <w:tcPr>
            <w:tcW w:w="660" w:type="dxa"/>
            <w:tcBorders>
              <w:top w:val="single" w:sz="4" w:space="0" w:color="auto"/>
              <w:left w:val="single" w:sz="4" w:space="0" w:color="auto"/>
              <w:bottom w:val="single" w:sz="4" w:space="0" w:color="auto"/>
              <w:right w:val="single" w:sz="4" w:space="0" w:color="auto"/>
            </w:tcBorders>
            <w:noWrap/>
            <w:vAlign w:val="center"/>
            <w:hideMark/>
          </w:tcPr>
          <w:p w14:paraId="28FB1D4F"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72958</w:t>
            </w:r>
          </w:p>
        </w:tc>
      </w:tr>
      <w:tr w:rsidR="00614438" w:rsidRPr="00656BE7" w14:paraId="3AD18CE0" w14:textId="77777777" w:rsidTr="00614438">
        <w:trPr>
          <w:trHeight w:val="328"/>
        </w:trPr>
        <w:tc>
          <w:tcPr>
            <w:tcW w:w="1113"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4FB2ACFD"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Scenario-S</w:t>
            </w:r>
          </w:p>
        </w:tc>
        <w:tc>
          <w:tcPr>
            <w:tcW w:w="659" w:type="dxa"/>
            <w:tcBorders>
              <w:top w:val="single" w:sz="4" w:space="0" w:color="auto"/>
              <w:left w:val="single" w:sz="4" w:space="0" w:color="auto"/>
              <w:bottom w:val="single" w:sz="4" w:space="0" w:color="auto"/>
              <w:right w:val="single" w:sz="4" w:space="0" w:color="auto"/>
            </w:tcBorders>
            <w:vAlign w:val="center"/>
            <w:hideMark/>
          </w:tcPr>
          <w:p w14:paraId="14A342AD"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80094</w:t>
            </w:r>
          </w:p>
        </w:tc>
        <w:tc>
          <w:tcPr>
            <w:tcW w:w="660" w:type="dxa"/>
            <w:tcBorders>
              <w:top w:val="single" w:sz="4" w:space="0" w:color="auto"/>
              <w:left w:val="single" w:sz="4" w:space="0" w:color="auto"/>
              <w:bottom w:val="single" w:sz="4" w:space="0" w:color="auto"/>
              <w:right w:val="single" w:sz="4" w:space="0" w:color="auto"/>
            </w:tcBorders>
            <w:vAlign w:val="center"/>
            <w:hideMark/>
          </w:tcPr>
          <w:p w14:paraId="56419561"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57024</w:t>
            </w:r>
          </w:p>
        </w:tc>
        <w:tc>
          <w:tcPr>
            <w:tcW w:w="659" w:type="dxa"/>
            <w:tcBorders>
              <w:top w:val="single" w:sz="4" w:space="0" w:color="auto"/>
              <w:left w:val="single" w:sz="4" w:space="0" w:color="auto"/>
              <w:bottom w:val="single" w:sz="4" w:space="0" w:color="auto"/>
              <w:right w:val="single" w:sz="4" w:space="0" w:color="auto"/>
            </w:tcBorders>
            <w:noWrap/>
            <w:vAlign w:val="center"/>
            <w:hideMark/>
          </w:tcPr>
          <w:p w14:paraId="2D0C7C5C"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56163</w:t>
            </w:r>
          </w:p>
        </w:tc>
        <w:tc>
          <w:tcPr>
            <w:tcW w:w="660" w:type="dxa"/>
            <w:tcBorders>
              <w:top w:val="single" w:sz="4" w:space="0" w:color="auto"/>
              <w:left w:val="single" w:sz="4" w:space="0" w:color="auto"/>
              <w:bottom w:val="single" w:sz="4" w:space="0" w:color="auto"/>
              <w:right w:val="single" w:sz="4" w:space="0" w:color="auto"/>
            </w:tcBorders>
            <w:noWrap/>
            <w:vAlign w:val="center"/>
            <w:hideMark/>
          </w:tcPr>
          <w:p w14:paraId="530BB242"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55478</w:t>
            </w:r>
          </w:p>
        </w:tc>
        <w:tc>
          <w:tcPr>
            <w:tcW w:w="660" w:type="dxa"/>
            <w:tcBorders>
              <w:top w:val="single" w:sz="4" w:space="0" w:color="auto"/>
              <w:left w:val="single" w:sz="4" w:space="0" w:color="auto"/>
              <w:bottom w:val="single" w:sz="4" w:space="0" w:color="auto"/>
              <w:right w:val="single" w:sz="4" w:space="0" w:color="auto"/>
            </w:tcBorders>
            <w:noWrap/>
            <w:vAlign w:val="center"/>
            <w:hideMark/>
          </w:tcPr>
          <w:p w14:paraId="02C269D8"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54480</w:t>
            </w:r>
          </w:p>
        </w:tc>
        <w:tc>
          <w:tcPr>
            <w:tcW w:w="659" w:type="dxa"/>
            <w:tcBorders>
              <w:top w:val="single" w:sz="4" w:space="0" w:color="auto"/>
              <w:left w:val="single" w:sz="4" w:space="0" w:color="auto"/>
              <w:bottom w:val="single" w:sz="4" w:space="0" w:color="auto"/>
              <w:right w:val="single" w:sz="4" w:space="0" w:color="auto"/>
            </w:tcBorders>
            <w:noWrap/>
            <w:vAlign w:val="center"/>
            <w:hideMark/>
          </w:tcPr>
          <w:p w14:paraId="77632B1A"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54099</w:t>
            </w:r>
          </w:p>
        </w:tc>
        <w:tc>
          <w:tcPr>
            <w:tcW w:w="660" w:type="dxa"/>
            <w:tcBorders>
              <w:top w:val="single" w:sz="4" w:space="0" w:color="auto"/>
              <w:left w:val="single" w:sz="4" w:space="0" w:color="auto"/>
              <w:bottom w:val="single" w:sz="4" w:space="0" w:color="auto"/>
              <w:right w:val="single" w:sz="4" w:space="0" w:color="auto"/>
            </w:tcBorders>
            <w:noWrap/>
            <w:vAlign w:val="center"/>
            <w:hideMark/>
          </w:tcPr>
          <w:p w14:paraId="32798806"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53073</w:t>
            </w:r>
          </w:p>
        </w:tc>
        <w:tc>
          <w:tcPr>
            <w:tcW w:w="659" w:type="dxa"/>
            <w:tcBorders>
              <w:top w:val="single" w:sz="4" w:space="0" w:color="auto"/>
              <w:left w:val="single" w:sz="4" w:space="0" w:color="auto"/>
              <w:bottom w:val="single" w:sz="4" w:space="0" w:color="auto"/>
              <w:right w:val="single" w:sz="4" w:space="0" w:color="auto"/>
            </w:tcBorders>
            <w:noWrap/>
            <w:vAlign w:val="center"/>
            <w:hideMark/>
          </w:tcPr>
          <w:p w14:paraId="7B64173B"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51274</w:t>
            </w:r>
          </w:p>
        </w:tc>
        <w:tc>
          <w:tcPr>
            <w:tcW w:w="660" w:type="dxa"/>
            <w:tcBorders>
              <w:top w:val="single" w:sz="4" w:space="0" w:color="auto"/>
              <w:left w:val="single" w:sz="4" w:space="0" w:color="auto"/>
              <w:bottom w:val="single" w:sz="4" w:space="0" w:color="auto"/>
              <w:right w:val="single" w:sz="4" w:space="0" w:color="auto"/>
            </w:tcBorders>
            <w:noWrap/>
            <w:vAlign w:val="center"/>
            <w:hideMark/>
          </w:tcPr>
          <w:p w14:paraId="49DC3675"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47765</w:t>
            </w:r>
          </w:p>
        </w:tc>
        <w:tc>
          <w:tcPr>
            <w:tcW w:w="660" w:type="dxa"/>
            <w:tcBorders>
              <w:top w:val="single" w:sz="4" w:space="0" w:color="auto"/>
              <w:left w:val="single" w:sz="4" w:space="0" w:color="auto"/>
              <w:bottom w:val="single" w:sz="4" w:space="0" w:color="auto"/>
              <w:right w:val="single" w:sz="4" w:space="0" w:color="auto"/>
            </w:tcBorders>
            <w:noWrap/>
            <w:vAlign w:val="center"/>
            <w:hideMark/>
          </w:tcPr>
          <w:p w14:paraId="20220271"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41942</w:t>
            </w:r>
          </w:p>
        </w:tc>
        <w:tc>
          <w:tcPr>
            <w:tcW w:w="659" w:type="dxa"/>
            <w:tcBorders>
              <w:top w:val="single" w:sz="4" w:space="0" w:color="auto"/>
              <w:left w:val="single" w:sz="4" w:space="0" w:color="auto"/>
              <w:bottom w:val="single" w:sz="4" w:space="0" w:color="auto"/>
              <w:right w:val="single" w:sz="4" w:space="0" w:color="auto"/>
            </w:tcBorders>
            <w:noWrap/>
            <w:vAlign w:val="center"/>
            <w:hideMark/>
          </w:tcPr>
          <w:p w14:paraId="53C47E05"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36098</w:t>
            </w:r>
          </w:p>
        </w:tc>
        <w:tc>
          <w:tcPr>
            <w:tcW w:w="660" w:type="dxa"/>
            <w:tcBorders>
              <w:top w:val="single" w:sz="4" w:space="0" w:color="auto"/>
              <w:left w:val="single" w:sz="4" w:space="0" w:color="auto"/>
              <w:bottom w:val="single" w:sz="4" w:space="0" w:color="auto"/>
              <w:right w:val="single" w:sz="4" w:space="0" w:color="auto"/>
            </w:tcBorders>
            <w:noWrap/>
            <w:vAlign w:val="center"/>
            <w:hideMark/>
          </w:tcPr>
          <w:p w14:paraId="34235EE8"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28846</w:t>
            </w:r>
          </w:p>
        </w:tc>
        <w:tc>
          <w:tcPr>
            <w:tcW w:w="660" w:type="dxa"/>
            <w:tcBorders>
              <w:top w:val="single" w:sz="4" w:space="0" w:color="auto"/>
              <w:left w:val="single" w:sz="4" w:space="0" w:color="auto"/>
              <w:bottom w:val="single" w:sz="4" w:space="0" w:color="auto"/>
              <w:right w:val="single" w:sz="4" w:space="0" w:color="auto"/>
            </w:tcBorders>
            <w:noWrap/>
            <w:vAlign w:val="center"/>
            <w:hideMark/>
          </w:tcPr>
          <w:p w14:paraId="4BFCC2FF"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21330</w:t>
            </w:r>
          </w:p>
        </w:tc>
      </w:tr>
      <w:tr w:rsidR="00614438" w:rsidRPr="00656BE7" w14:paraId="6AF5B85A" w14:textId="77777777" w:rsidTr="00614438">
        <w:trPr>
          <w:trHeight w:val="328"/>
        </w:trPr>
        <w:tc>
          <w:tcPr>
            <w:tcW w:w="1113"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141637DB"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Scenario-S-N</w:t>
            </w:r>
          </w:p>
        </w:tc>
        <w:tc>
          <w:tcPr>
            <w:tcW w:w="659" w:type="dxa"/>
            <w:tcBorders>
              <w:top w:val="single" w:sz="4" w:space="0" w:color="auto"/>
              <w:left w:val="single" w:sz="4" w:space="0" w:color="auto"/>
              <w:bottom w:val="single" w:sz="4" w:space="0" w:color="auto"/>
              <w:right w:val="single" w:sz="4" w:space="0" w:color="auto"/>
            </w:tcBorders>
            <w:vAlign w:val="center"/>
            <w:hideMark/>
          </w:tcPr>
          <w:p w14:paraId="3369952A"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80094</w:t>
            </w:r>
          </w:p>
        </w:tc>
        <w:tc>
          <w:tcPr>
            <w:tcW w:w="660" w:type="dxa"/>
            <w:tcBorders>
              <w:top w:val="single" w:sz="4" w:space="0" w:color="auto"/>
              <w:left w:val="single" w:sz="4" w:space="0" w:color="auto"/>
              <w:bottom w:val="single" w:sz="4" w:space="0" w:color="auto"/>
              <w:right w:val="single" w:sz="4" w:space="0" w:color="auto"/>
            </w:tcBorders>
            <w:vAlign w:val="center"/>
            <w:hideMark/>
          </w:tcPr>
          <w:p w14:paraId="748C4678"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57024</w:t>
            </w:r>
          </w:p>
        </w:tc>
        <w:tc>
          <w:tcPr>
            <w:tcW w:w="659" w:type="dxa"/>
            <w:tcBorders>
              <w:top w:val="single" w:sz="4" w:space="0" w:color="auto"/>
              <w:left w:val="single" w:sz="4" w:space="0" w:color="auto"/>
              <w:bottom w:val="single" w:sz="4" w:space="0" w:color="auto"/>
              <w:right w:val="single" w:sz="4" w:space="0" w:color="auto"/>
            </w:tcBorders>
            <w:noWrap/>
            <w:vAlign w:val="center"/>
            <w:hideMark/>
          </w:tcPr>
          <w:p w14:paraId="44785E1B"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56163</w:t>
            </w:r>
          </w:p>
        </w:tc>
        <w:tc>
          <w:tcPr>
            <w:tcW w:w="660" w:type="dxa"/>
            <w:tcBorders>
              <w:top w:val="single" w:sz="4" w:space="0" w:color="auto"/>
              <w:left w:val="single" w:sz="4" w:space="0" w:color="auto"/>
              <w:bottom w:val="single" w:sz="4" w:space="0" w:color="auto"/>
              <w:right w:val="single" w:sz="4" w:space="0" w:color="auto"/>
            </w:tcBorders>
            <w:noWrap/>
            <w:vAlign w:val="center"/>
            <w:hideMark/>
          </w:tcPr>
          <w:p w14:paraId="58BF1D08"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55478</w:t>
            </w:r>
          </w:p>
        </w:tc>
        <w:tc>
          <w:tcPr>
            <w:tcW w:w="660" w:type="dxa"/>
            <w:tcBorders>
              <w:top w:val="single" w:sz="4" w:space="0" w:color="auto"/>
              <w:left w:val="single" w:sz="4" w:space="0" w:color="auto"/>
              <w:bottom w:val="single" w:sz="4" w:space="0" w:color="auto"/>
              <w:right w:val="single" w:sz="4" w:space="0" w:color="auto"/>
            </w:tcBorders>
            <w:noWrap/>
            <w:vAlign w:val="center"/>
            <w:hideMark/>
          </w:tcPr>
          <w:p w14:paraId="36C992F9"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54480</w:t>
            </w:r>
          </w:p>
        </w:tc>
        <w:tc>
          <w:tcPr>
            <w:tcW w:w="659" w:type="dxa"/>
            <w:tcBorders>
              <w:top w:val="single" w:sz="4" w:space="0" w:color="auto"/>
              <w:left w:val="single" w:sz="4" w:space="0" w:color="auto"/>
              <w:bottom w:val="single" w:sz="4" w:space="0" w:color="auto"/>
              <w:right w:val="single" w:sz="4" w:space="0" w:color="auto"/>
            </w:tcBorders>
            <w:noWrap/>
            <w:vAlign w:val="center"/>
            <w:hideMark/>
          </w:tcPr>
          <w:p w14:paraId="6E1836D7"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54099</w:t>
            </w:r>
          </w:p>
        </w:tc>
        <w:tc>
          <w:tcPr>
            <w:tcW w:w="660" w:type="dxa"/>
            <w:tcBorders>
              <w:top w:val="single" w:sz="4" w:space="0" w:color="auto"/>
              <w:left w:val="single" w:sz="4" w:space="0" w:color="auto"/>
              <w:bottom w:val="single" w:sz="4" w:space="0" w:color="auto"/>
              <w:right w:val="single" w:sz="4" w:space="0" w:color="auto"/>
            </w:tcBorders>
            <w:noWrap/>
            <w:vAlign w:val="center"/>
            <w:hideMark/>
          </w:tcPr>
          <w:p w14:paraId="31FCD4E3"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53073</w:t>
            </w:r>
          </w:p>
        </w:tc>
        <w:tc>
          <w:tcPr>
            <w:tcW w:w="659" w:type="dxa"/>
            <w:tcBorders>
              <w:top w:val="single" w:sz="4" w:space="0" w:color="auto"/>
              <w:left w:val="single" w:sz="4" w:space="0" w:color="auto"/>
              <w:bottom w:val="single" w:sz="4" w:space="0" w:color="auto"/>
              <w:right w:val="single" w:sz="4" w:space="0" w:color="auto"/>
            </w:tcBorders>
            <w:noWrap/>
            <w:vAlign w:val="center"/>
            <w:hideMark/>
          </w:tcPr>
          <w:p w14:paraId="4B7FC8D4"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51274</w:t>
            </w:r>
          </w:p>
        </w:tc>
        <w:tc>
          <w:tcPr>
            <w:tcW w:w="660" w:type="dxa"/>
            <w:tcBorders>
              <w:top w:val="single" w:sz="4" w:space="0" w:color="auto"/>
              <w:left w:val="single" w:sz="4" w:space="0" w:color="auto"/>
              <w:bottom w:val="single" w:sz="4" w:space="0" w:color="auto"/>
              <w:right w:val="single" w:sz="4" w:space="0" w:color="auto"/>
            </w:tcBorders>
            <w:noWrap/>
            <w:vAlign w:val="center"/>
            <w:hideMark/>
          </w:tcPr>
          <w:p w14:paraId="004847FC"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47765</w:t>
            </w:r>
          </w:p>
        </w:tc>
        <w:tc>
          <w:tcPr>
            <w:tcW w:w="660" w:type="dxa"/>
            <w:tcBorders>
              <w:top w:val="single" w:sz="4" w:space="0" w:color="auto"/>
              <w:left w:val="single" w:sz="4" w:space="0" w:color="auto"/>
              <w:bottom w:val="single" w:sz="4" w:space="0" w:color="auto"/>
              <w:right w:val="single" w:sz="4" w:space="0" w:color="auto"/>
            </w:tcBorders>
            <w:noWrap/>
            <w:vAlign w:val="center"/>
            <w:hideMark/>
          </w:tcPr>
          <w:p w14:paraId="6FFE2F4A"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41943</w:t>
            </w:r>
          </w:p>
        </w:tc>
        <w:tc>
          <w:tcPr>
            <w:tcW w:w="659" w:type="dxa"/>
            <w:tcBorders>
              <w:top w:val="single" w:sz="4" w:space="0" w:color="auto"/>
              <w:left w:val="single" w:sz="4" w:space="0" w:color="auto"/>
              <w:bottom w:val="single" w:sz="4" w:space="0" w:color="auto"/>
              <w:right w:val="single" w:sz="4" w:space="0" w:color="auto"/>
            </w:tcBorders>
            <w:noWrap/>
            <w:vAlign w:val="center"/>
            <w:hideMark/>
          </w:tcPr>
          <w:p w14:paraId="05691230"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36100</w:t>
            </w:r>
          </w:p>
        </w:tc>
        <w:tc>
          <w:tcPr>
            <w:tcW w:w="660" w:type="dxa"/>
            <w:tcBorders>
              <w:top w:val="single" w:sz="4" w:space="0" w:color="auto"/>
              <w:left w:val="single" w:sz="4" w:space="0" w:color="auto"/>
              <w:bottom w:val="single" w:sz="4" w:space="0" w:color="auto"/>
              <w:right w:val="single" w:sz="4" w:space="0" w:color="auto"/>
            </w:tcBorders>
            <w:noWrap/>
            <w:vAlign w:val="center"/>
            <w:hideMark/>
          </w:tcPr>
          <w:p w14:paraId="2AEB774F"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25300</w:t>
            </w:r>
          </w:p>
        </w:tc>
        <w:tc>
          <w:tcPr>
            <w:tcW w:w="660" w:type="dxa"/>
            <w:tcBorders>
              <w:top w:val="single" w:sz="4" w:space="0" w:color="auto"/>
              <w:left w:val="single" w:sz="4" w:space="0" w:color="auto"/>
              <w:bottom w:val="single" w:sz="4" w:space="0" w:color="auto"/>
              <w:right w:val="single" w:sz="4" w:space="0" w:color="auto"/>
            </w:tcBorders>
            <w:noWrap/>
            <w:vAlign w:val="center"/>
            <w:hideMark/>
          </w:tcPr>
          <w:p w14:paraId="264CCA32"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19745</w:t>
            </w:r>
          </w:p>
        </w:tc>
      </w:tr>
    </w:tbl>
    <w:p w14:paraId="6FAE4CE1" w14:textId="77777777" w:rsidR="00614438" w:rsidRPr="00614438" w:rsidRDefault="00614438" w:rsidP="00656BE7">
      <w:pPr>
        <w:spacing w:before="240"/>
        <w:jc w:val="both"/>
        <w:rPr>
          <w:rFonts w:ascii="Times New Roman" w:hAnsi="Times New Roman" w:cs="Times New Roman"/>
          <w:sz w:val="24"/>
          <w:szCs w:val="24"/>
          <w:lang w:val="en-GB"/>
        </w:rPr>
      </w:pPr>
      <w:bookmarkStart w:id="722" w:name="_Toc153545108"/>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 reduction of total emissions with respect to the 1990 level</w:t>
      </w:r>
      <w:bookmarkEnd w:id="722"/>
    </w:p>
    <w:tbl>
      <w:tblPr>
        <w:tblStyle w:val="TableGrid"/>
        <w:tblW w:w="9780" w:type="dxa"/>
        <w:tblLayout w:type="fixed"/>
        <w:tblLook w:val="04A0" w:firstRow="1" w:lastRow="0" w:firstColumn="1" w:lastColumn="0" w:noHBand="0" w:noVBand="1"/>
      </w:tblPr>
      <w:tblGrid>
        <w:gridCol w:w="847"/>
        <w:gridCol w:w="745"/>
        <w:gridCol w:w="745"/>
        <w:gridCol w:w="745"/>
        <w:gridCol w:w="744"/>
        <w:gridCol w:w="744"/>
        <w:gridCol w:w="745"/>
        <w:gridCol w:w="744"/>
        <w:gridCol w:w="744"/>
        <w:gridCol w:w="744"/>
        <w:gridCol w:w="744"/>
        <w:gridCol w:w="744"/>
        <w:gridCol w:w="745"/>
      </w:tblGrid>
      <w:tr w:rsidR="00013008" w:rsidRPr="00656BE7" w14:paraId="41BC38B1" w14:textId="77777777" w:rsidTr="00614438">
        <w:trPr>
          <w:trHeight w:val="328"/>
        </w:trPr>
        <w:tc>
          <w:tcPr>
            <w:tcW w:w="846"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0CC83B11"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Total Emissions reduction w.r.t. 1990 [%]</w:t>
            </w:r>
          </w:p>
        </w:tc>
        <w:tc>
          <w:tcPr>
            <w:tcW w:w="744"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788EC13B"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2010</w:t>
            </w:r>
          </w:p>
        </w:tc>
        <w:tc>
          <w:tcPr>
            <w:tcW w:w="74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797EE45"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2020</w:t>
            </w:r>
          </w:p>
        </w:tc>
        <w:tc>
          <w:tcPr>
            <w:tcW w:w="74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A9C8E08"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2025</w:t>
            </w:r>
          </w:p>
        </w:tc>
        <w:tc>
          <w:tcPr>
            <w:tcW w:w="74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3018EE4"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2026</w:t>
            </w:r>
          </w:p>
        </w:tc>
        <w:tc>
          <w:tcPr>
            <w:tcW w:w="74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DD38D55"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2027</w:t>
            </w:r>
          </w:p>
        </w:tc>
        <w:tc>
          <w:tcPr>
            <w:tcW w:w="74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7E1BAD1"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2028</w:t>
            </w:r>
          </w:p>
        </w:tc>
        <w:tc>
          <w:tcPr>
            <w:tcW w:w="74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9C89B98"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2029</w:t>
            </w:r>
          </w:p>
        </w:tc>
        <w:tc>
          <w:tcPr>
            <w:tcW w:w="74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00614DA"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2030</w:t>
            </w:r>
          </w:p>
        </w:tc>
        <w:tc>
          <w:tcPr>
            <w:tcW w:w="74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45AA1C6"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2035</w:t>
            </w:r>
          </w:p>
        </w:tc>
        <w:tc>
          <w:tcPr>
            <w:tcW w:w="74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3FCF3B5"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2040</w:t>
            </w:r>
          </w:p>
        </w:tc>
        <w:tc>
          <w:tcPr>
            <w:tcW w:w="74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A1E4B3B"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2045</w:t>
            </w:r>
          </w:p>
        </w:tc>
        <w:tc>
          <w:tcPr>
            <w:tcW w:w="745"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7390686"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2050</w:t>
            </w:r>
          </w:p>
        </w:tc>
      </w:tr>
      <w:tr w:rsidR="00614438" w:rsidRPr="00656BE7" w14:paraId="7F68FC27" w14:textId="77777777" w:rsidTr="00614438">
        <w:trPr>
          <w:trHeight w:val="328"/>
        </w:trPr>
        <w:tc>
          <w:tcPr>
            <w:tcW w:w="846"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6CD7BB5C"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WEM</w:t>
            </w:r>
          </w:p>
        </w:tc>
        <w:tc>
          <w:tcPr>
            <w:tcW w:w="744" w:type="dxa"/>
            <w:tcBorders>
              <w:top w:val="single" w:sz="4" w:space="0" w:color="auto"/>
              <w:left w:val="single" w:sz="4" w:space="0" w:color="auto"/>
              <w:bottom w:val="single" w:sz="4" w:space="0" w:color="auto"/>
              <w:right w:val="single" w:sz="4" w:space="0" w:color="auto"/>
            </w:tcBorders>
            <w:vAlign w:val="center"/>
            <w:hideMark/>
          </w:tcPr>
          <w:p w14:paraId="2B3BA931"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-28.80%</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2AD67E84"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-29.97%</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01C04CE6"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-25.72%</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4952B6D8"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-24.69%</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053D6B85"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-23.46%</w:t>
            </w: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205278C7"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-22.27%</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16F02B42"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-20.93%</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16B848F6"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-19.37%</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36D3D1DF"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-14.01%</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77271CF1"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-8.77%</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328E4DF3"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-4.45%</w:t>
            </w: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18513B9F"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-8.91%</w:t>
            </w:r>
          </w:p>
        </w:tc>
      </w:tr>
      <w:tr w:rsidR="00614438" w:rsidRPr="00656BE7" w14:paraId="06005A75" w14:textId="77777777" w:rsidTr="00614438">
        <w:trPr>
          <w:trHeight w:val="328"/>
        </w:trPr>
        <w:tc>
          <w:tcPr>
            <w:tcW w:w="846"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799E699D"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Scenario-S</w:t>
            </w:r>
          </w:p>
        </w:tc>
        <w:tc>
          <w:tcPr>
            <w:tcW w:w="744" w:type="dxa"/>
            <w:tcBorders>
              <w:top w:val="single" w:sz="4" w:space="0" w:color="auto"/>
              <w:left w:val="single" w:sz="4" w:space="0" w:color="auto"/>
              <w:bottom w:val="single" w:sz="4" w:space="0" w:color="auto"/>
              <w:right w:val="single" w:sz="4" w:space="0" w:color="auto"/>
            </w:tcBorders>
            <w:vAlign w:val="center"/>
            <w:hideMark/>
          </w:tcPr>
          <w:p w14:paraId="4D469935"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-28.80%</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287052C2"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-29.88%</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7823A168"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-30.73%</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09F4172F"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-31.98%</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742A180C"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-32.46%</w:t>
            </w: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0DE98A7C"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-33.74%</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53726FEB"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-35.98%</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683C5F0A"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-40.36%</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6F16E636"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-47.63%</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5C8A8ED1"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-54.93%</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4A95C2AA"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-63.99%</w:t>
            </w: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6E59CC52"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-73.37%</w:t>
            </w:r>
          </w:p>
        </w:tc>
      </w:tr>
      <w:tr w:rsidR="00614438" w:rsidRPr="00656BE7" w14:paraId="6C826D2D" w14:textId="77777777" w:rsidTr="00614438">
        <w:trPr>
          <w:trHeight w:val="328"/>
        </w:trPr>
        <w:tc>
          <w:tcPr>
            <w:tcW w:w="846"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569AE6EF"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Scenario-S-N</w:t>
            </w:r>
          </w:p>
        </w:tc>
        <w:tc>
          <w:tcPr>
            <w:tcW w:w="744" w:type="dxa"/>
            <w:tcBorders>
              <w:top w:val="single" w:sz="4" w:space="0" w:color="auto"/>
              <w:left w:val="single" w:sz="4" w:space="0" w:color="auto"/>
              <w:bottom w:val="single" w:sz="4" w:space="0" w:color="auto"/>
              <w:right w:val="single" w:sz="4" w:space="0" w:color="auto"/>
            </w:tcBorders>
            <w:vAlign w:val="center"/>
            <w:hideMark/>
          </w:tcPr>
          <w:p w14:paraId="0F9A5404"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-28.80%</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2E95D43A"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-29.88%</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44FB8671"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-30.73%</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006180EF"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-31.98%</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379C092C"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-32.46%</w:t>
            </w: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7818A73D"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-33.74%</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64D4B79C"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-35.98%</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4F94BD9A"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-40.36%</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183AA64C"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-47.63%</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1D0A73EC"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-54.93%</w:t>
            </w:r>
          </w:p>
        </w:tc>
        <w:tc>
          <w:tcPr>
            <w:tcW w:w="744" w:type="dxa"/>
            <w:tcBorders>
              <w:top w:val="single" w:sz="4" w:space="0" w:color="auto"/>
              <w:left w:val="single" w:sz="4" w:space="0" w:color="auto"/>
              <w:bottom w:val="single" w:sz="4" w:space="0" w:color="auto"/>
              <w:right w:val="single" w:sz="4" w:space="0" w:color="auto"/>
            </w:tcBorders>
            <w:noWrap/>
            <w:vAlign w:val="center"/>
            <w:hideMark/>
          </w:tcPr>
          <w:p w14:paraId="350DF50F"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-68.41%</w:t>
            </w: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737F0F7F" w14:textId="77777777" w:rsidR="00614438" w:rsidRPr="00656BE7" w:rsidRDefault="00614438" w:rsidP="00656BE7">
            <w:pPr>
              <w:spacing w:line="259" w:lineRule="auto"/>
              <w:jc w:val="both"/>
              <w:rPr>
                <w:rFonts w:ascii="Times New Roman" w:hAnsi="Times New Roman" w:cs="Times New Roman"/>
                <w:sz w:val="16"/>
                <w:szCs w:val="16"/>
                <w:lang w:val="en-GB"/>
              </w:rPr>
            </w:pPr>
            <w:r w:rsidRPr="00656BE7">
              <w:rPr>
                <w:rFonts w:ascii="Times New Roman" w:hAnsi="Times New Roman" w:cs="Times New Roman"/>
                <w:sz w:val="16"/>
                <w:szCs w:val="16"/>
                <w:lang w:val="en-GB"/>
              </w:rPr>
              <w:t>-75.35%</w:t>
            </w:r>
          </w:p>
        </w:tc>
      </w:tr>
    </w:tbl>
    <w:p w14:paraId="62A342DE" w14:textId="77777777" w:rsidR="00614438" w:rsidRPr="00614438" w:rsidRDefault="00614438" w:rsidP="00656BE7">
      <w:pPr>
        <w:spacing w:before="240"/>
        <w:jc w:val="both"/>
        <w:rPr>
          <w:rFonts w:ascii="Times New Roman" w:hAnsi="Times New Roman" w:cs="Times New Roman"/>
          <w:sz w:val="24"/>
          <w:szCs w:val="24"/>
          <w:lang w:val="en-GB"/>
        </w:rPr>
      </w:pPr>
      <w:bookmarkStart w:id="723" w:name="_Toc153545109"/>
      <w:r w:rsidRPr="00614438">
        <w:rPr>
          <w:rFonts w:ascii="Times New Roman" w:hAnsi="Times New Roman" w:cs="Times New Roman"/>
          <w:sz w:val="24"/>
          <w:szCs w:val="24"/>
        </w:rPr>
        <w:lastRenderedPageBreak/>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16</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Share of RES in Gross Final Energy Consumption [%]</w:t>
      </w:r>
      <w:bookmarkEnd w:id="723"/>
    </w:p>
    <w:tbl>
      <w:tblPr>
        <w:tblStyle w:val="TableGrid"/>
        <w:tblW w:w="9780" w:type="dxa"/>
        <w:tblLayout w:type="fixed"/>
        <w:tblLook w:val="04A0" w:firstRow="1" w:lastRow="0" w:firstColumn="1" w:lastColumn="0" w:noHBand="0" w:noVBand="1"/>
      </w:tblPr>
      <w:tblGrid>
        <w:gridCol w:w="1663"/>
        <w:gridCol w:w="738"/>
        <w:gridCol w:w="739"/>
        <w:gridCol w:w="738"/>
        <w:gridCol w:w="737"/>
        <w:gridCol w:w="738"/>
        <w:gridCol w:w="738"/>
        <w:gridCol w:w="738"/>
        <w:gridCol w:w="737"/>
        <w:gridCol w:w="738"/>
        <w:gridCol w:w="738"/>
        <w:gridCol w:w="738"/>
      </w:tblGrid>
      <w:tr w:rsidR="00614438" w:rsidRPr="00656BE7" w14:paraId="60A08C9B"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2C4931A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Share of RES in GFEC [%]</w:t>
            </w:r>
          </w:p>
        </w:tc>
        <w:tc>
          <w:tcPr>
            <w:tcW w:w="737"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F0319A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4FB0B4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DECA22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737"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A1643B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3313D4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309305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290B8E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737"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5121EF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33B4B5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4C61F5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FAE668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r>
      <w:tr w:rsidR="00614438" w:rsidRPr="00656BE7" w14:paraId="69242410"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0A3EF37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WEM</w:t>
            </w:r>
          </w:p>
        </w:tc>
        <w:tc>
          <w:tcPr>
            <w:tcW w:w="737" w:type="dxa"/>
            <w:tcBorders>
              <w:top w:val="single" w:sz="4" w:space="0" w:color="auto"/>
              <w:left w:val="single" w:sz="4" w:space="0" w:color="auto"/>
              <w:bottom w:val="single" w:sz="4" w:space="0" w:color="auto"/>
              <w:right w:val="single" w:sz="4" w:space="0" w:color="auto"/>
            </w:tcBorders>
            <w:noWrap/>
            <w:hideMark/>
          </w:tcPr>
          <w:p w14:paraId="2C0E2DC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26.3%</w:t>
            </w:r>
          </w:p>
        </w:tc>
        <w:tc>
          <w:tcPr>
            <w:tcW w:w="738" w:type="dxa"/>
            <w:tcBorders>
              <w:top w:val="single" w:sz="4" w:space="0" w:color="auto"/>
              <w:left w:val="single" w:sz="4" w:space="0" w:color="auto"/>
              <w:bottom w:val="single" w:sz="4" w:space="0" w:color="auto"/>
              <w:right w:val="single" w:sz="4" w:space="0" w:color="auto"/>
            </w:tcBorders>
            <w:noWrap/>
            <w:hideMark/>
          </w:tcPr>
          <w:p w14:paraId="36FF5BE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29.4%</w:t>
            </w:r>
          </w:p>
        </w:tc>
        <w:tc>
          <w:tcPr>
            <w:tcW w:w="738" w:type="dxa"/>
            <w:tcBorders>
              <w:top w:val="single" w:sz="4" w:space="0" w:color="auto"/>
              <w:left w:val="single" w:sz="4" w:space="0" w:color="auto"/>
              <w:bottom w:val="single" w:sz="4" w:space="0" w:color="auto"/>
              <w:right w:val="single" w:sz="4" w:space="0" w:color="auto"/>
            </w:tcBorders>
            <w:noWrap/>
            <w:hideMark/>
          </w:tcPr>
          <w:p w14:paraId="7D75654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29.1%</w:t>
            </w:r>
          </w:p>
        </w:tc>
        <w:tc>
          <w:tcPr>
            <w:tcW w:w="737" w:type="dxa"/>
            <w:tcBorders>
              <w:top w:val="single" w:sz="4" w:space="0" w:color="auto"/>
              <w:left w:val="single" w:sz="4" w:space="0" w:color="auto"/>
              <w:bottom w:val="single" w:sz="4" w:space="0" w:color="auto"/>
              <w:right w:val="single" w:sz="4" w:space="0" w:color="auto"/>
            </w:tcBorders>
            <w:noWrap/>
            <w:hideMark/>
          </w:tcPr>
          <w:p w14:paraId="1BBAABF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28.7%</w:t>
            </w:r>
          </w:p>
        </w:tc>
        <w:tc>
          <w:tcPr>
            <w:tcW w:w="738" w:type="dxa"/>
            <w:tcBorders>
              <w:top w:val="single" w:sz="4" w:space="0" w:color="auto"/>
              <w:left w:val="single" w:sz="4" w:space="0" w:color="auto"/>
              <w:bottom w:val="single" w:sz="4" w:space="0" w:color="auto"/>
              <w:right w:val="single" w:sz="4" w:space="0" w:color="auto"/>
            </w:tcBorders>
            <w:noWrap/>
            <w:hideMark/>
          </w:tcPr>
          <w:p w14:paraId="6363B02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28.4%</w:t>
            </w:r>
          </w:p>
        </w:tc>
        <w:tc>
          <w:tcPr>
            <w:tcW w:w="738" w:type="dxa"/>
            <w:tcBorders>
              <w:top w:val="single" w:sz="4" w:space="0" w:color="auto"/>
              <w:left w:val="single" w:sz="4" w:space="0" w:color="auto"/>
              <w:bottom w:val="single" w:sz="4" w:space="0" w:color="auto"/>
              <w:right w:val="single" w:sz="4" w:space="0" w:color="auto"/>
            </w:tcBorders>
            <w:noWrap/>
            <w:hideMark/>
          </w:tcPr>
          <w:p w14:paraId="026942A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27.9%</w:t>
            </w:r>
          </w:p>
        </w:tc>
        <w:tc>
          <w:tcPr>
            <w:tcW w:w="738" w:type="dxa"/>
            <w:tcBorders>
              <w:top w:val="single" w:sz="4" w:space="0" w:color="auto"/>
              <w:left w:val="single" w:sz="4" w:space="0" w:color="auto"/>
              <w:bottom w:val="single" w:sz="4" w:space="0" w:color="auto"/>
              <w:right w:val="single" w:sz="4" w:space="0" w:color="auto"/>
            </w:tcBorders>
            <w:noWrap/>
            <w:hideMark/>
          </w:tcPr>
          <w:p w14:paraId="1B2DBD0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27.6%</w:t>
            </w:r>
          </w:p>
        </w:tc>
        <w:tc>
          <w:tcPr>
            <w:tcW w:w="737" w:type="dxa"/>
            <w:tcBorders>
              <w:top w:val="single" w:sz="4" w:space="0" w:color="auto"/>
              <w:left w:val="single" w:sz="4" w:space="0" w:color="auto"/>
              <w:bottom w:val="single" w:sz="4" w:space="0" w:color="auto"/>
              <w:right w:val="single" w:sz="4" w:space="0" w:color="auto"/>
            </w:tcBorders>
            <w:noWrap/>
            <w:hideMark/>
          </w:tcPr>
          <w:p w14:paraId="44B9ABA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26.6%</w:t>
            </w:r>
          </w:p>
        </w:tc>
        <w:tc>
          <w:tcPr>
            <w:tcW w:w="738" w:type="dxa"/>
            <w:tcBorders>
              <w:top w:val="single" w:sz="4" w:space="0" w:color="auto"/>
              <w:left w:val="single" w:sz="4" w:space="0" w:color="auto"/>
              <w:bottom w:val="single" w:sz="4" w:space="0" w:color="auto"/>
              <w:right w:val="single" w:sz="4" w:space="0" w:color="auto"/>
            </w:tcBorders>
            <w:noWrap/>
            <w:hideMark/>
          </w:tcPr>
          <w:p w14:paraId="21FA3A8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25.2%</w:t>
            </w:r>
          </w:p>
        </w:tc>
        <w:tc>
          <w:tcPr>
            <w:tcW w:w="738" w:type="dxa"/>
            <w:tcBorders>
              <w:top w:val="single" w:sz="4" w:space="0" w:color="auto"/>
              <w:left w:val="single" w:sz="4" w:space="0" w:color="auto"/>
              <w:bottom w:val="single" w:sz="4" w:space="0" w:color="auto"/>
              <w:right w:val="single" w:sz="4" w:space="0" w:color="auto"/>
            </w:tcBorders>
            <w:noWrap/>
            <w:hideMark/>
          </w:tcPr>
          <w:p w14:paraId="17A3E3E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24.2%</w:t>
            </w:r>
          </w:p>
        </w:tc>
        <w:tc>
          <w:tcPr>
            <w:tcW w:w="738" w:type="dxa"/>
            <w:tcBorders>
              <w:top w:val="single" w:sz="4" w:space="0" w:color="auto"/>
              <w:left w:val="single" w:sz="4" w:space="0" w:color="auto"/>
              <w:bottom w:val="single" w:sz="4" w:space="0" w:color="auto"/>
              <w:right w:val="single" w:sz="4" w:space="0" w:color="auto"/>
            </w:tcBorders>
            <w:noWrap/>
            <w:hideMark/>
          </w:tcPr>
          <w:p w14:paraId="056AB16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26.8%</w:t>
            </w:r>
          </w:p>
        </w:tc>
      </w:tr>
      <w:tr w:rsidR="00614438" w:rsidRPr="00656BE7" w14:paraId="440EB196"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2A8878B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w:t>
            </w:r>
          </w:p>
        </w:tc>
        <w:tc>
          <w:tcPr>
            <w:tcW w:w="737" w:type="dxa"/>
            <w:tcBorders>
              <w:top w:val="single" w:sz="4" w:space="0" w:color="auto"/>
              <w:left w:val="single" w:sz="4" w:space="0" w:color="auto"/>
              <w:bottom w:val="single" w:sz="4" w:space="0" w:color="auto"/>
              <w:right w:val="single" w:sz="4" w:space="0" w:color="auto"/>
            </w:tcBorders>
            <w:noWrap/>
            <w:hideMark/>
          </w:tcPr>
          <w:p w14:paraId="508CDF5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26.3%</w:t>
            </w:r>
          </w:p>
        </w:tc>
        <w:tc>
          <w:tcPr>
            <w:tcW w:w="738" w:type="dxa"/>
            <w:tcBorders>
              <w:top w:val="single" w:sz="4" w:space="0" w:color="auto"/>
              <w:left w:val="single" w:sz="4" w:space="0" w:color="auto"/>
              <w:bottom w:val="single" w:sz="4" w:space="0" w:color="auto"/>
              <w:right w:val="single" w:sz="4" w:space="0" w:color="auto"/>
            </w:tcBorders>
            <w:noWrap/>
            <w:hideMark/>
          </w:tcPr>
          <w:p w14:paraId="476045E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29.8%</w:t>
            </w:r>
          </w:p>
        </w:tc>
        <w:tc>
          <w:tcPr>
            <w:tcW w:w="738" w:type="dxa"/>
            <w:tcBorders>
              <w:top w:val="single" w:sz="4" w:space="0" w:color="auto"/>
              <w:left w:val="single" w:sz="4" w:space="0" w:color="auto"/>
              <w:bottom w:val="single" w:sz="4" w:space="0" w:color="auto"/>
              <w:right w:val="single" w:sz="4" w:space="0" w:color="auto"/>
            </w:tcBorders>
            <w:noWrap/>
            <w:hideMark/>
          </w:tcPr>
          <w:p w14:paraId="53656A3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30.6%</w:t>
            </w:r>
          </w:p>
        </w:tc>
        <w:tc>
          <w:tcPr>
            <w:tcW w:w="737" w:type="dxa"/>
            <w:tcBorders>
              <w:top w:val="single" w:sz="4" w:space="0" w:color="auto"/>
              <w:left w:val="single" w:sz="4" w:space="0" w:color="auto"/>
              <w:bottom w:val="single" w:sz="4" w:space="0" w:color="auto"/>
              <w:right w:val="single" w:sz="4" w:space="0" w:color="auto"/>
            </w:tcBorders>
            <w:noWrap/>
            <w:hideMark/>
          </w:tcPr>
          <w:p w14:paraId="74A93AB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31.2%</w:t>
            </w:r>
          </w:p>
        </w:tc>
        <w:tc>
          <w:tcPr>
            <w:tcW w:w="738" w:type="dxa"/>
            <w:tcBorders>
              <w:top w:val="single" w:sz="4" w:space="0" w:color="auto"/>
              <w:left w:val="single" w:sz="4" w:space="0" w:color="auto"/>
              <w:bottom w:val="single" w:sz="4" w:space="0" w:color="auto"/>
              <w:right w:val="single" w:sz="4" w:space="0" w:color="auto"/>
            </w:tcBorders>
            <w:noWrap/>
            <w:hideMark/>
          </w:tcPr>
          <w:p w14:paraId="1B3D694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31.9%</w:t>
            </w:r>
          </w:p>
        </w:tc>
        <w:tc>
          <w:tcPr>
            <w:tcW w:w="738" w:type="dxa"/>
            <w:tcBorders>
              <w:top w:val="single" w:sz="4" w:space="0" w:color="auto"/>
              <w:left w:val="single" w:sz="4" w:space="0" w:color="auto"/>
              <w:bottom w:val="single" w:sz="4" w:space="0" w:color="auto"/>
              <w:right w:val="single" w:sz="4" w:space="0" w:color="auto"/>
            </w:tcBorders>
            <w:noWrap/>
            <w:hideMark/>
          </w:tcPr>
          <w:p w14:paraId="1DFD701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32.6%</w:t>
            </w:r>
          </w:p>
        </w:tc>
        <w:tc>
          <w:tcPr>
            <w:tcW w:w="738" w:type="dxa"/>
            <w:tcBorders>
              <w:top w:val="single" w:sz="4" w:space="0" w:color="auto"/>
              <w:left w:val="single" w:sz="4" w:space="0" w:color="auto"/>
              <w:bottom w:val="single" w:sz="4" w:space="0" w:color="auto"/>
              <w:right w:val="single" w:sz="4" w:space="0" w:color="auto"/>
            </w:tcBorders>
            <w:noWrap/>
            <w:hideMark/>
          </w:tcPr>
          <w:p w14:paraId="1EC1CFE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33.6%</w:t>
            </w:r>
          </w:p>
        </w:tc>
        <w:tc>
          <w:tcPr>
            <w:tcW w:w="737" w:type="dxa"/>
            <w:tcBorders>
              <w:top w:val="single" w:sz="4" w:space="0" w:color="auto"/>
              <w:left w:val="single" w:sz="4" w:space="0" w:color="auto"/>
              <w:bottom w:val="single" w:sz="4" w:space="0" w:color="auto"/>
              <w:right w:val="single" w:sz="4" w:space="0" w:color="auto"/>
            </w:tcBorders>
            <w:noWrap/>
            <w:hideMark/>
          </w:tcPr>
          <w:p w14:paraId="0C52084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40.8%</w:t>
            </w:r>
          </w:p>
        </w:tc>
        <w:tc>
          <w:tcPr>
            <w:tcW w:w="738" w:type="dxa"/>
            <w:tcBorders>
              <w:top w:val="single" w:sz="4" w:space="0" w:color="auto"/>
              <w:left w:val="single" w:sz="4" w:space="0" w:color="auto"/>
              <w:bottom w:val="single" w:sz="4" w:space="0" w:color="auto"/>
              <w:right w:val="single" w:sz="4" w:space="0" w:color="auto"/>
            </w:tcBorders>
            <w:noWrap/>
            <w:hideMark/>
          </w:tcPr>
          <w:p w14:paraId="421404C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45.1%</w:t>
            </w:r>
          </w:p>
        </w:tc>
        <w:tc>
          <w:tcPr>
            <w:tcW w:w="738" w:type="dxa"/>
            <w:tcBorders>
              <w:top w:val="single" w:sz="4" w:space="0" w:color="auto"/>
              <w:left w:val="single" w:sz="4" w:space="0" w:color="auto"/>
              <w:bottom w:val="single" w:sz="4" w:space="0" w:color="auto"/>
              <w:right w:val="single" w:sz="4" w:space="0" w:color="auto"/>
            </w:tcBorders>
            <w:noWrap/>
            <w:hideMark/>
          </w:tcPr>
          <w:p w14:paraId="150710B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52.5%</w:t>
            </w:r>
          </w:p>
        </w:tc>
        <w:tc>
          <w:tcPr>
            <w:tcW w:w="738" w:type="dxa"/>
            <w:tcBorders>
              <w:top w:val="single" w:sz="4" w:space="0" w:color="auto"/>
              <w:left w:val="single" w:sz="4" w:space="0" w:color="auto"/>
              <w:bottom w:val="single" w:sz="4" w:space="0" w:color="auto"/>
              <w:right w:val="single" w:sz="4" w:space="0" w:color="auto"/>
            </w:tcBorders>
            <w:noWrap/>
            <w:hideMark/>
          </w:tcPr>
          <w:p w14:paraId="4B1A1E7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61.8%</w:t>
            </w:r>
          </w:p>
        </w:tc>
      </w:tr>
      <w:tr w:rsidR="00614438" w:rsidRPr="00656BE7" w14:paraId="323C2E3B"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02BFADD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Scenario-S-N</w:t>
            </w:r>
          </w:p>
        </w:tc>
        <w:tc>
          <w:tcPr>
            <w:tcW w:w="737" w:type="dxa"/>
            <w:tcBorders>
              <w:top w:val="single" w:sz="4" w:space="0" w:color="auto"/>
              <w:left w:val="single" w:sz="4" w:space="0" w:color="auto"/>
              <w:bottom w:val="single" w:sz="4" w:space="0" w:color="auto"/>
              <w:right w:val="single" w:sz="4" w:space="0" w:color="auto"/>
            </w:tcBorders>
            <w:noWrap/>
            <w:hideMark/>
          </w:tcPr>
          <w:p w14:paraId="0E7D15F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26.3%</w:t>
            </w:r>
          </w:p>
        </w:tc>
        <w:tc>
          <w:tcPr>
            <w:tcW w:w="738" w:type="dxa"/>
            <w:tcBorders>
              <w:top w:val="single" w:sz="4" w:space="0" w:color="auto"/>
              <w:left w:val="single" w:sz="4" w:space="0" w:color="auto"/>
              <w:bottom w:val="single" w:sz="4" w:space="0" w:color="auto"/>
              <w:right w:val="single" w:sz="4" w:space="0" w:color="auto"/>
            </w:tcBorders>
            <w:noWrap/>
            <w:hideMark/>
          </w:tcPr>
          <w:p w14:paraId="6FC00D5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29.8%</w:t>
            </w:r>
          </w:p>
        </w:tc>
        <w:tc>
          <w:tcPr>
            <w:tcW w:w="738" w:type="dxa"/>
            <w:tcBorders>
              <w:top w:val="single" w:sz="4" w:space="0" w:color="auto"/>
              <w:left w:val="single" w:sz="4" w:space="0" w:color="auto"/>
              <w:bottom w:val="single" w:sz="4" w:space="0" w:color="auto"/>
              <w:right w:val="single" w:sz="4" w:space="0" w:color="auto"/>
            </w:tcBorders>
            <w:noWrap/>
            <w:hideMark/>
          </w:tcPr>
          <w:p w14:paraId="35CD332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30.6%</w:t>
            </w:r>
          </w:p>
        </w:tc>
        <w:tc>
          <w:tcPr>
            <w:tcW w:w="737" w:type="dxa"/>
            <w:tcBorders>
              <w:top w:val="single" w:sz="4" w:space="0" w:color="auto"/>
              <w:left w:val="single" w:sz="4" w:space="0" w:color="auto"/>
              <w:bottom w:val="single" w:sz="4" w:space="0" w:color="auto"/>
              <w:right w:val="single" w:sz="4" w:space="0" w:color="auto"/>
            </w:tcBorders>
            <w:noWrap/>
            <w:hideMark/>
          </w:tcPr>
          <w:p w14:paraId="1C2F2F2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31.2%</w:t>
            </w:r>
          </w:p>
        </w:tc>
        <w:tc>
          <w:tcPr>
            <w:tcW w:w="738" w:type="dxa"/>
            <w:tcBorders>
              <w:top w:val="single" w:sz="4" w:space="0" w:color="auto"/>
              <w:left w:val="single" w:sz="4" w:space="0" w:color="auto"/>
              <w:bottom w:val="single" w:sz="4" w:space="0" w:color="auto"/>
              <w:right w:val="single" w:sz="4" w:space="0" w:color="auto"/>
            </w:tcBorders>
            <w:noWrap/>
            <w:hideMark/>
          </w:tcPr>
          <w:p w14:paraId="59311E3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31.9%</w:t>
            </w:r>
          </w:p>
        </w:tc>
        <w:tc>
          <w:tcPr>
            <w:tcW w:w="738" w:type="dxa"/>
            <w:tcBorders>
              <w:top w:val="single" w:sz="4" w:space="0" w:color="auto"/>
              <w:left w:val="single" w:sz="4" w:space="0" w:color="auto"/>
              <w:bottom w:val="single" w:sz="4" w:space="0" w:color="auto"/>
              <w:right w:val="single" w:sz="4" w:space="0" w:color="auto"/>
            </w:tcBorders>
            <w:noWrap/>
            <w:hideMark/>
          </w:tcPr>
          <w:p w14:paraId="4C62355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32.6%</w:t>
            </w:r>
          </w:p>
        </w:tc>
        <w:tc>
          <w:tcPr>
            <w:tcW w:w="738" w:type="dxa"/>
            <w:tcBorders>
              <w:top w:val="single" w:sz="4" w:space="0" w:color="auto"/>
              <w:left w:val="single" w:sz="4" w:space="0" w:color="auto"/>
              <w:bottom w:val="single" w:sz="4" w:space="0" w:color="auto"/>
              <w:right w:val="single" w:sz="4" w:space="0" w:color="auto"/>
            </w:tcBorders>
            <w:noWrap/>
            <w:hideMark/>
          </w:tcPr>
          <w:p w14:paraId="6EA6593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33.6%</w:t>
            </w:r>
          </w:p>
        </w:tc>
        <w:tc>
          <w:tcPr>
            <w:tcW w:w="737" w:type="dxa"/>
            <w:tcBorders>
              <w:top w:val="single" w:sz="4" w:space="0" w:color="auto"/>
              <w:left w:val="single" w:sz="4" w:space="0" w:color="auto"/>
              <w:bottom w:val="single" w:sz="4" w:space="0" w:color="auto"/>
              <w:right w:val="single" w:sz="4" w:space="0" w:color="auto"/>
            </w:tcBorders>
            <w:noWrap/>
            <w:hideMark/>
          </w:tcPr>
          <w:p w14:paraId="7EB9C62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40.8%</w:t>
            </w:r>
          </w:p>
        </w:tc>
        <w:tc>
          <w:tcPr>
            <w:tcW w:w="738" w:type="dxa"/>
            <w:tcBorders>
              <w:top w:val="single" w:sz="4" w:space="0" w:color="auto"/>
              <w:left w:val="single" w:sz="4" w:space="0" w:color="auto"/>
              <w:bottom w:val="single" w:sz="4" w:space="0" w:color="auto"/>
              <w:right w:val="single" w:sz="4" w:space="0" w:color="auto"/>
            </w:tcBorders>
            <w:noWrap/>
            <w:hideMark/>
          </w:tcPr>
          <w:p w14:paraId="37F2EBE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45.3%</w:t>
            </w:r>
          </w:p>
        </w:tc>
        <w:tc>
          <w:tcPr>
            <w:tcW w:w="738" w:type="dxa"/>
            <w:tcBorders>
              <w:top w:val="single" w:sz="4" w:space="0" w:color="auto"/>
              <w:left w:val="single" w:sz="4" w:space="0" w:color="auto"/>
              <w:bottom w:val="single" w:sz="4" w:space="0" w:color="auto"/>
              <w:right w:val="single" w:sz="4" w:space="0" w:color="auto"/>
            </w:tcBorders>
            <w:noWrap/>
            <w:hideMark/>
          </w:tcPr>
          <w:p w14:paraId="7D4FF55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51.6%</w:t>
            </w:r>
          </w:p>
        </w:tc>
        <w:tc>
          <w:tcPr>
            <w:tcW w:w="738" w:type="dxa"/>
            <w:tcBorders>
              <w:top w:val="single" w:sz="4" w:space="0" w:color="auto"/>
              <w:left w:val="single" w:sz="4" w:space="0" w:color="auto"/>
              <w:bottom w:val="single" w:sz="4" w:space="0" w:color="auto"/>
              <w:right w:val="single" w:sz="4" w:space="0" w:color="auto"/>
            </w:tcBorders>
            <w:noWrap/>
            <w:hideMark/>
          </w:tcPr>
          <w:p w14:paraId="7F85272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59.5%</w:t>
            </w:r>
          </w:p>
        </w:tc>
      </w:tr>
    </w:tbl>
    <w:p w14:paraId="49C65B49" w14:textId="77777777" w:rsidR="00614438" w:rsidRPr="00614438" w:rsidRDefault="00614438" w:rsidP="00656BE7">
      <w:pPr>
        <w:spacing w:before="240"/>
        <w:jc w:val="both"/>
        <w:rPr>
          <w:rFonts w:ascii="Times New Roman" w:hAnsi="Times New Roman" w:cs="Times New Roman"/>
          <w:sz w:val="24"/>
          <w:szCs w:val="24"/>
          <w:lang w:val="en-GB"/>
        </w:rPr>
      </w:pPr>
      <w:bookmarkStart w:id="724" w:name="_Toc153545110"/>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17</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Share of RES in Electricity Generation [%]</w:t>
      </w:r>
      <w:bookmarkEnd w:id="724"/>
    </w:p>
    <w:tbl>
      <w:tblPr>
        <w:tblStyle w:val="TableGrid"/>
        <w:tblW w:w="9780" w:type="dxa"/>
        <w:tblLayout w:type="fixed"/>
        <w:tblLook w:val="04A0" w:firstRow="1" w:lastRow="0" w:firstColumn="1" w:lastColumn="0" w:noHBand="0" w:noVBand="1"/>
      </w:tblPr>
      <w:tblGrid>
        <w:gridCol w:w="1663"/>
        <w:gridCol w:w="738"/>
        <w:gridCol w:w="739"/>
        <w:gridCol w:w="738"/>
        <w:gridCol w:w="737"/>
        <w:gridCol w:w="738"/>
        <w:gridCol w:w="738"/>
        <w:gridCol w:w="738"/>
        <w:gridCol w:w="737"/>
        <w:gridCol w:w="738"/>
        <w:gridCol w:w="738"/>
        <w:gridCol w:w="738"/>
      </w:tblGrid>
      <w:tr w:rsidR="00614438" w:rsidRPr="00656BE7" w14:paraId="7C9CA895"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59A8CEC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Share of RES in Electricity Generation [%]</w:t>
            </w:r>
          </w:p>
        </w:tc>
        <w:tc>
          <w:tcPr>
            <w:tcW w:w="737"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C12225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EBBCF8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6152DC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737"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58B27C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681E55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0492C7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23B27C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737"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27285C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E83779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48EBFB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35D47E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r>
      <w:tr w:rsidR="00614438" w:rsidRPr="00656BE7" w14:paraId="0D9BCFCF"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20FC4E6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WEM</w:t>
            </w:r>
          </w:p>
        </w:tc>
        <w:tc>
          <w:tcPr>
            <w:tcW w:w="737" w:type="dxa"/>
            <w:tcBorders>
              <w:top w:val="single" w:sz="4" w:space="0" w:color="auto"/>
              <w:left w:val="single" w:sz="4" w:space="0" w:color="auto"/>
              <w:bottom w:val="single" w:sz="4" w:space="0" w:color="auto"/>
              <w:right w:val="single" w:sz="4" w:space="0" w:color="auto"/>
            </w:tcBorders>
            <w:noWrap/>
            <w:hideMark/>
          </w:tcPr>
          <w:p w14:paraId="0A5852A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29.0%</w:t>
            </w:r>
          </w:p>
        </w:tc>
        <w:tc>
          <w:tcPr>
            <w:tcW w:w="738" w:type="dxa"/>
            <w:tcBorders>
              <w:top w:val="single" w:sz="4" w:space="0" w:color="auto"/>
              <w:left w:val="single" w:sz="4" w:space="0" w:color="auto"/>
              <w:bottom w:val="single" w:sz="4" w:space="0" w:color="auto"/>
              <w:right w:val="single" w:sz="4" w:space="0" w:color="auto"/>
            </w:tcBorders>
            <w:noWrap/>
            <w:hideMark/>
          </w:tcPr>
          <w:p w14:paraId="7968BCD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30.9%</w:t>
            </w:r>
          </w:p>
        </w:tc>
        <w:tc>
          <w:tcPr>
            <w:tcW w:w="738" w:type="dxa"/>
            <w:tcBorders>
              <w:top w:val="single" w:sz="4" w:space="0" w:color="auto"/>
              <w:left w:val="single" w:sz="4" w:space="0" w:color="auto"/>
              <w:bottom w:val="single" w:sz="4" w:space="0" w:color="auto"/>
              <w:right w:val="single" w:sz="4" w:space="0" w:color="auto"/>
            </w:tcBorders>
            <w:noWrap/>
            <w:hideMark/>
          </w:tcPr>
          <w:p w14:paraId="4220957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30.5%</w:t>
            </w:r>
          </w:p>
        </w:tc>
        <w:tc>
          <w:tcPr>
            <w:tcW w:w="737" w:type="dxa"/>
            <w:tcBorders>
              <w:top w:val="single" w:sz="4" w:space="0" w:color="auto"/>
              <w:left w:val="single" w:sz="4" w:space="0" w:color="auto"/>
              <w:bottom w:val="single" w:sz="4" w:space="0" w:color="auto"/>
              <w:right w:val="single" w:sz="4" w:space="0" w:color="auto"/>
            </w:tcBorders>
            <w:noWrap/>
            <w:hideMark/>
          </w:tcPr>
          <w:p w14:paraId="7711B8B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30.4%</w:t>
            </w:r>
          </w:p>
        </w:tc>
        <w:tc>
          <w:tcPr>
            <w:tcW w:w="738" w:type="dxa"/>
            <w:tcBorders>
              <w:top w:val="single" w:sz="4" w:space="0" w:color="auto"/>
              <w:left w:val="single" w:sz="4" w:space="0" w:color="auto"/>
              <w:bottom w:val="single" w:sz="4" w:space="0" w:color="auto"/>
              <w:right w:val="single" w:sz="4" w:space="0" w:color="auto"/>
            </w:tcBorders>
            <w:noWrap/>
            <w:hideMark/>
          </w:tcPr>
          <w:p w14:paraId="7DE8F65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29.9%</w:t>
            </w:r>
          </w:p>
        </w:tc>
        <w:tc>
          <w:tcPr>
            <w:tcW w:w="738" w:type="dxa"/>
            <w:tcBorders>
              <w:top w:val="single" w:sz="4" w:space="0" w:color="auto"/>
              <w:left w:val="single" w:sz="4" w:space="0" w:color="auto"/>
              <w:bottom w:val="single" w:sz="4" w:space="0" w:color="auto"/>
              <w:right w:val="single" w:sz="4" w:space="0" w:color="auto"/>
            </w:tcBorders>
            <w:noWrap/>
            <w:hideMark/>
          </w:tcPr>
          <w:p w14:paraId="6D3F2CC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29.4%</w:t>
            </w:r>
          </w:p>
        </w:tc>
        <w:tc>
          <w:tcPr>
            <w:tcW w:w="738" w:type="dxa"/>
            <w:tcBorders>
              <w:top w:val="single" w:sz="4" w:space="0" w:color="auto"/>
              <w:left w:val="single" w:sz="4" w:space="0" w:color="auto"/>
              <w:bottom w:val="single" w:sz="4" w:space="0" w:color="auto"/>
              <w:right w:val="single" w:sz="4" w:space="0" w:color="auto"/>
            </w:tcBorders>
            <w:noWrap/>
            <w:hideMark/>
          </w:tcPr>
          <w:p w14:paraId="2BA527D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29.0%</w:t>
            </w:r>
          </w:p>
        </w:tc>
        <w:tc>
          <w:tcPr>
            <w:tcW w:w="737" w:type="dxa"/>
            <w:tcBorders>
              <w:top w:val="single" w:sz="4" w:space="0" w:color="auto"/>
              <w:left w:val="single" w:sz="4" w:space="0" w:color="auto"/>
              <w:bottom w:val="single" w:sz="4" w:space="0" w:color="auto"/>
              <w:right w:val="single" w:sz="4" w:space="0" w:color="auto"/>
            </w:tcBorders>
            <w:noWrap/>
            <w:hideMark/>
          </w:tcPr>
          <w:p w14:paraId="79F6CF8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28.6%</w:t>
            </w:r>
          </w:p>
        </w:tc>
        <w:tc>
          <w:tcPr>
            <w:tcW w:w="738" w:type="dxa"/>
            <w:tcBorders>
              <w:top w:val="single" w:sz="4" w:space="0" w:color="auto"/>
              <w:left w:val="single" w:sz="4" w:space="0" w:color="auto"/>
              <w:bottom w:val="single" w:sz="4" w:space="0" w:color="auto"/>
              <w:right w:val="single" w:sz="4" w:space="0" w:color="auto"/>
            </w:tcBorders>
            <w:noWrap/>
            <w:hideMark/>
          </w:tcPr>
          <w:p w14:paraId="0C8364A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29.9%</w:t>
            </w:r>
          </w:p>
        </w:tc>
        <w:tc>
          <w:tcPr>
            <w:tcW w:w="738" w:type="dxa"/>
            <w:tcBorders>
              <w:top w:val="single" w:sz="4" w:space="0" w:color="auto"/>
              <w:left w:val="single" w:sz="4" w:space="0" w:color="auto"/>
              <w:bottom w:val="single" w:sz="4" w:space="0" w:color="auto"/>
              <w:right w:val="single" w:sz="4" w:space="0" w:color="auto"/>
            </w:tcBorders>
            <w:noWrap/>
            <w:hideMark/>
          </w:tcPr>
          <w:p w14:paraId="27B8232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29.0%</w:t>
            </w:r>
          </w:p>
        </w:tc>
        <w:tc>
          <w:tcPr>
            <w:tcW w:w="738" w:type="dxa"/>
            <w:tcBorders>
              <w:top w:val="single" w:sz="4" w:space="0" w:color="auto"/>
              <w:left w:val="single" w:sz="4" w:space="0" w:color="auto"/>
              <w:bottom w:val="single" w:sz="4" w:space="0" w:color="auto"/>
              <w:right w:val="single" w:sz="4" w:space="0" w:color="auto"/>
            </w:tcBorders>
            <w:noWrap/>
            <w:hideMark/>
          </w:tcPr>
          <w:p w14:paraId="5E2A08A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38.4%</w:t>
            </w:r>
          </w:p>
        </w:tc>
      </w:tr>
      <w:tr w:rsidR="00614438" w:rsidRPr="00656BE7" w14:paraId="3806DA38"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2D7FEE7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w:t>
            </w:r>
          </w:p>
        </w:tc>
        <w:tc>
          <w:tcPr>
            <w:tcW w:w="737" w:type="dxa"/>
            <w:tcBorders>
              <w:top w:val="single" w:sz="4" w:space="0" w:color="auto"/>
              <w:left w:val="single" w:sz="4" w:space="0" w:color="auto"/>
              <w:bottom w:val="single" w:sz="4" w:space="0" w:color="auto"/>
              <w:right w:val="single" w:sz="4" w:space="0" w:color="auto"/>
            </w:tcBorders>
            <w:noWrap/>
            <w:hideMark/>
          </w:tcPr>
          <w:p w14:paraId="1FEB78B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29.0%</w:t>
            </w:r>
          </w:p>
        </w:tc>
        <w:tc>
          <w:tcPr>
            <w:tcW w:w="738" w:type="dxa"/>
            <w:tcBorders>
              <w:top w:val="single" w:sz="4" w:space="0" w:color="auto"/>
              <w:left w:val="single" w:sz="4" w:space="0" w:color="auto"/>
              <w:bottom w:val="single" w:sz="4" w:space="0" w:color="auto"/>
              <w:right w:val="single" w:sz="4" w:space="0" w:color="auto"/>
            </w:tcBorders>
            <w:noWrap/>
            <w:hideMark/>
          </w:tcPr>
          <w:p w14:paraId="27839EA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34.7%</w:t>
            </w:r>
          </w:p>
        </w:tc>
        <w:tc>
          <w:tcPr>
            <w:tcW w:w="738" w:type="dxa"/>
            <w:tcBorders>
              <w:top w:val="single" w:sz="4" w:space="0" w:color="auto"/>
              <w:left w:val="single" w:sz="4" w:space="0" w:color="auto"/>
              <w:bottom w:val="single" w:sz="4" w:space="0" w:color="auto"/>
              <w:right w:val="single" w:sz="4" w:space="0" w:color="auto"/>
            </w:tcBorders>
            <w:noWrap/>
            <w:hideMark/>
          </w:tcPr>
          <w:p w14:paraId="7F6A957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36.7%</w:t>
            </w:r>
          </w:p>
        </w:tc>
        <w:tc>
          <w:tcPr>
            <w:tcW w:w="737" w:type="dxa"/>
            <w:tcBorders>
              <w:top w:val="single" w:sz="4" w:space="0" w:color="auto"/>
              <w:left w:val="single" w:sz="4" w:space="0" w:color="auto"/>
              <w:bottom w:val="single" w:sz="4" w:space="0" w:color="auto"/>
              <w:right w:val="single" w:sz="4" w:space="0" w:color="auto"/>
            </w:tcBorders>
            <w:noWrap/>
            <w:hideMark/>
          </w:tcPr>
          <w:p w14:paraId="36F5729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38.0%</w:t>
            </w:r>
          </w:p>
        </w:tc>
        <w:tc>
          <w:tcPr>
            <w:tcW w:w="738" w:type="dxa"/>
            <w:tcBorders>
              <w:top w:val="single" w:sz="4" w:space="0" w:color="auto"/>
              <w:left w:val="single" w:sz="4" w:space="0" w:color="auto"/>
              <w:bottom w:val="single" w:sz="4" w:space="0" w:color="auto"/>
              <w:right w:val="single" w:sz="4" w:space="0" w:color="auto"/>
            </w:tcBorders>
            <w:noWrap/>
            <w:hideMark/>
          </w:tcPr>
          <w:p w14:paraId="0139DBB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39.8%</w:t>
            </w:r>
          </w:p>
        </w:tc>
        <w:tc>
          <w:tcPr>
            <w:tcW w:w="738" w:type="dxa"/>
            <w:tcBorders>
              <w:top w:val="single" w:sz="4" w:space="0" w:color="auto"/>
              <w:left w:val="single" w:sz="4" w:space="0" w:color="auto"/>
              <w:bottom w:val="single" w:sz="4" w:space="0" w:color="auto"/>
              <w:right w:val="single" w:sz="4" w:space="0" w:color="auto"/>
            </w:tcBorders>
            <w:noWrap/>
            <w:hideMark/>
          </w:tcPr>
          <w:p w14:paraId="23AE61D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41.5%</w:t>
            </w:r>
          </w:p>
        </w:tc>
        <w:tc>
          <w:tcPr>
            <w:tcW w:w="738" w:type="dxa"/>
            <w:tcBorders>
              <w:top w:val="single" w:sz="4" w:space="0" w:color="auto"/>
              <w:left w:val="single" w:sz="4" w:space="0" w:color="auto"/>
              <w:bottom w:val="single" w:sz="4" w:space="0" w:color="auto"/>
              <w:right w:val="single" w:sz="4" w:space="0" w:color="auto"/>
            </w:tcBorders>
            <w:noWrap/>
            <w:hideMark/>
          </w:tcPr>
          <w:p w14:paraId="73ECE3C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45.2%</w:t>
            </w:r>
          </w:p>
        </w:tc>
        <w:tc>
          <w:tcPr>
            <w:tcW w:w="737" w:type="dxa"/>
            <w:tcBorders>
              <w:top w:val="single" w:sz="4" w:space="0" w:color="auto"/>
              <w:left w:val="single" w:sz="4" w:space="0" w:color="auto"/>
              <w:bottom w:val="single" w:sz="4" w:space="0" w:color="auto"/>
              <w:right w:val="single" w:sz="4" w:space="0" w:color="auto"/>
            </w:tcBorders>
            <w:noWrap/>
            <w:hideMark/>
          </w:tcPr>
          <w:p w14:paraId="61EA363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60.2%</w:t>
            </w:r>
          </w:p>
        </w:tc>
        <w:tc>
          <w:tcPr>
            <w:tcW w:w="738" w:type="dxa"/>
            <w:tcBorders>
              <w:top w:val="single" w:sz="4" w:space="0" w:color="auto"/>
              <w:left w:val="single" w:sz="4" w:space="0" w:color="auto"/>
              <w:bottom w:val="single" w:sz="4" w:space="0" w:color="auto"/>
              <w:right w:val="single" w:sz="4" w:space="0" w:color="auto"/>
            </w:tcBorders>
            <w:noWrap/>
            <w:hideMark/>
          </w:tcPr>
          <w:p w14:paraId="712FE9E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70.3%</w:t>
            </w:r>
          </w:p>
        </w:tc>
        <w:tc>
          <w:tcPr>
            <w:tcW w:w="738" w:type="dxa"/>
            <w:tcBorders>
              <w:top w:val="single" w:sz="4" w:space="0" w:color="auto"/>
              <w:left w:val="single" w:sz="4" w:space="0" w:color="auto"/>
              <w:bottom w:val="single" w:sz="4" w:space="0" w:color="auto"/>
              <w:right w:val="single" w:sz="4" w:space="0" w:color="auto"/>
            </w:tcBorders>
            <w:noWrap/>
            <w:hideMark/>
          </w:tcPr>
          <w:p w14:paraId="562DF72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82.1%</w:t>
            </w:r>
          </w:p>
        </w:tc>
        <w:tc>
          <w:tcPr>
            <w:tcW w:w="738" w:type="dxa"/>
            <w:tcBorders>
              <w:top w:val="single" w:sz="4" w:space="0" w:color="auto"/>
              <w:left w:val="single" w:sz="4" w:space="0" w:color="auto"/>
              <w:bottom w:val="single" w:sz="4" w:space="0" w:color="auto"/>
              <w:right w:val="single" w:sz="4" w:space="0" w:color="auto"/>
            </w:tcBorders>
            <w:noWrap/>
            <w:hideMark/>
          </w:tcPr>
          <w:p w14:paraId="3C70375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93.9%</w:t>
            </w:r>
          </w:p>
        </w:tc>
      </w:tr>
      <w:tr w:rsidR="00614438" w:rsidRPr="00656BE7" w14:paraId="583680A8"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79EE6E3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Scenario-S-N</w:t>
            </w:r>
          </w:p>
        </w:tc>
        <w:tc>
          <w:tcPr>
            <w:tcW w:w="737" w:type="dxa"/>
            <w:tcBorders>
              <w:top w:val="single" w:sz="4" w:space="0" w:color="auto"/>
              <w:left w:val="single" w:sz="4" w:space="0" w:color="auto"/>
              <w:bottom w:val="single" w:sz="4" w:space="0" w:color="auto"/>
              <w:right w:val="single" w:sz="4" w:space="0" w:color="auto"/>
            </w:tcBorders>
            <w:noWrap/>
            <w:hideMark/>
          </w:tcPr>
          <w:p w14:paraId="4B07D01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29.0%</w:t>
            </w:r>
          </w:p>
        </w:tc>
        <w:tc>
          <w:tcPr>
            <w:tcW w:w="738" w:type="dxa"/>
            <w:tcBorders>
              <w:top w:val="single" w:sz="4" w:space="0" w:color="auto"/>
              <w:left w:val="single" w:sz="4" w:space="0" w:color="auto"/>
              <w:bottom w:val="single" w:sz="4" w:space="0" w:color="auto"/>
              <w:right w:val="single" w:sz="4" w:space="0" w:color="auto"/>
            </w:tcBorders>
            <w:noWrap/>
            <w:hideMark/>
          </w:tcPr>
          <w:p w14:paraId="05C7939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34.7%</w:t>
            </w:r>
          </w:p>
        </w:tc>
        <w:tc>
          <w:tcPr>
            <w:tcW w:w="738" w:type="dxa"/>
            <w:tcBorders>
              <w:top w:val="single" w:sz="4" w:space="0" w:color="auto"/>
              <w:left w:val="single" w:sz="4" w:space="0" w:color="auto"/>
              <w:bottom w:val="single" w:sz="4" w:space="0" w:color="auto"/>
              <w:right w:val="single" w:sz="4" w:space="0" w:color="auto"/>
            </w:tcBorders>
            <w:noWrap/>
            <w:hideMark/>
          </w:tcPr>
          <w:p w14:paraId="5476FF3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36.7%</w:t>
            </w:r>
          </w:p>
        </w:tc>
        <w:tc>
          <w:tcPr>
            <w:tcW w:w="737" w:type="dxa"/>
            <w:tcBorders>
              <w:top w:val="single" w:sz="4" w:space="0" w:color="auto"/>
              <w:left w:val="single" w:sz="4" w:space="0" w:color="auto"/>
              <w:bottom w:val="single" w:sz="4" w:space="0" w:color="auto"/>
              <w:right w:val="single" w:sz="4" w:space="0" w:color="auto"/>
            </w:tcBorders>
            <w:noWrap/>
            <w:hideMark/>
          </w:tcPr>
          <w:p w14:paraId="742AEE7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38.0%</w:t>
            </w:r>
          </w:p>
        </w:tc>
        <w:tc>
          <w:tcPr>
            <w:tcW w:w="738" w:type="dxa"/>
            <w:tcBorders>
              <w:top w:val="single" w:sz="4" w:space="0" w:color="auto"/>
              <w:left w:val="single" w:sz="4" w:space="0" w:color="auto"/>
              <w:bottom w:val="single" w:sz="4" w:space="0" w:color="auto"/>
              <w:right w:val="single" w:sz="4" w:space="0" w:color="auto"/>
            </w:tcBorders>
            <w:noWrap/>
            <w:hideMark/>
          </w:tcPr>
          <w:p w14:paraId="2E0B88F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39.8%</w:t>
            </w:r>
          </w:p>
        </w:tc>
        <w:tc>
          <w:tcPr>
            <w:tcW w:w="738" w:type="dxa"/>
            <w:tcBorders>
              <w:top w:val="single" w:sz="4" w:space="0" w:color="auto"/>
              <w:left w:val="single" w:sz="4" w:space="0" w:color="auto"/>
              <w:bottom w:val="single" w:sz="4" w:space="0" w:color="auto"/>
              <w:right w:val="single" w:sz="4" w:space="0" w:color="auto"/>
            </w:tcBorders>
            <w:noWrap/>
            <w:hideMark/>
          </w:tcPr>
          <w:p w14:paraId="0B91A8D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41.5%</w:t>
            </w:r>
          </w:p>
        </w:tc>
        <w:tc>
          <w:tcPr>
            <w:tcW w:w="738" w:type="dxa"/>
            <w:tcBorders>
              <w:top w:val="single" w:sz="4" w:space="0" w:color="auto"/>
              <w:left w:val="single" w:sz="4" w:space="0" w:color="auto"/>
              <w:bottom w:val="single" w:sz="4" w:space="0" w:color="auto"/>
              <w:right w:val="single" w:sz="4" w:space="0" w:color="auto"/>
            </w:tcBorders>
            <w:noWrap/>
            <w:hideMark/>
          </w:tcPr>
          <w:p w14:paraId="6E06524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45.2%</w:t>
            </w:r>
          </w:p>
        </w:tc>
        <w:tc>
          <w:tcPr>
            <w:tcW w:w="737" w:type="dxa"/>
            <w:tcBorders>
              <w:top w:val="single" w:sz="4" w:space="0" w:color="auto"/>
              <w:left w:val="single" w:sz="4" w:space="0" w:color="auto"/>
              <w:bottom w:val="single" w:sz="4" w:space="0" w:color="auto"/>
              <w:right w:val="single" w:sz="4" w:space="0" w:color="auto"/>
            </w:tcBorders>
            <w:noWrap/>
            <w:hideMark/>
          </w:tcPr>
          <w:p w14:paraId="038EA33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60.3%</w:t>
            </w:r>
          </w:p>
        </w:tc>
        <w:tc>
          <w:tcPr>
            <w:tcW w:w="738" w:type="dxa"/>
            <w:tcBorders>
              <w:top w:val="single" w:sz="4" w:space="0" w:color="auto"/>
              <w:left w:val="single" w:sz="4" w:space="0" w:color="auto"/>
              <w:bottom w:val="single" w:sz="4" w:space="0" w:color="auto"/>
              <w:right w:val="single" w:sz="4" w:space="0" w:color="auto"/>
            </w:tcBorders>
            <w:noWrap/>
            <w:hideMark/>
          </w:tcPr>
          <w:p w14:paraId="12193F5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70.4%</w:t>
            </w:r>
          </w:p>
        </w:tc>
        <w:tc>
          <w:tcPr>
            <w:tcW w:w="738" w:type="dxa"/>
            <w:tcBorders>
              <w:top w:val="single" w:sz="4" w:space="0" w:color="auto"/>
              <w:left w:val="single" w:sz="4" w:space="0" w:color="auto"/>
              <w:bottom w:val="single" w:sz="4" w:space="0" w:color="auto"/>
              <w:right w:val="single" w:sz="4" w:space="0" w:color="auto"/>
            </w:tcBorders>
            <w:noWrap/>
            <w:hideMark/>
          </w:tcPr>
          <w:p w14:paraId="6D9FC0D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78.4%</w:t>
            </w:r>
          </w:p>
        </w:tc>
        <w:tc>
          <w:tcPr>
            <w:tcW w:w="738" w:type="dxa"/>
            <w:tcBorders>
              <w:top w:val="single" w:sz="4" w:space="0" w:color="auto"/>
              <w:left w:val="single" w:sz="4" w:space="0" w:color="auto"/>
              <w:bottom w:val="single" w:sz="4" w:space="0" w:color="auto"/>
              <w:right w:val="single" w:sz="4" w:space="0" w:color="auto"/>
            </w:tcBorders>
            <w:noWrap/>
            <w:hideMark/>
          </w:tcPr>
          <w:p w14:paraId="24B53EC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87.4%</w:t>
            </w:r>
          </w:p>
        </w:tc>
      </w:tr>
    </w:tbl>
    <w:p w14:paraId="3DF28C7E" w14:textId="77777777" w:rsidR="00614438" w:rsidRPr="00614438" w:rsidRDefault="00614438" w:rsidP="00656BE7">
      <w:pPr>
        <w:spacing w:before="240"/>
        <w:jc w:val="both"/>
        <w:rPr>
          <w:rFonts w:ascii="Times New Roman" w:hAnsi="Times New Roman" w:cs="Times New Roman"/>
          <w:sz w:val="24"/>
          <w:szCs w:val="24"/>
          <w:lang w:val="en-GB"/>
        </w:rPr>
      </w:pPr>
      <w:bookmarkStart w:id="725" w:name="_Toc153545111"/>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18</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Share of RES in Transport (without multipliers) [%]</w:t>
      </w:r>
      <w:bookmarkEnd w:id="725"/>
    </w:p>
    <w:tbl>
      <w:tblPr>
        <w:tblStyle w:val="TableGrid"/>
        <w:tblW w:w="9780" w:type="dxa"/>
        <w:tblLayout w:type="fixed"/>
        <w:tblLook w:val="04A0" w:firstRow="1" w:lastRow="0" w:firstColumn="1" w:lastColumn="0" w:noHBand="0" w:noVBand="1"/>
      </w:tblPr>
      <w:tblGrid>
        <w:gridCol w:w="1663"/>
        <w:gridCol w:w="738"/>
        <w:gridCol w:w="739"/>
        <w:gridCol w:w="738"/>
        <w:gridCol w:w="737"/>
        <w:gridCol w:w="738"/>
        <w:gridCol w:w="738"/>
        <w:gridCol w:w="738"/>
        <w:gridCol w:w="737"/>
        <w:gridCol w:w="738"/>
        <w:gridCol w:w="738"/>
        <w:gridCol w:w="738"/>
      </w:tblGrid>
      <w:tr w:rsidR="00614438" w:rsidRPr="00656BE7" w14:paraId="2DD96AA0"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1D0480F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Share of RES in Transport (without multipliers) [%]</w:t>
            </w:r>
          </w:p>
        </w:tc>
        <w:tc>
          <w:tcPr>
            <w:tcW w:w="737"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0D51AC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A70952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C173C6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737"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2762F7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B06AFA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A8E97C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B627B6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737"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C24CF6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B36344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980840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255BA5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r>
      <w:tr w:rsidR="00614438" w:rsidRPr="00656BE7" w14:paraId="758BB17F"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08DC549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WEM</w:t>
            </w:r>
          </w:p>
        </w:tc>
        <w:tc>
          <w:tcPr>
            <w:tcW w:w="737" w:type="dxa"/>
            <w:tcBorders>
              <w:top w:val="single" w:sz="4" w:space="0" w:color="auto"/>
              <w:left w:val="single" w:sz="4" w:space="0" w:color="auto"/>
              <w:bottom w:val="single" w:sz="4" w:space="0" w:color="auto"/>
              <w:right w:val="single" w:sz="4" w:space="0" w:color="auto"/>
            </w:tcBorders>
            <w:noWrap/>
            <w:vAlign w:val="bottom"/>
            <w:hideMark/>
          </w:tcPr>
          <w:p w14:paraId="07A70FB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0.5%</w:t>
            </w:r>
          </w:p>
        </w:tc>
        <w:tc>
          <w:tcPr>
            <w:tcW w:w="738" w:type="dxa"/>
            <w:tcBorders>
              <w:top w:val="single" w:sz="4" w:space="0" w:color="auto"/>
              <w:left w:val="single" w:sz="4" w:space="0" w:color="auto"/>
              <w:bottom w:val="single" w:sz="4" w:space="0" w:color="auto"/>
              <w:right w:val="single" w:sz="4" w:space="0" w:color="auto"/>
            </w:tcBorders>
            <w:noWrap/>
            <w:vAlign w:val="bottom"/>
            <w:hideMark/>
          </w:tcPr>
          <w:p w14:paraId="2F136D1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w:t>
            </w:r>
          </w:p>
        </w:tc>
        <w:tc>
          <w:tcPr>
            <w:tcW w:w="738" w:type="dxa"/>
            <w:tcBorders>
              <w:top w:val="single" w:sz="4" w:space="0" w:color="auto"/>
              <w:left w:val="single" w:sz="4" w:space="0" w:color="auto"/>
              <w:bottom w:val="single" w:sz="4" w:space="0" w:color="auto"/>
              <w:right w:val="single" w:sz="4" w:space="0" w:color="auto"/>
            </w:tcBorders>
            <w:noWrap/>
            <w:vAlign w:val="bottom"/>
            <w:hideMark/>
          </w:tcPr>
          <w:p w14:paraId="174C3A3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1.8%</w:t>
            </w:r>
          </w:p>
        </w:tc>
        <w:tc>
          <w:tcPr>
            <w:tcW w:w="737" w:type="dxa"/>
            <w:tcBorders>
              <w:top w:val="single" w:sz="4" w:space="0" w:color="auto"/>
              <w:left w:val="single" w:sz="4" w:space="0" w:color="auto"/>
              <w:bottom w:val="single" w:sz="4" w:space="0" w:color="auto"/>
              <w:right w:val="single" w:sz="4" w:space="0" w:color="auto"/>
            </w:tcBorders>
            <w:noWrap/>
            <w:vAlign w:val="bottom"/>
            <w:hideMark/>
          </w:tcPr>
          <w:p w14:paraId="6261E7F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2.2%</w:t>
            </w:r>
          </w:p>
        </w:tc>
        <w:tc>
          <w:tcPr>
            <w:tcW w:w="738" w:type="dxa"/>
            <w:tcBorders>
              <w:top w:val="single" w:sz="4" w:space="0" w:color="auto"/>
              <w:left w:val="single" w:sz="4" w:space="0" w:color="auto"/>
              <w:bottom w:val="single" w:sz="4" w:space="0" w:color="auto"/>
              <w:right w:val="single" w:sz="4" w:space="0" w:color="auto"/>
            </w:tcBorders>
            <w:noWrap/>
            <w:vAlign w:val="bottom"/>
            <w:hideMark/>
          </w:tcPr>
          <w:p w14:paraId="610C80A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2.7%</w:t>
            </w:r>
          </w:p>
        </w:tc>
        <w:tc>
          <w:tcPr>
            <w:tcW w:w="738" w:type="dxa"/>
            <w:tcBorders>
              <w:top w:val="single" w:sz="4" w:space="0" w:color="auto"/>
              <w:left w:val="single" w:sz="4" w:space="0" w:color="auto"/>
              <w:bottom w:val="single" w:sz="4" w:space="0" w:color="auto"/>
              <w:right w:val="single" w:sz="4" w:space="0" w:color="auto"/>
            </w:tcBorders>
            <w:noWrap/>
            <w:vAlign w:val="bottom"/>
            <w:hideMark/>
          </w:tcPr>
          <w:p w14:paraId="37AFD6D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3.2%</w:t>
            </w:r>
          </w:p>
        </w:tc>
        <w:tc>
          <w:tcPr>
            <w:tcW w:w="738" w:type="dxa"/>
            <w:tcBorders>
              <w:top w:val="single" w:sz="4" w:space="0" w:color="auto"/>
              <w:left w:val="single" w:sz="4" w:space="0" w:color="auto"/>
              <w:bottom w:val="single" w:sz="4" w:space="0" w:color="auto"/>
              <w:right w:val="single" w:sz="4" w:space="0" w:color="auto"/>
            </w:tcBorders>
            <w:noWrap/>
            <w:vAlign w:val="bottom"/>
            <w:hideMark/>
          </w:tcPr>
          <w:p w14:paraId="6FD2BA7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3.7%</w:t>
            </w:r>
          </w:p>
        </w:tc>
        <w:tc>
          <w:tcPr>
            <w:tcW w:w="737" w:type="dxa"/>
            <w:tcBorders>
              <w:top w:val="single" w:sz="4" w:space="0" w:color="auto"/>
              <w:left w:val="single" w:sz="4" w:space="0" w:color="auto"/>
              <w:bottom w:val="single" w:sz="4" w:space="0" w:color="auto"/>
              <w:right w:val="single" w:sz="4" w:space="0" w:color="auto"/>
            </w:tcBorders>
            <w:noWrap/>
            <w:vAlign w:val="bottom"/>
            <w:hideMark/>
          </w:tcPr>
          <w:p w14:paraId="024873C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4.0%</w:t>
            </w:r>
          </w:p>
        </w:tc>
        <w:tc>
          <w:tcPr>
            <w:tcW w:w="738" w:type="dxa"/>
            <w:tcBorders>
              <w:top w:val="single" w:sz="4" w:space="0" w:color="auto"/>
              <w:left w:val="single" w:sz="4" w:space="0" w:color="auto"/>
              <w:bottom w:val="single" w:sz="4" w:space="0" w:color="auto"/>
              <w:right w:val="single" w:sz="4" w:space="0" w:color="auto"/>
            </w:tcBorders>
            <w:noWrap/>
            <w:vAlign w:val="bottom"/>
            <w:hideMark/>
          </w:tcPr>
          <w:p w14:paraId="308F29A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w:t>
            </w:r>
          </w:p>
        </w:tc>
        <w:tc>
          <w:tcPr>
            <w:tcW w:w="738" w:type="dxa"/>
            <w:tcBorders>
              <w:top w:val="single" w:sz="4" w:space="0" w:color="auto"/>
              <w:left w:val="single" w:sz="4" w:space="0" w:color="auto"/>
              <w:bottom w:val="single" w:sz="4" w:space="0" w:color="auto"/>
              <w:right w:val="single" w:sz="4" w:space="0" w:color="auto"/>
            </w:tcBorders>
            <w:noWrap/>
            <w:vAlign w:val="bottom"/>
            <w:hideMark/>
          </w:tcPr>
          <w:p w14:paraId="7F3DF5F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w:t>
            </w:r>
          </w:p>
        </w:tc>
        <w:tc>
          <w:tcPr>
            <w:tcW w:w="738" w:type="dxa"/>
            <w:tcBorders>
              <w:top w:val="single" w:sz="4" w:space="0" w:color="auto"/>
              <w:left w:val="single" w:sz="4" w:space="0" w:color="auto"/>
              <w:bottom w:val="single" w:sz="4" w:space="0" w:color="auto"/>
              <w:right w:val="single" w:sz="4" w:space="0" w:color="auto"/>
            </w:tcBorders>
            <w:noWrap/>
            <w:vAlign w:val="bottom"/>
            <w:hideMark/>
          </w:tcPr>
          <w:p w14:paraId="0712C13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4.9%</w:t>
            </w:r>
          </w:p>
        </w:tc>
      </w:tr>
      <w:tr w:rsidR="00614438" w:rsidRPr="00656BE7" w14:paraId="38EA116A"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0B2556C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w:t>
            </w:r>
          </w:p>
        </w:tc>
        <w:tc>
          <w:tcPr>
            <w:tcW w:w="737" w:type="dxa"/>
            <w:tcBorders>
              <w:top w:val="single" w:sz="4" w:space="0" w:color="auto"/>
              <w:left w:val="single" w:sz="4" w:space="0" w:color="auto"/>
              <w:bottom w:val="single" w:sz="4" w:space="0" w:color="auto"/>
              <w:right w:val="single" w:sz="4" w:space="0" w:color="auto"/>
            </w:tcBorders>
            <w:noWrap/>
            <w:vAlign w:val="bottom"/>
            <w:hideMark/>
          </w:tcPr>
          <w:p w14:paraId="327E59F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0.5%</w:t>
            </w:r>
          </w:p>
        </w:tc>
        <w:tc>
          <w:tcPr>
            <w:tcW w:w="738" w:type="dxa"/>
            <w:tcBorders>
              <w:top w:val="single" w:sz="4" w:space="0" w:color="auto"/>
              <w:left w:val="single" w:sz="4" w:space="0" w:color="auto"/>
              <w:bottom w:val="single" w:sz="4" w:space="0" w:color="auto"/>
              <w:right w:val="single" w:sz="4" w:space="0" w:color="auto"/>
            </w:tcBorders>
            <w:noWrap/>
            <w:vAlign w:val="bottom"/>
            <w:hideMark/>
          </w:tcPr>
          <w:p w14:paraId="344E64D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1.8%</w:t>
            </w:r>
          </w:p>
        </w:tc>
        <w:tc>
          <w:tcPr>
            <w:tcW w:w="738" w:type="dxa"/>
            <w:tcBorders>
              <w:top w:val="single" w:sz="4" w:space="0" w:color="auto"/>
              <w:left w:val="single" w:sz="4" w:space="0" w:color="auto"/>
              <w:bottom w:val="single" w:sz="4" w:space="0" w:color="auto"/>
              <w:right w:val="single" w:sz="4" w:space="0" w:color="auto"/>
            </w:tcBorders>
            <w:noWrap/>
            <w:vAlign w:val="bottom"/>
            <w:hideMark/>
          </w:tcPr>
          <w:p w14:paraId="3E7FA5E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2.1%</w:t>
            </w:r>
          </w:p>
        </w:tc>
        <w:tc>
          <w:tcPr>
            <w:tcW w:w="737" w:type="dxa"/>
            <w:tcBorders>
              <w:top w:val="single" w:sz="4" w:space="0" w:color="auto"/>
              <w:left w:val="single" w:sz="4" w:space="0" w:color="auto"/>
              <w:bottom w:val="single" w:sz="4" w:space="0" w:color="auto"/>
              <w:right w:val="single" w:sz="4" w:space="0" w:color="auto"/>
            </w:tcBorders>
            <w:noWrap/>
            <w:vAlign w:val="bottom"/>
            <w:hideMark/>
          </w:tcPr>
          <w:p w14:paraId="420D982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w:t>
            </w:r>
          </w:p>
        </w:tc>
        <w:tc>
          <w:tcPr>
            <w:tcW w:w="738" w:type="dxa"/>
            <w:tcBorders>
              <w:top w:val="single" w:sz="4" w:space="0" w:color="auto"/>
              <w:left w:val="single" w:sz="4" w:space="0" w:color="auto"/>
              <w:bottom w:val="single" w:sz="4" w:space="0" w:color="auto"/>
              <w:right w:val="single" w:sz="4" w:space="0" w:color="auto"/>
            </w:tcBorders>
            <w:noWrap/>
            <w:vAlign w:val="bottom"/>
            <w:hideMark/>
          </w:tcPr>
          <w:p w14:paraId="1E92808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2.6%</w:t>
            </w:r>
          </w:p>
        </w:tc>
        <w:tc>
          <w:tcPr>
            <w:tcW w:w="738" w:type="dxa"/>
            <w:tcBorders>
              <w:top w:val="single" w:sz="4" w:space="0" w:color="auto"/>
              <w:left w:val="single" w:sz="4" w:space="0" w:color="auto"/>
              <w:bottom w:val="single" w:sz="4" w:space="0" w:color="auto"/>
              <w:right w:val="single" w:sz="4" w:space="0" w:color="auto"/>
            </w:tcBorders>
            <w:noWrap/>
            <w:vAlign w:val="bottom"/>
            <w:hideMark/>
          </w:tcPr>
          <w:p w14:paraId="7558D67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w:t>
            </w:r>
          </w:p>
        </w:tc>
        <w:tc>
          <w:tcPr>
            <w:tcW w:w="738" w:type="dxa"/>
            <w:tcBorders>
              <w:top w:val="single" w:sz="4" w:space="0" w:color="auto"/>
              <w:left w:val="single" w:sz="4" w:space="0" w:color="auto"/>
              <w:bottom w:val="single" w:sz="4" w:space="0" w:color="auto"/>
              <w:right w:val="single" w:sz="4" w:space="0" w:color="auto"/>
            </w:tcBorders>
            <w:noWrap/>
            <w:vAlign w:val="bottom"/>
            <w:hideMark/>
          </w:tcPr>
          <w:p w14:paraId="6C295C6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3.2%</w:t>
            </w:r>
          </w:p>
        </w:tc>
        <w:tc>
          <w:tcPr>
            <w:tcW w:w="737" w:type="dxa"/>
            <w:tcBorders>
              <w:top w:val="single" w:sz="4" w:space="0" w:color="auto"/>
              <w:left w:val="single" w:sz="4" w:space="0" w:color="auto"/>
              <w:bottom w:val="single" w:sz="4" w:space="0" w:color="auto"/>
              <w:right w:val="single" w:sz="4" w:space="0" w:color="auto"/>
            </w:tcBorders>
            <w:noWrap/>
            <w:vAlign w:val="bottom"/>
            <w:hideMark/>
          </w:tcPr>
          <w:p w14:paraId="09CA403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5.3%</w:t>
            </w:r>
          </w:p>
        </w:tc>
        <w:tc>
          <w:tcPr>
            <w:tcW w:w="738" w:type="dxa"/>
            <w:tcBorders>
              <w:top w:val="single" w:sz="4" w:space="0" w:color="auto"/>
              <w:left w:val="single" w:sz="4" w:space="0" w:color="auto"/>
              <w:bottom w:val="single" w:sz="4" w:space="0" w:color="auto"/>
              <w:right w:val="single" w:sz="4" w:space="0" w:color="auto"/>
            </w:tcBorders>
            <w:noWrap/>
            <w:vAlign w:val="bottom"/>
            <w:hideMark/>
          </w:tcPr>
          <w:p w14:paraId="2F0E80B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9.9%</w:t>
            </w:r>
          </w:p>
        </w:tc>
        <w:tc>
          <w:tcPr>
            <w:tcW w:w="738" w:type="dxa"/>
            <w:tcBorders>
              <w:top w:val="single" w:sz="4" w:space="0" w:color="auto"/>
              <w:left w:val="single" w:sz="4" w:space="0" w:color="auto"/>
              <w:bottom w:val="single" w:sz="4" w:space="0" w:color="auto"/>
              <w:right w:val="single" w:sz="4" w:space="0" w:color="auto"/>
            </w:tcBorders>
            <w:noWrap/>
            <w:vAlign w:val="bottom"/>
            <w:hideMark/>
          </w:tcPr>
          <w:p w14:paraId="5A6D5E5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23.9%</w:t>
            </w:r>
          </w:p>
        </w:tc>
        <w:tc>
          <w:tcPr>
            <w:tcW w:w="738" w:type="dxa"/>
            <w:tcBorders>
              <w:top w:val="single" w:sz="4" w:space="0" w:color="auto"/>
              <w:left w:val="single" w:sz="4" w:space="0" w:color="auto"/>
              <w:bottom w:val="single" w:sz="4" w:space="0" w:color="auto"/>
              <w:right w:val="single" w:sz="4" w:space="0" w:color="auto"/>
            </w:tcBorders>
            <w:noWrap/>
            <w:vAlign w:val="bottom"/>
            <w:hideMark/>
          </w:tcPr>
          <w:p w14:paraId="30C9630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45.0%</w:t>
            </w:r>
          </w:p>
        </w:tc>
      </w:tr>
      <w:tr w:rsidR="00614438" w:rsidRPr="00656BE7" w14:paraId="707E77F5"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06AAD69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Scenario-S-N</w:t>
            </w:r>
          </w:p>
        </w:tc>
        <w:tc>
          <w:tcPr>
            <w:tcW w:w="737" w:type="dxa"/>
            <w:tcBorders>
              <w:top w:val="single" w:sz="4" w:space="0" w:color="auto"/>
              <w:left w:val="single" w:sz="4" w:space="0" w:color="auto"/>
              <w:bottom w:val="single" w:sz="4" w:space="0" w:color="auto"/>
              <w:right w:val="single" w:sz="4" w:space="0" w:color="auto"/>
            </w:tcBorders>
            <w:noWrap/>
            <w:vAlign w:val="bottom"/>
            <w:hideMark/>
          </w:tcPr>
          <w:p w14:paraId="62F82D5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0.5%</w:t>
            </w:r>
          </w:p>
        </w:tc>
        <w:tc>
          <w:tcPr>
            <w:tcW w:w="738" w:type="dxa"/>
            <w:tcBorders>
              <w:top w:val="single" w:sz="4" w:space="0" w:color="auto"/>
              <w:left w:val="single" w:sz="4" w:space="0" w:color="auto"/>
              <w:bottom w:val="single" w:sz="4" w:space="0" w:color="auto"/>
              <w:right w:val="single" w:sz="4" w:space="0" w:color="auto"/>
            </w:tcBorders>
            <w:noWrap/>
            <w:vAlign w:val="bottom"/>
            <w:hideMark/>
          </w:tcPr>
          <w:p w14:paraId="65F0101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1.8%</w:t>
            </w:r>
          </w:p>
        </w:tc>
        <w:tc>
          <w:tcPr>
            <w:tcW w:w="738" w:type="dxa"/>
            <w:tcBorders>
              <w:top w:val="single" w:sz="4" w:space="0" w:color="auto"/>
              <w:left w:val="single" w:sz="4" w:space="0" w:color="auto"/>
              <w:bottom w:val="single" w:sz="4" w:space="0" w:color="auto"/>
              <w:right w:val="single" w:sz="4" w:space="0" w:color="auto"/>
            </w:tcBorders>
            <w:noWrap/>
            <w:vAlign w:val="bottom"/>
            <w:hideMark/>
          </w:tcPr>
          <w:p w14:paraId="45A5FFA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2.1%</w:t>
            </w:r>
          </w:p>
        </w:tc>
        <w:tc>
          <w:tcPr>
            <w:tcW w:w="737" w:type="dxa"/>
            <w:tcBorders>
              <w:top w:val="single" w:sz="4" w:space="0" w:color="auto"/>
              <w:left w:val="single" w:sz="4" w:space="0" w:color="auto"/>
              <w:bottom w:val="single" w:sz="4" w:space="0" w:color="auto"/>
              <w:right w:val="single" w:sz="4" w:space="0" w:color="auto"/>
            </w:tcBorders>
            <w:noWrap/>
            <w:vAlign w:val="bottom"/>
            <w:hideMark/>
          </w:tcPr>
          <w:p w14:paraId="0C4D4D1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w:t>
            </w:r>
          </w:p>
        </w:tc>
        <w:tc>
          <w:tcPr>
            <w:tcW w:w="738" w:type="dxa"/>
            <w:tcBorders>
              <w:top w:val="single" w:sz="4" w:space="0" w:color="auto"/>
              <w:left w:val="single" w:sz="4" w:space="0" w:color="auto"/>
              <w:bottom w:val="single" w:sz="4" w:space="0" w:color="auto"/>
              <w:right w:val="single" w:sz="4" w:space="0" w:color="auto"/>
            </w:tcBorders>
            <w:noWrap/>
            <w:vAlign w:val="bottom"/>
            <w:hideMark/>
          </w:tcPr>
          <w:p w14:paraId="0C9401C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2.6%</w:t>
            </w:r>
          </w:p>
        </w:tc>
        <w:tc>
          <w:tcPr>
            <w:tcW w:w="738" w:type="dxa"/>
            <w:tcBorders>
              <w:top w:val="single" w:sz="4" w:space="0" w:color="auto"/>
              <w:left w:val="single" w:sz="4" w:space="0" w:color="auto"/>
              <w:bottom w:val="single" w:sz="4" w:space="0" w:color="auto"/>
              <w:right w:val="single" w:sz="4" w:space="0" w:color="auto"/>
            </w:tcBorders>
            <w:noWrap/>
            <w:vAlign w:val="bottom"/>
            <w:hideMark/>
          </w:tcPr>
          <w:p w14:paraId="25157B5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w:t>
            </w:r>
          </w:p>
        </w:tc>
        <w:tc>
          <w:tcPr>
            <w:tcW w:w="738" w:type="dxa"/>
            <w:tcBorders>
              <w:top w:val="single" w:sz="4" w:space="0" w:color="auto"/>
              <w:left w:val="single" w:sz="4" w:space="0" w:color="auto"/>
              <w:bottom w:val="single" w:sz="4" w:space="0" w:color="auto"/>
              <w:right w:val="single" w:sz="4" w:space="0" w:color="auto"/>
            </w:tcBorders>
            <w:noWrap/>
            <w:vAlign w:val="bottom"/>
            <w:hideMark/>
          </w:tcPr>
          <w:p w14:paraId="4428E9E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3.2%</w:t>
            </w:r>
          </w:p>
        </w:tc>
        <w:tc>
          <w:tcPr>
            <w:tcW w:w="737" w:type="dxa"/>
            <w:tcBorders>
              <w:top w:val="single" w:sz="4" w:space="0" w:color="auto"/>
              <w:left w:val="single" w:sz="4" w:space="0" w:color="auto"/>
              <w:bottom w:val="single" w:sz="4" w:space="0" w:color="auto"/>
              <w:right w:val="single" w:sz="4" w:space="0" w:color="auto"/>
            </w:tcBorders>
            <w:noWrap/>
            <w:vAlign w:val="bottom"/>
            <w:hideMark/>
          </w:tcPr>
          <w:p w14:paraId="70A333F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5.3%</w:t>
            </w:r>
          </w:p>
        </w:tc>
        <w:tc>
          <w:tcPr>
            <w:tcW w:w="738" w:type="dxa"/>
            <w:tcBorders>
              <w:top w:val="single" w:sz="4" w:space="0" w:color="auto"/>
              <w:left w:val="single" w:sz="4" w:space="0" w:color="auto"/>
              <w:bottom w:val="single" w:sz="4" w:space="0" w:color="auto"/>
              <w:right w:val="single" w:sz="4" w:space="0" w:color="auto"/>
            </w:tcBorders>
            <w:noWrap/>
            <w:vAlign w:val="bottom"/>
            <w:hideMark/>
          </w:tcPr>
          <w:p w14:paraId="400C6E4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11.7%</w:t>
            </w:r>
          </w:p>
        </w:tc>
        <w:tc>
          <w:tcPr>
            <w:tcW w:w="738" w:type="dxa"/>
            <w:tcBorders>
              <w:top w:val="single" w:sz="4" w:space="0" w:color="auto"/>
              <w:left w:val="single" w:sz="4" w:space="0" w:color="auto"/>
              <w:bottom w:val="single" w:sz="4" w:space="0" w:color="auto"/>
              <w:right w:val="single" w:sz="4" w:space="0" w:color="auto"/>
            </w:tcBorders>
            <w:noWrap/>
            <w:vAlign w:val="bottom"/>
            <w:hideMark/>
          </w:tcPr>
          <w:p w14:paraId="37EF8FC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27.3%</w:t>
            </w:r>
          </w:p>
        </w:tc>
        <w:tc>
          <w:tcPr>
            <w:tcW w:w="738" w:type="dxa"/>
            <w:tcBorders>
              <w:top w:val="single" w:sz="4" w:space="0" w:color="auto"/>
              <w:left w:val="single" w:sz="4" w:space="0" w:color="auto"/>
              <w:bottom w:val="single" w:sz="4" w:space="0" w:color="auto"/>
              <w:right w:val="single" w:sz="4" w:space="0" w:color="auto"/>
            </w:tcBorders>
            <w:noWrap/>
            <w:vAlign w:val="bottom"/>
            <w:hideMark/>
          </w:tcPr>
          <w:p w14:paraId="7C6CAEE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48.6%</w:t>
            </w:r>
          </w:p>
        </w:tc>
      </w:tr>
    </w:tbl>
    <w:p w14:paraId="3ECCDA14" w14:textId="77777777" w:rsidR="00614438" w:rsidRPr="00614438" w:rsidRDefault="00614438" w:rsidP="00656BE7">
      <w:pPr>
        <w:spacing w:before="240"/>
        <w:jc w:val="both"/>
        <w:rPr>
          <w:rFonts w:ascii="Times New Roman" w:hAnsi="Times New Roman" w:cs="Times New Roman"/>
          <w:sz w:val="24"/>
          <w:szCs w:val="24"/>
          <w:lang w:val="en-GB"/>
        </w:rPr>
      </w:pPr>
      <w:bookmarkStart w:id="726" w:name="_Toc153545112"/>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19</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Share of RES in Transport (with multipliers) [%]</w:t>
      </w:r>
      <w:bookmarkEnd w:id="726"/>
    </w:p>
    <w:tbl>
      <w:tblPr>
        <w:tblStyle w:val="TableGrid"/>
        <w:tblW w:w="9780" w:type="dxa"/>
        <w:tblLayout w:type="fixed"/>
        <w:tblLook w:val="04A0" w:firstRow="1" w:lastRow="0" w:firstColumn="1" w:lastColumn="0" w:noHBand="0" w:noVBand="1"/>
      </w:tblPr>
      <w:tblGrid>
        <w:gridCol w:w="1663"/>
        <w:gridCol w:w="738"/>
        <w:gridCol w:w="739"/>
        <w:gridCol w:w="738"/>
        <w:gridCol w:w="737"/>
        <w:gridCol w:w="738"/>
        <w:gridCol w:w="738"/>
        <w:gridCol w:w="738"/>
        <w:gridCol w:w="737"/>
        <w:gridCol w:w="738"/>
        <w:gridCol w:w="738"/>
        <w:gridCol w:w="738"/>
      </w:tblGrid>
      <w:tr w:rsidR="00614438" w:rsidRPr="00656BE7" w14:paraId="63990F13"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53D716A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Share of RES in Transport (with multipliers) [%]</w:t>
            </w:r>
          </w:p>
        </w:tc>
        <w:tc>
          <w:tcPr>
            <w:tcW w:w="737"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D8C889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35FE73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136CA6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737"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E00AB7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ABDBA7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BA7F5D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590492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737"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B53084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B706A1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2A31BA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669601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r>
      <w:tr w:rsidR="00614438" w:rsidRPr="00656BE7" w14:paraId="53628E72"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01E4443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WEM</w:t>
            </w:r>
          </w:p>
        </w:tc>
        <w:tc>
          <w:tcPr>
            <w:tcW w:w="737" w:type="dxa"/>
            <w:tcBorders>
              <w:top w:val="single" w:sz="4" w:space="0" w:color="auto"/>
              <w:left w:val="single" w:sz="4" w:space="0" w:color="auto"/>
              <w:bottom w:val="single" w:sz="4" w:space="0" w:color="auto"/>
              <w:right w:val="single" w:sz="4" w:space="0" w:color="auto"/>
            </w:tcBorders>
            <w:noWrap/>
            <w:hideMark/>
          </w:tcPr>
          <w:p w14:paraId="2D1AA71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w:t>
            </w:r>
          </w:p>
        </w:tc>
        <w:tc>
          <w:tcPr>
            <w:tcW w:w="738" w:type="dxa"/>
            <w:tcBorders>
              <w:top w:val="single" w:sz="4" w:space="0" w:color="auto"/>
              <w:left w:val="single" w:sz="4" w:space="0" w:color="auto"/>
              <w:bottom w:val="single" w:sz="4" w:space="0" w:color="auto"/>
              <w:right w:val="single" w:sz="4" w:space="0" w:color="auto"/>
            </w:tcBorders>
            <w:noWrap/>
            <w:hideMark/>
          </w:tcPr>
          <w:p w14:paraId="7287CE8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w:t>
            </w:r>
          </w:p>
        </w:tc>
        <w:tc>
          <w:tcPr>
            <w:tcW w:w="738" w:type="dxa"/>
            <w:tcBorders>
              <w:top w:val="single" w:sz="4" w:space="0" w:color="auto"/>
              <w:left w:val="single" w:sz="4" w:space="0" w:color="auto"/>
              <w:bottom w:val="single" w:sz="4" w:space="0" w:color="auto"/>
              <w:right w:val="single" w:sz="4" w:space="0" w:color="auto"/>
            </w:tcBorders>
            <w:noWrap/>
            <w:hideMark/>
          </w:tcPr>
          <w:p w14:paraId="5F0C01D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2.8%</w:t>
            </w:r>
          </w:p>
        </w:tc>
        <w:tc>
          <w:tcPr>
            <w:tcW w:w="737" w:type="dxa"/>
            <w:tcBorders>
              <w:top w:val="single" w:sz="4" w:space="0" w:color="auto"/>
              <w:left w:val="single" w:sz="4" w:space="0" w:color="auto"/>
              <w:bottom w:val="single" w:sz="4" w:space="0" w:color="auto"/>
              <w:right w:val="single" w:sz="4" w:space="0" w:color="auto"/>
            </w:tcBorders>
            <w:noWrap/>
            <w:hideMark/>
          </w:tcPr>
          <w:p w14:paraId="6AAF707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w:t>
            </w:r>
          </w:p>
        </w:tc>
        <w:tc>
          <w:tcPr>
            <w:tcW w:w="738" w:type="dxa"/>
            <w:tcBorders>
              <w:top w:val="single" w:sz="4" w:space="0" w:color="auto"/>
              <w:left w:val="single" w:sz="4" w:space="0" w:color="auto"/>
              <w:bottom w:val="single" w:sz="4" w:space="0" w:color="auto"/>
              <w:right w:val="single" w:sz="4" w:space="0" w:color="auto"/>
            </w:tcBorders>
            <w:noWrap/>
            <w:hideMark/>
          </w:tcPr>
          <w:p w14:paraId="677988F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w:t>
            </w:r>
          </w:p>
        </w:tc>
        <w:tc>
          <w:tcPr>
            <w:tcW w:w="738" w:type="dxa"/>
            <w:tcBorders>
              <w:top w:val="single" w:sz="4" w:space="0" w:color="auto"/>
              <w:left w:val="single" w:sz="4" w:space="0" w:color="auto"/>
              <w:bottom w:val="single" w:sz="4" w:space="0" w:color="auto"/>
              <w:right w:val="single" w:sz="4" w:space="0" w:color="auto"/>
            </w:tcBorders>
            <w:noWrap/>
            <w:hideMark/>
          </w:tcPr>
          <w:p w14:paraId="3C8998B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4.7%</w:t>
            </w:r>
          </w:p>
        </w:tc>
        <w:tc>
          <w:tcPr>
            <w:tcW w:w="738" w:type="dxa"/>
            <w:tcBorders>
              <w:top w:val="single" w:sz="4" w:space="0" w:color="auto"/>
              <w:left w:val="single" w:sz="4" w:space="0" w:color="auto"/>
              <w:bottom w:val="single" w:sz="4" w:space="0" w:color="auto"/>
              <w:right w:val="single" w:sz="4" w:space="0" w:color="auto"/>
            </w:tcBorders>
            <w:noWrap/>
            <w:hideMark/>
          </w:tcPr>
          <w:p w14:paraId="05B3BA6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5.5%</w:t>
            </w:r>
          </w:p>
        </w:tc>
        <w:tc>
          <w:tcPr>
            <w:tcW w:w="737" w:type="dxa"/>
            <w:tcBorders>
              <w:top w:val="single" w:sz="4" w:space="0" w:color="auto"/>
              <w:left w:val="single" w:sz="4" w:space="0" w:color="auto"/>
              <w:bottom w:val="single" w:sz="4" w:space="0" w:color="auto"/>
              <w:right w:val="single" w:sz="4" w:space="0" w:color="auto"/>
            </w:tcBorders>
            <w:noWrap/>
            <w:hideMark/>
          </w:tcPr>
          <w:p w14:paraId="5B0213A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6.5%</w:t>
            </w:r>
          </w:p>
        </w:tc>
        <w:tc>
          <w:tcPr>
            <w:tcW w:w="738" w:type="dxa"/>
            <w:tcBorders>
              <w:top w:val="single" w:sz="4" w:space="0" w:color="auto"/>
              <w:left w:val="single" w:sz="4" w:space="0" w:color="auto"/>
              <w:bottom w:val="single" w:sz="4" w:space="0" w:color="auto"/>
              <w:right w:val="single" w:sz="4" w:space="0" w:color="auto"/>
            </w:tcBorders>
            <w:noWrap/>
            <w:hideMark/>
          </w:tcPr>
          <w:p w14:paraId="79B89D2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7.1%</w:t>
            </w:r>
          </w:p>
        </w:tc>
        <w:tc>
          <w:tcPr>
            <w:tcW w:w="738" w:type="dxa"/>
            <w:tcBorders>
              <w:top w:val="single" w:sz="4" w:space="0" w:color="auto"/>
              <w:left w:val="single" w:sz="4" w:space="0" w:color="auto"/>
              <w:bottom w:val="single" w:sz="4" w:space="0" w:color="auto"/>
              <w:right w:val="single" w:sz="4" w:space="0" w:color="auto"/>
            </w:tcBorders>
            <w:noWrap/>
            <w:hideMark/>
          </w:tcPr>
          <w:p w14:paraId="3A7280F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7.4%</w:t>
            </w:r>
          </w:p>
        </w:tc>
        <w:tc>
          <w:tcPr>
            <w:tcW w:w="738" w:type="dxa"/>
            <w:tcBorders>
              <w:top w:val="single" w:sz="4" w:space="0" w:color="auto"/>
              <w:left w:val="single" w:sz="4" w:space="0" w:color="auto"/>
              <w:bottom w:val="single" w:sz="4" w:space="0" w:color="auto"/>
              <w:right w:val="single" w:sz="4" w:space="0" w:color="auto"/>
            </w:tcBorders>
            <w:noWrap/>
            <w:hideMark/>
          </w:tcPr>
          <w:p w14:paraId="55CA77C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9.9%</w:t>
            </w:r>
          </w:p>
        </w:tc>
      </w:tr>
      <w:tr w:rsidR="00614438" w:rsidRPr="00656BE7" w14:paraId="2C7D6B17"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06FF943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w:t>
            </w:r>
          </w:p>
        </w:tc>
        <w:tc>
          <w:tcPr>
            <w:tcW w:w="737" w:type="dxa"/>
            <w:tcBorders>
              <w:top w:val="single" w:sz="4" w:space="0" w:color="auto"/>
              <w:left w:val="single" w:sz="4" w:space="0" w:color="auto"/>
              <w:bottom w:val="single" w:sz="4" w:space="0" w:color="auto"/>
              <w:right w:val="single" w:sz="4" w:space="0" w:color="auto"/>
            </w:tcBorders>
            <w:noWrap/>
            <w:hideMark/>
          </w:tcPr>
          <w:p w14:paraId="15E6C66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w:t>
            </w:r>
          </w:p>
        </w:tc>
        <w:tc>
          <w:tcPr>
            <w:tcW w:w="738" w:type="dxa"/>
            <w:tcBorders>
              <w:top w:val="single" w:sz="4" w:space="0" w:color="auto"/>
              <w:left w:val="single" w:sz="4" w:space="0" w:color="auto"/>
              <w:bottom w:val="single" w:sz="4" w:space="0" w:color="auto"/>
              <w:right w:val="single" w:sz="4" w:space="0" w:color="auto"/>
            </w:tcBorders>
            <w:noWrap/>
            <w:hideMark/>
          </w:tcPr>
          <w:p w14:paraId="5156E40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w:t>
            </w:r>
          </w:p>
        </w:tc>
        <w:tc>
          <w:tcPr>
            <w:tcW w:w="738" w:type="dxa"/>
            <w:tcBorders>
              <w:top w:val="single" w:sz="4" w:space="0" w:color="auto"/>
              <w:left w:val="single" w:sz="4" w:space="0" w:color="auto"/>
              <w:bottom w:val="single" w:sz="4" w:space="0" w:color="auto"/>
              <w:right w:val="single" w:sz="4" w:space="0" w:color="auto"/>
            </w:tcBorders>
            <w:noWrap/>
            <w:hideMark/>
          </w:tcPr>
          <w:p w14:paraId="0D77466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3.3%</w:t>
            </w:r>
          </w:p>
        </w:tc>
        <w:tc>
          <w:tcPr>
            <w:tcW w:w="737" w:type="dxa"/>
            <w:tcBorders>
              <w:top w:val="single" w:sz="4" w:space="0" w:color="auto"/>
              <w:left w:val="single" w:sz="4" w:space="0" w:color="auto"/>
              <w:bottom w:val="single" w:sz="4" w:space="0" w:color="auto"/>
              <w:right w:val="single" w:sz="4" w:space="0" w:color="auto"/>
            </w:tcBorders>
            <w:noWrap/>
            <w:hideMark/>
          </w:tcPr>
          <w:p w14:paraId="33D5819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3.7%</w:t>
            </w:r>
          </w:p>
        </w:tc>
        <w:tc>
          <w:tcPr>
            <w:tcW w:w="738" w:type="dxa"/>
            <w:tcBorders>
              <w:top w:val="single" w:sz="4" w:space="0" w:color="auto"/>
              <w:left w:val="single" w:sz="4" w:space="0" w:color="auto"/>
              <w:bottom w:val="single" w:sz="4" w:space="0" w:color="auto"/>
              <w:right w:val="single" w:sz="4" w:space="0" w:color="auto"/>
            </w:tcBorders>
            <w:noWrap/>
            <w:hideMark/>
          </w:tcPr>
          <w:p w14:paraId="20D8537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4.4%</w:t>
            </w:r>
          </w:p>
        </w:tc>
        <w:tc>
          <w:tcPr>
            <w:tcW w:w="738" w:type="dxa"/>
            <w:tcBorders>
              <w:top w:val="single" w:sz="4" w:space="0" w:color="auto"/>
              <w:left w:val="single" w:sz="4" w:space="0" w:color="auto"/>
              <w:bottom w:val="single" w:sz="4" w:space="0" w:color="auto"/>
              <w:right w:val="single" w:sz="4" w:space="0" w:color="auto"/>
            </w:tcBorders>
            <w:noWrap/>
            <w:hideMark/>
          </w:tcPr>
          <w:p w14:paraId="2606FA7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6.0%</w:t>
            </w:r>
          </w:p>
        </w:tc>
        <w:tc>
          <w:tcPr>
            <w:tcW w:w="738" w:type="dxa"/>
            <w:tcBorders>
              <w:top w:val="single" w:sz="4" w:space="0" w:color="auto"/>
              <w:left w:val="single" w:sz="4" w:space="0" w:color="auto"/>
              <w:bottom w:val="single" w:sz="4" w:space="0" w:color="auto"/>
              <w:right w:val="single" w:sz="4" w:space="0" w:color="auto"/>
            </w:tcBorders>
            <w:noWrap/>
            <w:hideMark/>
          </w:tcPr>
          <w:p w14:paraId="74C4435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6.8%</w:t>
            </w:r>
          </w:p>
        </w:tc>
        <w:tc>
          <w:tcPr>
            <w:tcW w:w="737" w:type="dxa"/>
            <w:tcBorders>
              <w:top w:val="single" w:sz="4" w:space="0" w:color="auto"/>
              <w:left w:val="single" w:sz="4" w:space="0" w:color="auto"/>
              <w:bottom w:val="single" w:sz="4" w:space="0" w:color="auto"/>
              <w:right w:val="single" w:sz="4" w:space="0" w:color="auto"/>
            </w:tcBorders>
            <w:noWrap/>
            <w:hideMark/>
          </w:tcPr>
          <w:p w14:paraId="2858F1D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12.5%</w:t>
            </w:r>
          </w:p>
        </w:tc>
        <w:tc>
          <w:tcPr>
            <w:tcW w:w="738" w:type="dxa"/>
            <w:tcBorders>
              <w:top w:val="single" w:sz="4" w:space="0" w:color="auto"/>
              <w:left w:val="single" w:sz="4" w:space="0" w:color="auto"/>
              <w:bottom w:val="single" w:sz="4" w:space="0" w:color="auto"/>
              <w:right w:val="single" w:sz="4" w:space="0" w:color="auto"/>
            </w:tcBorders>
            <w:noWrap/>
            <w:hideMark/>
          </w:tcPr>
          <w:p w14:paraId="7743BC9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21.4%</w:t>
            </w:r>
          </w:p>
        </w:tc>
        <w:tc>
          <w:tcPr>
            <w:tcW w:w="738" w:type="dxa"/>
            <w:tcBorders>
              <w:top w:val="single" w:sz="4" w:space="0" w:color="auto"/>
              <w:left w:val="single" w:sz="4" w:space="0" w:color="auto"/>
              <w:bottom w:val="single" w:sz="4" w:space="0" w:color="auto"/>
              <w:right w:val="single" w:sz="4" w:space="0" w:color="auto"/>
            </w:tcBorders>
            <w:noWrap/>
            <w:hideMark/>
          </w:tcPr>
          <w:p w14:paraId="7CA60E9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44.8%</w:t>
            </w:r>
          </w:p>
        </w:tc>
        <w:tc>
          <w:tcPr>
            <w:tcW w:w="738" w:type="dxa"/>
            <w:tcBorders>
              <w:top w:val="single" w:sz="4" w:space="0" w:color="auto"/>
              <w:left w:val="single" w:sz="4" w:space="0" w:color="auto"/>
              <w:bottom w:val="single" w:sz="4" w:space="0" w:color="auto"/>
              <w:right w:val="single" w:sz="4" w:space="0" w:color="auto"/>
            </w:tcBorders>
            <w:noWrap/>
            <w:hideMark/>
          </w:tcPr>
          <w:p w14:paraId="098ACA3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68.1%</w:t>
            </w:r>
          </w:p>
        </w:tc>
      </w:tr>
      <w:tr w:rsidR="00614438" w:rsidRPr="00656BE7" w14:paraId="19037B0E"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62821E8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Scenario-S-N</w:t>
            </w:r>
          </w:p>
        </w:tc>
        <w:tc>
          <w:tcPr>
            <w:tcW w:w="737" w:type="dxa"/>
            <w:tcBorders>
              <w:top w:val="single" w:sz="4" w:space="0" w:color="auto"/>
              <w:left w:val="single" w:sz="4" w:space="0" w:color="auto"/>
              <w:bottom w:val="single" w:sz="4" w:space="0" w:color="auto"/>
              <w:right w:val="single" w:sz="4" w:space="0" w:color="auto"/>
            </w:tcBorders>
            <w:noWrap/>
            <w:hideMark/>
          </w:tcPr>
          <w:p w14:paraId="34DA24B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w:t>
            </w:r>
          </w:p>
        </w:tc>
        <w:tc>
          <w:tcPr>
            <w:tcW w:w="738" w:type="dxa"/>
            <w:tcBorders>
              <w:top w:val="single" w:sz="4" w:space="0" w:color="auto"/>
              <w:left w:val="single" w:sz="4" w:space="0" w:color="auto"/>
              <w:bottom w:val="single" w:sz="4" w:space="0" w:color="auto"/>
              <w:right w:val="single" w:sz="4" w:space="0" w:color="auto"/>
            </w:tcBorders>
            <w:noWrap/>
            <w:hideMark/>
          </w:tcPr>
          <w:p w14:paraId="2FBE799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w:t>
            </w:r>
          </w:p>
        </w:tc>
        <w:tc>
          <w:tcPr>
            <w:tcW w:w="738" w:type="dxa"/>
            <w:tcBorders>
              <w:top w:val="single" w:sz="4" w:space="0" w:color="auto"/>
              <w:left w:val="single" w:sz="4" w:space="0" w:color="auto"/>
              <w:bottom w:val="single" w:sz="4" w:space="0" w:color="auto"/>
              <w:right w:val="single" w:sz="4" w:space="0" w:color="auto"/>
            </w:tcBorders>
            <w:noWrap/>
            <w:hideMark/>
          </w:tcPr>
          <w:p w14:paraId="394C314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3.3%</w:t>
            </w:r>
          </w:p>
        </w:tc>
        <w:tc>
          <w:tcPr>
            <w:tcW w:w="737" w:type="dxa"/>
            <w:tcBorders>
              <w:top w:val="single" w:sz="4" w:space="0" w:color="auto"/>
              <w:left w:val="single" w:sz="4" w:space="0" w:color="auto"/>
              <w:bottom w:val="single" w:sz="4" w:space="0" w:color="auto"/>
              <w:right w:val="single" w:sz="4" w:space="0" w:color="auto"/>
            </w:tcBorders>
            <w:noWrap/>
            <w:hideMark/>
          </w:tcPr>
          <w:p w14:paraId="3B0C832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3.7%</w:t>
            </w:r>
          </w:p>
        </w:tc>
        <w:tc>
          <w:tcPr>
            <w:tcW w:w="738" w:type="dxa"/>
            <w:tcBorders>
              <w:top w:val="single" w:sz="4" w:space="0" w:color="auto"/>
              <w:left w:val="single" w:sz="4" w:space="0" w:color="auto"/>
              <w:bottom w:val="single" w:sz="4" w:space="0" w:color="auto"/>
              <w:right w:val="single" w:sz="4" w:space="0" w:color="auto"/>
            </w:tcBorders>
            <w:noWrap/>
            <w:hideMark/>
          </w:tcPr>
          <w:p w14:paraId="6A107F1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4.4%</w:t>
            </w:r>
          </w:p>
        </w:tc>
        <w:tc>
          <w:tcPr>
            <w:tcW w:w="738" w:type="dxa"/>
            <w:tcBorders>
              <w:top w:val="single" w:sz="4" w:space="0" w:color="auto"/>
              <w:left w:val="single" w:sz="4" w:space="0" w:color="auto"/>
              <w:bottom w:val="single" w:sz="4" w:space="0" w:color="auto"/>
              <w:right w:val="single" w:sz="4" w:space="0" w:color="auto"/>
            </w:tcBorders>
            <w:noWrap/>
            <w:hideMark/>
          </w:tcPr>
          <w:p w14:paraId="15E9060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6.0%</w:t>
            </w:r>
          </w:p>
        </w:tc>
        <w:tc>
          <w:tcPr>
            <w:tcW w:w="738" w:type="dxa"/>
            <w:tcBorders>
              <w:top w:val="single" w:sz="4" w:space="0" w:color="auto"/>
              <w:left w:val="single" w:sz="4" w:space="0" w:color="auto"/>
              <w:bottom w:val="single" w:sz="4" w:space="0" w:color="auto"/>
              <w:right w:val="single" w:sz="4" w:space="0" w:color="auto"/>
            </w:tcBorders>
            <w:noWrap/>
            <w:hideMark/>
          </w:tcPr>
          <w:p w14:paraId="2798FE8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6.8%</w:t>
            </w:r>
          </w:p>
        </w:tc>
        <w:tc>
          <w:tcPr>
            <w:tcW w:w="737" w:type="dxa"/>
            <w:tcBorders>
              <w:top w:val="single" w:sz="4" w:space="0" w:color="auto"/>
              <w:left w:val="single" w:sz="4" w:space="0" w:color="auto"/>
              <w:bottom w:val="single" w:sz="4" w:space="0" w:color="auto"/>
              <w:right w:val="single" w:sz="4" w:space="0" w:color="auto"/>
            </w:tcBorders>
            <w:noWrap/>
            <w:hideMark/>
          </w:tcPr>
          <w:p w14:paraId="33686B0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12.5%</w:t>
            </w:r>
          </w:p>
        </w:tc>
        <w:tc>
          <w:tcPr>
            <w:tcW w:w="738" w:type="dxa"/>
            <w:tcBorders>
              <w:top w:val="single" w:sz="4" w:space="0" w:color="auto"/>
              <w:left w:val="single" w:sz="4" w:space="0" w:color="auto"/>
              <w:bottom w:val="single" w:sz="4" w:space="0" w:color="auto"/>
              <w:right w:val="single" w:sz="4" w:space="0" w:color="auto"/>
            </w:tcBorders>
            <w:noWrap/>
            <w:hideMark/>
          </w:tcPr>
          <w:p w14:paraId="47DF1FB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23.8%</w:t>
            </w:r>
          </w:p>
        </w:tc>
        <w:tc>
          <w:tcPr>
            <w:tcW w:w="738" w:type="dxa"/>
            <w:tcBorders>
              <w:top w:val="single" w:sz="4" w:space="0" w:color="auto"/>
              <w:left w:val="single" w:sz="4" w:space="0" w:color="auto"/>
              <w:bottom w:val="single" w:sz="4" w:space="0" w:color="auto"/>
              <w:right w:val="single" w:sz="4" w:space="0" w:color="auto"/>
            </w:tcBorders>
            <w:noWrap/>
            <w:hideMark/>
          </w:tcPr>
          <w:p w14:paraId="55D1B64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48.9%</w:t>
            </w:r>
          </w:p>
        </w:tc>
        <w:tc>
          <w:tcPr>
            <w:tcW w:w="738" w:type="dxa"/>
            <w:tcBorders>
              <w:top w:val="single" w:sz="4" w:space="0" w:color="auto"/>
              <w:left w:val="single" w:sz="4" w:space="0" w:color="auto"/>
              <w:bottom w:val="single" w:sz="4" w:space="0" w:color="auto"/>
              <w:right w:val="single" w:sz="4" w:space="0" w:color="auto"/>
            </w:tcBorders>
            <w:noWrap/>
            <w:hideMark/>
          </w:tcPr>
          <w:p w14:paraId="694BB8F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71.1%</w:t>
            </w:r>
          </w:p>
        </w:tc>
      </w:tr>
    </w:tbl>
    <w:p w14:paraId="359478B7" w14:textId="77777777" w:rsidR="00614438" w:rsidRPr="00614438" w:rsidRDefault="00614438" w:rsidP="00656BE7">
      <w:pPr>
        <w:spacing w:before="240"/>
        <w:jc w:val="both"/>
        <w:rPr>
          <w:rFonts w:ascii="Times New Roman" w:hAnsi="Times New Roman" w:cs="Times New Roman"/>
          <w:sz w:val="24"/>
          <w:szCs w:val="24"/>
          <w:lang w:val="en-GB"/>
        </w:rPr>
      </w:pPr>
      <w:bookmarkStart w:id="727" w:name="_Toc153545113"/>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20</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Share of RES in Heating [%]</w:t>
      </w:r>
      <w:bookmarkEnd w:id="727"/>
    </w:p>
    <w:tbl>
      <w:tblPr>
        <w:tblStyle w:val="TableGrid"/>
        <w:tblW w:w="9780" w:type="dxa"/>
        <w:tblLayout w:type="fixed"/>
        <w:tblLook w:val="04A0" w:firstRow="1" w:lastRow="0" w:firstColumn="1" w:lastColumn="0" w:noHBand="0" w:noVBand="1"/>
      </w:tblPr>
      <w:tblGrid>
        <w:gridCol w:w="1663"/>
        <w:gridCol w:w="738"/>
        <w:gridCol w:w="739"/>
        <w:gridCol w:w="738"/>
        <w:gridCol w:w="737"/>
        <w:gridCol w:w="738"/>
        <w:gridCol w:w="738"/>
        <w:gridCol w:w="738"/>
        <w:gridCol w:w="737"/>
        <w:gridCol w:w="738"/>
        <w:gridCol w:w="738"/>
        <w:gridCol w:w="738"/>
      </w:tblGrid>
      <w:tr w:rsidR="00614438" w:rsidRPr="00656BE7" w14:paraId="53ADE451"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1BE7D9E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Share of RES in Heating [%]</w:t>
            </w:r>
          </w:p>
        </w:tc>
        <w:tc>
          <w:tcPr>
            <w:tcW w:w="737"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89F291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CF83DB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A64273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737"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F422AF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876734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3327F0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3402DE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737"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02CA74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C1AB59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7B48D4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49C1A6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r>
      <w:tr w:rsidR="00614438" w:rsidRPr="00656BE7" w14:paraId="0CA39918"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511CDDC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WEM</w:t>
            </w:r>
          </w:p>
        </w:tc>
        <w:tc>
          <w:tcPr>
            <w:tcW w:w="737" w:type="dxa"/>
            <w:tcBorders>
              <w:top w:val="single" w:sz="4" w:space="0" w:color="auto"/>
              <w:left w:val="single" w:sz="4" w:space="0" w:color="auto"/>
              <w:bottom w:val="single" w:sz="4" w:space="0" w:color="auto"/>
              <w:right w:val="single" w:sz="4" w:space="0" w:color="auto"/>
            </w:tcBorders>
            <w:noWrap/>
            <w:hideMark/>
          </w:tcPr>
          <w:p w14:paraId="5B74F9C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35.7%</w:t>
            </w:r>
          </w:p>
        </w:tc>
        <w:tc>
          <w:tcPr>
            <w:tcW w:w="738" w:type="dxa"/>
            <w:tcBorders>
              <w:top w:val="single" w:sz="4" w:space="0" w:color="auto"/>
              <w:left w:val="single" w:sz="4" w:space="0" w:color="auto"/>
              <w:bottom w:val="single" w:sz="4" w:space="0" w:color="auto"/>
              <w:right w:val="single" w:sz="4" w:space="0" w:color="auto"/>
            </w:tcBorders>
            <w:noWrap/>
            <w:hideMark/>
          </w:tcPr>
          <w:p w14:paraId="319F230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42.9%</w:t>
            </w:r>
          </w:p>
        </w:tc>
        <w:tc>
          <w:tcPr>
            <w:tcW w:w="738" w:type="dxa"/>
            <w:tcBorders>
              <w:top w:val="single" w:sz="4" w:space="0" w:color="auto"/>
              <w:left w:val="single" w:sz="4" w:space="0" w:color="auto"/>
              <w:bottom w:val="single" w:sz="4" w:space="0" w:color="auto"/>
              <w:right w:val="single" w:sz="4" w:space="0" w:color="auto"/>
            </w:tcBorders>
            <w:noWrap/>
            <w:hideMark/>
          </w:tcPr>
          <w:p w14:paraId="410EC3C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42.3%</w:t>
            </w:r>
          </w:p>
        </w:tc>
        <w:tc>
          <w:tcPr>
            <w:tcW w:w="737" w:type="dxa"/>
            <w:tcBorders>
              <w:top w:val="single" w:sz="4" w:space="0" w:color="auto"/>
              <w:left w:val="single" w:sz="4" w:space="0" w:color="auto"/>
              <w:bottom w:val="single" w:sz="4" w:space="0" w:color="auto"/>
              <w:right w:val="single" w:sz="4" w:space="0" w:color="auto"/>
            </w:tcBorders>
            <w:noWrap/>
            <w:hideMark/>
          </w:tcPr>
          <w:p w14:paraId="6E7A01D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41.3%</w:t>
            </w:r>
          </w:p>
        </w:tc>
        <w:tc>
          <w:tcPr>
            <w:tcW w:w="738" w:type="dxa"/>
            <w:tcBorders>
              <w:top w:val="single" w:sz="4" w:space="0" w:color="auto"/>
              <w:left w:val="single" w:sz="4" w:space="0" w:color="auto"/>
              <w:bottom w:val="single" w:sz="4" w:space="0" w:color="auto"/>
              <w:right w:val="single" w:sz="4" w:space="0" w:color="auto"/>
            </w:tcBorders>
            <w:noWrap/>
            <w:hideMark/>
          </w:tcPr>
          <w:p w14:paraId="59A5465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40.7%</w:t>
            </w:r>
          </w:p>
        </w:tc>
        <w:tc>
          <w:tcPr>
            <w:tcW w:w="738" w:type="dxa"/>
            <w:tcBorders>
              <w:top w:val="single" w:sz="4" w:space="0" w:color="auto"/>
              <w:left w:val="single" w:sz="4" w:space="0" w:color="auto"/>
              <w:bottom w:val="single" w:sz="4" w:space="0" w:color="auto"/>
              <w:right w:val="single" w:sz="4" w:space="0" w:color="auto"/>
            </w:tcBorders>
            <w:noWrap/>
            <w:hideMark/>
          </w:tcPr>
          <w:p w14:paraId="348811C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39.6%</w:t>
            </w:r>
          </w:p>
        </w:tc>
        <w:tc>
          <w:tcPr>
            <w:tcW w:w="738" w:type="dxa"/>
            <w:tcBorders>
              <w:top w:val="single" w:sz="4" w:space="0" w:color="auto"/>
              <w:left w:val="single" w:sz="4" w:space="0" w:color="auto"/>
              <w:bottom w:val="single" w:sz="4" w:space="0" w:color="auto"/>
              <w:right w:val="single" w:sz="4" w:space="0" w:color="auto"/>
            </w:tcBorders>
            <w:noWrap/>
            <w:hideMark/>
          </w:tcPr>
          <w:p w14:paraId="631E020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38.9%</w:t>
            </w:r>
          </w:p>
        </w:tc>
        <w:tc>
          <w:tcPr>
            <w:tcW w:w="737" w:type="dxa"/>
            <w:tcBorders>
              <w:top w:val="single" w:sz="4" w:space="0" w:color="auto"/>
              <w:left w:val="single" w:sz="4" w:space="0" w:color="auto"/>
              <w:bottom w:val="single" w:sz="4" w:space="0" w:color="auto"/>
              <w:right w:val="single" w:sz="4" w:space="0" w:color="auto"/>
            </w:tcBorders>
            <w:noWrap/>
            <w:hideMark/>
          </w:tcPr>
          <w:p w14:paraId="1140125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37.0%</w:t>
            </w:r>
          </w:p>
        </w:tc>
        <w:tc>
          <w:tcPr>
            <w:tcW w:w="738" w:type="dxa"/>
            <w:tcBorders>
              <w:top w:val="single" w:sz="4" w:space="0" w:color="auto"/>
              <w:left w:val="single" w:sz="4" w:space="0" w:color="auto"/>
              <w:bottom w:val="single" w:sz="4" w:space="0" w:color="auto"/>
              <w:right w:val="single" w:sz="4" w:space="0" w:color="auto"/>
            </w:tcBorders>
            <w:noWrap/>
            <w:hideMark/>
          </w:tcPr>
          <w:p w14:paraId="620B967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33.4%</w:t>
            </w:r>
          </w:p>
        </w:tc>
        <w:tc>
          <w:tcPr>
            <w:tcW w:w="738" w:type="dxa"/>
            <w:tcBorders>
              <w:top w:val="single" w:sz="4" w:space="0" w:color="auto"/>
              <w:left w:val="single" w:sz="4" w:space="0" w:color="auto"/>
              <w:bottom w:val="single" w:sz="4" w:space="0" w:color="auto"/>
              <w:right w:val="single" w:sz="4" w:space="0" w:color="auto"/>
            </w:tcBorders>
            <w:noWrap/>
            <w:hideMark/>
          </w:tcPr>
          <w:p w14:paraId="7198931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32.3%</w:t>
            </w:r>
          </w:p>
        </w:tc>
        <w:tc>
          <w:tcPr>
            <w:tcW w:w="738" w:type="dxa"/>
            <w:tcBorders>
              <w:top w:val="single" w:sz="4" w:space="0" w:color="auto"/>
              <w:left w:val="single" w:sz="4" w:space="0" w:color="auto"/>
              <w:bottom w:val="single" w:sz="4" w:space="0" w:color="auto"/>
              <w:right w:val="single" w:sz="4" w:space="0" w:color="auto"/>
            </w:tcBorders>
            <w:noWrap/>
            <w:hideMark/>
          </w:tcPr>
          <w:p w14:paraId="0550ED1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31.3%</w:t>
            </w:r>
          </w:p>
        </w:tc>
      </w:tr>
      <w:tr w:rsidR="00614438" w:rsidRPr="00656BE7" w14:paraId="3FBB2CF3"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7B34E11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w:t>
            </w:r>
          </w:p>
        </w:tc>
        <w:tc>
          <w:tcPr>
            <w:tcW w:w="737" w:type="dxa"/>
            <w:tcBorders>
              <w:top w:val="single" w:sz="4" w:space="0" w:color="auto"/>
              <w:left w:val="single" w:sz="4" w:space="0" w:color="auto"/>
              <w:bottom w:val="single" w:sz="4" w:space="0" w:color="auto"/>
              <w:right w:val="single" w:sz="4" w:space="0" w:color="auto"/>
            </w:tcBorders>
            <w:noWrap/>
            <w:hideMark/>
          </w:tcPr>
          <w:p w14:paraId="36AD2CF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35.7%</w:t>
            </w:r>
          </w:p>
        </w:tc>
        <w:tc>
          <w:tcPr>
            <w:tcW w:w="738" w:type="dxa"/>
            <w:tcBorders>
              <w:top w:val="single" w:sz="4" w:space="0" w:color="auto"/>
              <w:left w:val="single" w:sz="4" w:space="0" w:color="auto"/>
              <w:bottom w:val="single" w:sz="4" w:space="0" w:color="auto"/>
              <w:right w:val="single" w:sz="4" w:space="0" w:color="auto"/>
            </w:tcBorders>
            <w:noWrap/>
            <w:hideMark/>
          </w:tcPr>
          <w:p w14:paraId="2CA2DD5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41.1%</w:t>
            </w:r>
          </w:p>
        </w:tc>
        <w:tc>
          <w:tcPr>
            <w:tcW w:w="738" w:type="dxa"/>
            <w:tcBorders>
              <w:top w:val="single" w:sz="4" w:space="0" w:color="auto"/>
              <w:left w:val="single" w:sz="4" w:space="0" w:color="auto"/>
              <w:bottom w:val="single" w:sz="4" w:space="0" w:color="auto"/>
              <w:right w:val="single" w:sz="4" w:space="0" w:color="auto"/>
            </w:tcBorders>
            <w:noWrap/>
            <w:hideMark/>
          </w:tcPr>
          <w:p w14:paraId="7F11413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41.5%</w:t>
            </w:r>
          </w:p>
        </w:tc>
        <w:tc>
          <w:tcPr>
            <w:tcW w:w="737" w:type="dxa"/>
            <w:tcBorders>
              <w:top w:val="single" w:sz="4" w:space="0" w:color="auto"/>
              <w:left w:val="single" w:sz="4" w:space="0" w:color="auto"/>
              <w:bottom w:val="single" w:sz="4" w:space="0" w:color="auto"/>
              <w:right w:val="single" w:sz="4" w:space="0" w:color="auto"/>
            </w:tcBorders>
            <w:noWrap/>
            <w:hideMark/>
          </w:tcPr>
          <w:p w14:paraId="5400D90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41.2%</w:t>
            </w:r>
          </w:p>
        </w:tc>
        <w:tc>
          <w:tcPr>
            <w:tcW w:w="738" w:type="dxa"/>
            <w:tcBorders>
              <w:top w:val="single" w:sz="4" w:space="0" w:color="auto"/>
              <w:left w:val="single" w:sz="4" w:space="0" w:color="auto"/>
              <w:bottom w:val="single" w:sz="4" w:space="0" w:color="auto"/>
              <w:right w:val="single" w:sz="4" w:space="0" w:color="auto"/>
            </w:tcBorders>
            <w:noWrap/>
            <w:hideMark/>
          </w:tcPr>
          <w:p w14:paraId="3F9335A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41.1%</w:t>
            </w:r>
          </w:p>
        </w:tc>
        <w:tc>
          <w:tcPr>
            <w:tcW w:w="738" w:type="dxa"/>
            <w:tcBorders>
              <w:top w:val="single" w:sz="4" w:space="0" w:color="auto"/>
              <w:left w:val="single" w:sz="4" w:space="0" w:color="auto"/>
              <w:bottom w:val="single" w:sz="4" w:space="0" w:color="auto"/>
              <w:right w:val="single" w:sz="4" w:space="0" w:color="auto"/>
            </w:tcBorders>
            <w:noWrap/>
            <w:hideMark/>
          </w:tcPr>
          <w:p w14:paraId="0D7E9D3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41.0%</w:t>
            </w:r>
          </w:p>
        </w:tc>
        <w:tc>
          <w:tcPr>
            <w:tcW w:w="738" w:type="dxa"/>
            <w:tcBorders>
              <w:top w:val="single" w:sz="4" w:space="0" w:color="auto"/>
              <w:left w:val="single" w:sz="4" w:space="0" w:color="auto"/>
              <w:bottom w:val="single" w:sz="4" w:space="0" w:color="auto"/>
              <w:right w:val="single" w:sz="4" w:space="0" w:color="auto"/>
            </w:tcBorders>
            <w:noWrap/>
            <w:hideMark/>
          </w:tcPr>
          <w:p w14:paraId="4D62146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41.4%</w:t>
            </w:r>
          </w:p>
        </w:tc>
        <w:tc>
          <w:tcPr>
            <w:tcW w:w="737" w:type="dxa"/>
            <w:tcBorders>
              <w:top w:val="single" w:sz="4" w:space="0" w:color="auto"/>
              <w:left w:val="single" w:sz="4" w:space="0" w:color="auto"/>
              <w:bottom w:val="single" w:sz="4" w:space="0" w:color="auto"/>
              <w:right w:val="single" w:sz="4" w:space="0" w:color="auto"/>
            </w:tcBorders>
            <w:noWrap/>
            <w:hideMark/>
          </w:tcPr>
          <w:p w14:paraId="46B4BF6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44.0%</w:t>
            </w:r>
          </w:p>
        </w:tc>
        <w:tc>
          <w:tcPr>
            <w:tcW w:w="738" w:type="dxa"/>
            <w:tcBorders>
              <w:top w:val="single" w:sz="4" w:space="0" w:color="auto"/>
              <w:left w:val="single" w:sz="4" w:space="0" w:color="auto"/>
              <w:bottom w:val="single" w:sz="4" w:space="0" w:color="auto"/>
              <w:right w:val="single" w:sz="4" w:space="0" w:color="auto"/>
            </w:tcBorders>
            <w:noWrap/>
            <w:hideMark/>
          </w:tcPr>
          <w:p w14:paraId="1F20B1E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44.2%</w:t>
            </w:r>
          </w:p>
        </w:tc>
        <w:tc>
          <w:tcPr>
            <w:tcW w:w="738" w:type="dxa"/>
            <w:tcBorders>
              <w:top w:val="single" w:sz="4" w:space="0" w:color="auto"/>
              <w:left w:val="single" w:sz="4" w:space="0" w:color="auto"/>
              <w:bottom w:val="single" w:sz="4" w:space="0" w:color="auto"/>
              <w:right w:val="single" w:sz="4" w:space="0" w:color="auto"/>
            </w:tcBorders>
            <w:noWrap/>
            <w:hideMark/>
          </w:tcPr>
          <w:p w14:paraId="4455EE0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41.1%</w:t>
            </w:r>
          </w:p>
        </w:tc>
        <w:tc>
          <w:tcPr>
            <w:tcW w:w="738" w:type="dxa"/>
            <w:tcBorders>
              <w:top w:val="single" w:sz="4" w:space="0" w:color="auto"/>
              <w:left w:val="single" w:sz="4" w:space="0" w:color="auto"/>
              <w:bottom w:val="single" w:sz="4" w:space="0" w:color="auto"/>
              <w:right w:val="single" w:sz="4" w:space="0" w:color="auto"/>
            </w:tcBorders>
            <w:noWrap/>
            <w:hideMark/>
          </w:tcPr>
          <w:p w14:paraId="2F99F0E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39.1%</w:t>
            </w:r>
          </w:p>
        </w:tc>
      </w:tr>
      <w:tr w:rsidR="00614438" w:rsidRPr="00656BE7" w14:paraId="609481F8"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0AB8431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Scenario-S-N</w:t>
            </w:r>
          </w:p>
        </w:tc>
        <w:tc>
          <w:tcPr>
            <w:tcW w:w="737" w:type="dxa"/>
            <w:tcBorders>
              <w:top w:val="single" w:sz="4" w:space="0" w:color="auto"/>
              <w:left w:val="single" w:sz="4" w:space="0" w:color="auto"/>
              <w:bottom w:val="single" w:sz="4" w:space="0" w:color="auto"/>
              <w:right w:val="single" w:sz="4" w:space="0" w:color="auto"/>
            </w:tcBorders>
            <w:noWrap/>
            <w:hideMark/>
          </w:tcPr>
          <w:p w14:paraId="59F38B6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35.7%</w:t>
            </w:r>
          </w:p>
        </w:tc>
        <w:tc>
          <w:tcPr>
            <w:tcW w:w="738" w:type="dxa"/>
            <w:tcBorders>
              <w:top w:val="single" w:sz="4" w:space="0" w:color="auto"/>
              <w:left w:val="single" w:sz="4" w:space="0" w:color="auto"/>
              <w:bottom w:val="single" w:sz="4" w:space="0" w:color="auto"/>
              <w:right w:val="single" w:sz="4" w:space="0" w:color="auto"/>
            </w:tcBorders>
            <w:noWrap/>
            <w:hideMark/>
          </w:tcPr>
          <w:p w14:paraId="6F37960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41.1%</w:t>
            </w:r>
          </w:p>
        </w:tc>
        <w:tc>
          <w:tcPr>
            <w:tcW w:w="738" w:type="dxa"/>
            <w:tcBorders>
              <w:top w:val="single" w:sz="4" w:space="0" w:color="auto"/>
              <w:left w:val="single" w:sz="4" w:space="0" w:color="auto"/>
              <w:bottom w:val="single" w:sz="4" w:space="0" w:color="auto"/>
              <w:right w:val="single" w:sz="4" w:space="0" w:color="auto"/>
            </w:tcBorders>
            <w:noWrap/>
            <w:hideMark/>
          </w:tcPr>
          <w:p w14:paraId="4284744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41.5%</w:t>
            </w:r>
          </w:p>
        </w:tc>
        <w:tc>
          <w:tcPr>
            <w:tcW w:w="737" w:type="dxa"/>
            <w:tcBorders>
              <w:top w:val="single" w:sz="4" w:space="0" w:color="auto"/>
              <w:left w:val="single" w:sz="4" w:space="0" w:color="auto"/>
              <w:bottom w:val="single" w:sz="4" w:space="0" w:color="auto"/>
              <w:right w:val="single" w:sz="4" w:space="0" w:color="auto"/>
            </w:tcBorders>
            <w:noWrap/>
            <w:hideMark/>
          </w:tcPr>
          <w:p w14:paraId="6E6E5FF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41.2%</w:t>
            </w:r>
          </w:p>
        </w:tc>
        <w:tc>
          <w:tcPr>
            <w:tcW w:w="738" w:type="dxa"/>
            <w:tcBorders>
              <w:top w:val="single" w:sz="4" w:space="0" w:color="auto"/>
              <w:left w:val="single" w:sz="4" w:space="0" w:color="auto"/>
              <w:bottom w:val="single" w:sz="4" w:space="0" w:color="auto"/>
              <w:right w:val="single" w:sz="4" w:space="0" w:color="auto"/>
            </w:tcBorders>
            <w:noWrap/>
            <w:hideMark/>
          </w:tcPr>
          <w:p w14:paraId="1B63CD0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41.1%</w:t>
            </w:r>
          </w:p>
        </w:tc>
        <w:tc>
          <w:tcPr>
            <w:tcW w:w="738" w:type="dxa"/>
            <w:tcBorders>
              <w:top w:val="single" w:sz="4" w:space="0" w:color="auto"/>
              <w:left w:val="single" w:sz="4" w:space="0" w:color="auto"/>
              <w:bottom w:val="single" w:sz="4" w:space="0" w:color="auto"/>
              <w:right w:val="single" w:sz="4" w:space="0" w:color="auto"/>
            </w:tcBorders>
            <w:noWrap/>
            <w:hideMark/>
          </w:tcPr>
          <w:p w14:paraId="5EBDB18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41.0%</w:t>
            </w:r>
          </w:p>
        </w:tc>
        <w:tc>
          <w:tcPr>
            <w:tcW w:w="738" w:type="dxa"/>
            <w:tcBorders>
              <w:top w:val="single" w:sz="4" w:space="0" w:color="auto"/>
              <w:left w:val="single" w:sz="4" w:space="0" w:color="auto"/>
              <w:bottom w:val="single" w:sz="4" w:space="0" w:color="auto"/>
              <w:right w:val="single" w:sz="4" w:space="0" w:color="auto"/>
            </w:tcBorders>
            <w:noWrap/>
            <w:hideMark/>
          </w:tcPr>
          <w:p w14:paraId="2E4F768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41.4%</w:t>
            </w:r>
          </w:p>
        </w:tc>
        <w:tc>
          <w:tcPr>
            <w:tcW w:w="737" w:type="dxa"/>
            <w:tcBorders>
              <w:top w:val="single" w:sz="4" w:space="0" w:color="auto"/>
              <w:left w:val="single" w:sz="4" w:space="0" w:color="auto"/>
              <w:bottom w:val="single" w:sz="4" w:space="0" w:color="auto"/>
              <w:right w:val="single" w:sz="4" w:space="0" w:color="auto"/>
            </w:tcBorders>
            <w:noWrap/>
            <w:hideMark/>
          </w:tcPr>
          <w:p w14:paraId="398322F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44.1%</w:t>
            </w:r>
          </w:p>
        </w:tc>
        <w:tc>
          <w:tcPr>
            <w:tcW w:w="738" w:type="dxa"/>
            <w:tcBorders>
              <w:top w:val="single" w:sz="4" w:space="0" w:color="auto"/>
              <w:left w:val="single" w:sz="4" w:space="0" w:color="auto"/>
              <w:bottom w:val="single" w:sz="4" w:space="0" w:color="auto"/>
              <w:right w:val="single" w:sz="4" w:space="0" w:color="auto"/>
            </w:tcBorders>
            <w:noWrap/>
            <w:hideMark/>
          </w:tcPr>
          <w:p w14:paraId="76E206B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44.4%</w:t>
            </w:r>
          </w:p>
        </w:tc>
        <w:tc>
          <w:tcPr>
            <w:tcW w:w="738" w:type="dxa"/>
            <w:tcBorders>
              <w:top w:val="single" w:sz="4" w:space="0" w:color="auto"/>
              <w:left w:val="single" w:sz="4" w:space="0" w:color="auto"/>
              <w:bottom w:val="single" w:sz="4" w:space="0" w:color="auto"/>
              <w:right w:val="single" w:sz="4" w:space="0" w:color="auto"/>
            </w:tcBorders>
            <w:noWrap/>
            <w:hideMark/>
          </w:tcPr>
          <w:p w14:paraId="5829A82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40.6%</w:t>
            </w:r>
          </w:p>
        </w:tc>
        <w:tc>
          <w:tcPr>
            <w:tcW w:w="738" w:type="dxa"/>
            <w:tcBorders>
              <w:top w:val="single" w:sz="4" w:space="0" w:color="auto"/>
              <w:left w:val="single" w:sz="4" w:space="0" w:color="auto"/>
              <w:bottom w:val="single" w:sz="4" w:space="0" w:color="auto"/>
              <w:right w:val="single" w:sz="4" w:space="0" w:color="auto"/>
            </w:tcBorders>
            <w:noWrap/>
            <w:hideMark/>
          </w:tcPr>
          <w:p w14:paraId="5123AC4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39.1%</w:t>
            </w:r>
          </w:p>
        </w:tc>
      </w:tr>
    </w:tbl>
    <w:p w14:paraId="3C4AFC0F" w14:textId="77777777" w:rsidR="00614438" w:rsidRPr="00614438" w:rsidRDefault="00614438" w:rsidP="00656BE7">
      <w:pPr>
        <w:spacing w:before="240"/>
        <w:jc w:val="both"/>
        <w:rPr>
          <w:rFonts w:ascii="Times New Roman" w:hAnsi="Times New Roman" w:cs="Times New Roman"/>
          <w:sz w:val="24"/>
          <w:szCs w:val="24"/>
          <w:lang w:val="en-GB"/>
        </w:rPr>
      </w:pPr>
      <w:bookmarkStart w:id="728" w:name="_Toc153545114"/>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21</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Installed Capacity of Wind Power Plants [GW]</w:t>
      </w:r>
      <w:bookmarkEnd w:id="728"/>
    </w:p>
    <w:tbl>
      <w:tblPr>
        <w:tblStyle w:val="TableGrid"/>
        <w:tblW w:w="9780" w:type="dxa"/>
        <w:tblLayout w:type="fixed"/>
        <w:tblLook w:val="04A0" w:firstRow="1" w:lastRow="0" w:firstColumn="1" w:lastColumn="0" w:noHBand="0" w:noVBand="1"/>
      </w:tblPr>
      <w:tblGrid>
        <w:gridCol w:w="1663"/>
        <w:gridCol w:w="738"/>
        <w:gridCol w:w="739"/>
        <w:gridCol w:w="738"/>
        <w:gridCol w:w="737"/>
        <w:gridCol w:w="738"/>
        <w:gridCol w:w="738"/>
        <w:gridCol w:w="738"/>
        <w:gridCol w:w="737"/>
        <w:gridCol w:w="738"/>
        <w:gridCol w:w="738"/>
        <w:gridCol w:w="738"/>
      </w:tblGrid>
      <w:tr w:rsidR="00614438" w:rsidRPr="00656BE7" w14:paraId="4CA8B31B"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23B493A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Installed Capacity of Wind PP [GW]</w:t>
            </w:r>
          </w:p>
        </w:tc>
        <w:tc>
          <w:tcPr>
            <w:tcW w:w="737"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19257F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644C1A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6C6A66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737"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DEA526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167E78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A28E82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E5FD58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737"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D90357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060461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86D9FC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738"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0962F7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r>
      <w:tr w:rsidR="00614438" w:rsidRPr="00656BE7" w14:paraId="5F708AED"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7EEBE24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lastRenderedPageBreak/>
              <w:t>WEM</w:t>
            </w:r>
          </w:p>
        </w:tc>
        <w:tc>
          <w:tcPr>
            <w:tcW w:w="737" w:type="dxa"/>
            <w:tcBorders>
              <w:top w:val="single" w:sz="4" w:space="0" w:color="auto"/>
              <w:left w:val="single" w:sz="4" w:space="0" w:color="auto"/>
              <w:bottom w:val="single" w:sz="4" w:space="0" w:color="auto"/>
              <w:right w:val="single" w:sz="4" w:space="0" w:color="auto"/>
            </w:tcBorders>
            <w:noWrap/>
            <w:hideMark/>
          </w:tcPr>
          <w:p w14:paraId="3A55BFD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0.407</w:t>
            </w:r>
          </w:p>
        </w:tc>
        <w:tc>
          <w:tcPr>
            <w:tcW w:w="738" w:type="dxa"/>
            <w:tcBorders>
              <w:top w:val="single" w:sz="4" w:space="0" w:color="auto"/>
              <w:left w:val="single" w:sz="4" w:space="0" w:color="auto"/>
              <w:bottom w:val="single" w:sz="4" w:space="0" w:color="auto"/>
              <w:right w:val="single" w:sz="4" w:space="0" w:color="auto"/>
            </w:tcBorders>
            <w:noWrap/>
            <w:hideMark/>
          </w:tcPr>
          <w:p w14:paraId="06ACD44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0.745</w:t>
            </w:r>
          </w:p>
        </w:tc>
        <w:tc>
          <w:tcPr>
            <w:tcW w:w="738" w:type="dxa"/>
            <w:tcBorders>
              <w:top w:val="single" w:sz="4" w:space="0" w:color="auto"/>
              <w:left w:val="single" w:sz="4" w:space="0" w:color="auto"/>
              <w:bottom w:val="single" w:sz="4" w:space="0" w:color="auto"/>
              <w:right w:val="single" w:sz="4" w:space="0" w:color="auto"/>
            </w:tcBorders>
            <w:noWrap/>
            <w:hideMark/>
          </w:tcPr>
          <w:p w14:paraId="2F594ED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0.745</w:t>
            </w:r>
          </w:p>
        </w:tc>
        <w:tc>
          <w:tcPr>
            <w:tcW w:w="737" w:type="dxa"/>
            <w:tcBorders>
              <w:top w:val="single" w:sz="4" w:space="0" w:color="auto"/>
              <w:left w:val="single" w:sz="4" w:space="0" w:color="auto"/>
              <w:bottom w:val="single" w:sz="4" w:space="0" w:color="auto"/>
              <w:right w:val="single" w:sz="4" w:space="0" w:color="auto"/>
            </w:tcBorders>
            <w:noWrap/>
            <w:hideMark/>
          </w:tcPr>
          <w:p w14:paraId="1033334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0.745</w:t>
            </w:r>
          </w:p>
        </w:tc>
        <w:tc>
          <w:tcPr>
            <w:tcW w:w="738" w:type="dxa"/>
            <w:tcBorders>
              <w:top w:val="single" w:sz="4" w:space="0" w:color="auto"/>
              <w:left w:val="single" w:sz="4" w:space="0" w:color="auto"/>
              <w:bottom w:val="single" w:sz="4" w:space="0" w:color="auto"/>
              <w:right w:val="single" w:sz="4" w:space="0" w:color="auto"/>
            </w:tcBorders>
            <w:noWrap/>
            <w:hideMark/>
          </w:tcPr>
          <w:p w14:paraId="1743E19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0.745</w:t>
            </w:r>
          </w:p>
        </w:tc>
        <w:tc>
          <w:tcPr>
            <w:tcW w:w="738" w:type="dxa"/>
            <w:tcBorders>
              <w:top w:val="single" w:sz="4" w:space="0" w:color="auto"/>
              <w:left w:val="single" w:sz="4" w:space="0" w:color="auto"/>
              <w:bottom w:val="single" w:sz="4" w:space="0" w:color="auto"/>
              <w:right w:val="single" w:sz="4" w:space="0" w:color="auto"/>
            </w:tcBorders>
            <w:noWrap/>
            <w:hideMark/>
          </w:tcPr>
          <w:p w14:paraId="22326F2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0.745</w:t>
            </w:r>
          </w:p>
        </w:tc>
        <w:tc>
          <w:tcPr>
            <w:tcW w:w="738" w:type="dxa"/>
            <w:tcBorders>
              <w:top w:val="single" w:sz="4" w:space="0" w:color="auto"/>
              <w:left w:val="single" w:sz="4" w:space="0" w:color="auto"/>
              <w:bottom w:val="single" w:sz="4" w:space="0" w:color="auto"/>
              <w:right w:val="single" w:sz="4" w:space="0" w:color="auto"/>
            </w:tcBorders>
            <w:noWrap/>
            <w:hideMark/>
          </w:tcPr>
          <w:p w14:paraId="03DE99A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0.745</w:t>
            </w:r>
          </w:p>
        </w:tc>
        <w:tc>
          <w:tcPr>
            <w:tcW w:w="737" w:type="dxa"/>
            <w:tcBorders>
              <w:top w:val="single" w:sz="4" w:space="0" w:color="auto"/>
              <w:left w:val="single" w:sz="4" w:space="0" w:color="auto"/>
              <w:bottom w:val="single" w:sz="4" w:space="0" w:color="auto"/>
              <w:right w:val="single" w:sz="4" w:space="0" w:color="auto"/>
            </w:tcBorders>
            <w:noWrap/>
            <w:hideMark/>
          </w:tcPr>
          <w:p w14:paraId="0DB8C8B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0.745</w:t>
            </w:r>
          </w:p>
        </w:tc>
        <w:tc>
          <w:tcPr>
            <w:tcW w:w="738" w:type="dxa"/>
            <w:tcBorders>
              <w:top w:val="single" w:sz="4" w:space="0" w:color="auto"/>
              <w:left w:val="single" w:sz="4" w:space="0" w:color="auto"/>
              <w:bottom w:val="single" w:sz="4" w:space="0" w:color="auto"/>
              <w:right w:val="single" w:sz="4" w:space="0" w:color="auto"/>
            </w:tcBorders>
            <w:noWrap/>
            <w:hideMark/>
          </w:tcPr>
          <w:p w14:paraId="04F9382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0.745</w:t>
            </w:r>
          </w:p>
        </w:tc>
        <w:tc>
          <w:tcPr>
            <w:tcW w:w="738" w:type="dxa"/>
            <w:tcBorders>
              <w:top w:val="single" w:sz="4" w:space="0" w:color="auto"/>
              <w:left w:val="single" w:sz="4" w:space="0" w:color="auto"/>
              <w:bottom w:val="single" w:sz="4" w:space="0" w:color="auto"/>
              <w:right w:val="single" w:sz="4" w:space="0" w:color="auto"/>
            </w:tcBorders>
            <w:noWrap/>
            <w:hideMark/>
          </w:tcPr>
          <w:p w14:paraId="67EAF21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0.745</w:t>
            </w:r>
          </w:p>
        </w:tc>
        <w:tc>
          <w:tcPr>
            <w:tcW w:w="738" w:type="dxa"/>
            <w:tcBorders>
              <w:top w:val="single" w:sz="4" w:space="0" w:color="auto"/>
              <w:left w:val="single" w:sz="4" w:space="0" w:color="auto"/>
              <w:bottom w:val="single" w:sz="4" w:space="0" w:color="auto"/>
              <w:right w:val="single" w:sz="4" w:space="0" w:color="auto"/>
            </w:tcBorders>
            <w:noWrap/>
            <w:hideMark/>
          </w:tcPr>
          <w:p w14:paraId="3B55A38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1.659</w:t>
            </w:r>
          </w:p>
        </w:tc>
      </w:tr>
      <w:tr w:rsidR="00614438" w:rsidRPr="00656BE7" w14:paraId="78BA0016"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7B8E881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w:t>
            </w:r>
          </w:p>
        </w:tc>
        <w:tc>
          <w:tcPr>
            <w:tcW w:w="737" w:type="dxa"/>
            <w:tcBorders>
              <w:top w:val="single" w:sz="4" w:space="0" w:color="auto"/>
              <w:left w:val="single" w:sz="4" w:space="0" w:color="auto"/>
              <w:bottom w:val="single" w:sz="4" w:space="0" w:color="auto"/>
              <w:right w:val="single" w:sz="4" w:space="0" w:color="auto"/>
            </w:tcBorders>
            <w:noWrap/>
            <w:hideMark/>
          </w:tcPr>
          <w:p w14:paraId="26083DC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0.407</w:t>
            </w:r>
          </w:p>
        </w:tc>
        <w:tc>
          <w:tcPr>
            <w:tcW w:w="738" w:type="dxa"/>
            <w:tcBorders>
              <w:top w:val="single" w:sz="4" w:space="0" w:color="auto"/>
              <w:left w:val="single" w:sz="4" w:space="0" w:color="auto"/>
              <w:bottom w:val="single" w:sz="4" w:space="0" w:color="auto"/>
              <w:right w:val="single" w:sz="4" w:space="0" w:color="auto"/>
            </w:tcBorders>
            <w:noWrap/>
            <w:hideMark/>
          </w:tcPr>
          <w:p w14:paraId="2536467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0.895</w:t>
            </w:r>
          </w:p>
        </w:tc>
        <w:tc>
          <w:tcPr>
            <w:tcW w:w="738" w:type="dxa"/>
            <w:tcBorders>
              <w:top w:val="single" w:sz="4" w:space="0" w:color="auto"/>
              <w:left w:val="single" w:sz="4" w:space="0" w:color="auto"/>
              <w:bottom w:val="single" w:sz="4" w:space="0" w:color="auto"/>
              <w:right w:val="single" w:sz="4" w:space="0" w:color="auto"/>
            </w:tcBorders>
            <w:noWrap/>
            <w:hideMark/>
          </w:tcPr>
          <w:p w14:paraId="2E3A414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1.045</w:t>
            </w:r>
          </w:p>
        </w:tc>
        <w:tc>
          <w:tcPr>
            <w:tcW w:w="737" w:type="dxa"/>
            <w:tcBorders>
              <w:top w:val="single" w:sz="4" w:space="0" w:color="auto"/>
              <w:left w:val="single" w:sz="4" w:space="0" w:color="auto"/>
              <w:bottom w:val="single" w:sz="4" w:space="0" w:color="auto"/>
              <w:right w:val="single" w:sz="4" w:space="0" w:color="auto"/>
            </w:tcBorders>
            <w:noWrap/>
            <w:hideMark/>
          </w:tcPr>
          <w:p w14:paraId="0BE66EC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1.208</w:t>
            </w:r>
          </w:p>
        </w:tc>
        <w:tc>
          <w:tcPr>
            <w:tcW w:w="738" w:type="dxa"/>
            <w:tcBorders>
              <w:top w:val="single" w:sz="4" w:space="0" w:color="auto"/>
              <w:left w:val="single" w:sz="4" w:space="0" w:color="auto"/>
              <w:bottom w:val="single" w:sz="4" w:space="0" w:color="auto"/>
              <w:right w:val="single" w:sz="4" w:space="0" w:color="auto"/>
            </w:tcBorders>
            <w:noWrap/>
            <w:hideMark/>
          </w:tcPr>
          <w:p w14:paraId="2233733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1.383</w:t>
            </w:r>
          </w:p>
        </w:tc>
        <w:tc>
          <w:tcPr>
            <w:tcW w:w="738" w:type="dxa"/>
            <w:tcBorders>
              <w:top w:val="single" w:sz="4" w:space="0" w:color="auto"/>
              <w:left w:val="single" w:sz="4" w:space="0" w:color="auto"/>
              <w:bottom w:val="single" w:sz="4" w:space="0" w:color="auto"/>
              <w:right w:val="single" w:sz="4" w:space="0" w:color="auto"/>
            </w:tcBorders>
            <w:noWrap/>
            <w:hideMark/>
          </w:tcPr>
          <w:p w14:paraId="2AD72EE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1.570</w:t>
            </w:r>
          </w:p>
        </w:tc>
        <w:tc>
          <w:tcPr>
            <w:tcW w:w="738" w:type="dxa"/>
            <w:tcBorders>
              <w:top w:val="single" w:sz="4" w:space="0" w:color="auto"/>
              <w:left w:val="single" w:sz="4" w:space="0" w:color="auto"/>
              <w:bottom w:val="single" w:sz="4" w:space="0" w:color="auto"/>
              <w:right w:val="single" w:sz="4" w:space="0" w:color="auto"/>
            </w:tcBorders>
            <w:noWrap/>
            <w:hideMark/>
          </w:tcPr>
          <w:p w14:paraId="1C2E9F9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1.770</w:t>
            </w:r>
          </w:p>
        </w:tc>
        <w:tc>
          <w:tcPr>
            <w:tcW w:w="737" w:type="dxa"/>
            <w:tcBorders>
              <w:top w:val="single" w:sz="4" w:space="0" w:color="auto"/>
              <w:left w:val="single" w:sz="4" w:space="0" w:color="auto"/>
              <w:bottom w:val="single" w:sz="4" w:space="0" w:color="auto"/>
              <w:right w:val="single" w:sz="4" w:space="0" w:color="auto"/>
            </w:tcBorders>
            <w:noWrap/>
            <w:hideMark/>
          </w:tcPr>
          <w:p w14:paraId="43AE527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3.067</w:t>
            </w:r>
          </w:p>
        </w:tc>
        <w:tc>
          <w:tcPr>
            <w:tcW w:w="738" w:type="dxa"/>
            <w:tcBorders>
              <w:top w:val="single" w:sz="4" w:space="0" w:color="auto"/>
              <w:left w:val="single" w:sz="4" w:space="0" w:color="auto"/>
              <w:bottom w:val="single" w:sz="4" w:space="0" w:color="auto"/>
              <w:right w:val="single" w:sz="4" w:space="0" w:color="auto"/>
            </w:tcBorders>
            <w:noWrap/>
            <w:hideMark/>
          </w:tcPr>
          <w:p w14:paraId="119F099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3.117</w:t>
            </w:r>
          </w:p>
        </w:tc>
        <w:tc>
          <w:tcPr>
            <w:tcW w:w="738" w:type="dxa"/>
            <w:tcBorders>
              <w:top w:val="single" w:sz="4" w:space="0" w:color="auto"/>
              <w:left w:val="single" w:sz="4" w:space="0" w:color="auto"/>
              <w:bottom w:val="single" w:sz="4" w:space="0" w:color="auto"/>
              <w:right w:val="single" w:sz="4" w:space="0" w:color="auto"/>
            </w:tcBorders>
            <w:noWrap/>
            <w:hideMark/>
          </w:tcPr>
          <w:p w14:paraId="1D405FB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5.415</w:t>
            </w:r>
          </w:p>
        </w:tc>
        <w:tc>
          <w:tcPr>
            <w:tcW w:w="738" w:type="dxa"/>
            <w:tcBorders>
              <w:top w:val="single" w:sz="4" w:space="0" w:color="auto"/>
              <w:left w:val="single" w:sz="4" w:space="0" w:color="auto"/>
              <w:bottom w:val="single" w:sz="4" w:space="0" w:color="auto"/>
              <w:right w:val="single" w:sz="4" w:space="0" w:color="auto"/>
            </w:tcBorders>
            <w:noWrap/>
            <w:hideMark/>
          </w:tcPr>
          <w:p w14:paraId="49A5CD1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7.969</w:t>
            </w:r>
          </w:p>
        </w:tc>
      </w:tr>
      <w:tr w:rsidR="00614438" w:rsidRPr="00656BE7" w14:paraId="1234813B" w14:textId="77777777" w:rsidTr="00614438">
        <w:trPr>
          <w:trHeight w:val="300"/>
        </w:trPr>
        <w:tc>
          <w:tcPr>
            <w:tcW w:w="166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12A23B3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Scenario-S-N</w:t>
            </w:r>
          </w:p>
        </w:tc>
        <w:tc>
          <w:tcPr>
            <w:tcW w:w="737" w:type="dxa"/>
            <w:tcBorders>
              <w:top w:val="single" w:sz="4" w:space="0" w:color="auto"/>
              <w:left w:val="single" w:sz="4" w:space="0" w:color="auto"/>
              <w:bottom w:val="single" w:sz="4" w:space="0" w:color="auto"/>
              <w:right w:val="single" w:sz="4" w:space="0" w:color="auto"/>
            </w:tcBorders>
            <w:noWrap/>
            <w:hideMark/>
          </w:tcPr>
          <w:p w14:paraId="74C5693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0.407</w:t>
            </w:r>
          </w:p>
        </w:tc>
        <w:tc>
          <w:tcPr>
            <w:tcW w:w="738" w:type="dxa"/>
            <w:tcBorders>
              <w:top w:val="single" w:sz="4" w:space="0" w:color="auto"/>
              <w:left w:val="single" w:sz="4" w:space="0" w:color="auto"/>
              <w:bottom w:val="single" w:sz="4" w:space="0" w:color="auto"/>
              <w:right w:val="single" w:sz="4" w:space="0" w:color="auto"/>
            </w:tcBorders>
            <w:noWrap/>
            <w:hideMark/>
          </w:tcPr>
          <w:p w14:paraId="546164F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0.895</w:t>
            </w:r>
          </w:p>
        </w:tc>
        <w:tc>
          <w:tcPr>
            <w:tcW w:w="738" w:type="dxa"/>
            <w:tcBorders>
              <w:top w:val="single" w:sz="4" w:space="0" w:color="auto"/>
              <w:left w:val="single" w:sz="4" w:space="0" w:color="auto"/>
              <w:bottom w:val="single" w:sz="4" w:space="0" w:color="auto"/>
              <w:right w:val="single" w:sz="4" w:space="0" w:color="auto"/>
            </w:tcBorders>
            <w:noWrap/>
            <w:hideMark/>
          </w:tcPr>
          <w:p w14:paraId="376AAAB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1.045</w:t>
            </w:r>
          </w:p>
        </w:tc>
        <w:tc>
          <w:tcPr>
            <w:tcW w:w="737" w:type="dxa"/>
            <w:tcBorders>
              <w:top w:val="single" w:sz="4" w:space="0" w:color="auto"/>
              <w:left w:val="single" w:sz="4" w:space="0" w:color="auto"/>
              <w:bottom w:val="single" w:sz="4" w:space="0" w:color="auto"/>
              <w:right w:val="single" w:sz="4" w:space="0" w:color="auto"/>
            </w:tcBorders>
            <w:noWrap/>
            <w:hideMark/>
          </w:tcPr>
          <w:p w14:paraId="1223688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1.208</w:t>
            </w:r>
          </w:p>
        </w:tc>
        <w:tc>
          <w:tcPr>
            <w:tcW w:w="738" w:type="dxa"/>
            <w:tcBorders>
              <w:top w:val="single" w:sz="4" w:space="0" w:color="auto"/>
              <w:left w:val="single" w:sz="4" w:space="0" w:color="auto"/>
              <w:bottom w:val="single" w:sz="4" w:space="0" w:color="auto"/>
              <w:right w:val="single" w:sz="4" w:space="0" w:color="auto"/>
            </w:tcBorders>
            <w:noWrap/>
            <w:hideMark/>
          </w:tcPr>
          <w:p w14:paraId="736CB74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1.383</w:t>
            </w:r>
          </w:p>
        </w:tc>
        <w:tc>
          <w:tcPr>
            <w:tcW w:w="738" w:type="dxa"/>
            <w:tcBorders>
              <w:top w:val="single" w:sz="4" w:space="0" w:color="auto"/>
              <w:left w:val="single" w:sz="4" w:space="0" w:color="auto"/>
              <w:bottom w:val="single" w:sz="4" w:space="0" w:color="auto"/>
              <w:right w:val="single" w:sz="4" w:space="0" w:color="auto"/>
            </w:tcBorders>
            <w:noWrap/>
            <w:hideMark/>
          </w:tcPr>
          <w:p w14:paraId="2CC1567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1.570</w:t>
            </w:r>
          </w:p>
        </w:tc>
        <w:tc>
          <w:tcPr>
            <w:tcW w:w="738" w:type="dxa"/>
            <w:tcBorders>
              <w:top w:val="single" w:sz="4" w:space="0" w:color="auto"/>
              <w:left w:val="single" w:sz="4" w:space="0" w:color="auto"/>
              <w:bottom w:val="single" w:sz="4" w:space="0" w:color="auto"/>
              <w:right w:val="single" w:sz="4" w:space="0" w:color="auto"/>
            </w:tcBorders>
            <w:noWrap/>
            <w:hideMark/>
          </w:tcPr>
          <w:p w14:paraId="101F34B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1.770</w:t>
            </w:r>
          </w:p>
        </w:tc>
        <w:tc>
          <w:tcPr>
            <w:tcW w:w="737" w:type="dxa"/>
            <w:tcBorders>
              <w:top w:val="single" w:sz="4" w:space="0" w:color="auto"/>
              <w:left w:val="single" w:sz="4" w:space="0" w:color="auto"/>
              <w:bottom w:val="single" w:sz="4" w:space="0" w:color="auto"/>
              <w:right w:val="single" w:sz="4" w:space="0" w:color="auto"/>
            </w:tcBorders>
            <w:noWrap/>
            <w:hideMark/>
          </w:tcPr>
          <w:p w14:paraId="1835A19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3.109</w:t>
            </w:r>
          </w:p>
        </w:tc>
        <w:tc>
          <w:tcPr>
            <w:tcW w:w="738" w:type="dxa"/>
            <w:tcBorders>
              <w:top w:val="single" w:sz="4" w:space="0" w:color="auto"/>
              <w:left w:val="single" w:sz="4" w:space="0" w:color="auto"/>
              <w:bottom w:val="single" w:sz="4" w:space="0" w:color="auto"/>
              <w:right w:val="single" w:sz="4" w:space="0" w:color="auto"/>
            </w:tcBorders>
            <w:noWrap/>
            <w:hideMark/>
          </w:tcPr>
          <w:p w14:paraId="5C84697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3.158</w:t>
            </w:r>
          </w:p>
        </w:tc>
        <w:tc>
          <w:tcPr>
            <w:tcW w:w="738" w:type="dxa"/>
            <w:tcBorders>
              <w:top w:val="single" w:sz="4" w:space="0" w:color="auto"/>
              <w:left w:val="single" w:sz="4" w:space="0" w:color="auto"/>
              <w:bottom w:val="single" w:sz="4" w:space="0" w:color="auto"/>
              <w:right w:val="single" w:sz="4" w:space="0" w:color="auto"/>
            </w:tcBorders>
            <w:noWrap/>
            <w:hideMark/>
          </w:tcPr>
          <w:p w14:paraId="5ECF6EC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5.457</w:t>
            </w:r>
          </w:p>
        </w:tc>
        <w:tc>
          <w:tcPr>
            <w:tcW w:w="738" w:type="dxa"/>
            <w:tcBorders>
              <w:top w:val="single" w:sz="4" w:space="0" w:color="auto"/>
              <w:left w:val="single" w:sz="4" w:space="0" w:color="auto"/>
              <w:bottom w:val="single" w:sz="4" w:space="0" w:color="auto"/>
              <w:right w:val="single" w:sz="4" w:space="0" w:color="auto"/>
            </w:tcBorders>
            <w:noWrap/>
            <w:hideMark/>
          </w:tcPr>
          <w:p w14:paraId="56DA5D2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8.010</w:t>
            </w:r>
          </w:p>
        </w:tc>
      </w:tr>
    </w:tbl>
    <w:p w14:paraId="034E62AB" w14:textId="77777777" w:rsidR="00614438" w:rsidRPr="00614438" w:rsidRDefault="00614438" w:rsidP="00656BE7">
      <w:pPr>
        <w:spacing w:before="240"/>
        <w:jc w:val="both"/>
        <w:rPr>
          <w:rFonts w:ascii="Times New Roman" w:hAnsi="Times New Roman" w:cs="Times New Roman"/>
          <w:sz w:val="24"/>
          <w:szCs w:val="24"/>
          <w:lang w:val="en-GB"/>
        </w:rPr>
      </w:pPr>
      <w:bookmarkStart w:id="729" w:name="_Toc153545115"/>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22</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Installed Capacity of PV Power Plants [GW]</w:t>
      </w:r>
      <w:bookmarkEnd w:id="729"/>
    </w:p>
    <w:tbl>
      <w:tblPr>
        <w:tblStyle w:val="TableGrid"/>
        <w:tblW w:w="9780" w:type="dxa"/>
        <w:tblLayout w:type="fixed"/>
        <w:tblLook w:val="04A0" w:firstRow="1" w:lastRow="0" w:firstColumn="1" w:lastColumn="0" w:noHBand="0" w:noVBand="1"/>
      </w:tblPr>
      <w:tblGrid>
        <w:gridCol w:w="1273"/>
        <w:gridCol w:w="774"/>
        <w:gridCol w:w="774"/>
        <w:gridCol w:w="773"/>
        <w:gridCol w:w="773"/>
        <w:gridCol w:w="773"/>
        <w:gridCol w:w="774"/>
        <w:gridCol w:w="773"/>
        <w:gridCol w:w="773"/>
        <w:gridCol w:w="773"/>
        <w:gridCol w:w="773"/>
        <w:gridCol w:w="774"/>
      </w:tblGrid>
      <w:tr w:rsidR="00614438" w:rsidRPr="00656BE7" w14:paraId="39869113" w14:textId="77777777" w:rsidTr="00614438">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712BF05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Installed Capacity of PV PP [GW]</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DB1337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21073F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C3D776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D19F4B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7CD217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77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388983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A431C6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BA4EF9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1881D5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DDB6AE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77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5A0EBE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r>
      <w:tr w:rsidR="00614438" w:rsidRPr="00656BE7" w14:paraId="25B39CDA" w14:textId="77777777" w:rsidTr="00614438">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7A785A7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WEM</w:t>
            </w:r>
          </w:p>
        </w:tc>
        <w:tc>
          <w:tcPr>
            <w:tcW w:w="773" w:type="dxa"/>
            <w:tcBorders>
              <w:top w:val="single" w:sz="4" w:space="0" w:color="auto"/>
              <w:left w:val="single" w:sz="4" w:space="0" w:color="auto"/>
              <w:bottom w:val="single" w:sz="4" w:space="0" w:color="auto"/>
              <w:right w:val="single" w:sz="4" w:space="0" w:color="auto"/>
            </w:tcBorders>
            <w:noWrap/>
            <w:hideMark/>
          </w:tcPr>
          <w:p w14:paraId="763496B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0.016</w:t>
            </w:r>
          </w:p>
        </w:tc>
        <w:tc>
          <w:tcPr>
            <w:tcW w:w="773" w:type="dxa"/>
            <w:tcBorders>
              <w:top w:val="single" w:sz="4" w:space="0" w:color="auto"/>
              <w:left w:val="single" w:sz="4" w:space="0" w:color="auto"/>
              <w:bottom w:val="single" w:sz="4" w:space="0" w:color="auto"/>
              <w:right w:val="single" w:sz="4" w:space="0" w:color="auto"/>
            </w:tcBorders>
            <w:noWrap/>
            <w:hideMark/>
          </w:tcPr>
          <w:p w14:paraId="5A880AB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0.301</w:t>
            </w:r>
          </w:p>
        </w:tc>
        <w:tc>
          <w:tcPr>
            <w:tcW w:w="773" w:type="dxa"/>
            <w:tcBorders>
              <w:top w:val="single" w:sz="4" w:space="0" w:color="auto"/>
              <w:left w:val="single" w:sz="4" w:space="0" w:color="auto"/>
              <w:bottom w:val="single" w:sz="4" w:space="0" w:color="auto"/>
              <w:right w:val="single" w:sz="4" w:space="0" w:color="auto"/>
            </w:tcBorders>
            <w:noWrap/>
            <w:hideMark/>
          </w:tcPr>
          <w:p w14:paraId="300F9C3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0.301</w:t>
            </w:r>
          </w:p>
        </w:tc>
        <w:tc>
          <w:tcPr>
            <w:tcW w:w="773" w:type="dxa"/>
            <w:tcBorders>
              <w:top w:val="single" w:sz="4" w:space="0" w:color="auto"/>
              <w:left w:val="single" w:sz="4" w:space="0" w:color="auto"/>
              <w:bottom w:val="single" w:sz="4" w:space="0" w:color="auto"/>
              <w:right w:val="single" w:sz="4" w:space="0" w:color="auto"/>
            </w:tcBorders>
            <w:noWrap/>
            <w:hideMark/>
          </w:tcPr>
          <w:p w14:paraId="61E7E6D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0.381</w:t>
            </w:r>
          </w:p>
        </w:tc>
        <w:tc>
          <w:tcPr>
            <w:tcW w:w="773" w:type="dxa"/>
            <w:tcBorders>
              <w:top w:val="single" w:sz="4" w:space="0" w:color="auto"/>
              <w:left w:val="single" w:sz="4" w:space="0" w:color="auto"/>
              <w:bottom w:val="single" w:sz="4" w:space="0" w:color="auto"/>
              <w:right w:val="single" w:sz="4" w:space="0" w:color="auto"/>
            </w:tcBorders>
            <w:noWrap/>
            <w:hideMark/>
          </w:tcPr>
          <w:p w14:paraId="18903E5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0.381</w:t>
            </w:r>
          </w:p>
        </w:tc>
        <w:tc>
          <w:tcPr>
            <w:tcW w:w="774" w:type="dxa"/>
            <w:tcBorders>
              <w:top w:val="single" w:sz="4" w:space="0" w:color="auto"/>
              <w:left w:val="single" w:sz="4" w:space="0" w:color="auto"/>
              <w:bottom w:val="single" w:sz="4" w:space="0" w:color="auto"/>
              <w:right w:val="single" w:sz="4" w:space="0" w:color="auto"/>
            </w:tcBorders>
            <w:noWrap/>
            <w:hideMark/>
          </w:tcPr>
          <w:p w14:paraId="70B4873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0.381</w:t>
            </w:r>
          </w:p>
        </w:tc>
        <w:tc>
          <w:tcPr>
            <w:tcW w:w="773" w:type="dxa"/>
            <w:tcBorders>
              <w:top w:val="single" w:sz="4" w:space="0" w:color="auto"/>
              <w:left w:val="single" w:sz="4" w:space="0" w:color="auto"/>
              <w:bottom w:val="single" w:sz="4" w:space="0" w:color="auto"/>
              <w:right w:val="single" w:sz="4" w:space="0" w:color="auto"/>
            </w:tcBorders>
            <w:noWrap/>
            <w:hideMark/>
          </w:tcPr>
          <w:p w14:paraId="58B338B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0.381</w:t>
            </w:r>
          </w:p>
        </w:tc>
        <w:tc>
          <w:tcPr>
            <w:tcW w:w="773" w:type="dxa"/>
            <w:tcBorders>
              <w:top w:val="single" w:sz="4" w:space="0" w:color="auto"/>
              <w:left w:val="single" w:sz="4" w:space="0" w:color="auto"/>
              <w:bottom w:val="single" w:sz="4" w:space="0" w:color="auto"/>
              <w:right w:val="single" w:sz="4" w:space="0" w:color="auto"/>
            </w:tcBorders>
            <w:noWrap/>
            <w:hideMark/>
          </w:tcPr>
          <w:p w14:paraId="6E94B80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0.381</w:t>
            </w:r>
          </w:p>
        </w:tc>
        <w:tc>
          <w:tcPr>
            <w:tcW w:w="773" w:type="dxa"/>
            <w:tcBorders>
              <w:top w:val="single" w:sz="4" w:space="0" w:color="auto"/>
              <w:left w:val="single" w:sz="4" w:space="0" w:color="auto"/>
              <w:bottom w:val="single" w:sz="4" w:space="0" w:color="auto"/>
              <w:right w:val="single" w:sz="4" w:space="0" w:color="auto"/>
            </w:tcBorders>
            <w:noWrap/>
            <w:hideMark/>
          </w:tcPr>
          <w:p w14:paraId="5A659B3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0.378</w:t>
            </w:r>
          </w:p>
        </w:tc>
        <w:tc>
          <w:tcPr>
            <w:tcW w:w="773" w:type="dxa"/>
            <w:tcBorders>
              <w:top w:val="single" w:sz="4" w:space="0" w:color="auto"/>
              <w:left w:val="single" w:sz="4" w:space="0" w:color="auto"/>
              <w:bottom w:val="single" w:sz="4" w:space="0" w:color="auto"/>
              <w:right w:val="single" w:sz="4" w:space="0" w:color="auto"/>
            </w:tcBorders>
            <w:noWrap/>
            <w:hideMark/>
          </w:tcPr>
          <w:p w14:paraId="06FFAA4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0.366</w:t>
            </w:r>
          </w:p>
        </w:tc>
        <w:tc>
          <w:tcPr>
            <w:tcW w:w="774" w:type="dxa"/>
            <w:tcBorders>
              <w:top w:val="single" w:sz="4" w:space="0" w:color="auto"/>
              <w:left w:val="single" w:sz="4" w:space="0" w:color="auto"/>
              <w:bottom w:val="single" w:sz="4" w:space="0" w:color="auto"/>
              <w:right w:val="single" w:sz="4" w:space="0" w:color="auto"/>
            </w:tcBorders>
            <w:noWrap/>
            <w:hideMark/>
          </w:tcPr>
          <w:p w14:paraId="19351D5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1.772</w:t>
            </w:r>
          </w:p>
        </w:tc>
      </w:tr>
      <w:tr w:rsidR="00614438" w:rsidRPr="00656BE7" w14:paraId="5F539A97" w14:textId="77777777" w:rsidTr="00614438">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76950F8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w:t>
            </w:r>
          </w:p>
        </w:tc>
        <w:tc>
          <w:tcPr>
            <w:tcW w:w="773" w:type="dxa"/>
            <w:tcBorders>
              <w:top w:val="single" w:sz="4" w:space="0" w:color="auto"/>
              <w:left w:val="single" w:sz="4" w:space="0" w:color="auto"/>
              <w:bottom w:val="single" w:sz="4" w:space="0" w:color="auto"/>
              <w:right w:val="single" w:sz="4" w:space="0" w:color="auto"/>
            </w:tcBorders>
            <w:noWrap/>
            <w:hideMark/>
          </w:tcPr>
          <w:p w14:paraId="4F8211C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0.016</w:t>
            </w:r>
          </w:p>
        </w:tc>
        <w:tc>
          <w:tcPr>
            <w:tcW w:w="773" w:type="dxa"/>
            <w:tcBorders>
              <w:top w:val="single" w:sz="4" w:space="0" w:color="auto"/>
              <w:left w:val="single" w:sz="4" w:space="0" w:color="auto"/>
              <w:bottom w:val="single" w:sz="4" w:space="0" w:color="auto"/>
              <w:right w:val="single" w:sz="4" w:space="0" w:color="auto"/>
            </w:tcBorders>
            <w:noWrap/>
            <w:hideMark/>
          </w:tcPr>
          <w:p w14:paraId="4BEFCCE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0.512</w:t>
            </w:r>
          </w:p>
        </w:tc>
        <w:tc>
          <w:tcPr>
            <w:tcW w:w="773" w:type="dxa"/>
            <w:tcBorders>
              <w:top w:val="single" w:sz="4" w:space="0" w:color="auto"/>
              <w:left w:val="single" w:sz="4" w:space="0" w:color="auto"/>
              <w:bottom w:val="single" w:sz="4" w:space="0" w:color="auto"/>
              <w:right w:val="single" w:sz="4" w:space="0" w:color="auto"/>
            </w:tcBorders>
            <w:noWrap/>
            <w:hideMark/>
          </w:tcPr>
          <w:p w14:paraId="49940E0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0.749</w:t>
            </w:r>
          </w:p>
        </w:tc>
        <w:tc>
          <w:tcPr>
            <w:tcW w:w="773" w:type="dxa"/>
            <w:tcBorders>
              <w:top w:val="single" w:sz="4" w:space="0" w:color="auto"/>
              <w:left w:val="single" w:sz="4" w:space="0" w:color="auto"/>
              <w:bottom w:val="single" w:sz="4" w:space="0" w:color="auto"/>
              <w:right w:val="single" w:sz="4" w:space="0" w:color="auto"/>
            </w:tcBorders>
            <w:noWrap/>
            <w:hideMark/>
          </w:tcPr>
          <w:p w14:paraId="4FEA51F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0.989</w:t>
            </w:r>
          </w:p>
        </w:tc>
        <w:tc>
          <w:tcPr>
            <w:tcW w:w="773" w:type="dxa"/>
            <w:tcBorders>
              <w:top w:val="single" w:sz="4" w:space="0" w:color="auto"/>
              <w:left w:val="single" w:sz="4" w:space="0" w:color="auto"/>
              <w:bottom w:val="single" w:sz="4" w:space="0" w:color="auto"/>
              <w:right w:val="single" w:sz="4" w:space="0" w:color="auto"/>
            </w:tcBorders>
            <w:noWrap/>
            <w:hideMark/>
          </w:tcPr>
          <w:p w14:paraId="6B58735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1.232</w:t>
            </w:r>
          </w:p>
        </w:tc>
        <w:tc>
          <w:tcPr>
            <w:tcW w:w="774" w:type="dxa"/>
            <w:tcBorders>
              <w:top w:val="single" w:sz="4" w:space="0" w:color="auto"/>
              <w:left w:val="single" w:sz="4" w:space="0" w:color="auto"/>
              <w:bottom w:val="single" w:sz="4" w:space="0" w:color="auto"/>
              <w:right w:val="single" w:sz="4" w:space="0" w:color="auto"/>
            </w:tcBorders>
            <w:noWrap/>
            <w:hideMark/>
          </w:tcPr>
          <w:p w14:paraId="3B4E747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1.479</w:t>
            </w:r>
          </w:p>
        </w:tc>
        <w:tc>
          <w:tcPr>
            <w:tcW w:w="773" w:type="dxa"/>
            <w:tcBorders>
              <w:top w:val="single" w:sz="4" w:space="0" w:color="auto"/>
              <w:left w:val="single" w:sz="4" w:space="0" w:color="auto"/>
              <w:bottom w:val="single" w:sz="4" w:space="0" w:color="auto"/>
              <w:right w:val="single" w:sz="4" w:space="0" w:color="auto"/>
            </w:tcBorders>
            <w:noWrap/>
            <w:hideMark/>
          </w:tcPr>
          <w:p w14:paraId="4BD64C7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1.729</w:t>
            </w:r>
          </w:p>
        </w:tc>
        <w:tc>
          <w:tcPr>
            <w:tcW w:w="773" w:type="dxa"/>
            <w:tcBorders>
              <w:top w:val="single" w:sz="4" w:space="0" w:color="auto"/>
              <w:left w:val="single" w:sz="4" w:space="0" w:color="auto"/>
              <w:bottom w:val="single" w:sz="4" w:space="0" w:color="auto"/>
              <w:right w:val="single" w:sz="4" w:space="0" w:color="auto"/>
            </w:tcBorders>
            <w:noWrap/>
            <w:hideMark/>
          </w:tcPr>
          <w:p w14:paraId="7741937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3.929</w:t>
            </w:r>
          </w:p>
        </w:tc>
        <w:tc>
          <w:tcPr>
            <w:tcW w:w="773" w:type="dxa"/>
            <w:tcBorders>
              <w:top w:val="single" w:sz="4" w:space="0" w:color="auto"/>
              <w:left w:val="single" w:sz="4" w:space="0" w:color="auto"/>
              <w:bottom w:val="single" w:sz="4" w:space="0" w:color="auto"/>
              <w:right w:val="single" w:sz="4" w:space="0" w:color="auto"/>
            </w:tcBorders>
            <w:noWrap/>
            <w:hideMark/>
          </w:tcPr>
          <w:p w14:paraId="29C3AC6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7.357</w:t>
            </w:r>
          </w:p>
        </w:tc>
        <w:tc>
          <w:tcPr>
            <w:tcW w:w="773" w:type="dxa"/>
            <w:tcBorders>
              <w:top w:val="single" w:sz="4" w:space="0" w:color="auto"/>
              <w:left w:val="single" w:sz="4" w:space="0" w:color="auto"/>
              <w:bottom w:val="single" w:sz="4" w:space="0" w:color="auto"/>
              <w:right w:val="single" w:sz="4" w:space="0" w:color="auto"/>
            </w:tcBorders>
            <w:noWrap/>
            <w:hideMark/>
          </w:tcPr>
          <w:p w14:paraId="52B8BED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11.975</w:t>
            </w:r>
          </w:p>
        </w:tc>
        <w:tc>
          <w:tcPr>
            <w:tcW w:w="774" w:type="dxa"/>
            <w:tcBorders>
              <w:top w:val="single" w:sz="4" w:space="0" w:color="auto"/>
              <w:left w:val="single" w:sz="4" w:space="0" w:color="auto"/>
              <w:bottom w:val="single" w:sz="4" w:space="0" w:color="auto"/>
              <w:right w:val="single" w:sz="4" w:space="0" w:color="auto"/>
            </w:tcBorders>
            <w:noWrap/>
            <w:hideMark/>
          </w:tcPr>
          <w:p w14:paraId="147ECB8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18.495</w:t>
            </w:r>
          </w:p>
        </w:tc>
      </w:tr>
      <w:tr w:rsidR="00614438" w:rsidRPr="00656BE7" w14:paraId="518F766A" w14:textId="77777777" w:rsidTr="00614438">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255E7FC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Scenario-S-N</w:t>
            </w:r>
          </w:p>
        </w:tc>
        <w:tc>
          <w:tcPr>
            <w:tcW w:w="773" w:type="dxa"/>
            <w:tcBorders>
              <w:top w:val="single" w:sz="4" w:space="0" w:color="auto"/>
              <w:left w:val="single" w:sz="4" w:space="0" w:color="auto"/>
              <w:bottom w:val="single" w:sz="4" w:space="0" w:color="auto"/>
              <w:right w:val="single" w:sz="4" w:space="0" w:color="auto"/>
            </w:tcBorders>
            <w:noWrap/>
            <w:hideMark/>
          </w:tcPr>
          <w:p w14:paraId="3559B95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0.016</w:t>
            </w:r>
          </w:p>
        </w:tc>
        <w:tc>
          <w:tcPr>
            <w:tcW w:w="773" w:type="dxa"/>
            <w:tcBorders>
              <w:top w:val="single" w:sz="4" w:space="0" w:color="auto"/>
              <w:left w:val="single" w:sz="4" w:space="0" w:color="auto"/>
              <w:bottom w:val="single" w:sz="4" w:space="0" w:color="auto"/>
              <w:right w:val="single" w:sz="4" w:space="0" w:color="auto"/>
            </w:tcBorders>
            <w:noWrap/>
            <w:hideMark/>
          </w:tcPr>
          <w:p w14:paraId="4E28C8C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0.512</w:t>
            </w:r>
          </w:p>
        </w:tc>
        <w:tc>
          <w:tcPr>
            <w:tcW w:w="773" w:type="dxa"/>
            <w:tcBorders>
              <w:top w:val="single" w:sz="4" w:space="0" w:color="auto"/>
              <w:left w:val="single" w:sz="4" w:space="0" w:color="auto"/>
              <w:bottom w:val="single" w:sz="4" w:space="0" w:color="auto"/>
              <w:right w:val="single" w:sz="4" w:space="0" w:color="auto"/>
            </w:tcBorders>
            <w:noWrap/>
            <w:hideMark/>
          </w:tcPr>
          <w:p w14:paraId="0DAA4EC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0.749</w:t>
            </w:r>
          </w:p>
        </w:tc>
        <w:tc>
          <w:tcPr>
            <w:tcW w:w="773" w:type="dxa"/>
            <w:tcBorders>
              <w:top w:val="single" w:sz="4" w:space="0" w:color="auto"/>
              <w:left w:val="single" w:sz="4" w:space="0" w:color="auto"/>
              <w:bottom w:val="single" w:sz="4" w:space="0" w:color="auto"/>
              <w:right w:val="single" w:sz="4" w:space="0" w:color="auto"/>
            </w:tcBorders>
            <w:noWrap/>
            <w:hideMark/>
          </w:tcPr>
          <w:p w14:paraId="599D311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0.989</w:t>
            </w:r>
          </w:p>
        </w:tc>
        <w:tc>
          <w:tcPr>
            <w:tcW w:w="773" w:type="dxa"/>
            <w:tcBorders>
              <w:top w:val="single" w:sz="4" w:space="0" w:color="auto"/>
              <w:left w:val="single" w:sz="4" w:space="0" w:color="auto"/>
              <w:bottom w:val="single" w:sz="4" w:space="0" w:color="auto"/>
              <w:right w:val="single" w:sz="4" w:space="0" w:color="auto"/>
            </w:tcBorders>
            <w:noWrap/>
            <w:hideMark/>
          </w:tcPr>
          <w:p w14:paraId="7E71F2E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1.232</w:t>
            </w:r>
          </w:p>
        </w:tc>
        <w:tc>
          <w:tcPr>
            <w:tcW w:w="774" w:type="dxa"/>
            <w:tcBorders>
              <w:top w:val="single" w:sz="4" w:space="0" w:color="auto"/>
              <w:left w:val="single" w:sz="4" w:space="0" w:color="auto"/>
              <w:bottom w:val="single" w:sz="4" w:space="0" w:color="auto"/>
              <w:right w:val="single" w:sz="4" w:space="0" w:color="auto"/>
            </w:tcBorders>
            <w:noWrap/>
            <w:hideMark/>
          </w:tcPr>
          <w:p w14:paraId="7481AD0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1.479</w:t>
            </w:r>
          </w:p>
        </w:tc>
        <w:tc>
          <w:tcPr>
            <w:tcW w:w="773" w:type="dxa"/>
            <w:tcBorders>
              <w:top w:val="single" w:sz="4" w:space="0" w:color="auto"/>
              <w:left w:val="single" w:sz="4" w:space="0" w:color="auto"/>
              <w:bottom w:val="single" w:sz="4" w:space="0" w:color="auto"/>
              <w:right w:val="single" w:sz="4" w:space="0" w:color="auto"/>
            </w:tcBorders>
            <w:noWrap/>
            <w:hideMark/>
          </w:tcPr>
          <w:p w14:paraId="2DD7456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1.729</w:t>
            </w:r>
          </w:p>
        </w:tc>
        <w:tc>
          <w:tcPr>
            <w:tcW w:w="773" w:type="dxa"/>
            <w:tcBorders>
              <w:top w:val="single" w:sz="4" w:space="0" w:color="auto"/>
              <w:left w:val="single" w:sz="4" w:space="0" w:color="auto"/>
              <w:bottom w:val="single" w:sz="4" w:space="0" w:color="auto"/>
              <w:right w:val="single" w:sz="4" w:space="0" w:color="auto"/>
            </w:tcBorders>
            <w:noWrap/>
            <w:hideMark/>
          </w:tcPr>
          <w:p w14:paraId="368E36E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3.929</w:t>
            </w:r>
          </w:p>
        </w:tc>
        <w:tc>
          <w:tcPr>
            <w:tcW w:w="773" w:type="dxa"/>
            <w:tcBorders>
              <w:top w:val="single" w:sz="4" w:space="0" w:color="auto"/>
              <w:left w:val="single" w:sz="4" w:space="0" w:color="auto"/>
              <w:bottom w:val="single" w:sz="4" w:space="0" w:color="auto"/>
              <w:right w:val="single" w:sz="4" w:space="0" w:color="auto"/>
            </w:tcBorders>
            <w:noWrap/>
            <w:hideMark/>
          </w:tcPr>
          <w:p w14:paraId="08DCA4B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7.370</w:t>
            </w:r>
          </w:p>
        </w:tc>
        <w:tc>
          <w:tcPr>
            <w:tcW w:w="773" w:type="dxa"/>
            <w:tcBorders>
              <w:top w:val="single" w:sz="4" w:space="0" w:color="auto"/>
              <w:left w:val="single" w:sz="4" w:space="0" w:color="auto"/>
              <w:bottom w:val="single" w:sz="4" w:space="0" w:color="auto"/>
              <w:right w:val="single" w:sz="4" w:space="0" w:color="auto"/>
            </w:tcBorders>
            <w:noWrap/>
            <w:hideMark/>
          </w:tcPr>
          <w:p w14:paraId="13A6E84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11.702</w:t>
            </w:r>
          </w:p>
        </w:tc>
        <w:tc>
          <w:tcPr>
            <w:tcW w:w="774" w:type="dxa"/>
            <w:tcBorders>
              <w:top w:val="single" w:sz="4" w:space="0" w:color="auto"/>
              <w:left w:val="single" w:sz="4" w:space="0" w:color="auto"/>
              <w:bottom w:val="single" w:sz="4" w:space="0" w:color="auto"/>
              <w:right w:val="single" w:sz="4" w:space="0" w:color="auto"/>
            </w:tcBorders>
            <w:noWrap/>
            <w:hideMark/>
          </w:tcPr>
          <w:p w14:paraId="052AAF3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16.656</w:t>
            </w:r>
          </w:p>
        </w:tc>
      </w:tr>
    </w:tbl>
    <w:p w14:paraId="07BEA045" w14:textId="77777777" w:rsidR="00614438" w:rsidRPr="00656BE7" w:rsidRDefault="00614438" w:rsidP="00656BE7">
      <w:pPr>
        <w:spacing w:before="240"/>
        <w:jc w:val="both"/>
        <w:rPr>
          <w:rFonts w:ascii="Times New Roman" w:hAnsi="Times New Roman" w:cs="Times New Roman"/>
          <w:sz w:val="20"/>
          <w:szCs w:val="20"/>
          <w:lang w:val="en-GB"/>
        </w:rPr>
      </w:pPr>
      <w:bookmarkStart w:id="730" w:name="_Toc153545116"/>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23</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Final Energy Consumption by Fuel [ktoe]</w:t>
      </w:r>
      <w:bookmarkEnd w:id="730"/>
    </w:p>
    <w:tbl>
      <w:tblPr>
        <w:tblStyle w:val="TableGrid"/>
        <w:tblW w:w="9915" w:type="dxa"/>
        <w:tblLayout w:type="fixed"/>
        <w:tblLook w:val="04A0" w:firstRow="1" w:lastRow="0" w:firstColumn="1" w:lastColumn="0" w:noHBand="0" w:noVBand="1"/>
      </w:tblPr>
      <w:tblGrid>
        <w:gridCol w:w="894"/>
        <w:gridCol w:w="640"/>
        <w:gridCol w:w="585"/>
        <w:gridCol w:w="882"/>
        <w:gridCol w:w="882"/>
        <w:gridCol w:w="882"/>
        <w:gridCol w:w="882"/>
        <w:gridCol w:w="582"/>
        <w:gridCol w:w="709"/>
        <w:gridCol w:w="992"/>
        <w:gridCol w:w="993"/>
        <w:gridCol w:w="992"/>
      </w:tblGrid>
      <w:tr w:rsidR="00614438" w:rsidRPr="00656BE7" w14:paraId="1D7CAA0B" w14:textId="77777777" w:rsidTr="00614438">
        <w:trPr>
          <w:trHeight w:val="298"/>
        </w:trPr>
        <w:tc>
          <w:tcPr>
            <w:tcW w:w="895" w:type="dxa"/>
            <w:tcBorders>
              <w:top w:val="single" w:sz="4" w:space="0" w:color="auto"/>
              <w:left w:val="single" w:sz="4" w:space="0" w:color="auto"/>
              <w:bottom w:val="single" w:sz="12" w:space="0" w:color="auto"/>
              <w:right w:val="single" w:sz="4" w:space="0" w:color="auto"/>
            </w:tcBorders>
            <w:shd w:val="clear" w:color="auto" w:fill="404040"/>
            <w:noWrap/>
            <w:vAlign w:val="center"/>
            <w:hideMark/>
          </w:tcPr>
          <w:p w14:paraId="37172FC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FEC by Fuel [ktoe]</w:t>
            </w:r>
          </w:p>
        </w:tc>
        <w:tc>
          <w:tcPr>
            <w:tcW w:w="641" w:type="dxa"/>
            <w:tcBorders>
              <w:top w:val="single" w:sz="4" w:space="0" w:color="auto"/>
              <w:left w:val="single" w:sz="4" w:space="0" w:color="auto"/>
              <w:bottom w:val="single" w:sz="12" w:space="0" w:color="auto"/>
              <w:right w:val="single" w:sz="4" w:space="0" w:color="auto"/>
            </w:tcBorders>
            <w:shd w:val="clear" w:color="auto" w:fill="1F497D"/>
            <w:noWrap/>
            <w:vAlign w:val="center"/>
            <w:hideMark/>
          </w:tcPr>
          <w:p w14:paraId="0F911F1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Year</w:t>
            </w:r>
          </w:p>
        </w:tc>
        <w:tc>
          <w:tcPr>
            <w:tcW w:w="586" w:type="dxa"/>
            <w:tcBorders>
              <w:top w:val="single" w:sz="4" w:space="0" w:color="auto"/>
              <w:left w:val="single" w:sz="4" w:space="0" w:color="auto"/>
              <w:bottom w:val="single" w:sz="12" w:space="0" w:color="auto"/>
              <w:right w:val="single" w:sz="4" w:space="0" w:color="auto"/>
            </w:tcBorders>
            <w:shd w:val="clear" w:color="auto" w:fill="1F497D"/>
            <w:noWrap/>
            <w:vAlign w:val="center"/>
            <w:hideMark/>
          </w:tcPr>
          <w:p w14:paraId="4D63875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Solid fuels</w:t>
            </w:r>
          </w:p>
        </w:tc>
        <w:tc>
          <w:tcPr>
            <w:tcW w:w="882" w:type="dxa"/>
            <w:tcBorders>
              <w:top w:val="single" w:sz="4" w:space="0" w:color="auto"/>
              <w:left w:val="single" w:sz="4" w:space="0" w:color="auto"/>
              <w:bottom w:val="single" w:sz="12" w:space="0" w:color="auto"/>
              <w:right w:val="single" w:sz="4" w:space="0" w:color="auto"/>
            </w:tcBorders>
            <w:shd w:val="clear" w:color="auto" w:fill="1F497D"/>
            <w:noWrap/>
            <w:vAlign w:val="center"/>
            <w:hideMark/>
          </w:tcPr>
          <w:p w14:paraId="7E4C968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Oil Products</w:t>
            </w:r>
          </w:p>
        </w:tc>
        <w:tc>
          <w:tcPr>
            <w:tcW w:w="882" w:type="dxa"/>
            <w:tcBorders>
              <w:top w:val="single" w:sz="4" w:space="0" w:color="auto"/>
              <w:left w:val="single" w:sz="4" w:space="0" w:color="auto"/>
              <w:bottom w:val="single" w:sz="12" w:space="0" w:color="auto"/>
              <w:right w:val="single" w:sz="4" w:space="0" w:color="auto"/>
            </w:tcBorders>
            <w:shd w:val="clear" w:color="auto" w:fill="1F497D"/>
            <w:noWrap/>
            <w:vAlign w:val="center"/>
            <w:hideMark/>
          </w:tcPr>
          <w:p w14:paraId="5B36DB0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Natural Gas</w:t>
            </w:r>
          </w:p>
        </w:tc>
        <w:tc>
          <w:tcPr>
            <w:tcW w:w="882" w:type="dxa"/>
            <w:tcBorders>
              <w:top w:val="single" w:sz="4" w:space="0" w:color="auto"/>
              <w:left w:val="single" w:sz="4" w:space="0" w:color="auto"/>
              <w:bottom w:val="single" w:sz="12" w:space="0" w:color="auto"/>
              <w:right w:val="single" w:sz="4" w:space="0" w:color="auto"/>
            </w:tcBorders>
            <w:shd w:val="clear" w:color="auto" w:fill="1F497D"/>
            <w:noWrap/>
            <w:vAlign w:val="center"/>
            <w:hideMark/>
          </w:tcPr>
          <w:p w14:paraId="627CB73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Biomass/Biogas</w:t>
            </w:r>
          </w:p>
        </w:tc>
        <w:tc>
          <w:tcPr>
            <w:tcW w:w="882" w:type="dxa"/>
            <w:tcBorders>
              <w:top w:val="single" w:sz="4" w:space="0" w:color="auto"/>
              <w:left w:val="single" w:sz="4" w:space="0" w:color="auto"/>
              <w:bottom w:val="single" w:sz="12" w:space="0" w:color="auto"/>
              <w:right w:val="single" w:sz="4" w:space="0" w:color="auto"/>
            </w:tcBorders>
            <w:shd w:val="clear" w:color="auto" w:fill="1F497D"/>
            <w:noWrap/>
            <w:vAlign w:val="center"/>
            <w:hideMark/>
          </w:tcPr>
          <w:p w14:paraId="658D8A8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Biofuels</w:t>
            </w:r>
          </w:p>
        </w:tc>
        <w:tc>
          <w:tcPr>
            <w:tcW w:w="582" w:type="dxa"/>
            <w:tcBorders>
              <w:top w:val="single" w:sz="4" w:space="0" w:color="auto"/>
              <w:left w:val="single" w:sz="4" w:space="0" w:color="auto"/>
              <w:bottom w:val="single" w:sz="12" w:space="0" w:color="auto"/>
              <w:right w:val="single" w:sz="4" w:space="0" w:color="auto"/>
            </w:tcBorders>
            <w:shd w:val="clear" w:color="auto" w:fill="1F497D"/>
            <w:noWrap/>
            <w:vAlign w:val="center"/>
            <w:hideMark/>
          </w:tcPr>
          <w:p w14:paraId="0207425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Solar</w:t>
            </w:r>
          </w:p>
        </w:tc>
        <w:tc>
          <w:tcPr>
            <w:tcW w:w="709" w:type="dxa"/>
            <w:tcBorders>
              <w:top w:val="single" w:sz="4" w:space="0" w:color="auto"/>
              <w:left w:val="single" w:sz="4" w:space="0" w:color="auto"/>
              <w:bottom w:val="single" w:sz="12" w:space="0" w:color="auto"/>
              <w:right w:val="single" w:sz="4" w:space="0" w:color="auto"/>
            </w:tcBorders>
            <w:shd w:val="clear" w:color="auto" w:fill="1F497D"/>
            <w:noWrap/>
            <w:vAlign w:val="center"/>
            <w:hideMark/>
          </w:tcPr>
          <w:p w14:paraId="6B87F3E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Geothermal</w:t>
            </w:r>
          </w:p>
        </w:tc>
        <w:tc>
          <w:tcPr>
            <w:tcW w:w="992" w:type="dxa"/>
            <w:tcBorders>
              <w:top w:val="single" w:sz="4" w:space="0" w:color="auto"/>
              <w:left w:val="single" w:sz="4" w:space="0" w:color="auto"/>
              <w:bottom w:val="single" w:sz="12" w:space="0" w:color="auto"/>
              <w:right w:val="single" w:sz="4" w:space="0" w:color="auto"/>
            </w:tcBorders>
            <w:shd w:val="clear" w:color="auto" w:fill="1F497D"/>
            <w:vAlign w:val="center"/>
            <w:hideMark/>
          </w:tcPr>
          <w:p w14:paraId="59A4633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Derived heat</w:t>
            </w:r>
          </w:p>
        </w:tc>
        <w:tc>
          <w:tcPr>
            <w:tcW w:w="993" w:type="dxa"/>
            <w:tcBorders>
              <w:top w:val="single" w:sz="4" w:space="0" w:color="auto"/>
              <w:left w:val="single" w:sz="4" w:space="0" w:color="auto"/>
              <w:bottom w:val="single" w:sz="12" w:space="0" w:color="auto"/>
              <w:right w:val="single" w:sz="4" w:space="0" w:color="auto"/>
            </w:tcBorders>
            <w:shd w:val="clear" w:color="auto" w:fill="1F497D"/>
            <w:noWrap/>
            <w:vAlign w:val="center"/>
            <w:hideMark/>
          </w:tcPr>
          <w:p w14:paraId="127E5F3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Electricity</w:t>
            </w:r>
          </w:p>
        </w:tc>
        <w:tc>
          <w:tcPr>
            <w:tcW w:w="992" w:type="dxa"/>
            <w:tcBorders>
              <w:top w:val="single" w:sz="4" w:space="0" w:color="auto"/>
              <w:left w:val="single" w:sz="4" w:space="0" w:color="auto"/>
              <w:bottom w:val="single" w:sz="12" w:space="0" w:color="auto"/>
              <w:right w:val="single" w:sz="4" w:space="0" w:color="auto"/>
            </w:tcBorders>
            <w:shd w:val="clear" w:color="auto" w:fill="1F497D"/>
            <w:noWrap/>
            <w:vAlign w:val="center"/>
            <w:hideMark/>
          </w:tcPr>
          <w:p w14:paraId="15168F1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Hydrogen</w:t>
            </w:r>
          </w:p>
        </w:tc>
      </w:tr>
      <w:tr w:rsidR="00614438" w:rsidRPr="00656BE7" w14:paraId="15708FEE" w14:textId="77777777" w:rsidTr="00614438">
        <w:trPr>
          <w:trHeight w:val="298"/>
        </w:trPr>
        <w:tc>
          <w:tcPr>
            <w:tcW w:w="895" w:type="dxa"/>
            <w:vMerge w:val="restart"/>
            <w:tcBorders>
              <w:top w:val="single" w:sz="12" w:space="0" w:color="auto"/>
              <w:left w:val="single" w:sz="12" w:space="0" w:color="auto"/>
              <w:bottom w:val="single" w:sz="12" w:space="0" w:color="auto"/>
              <w:right w:val="single" w:sz="4" w:space="0" w:color="auto"/>
            </w:tcBorders>
            <w:shd w:val="clear" w:color="auto" w:fill="E7E6E6"/>
            <w:noWrap/>
            <w:vAlign w:val="center"/>
            <w:hideMark/>
          </w:tcPr>
          <w:p w14:paraId="52943A6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WEM</w:t>
            </w:r>
          </w:p>
        </w:tc>
        <w:tc>
          <w:tcPr>
            <w:tcW w:w="641" w:type="dxa"/>
            <w:tcBorders>
              <w:top w:val="single" w:sz="12" w:space="0" w:color="auto"/>
              <w:left w:val="single" w:sz="4" w:space="0" w:color="auto"/>
              <w:bottom w:val="single" w:sz="4" w:space="0" w:color="auto"/>
              <w:right w:val="single" w:sz="4" w:space="0" w:color="auto"/>
            </w:tcBorders>
            <w:noWrap/>
            <w:hideMark/>
          </w:tcPr>
          <w:p w14:paraId="1B91ED3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586" w:type="dxa"/>
            <w:tcBorders>
              <w:top w:val="single" w:sz="12" w:space="0" w:color="auto"/>
              <w:left w:val="single" w:sz="4" w:space="0" w:color="auto"/>
              <w:bottom w:val="single" w:sz="4" w:space="0" w:color="auto"/>
              <w:right w:val="single" w:sz="4" w:space="0" w:color="auto"/>
            </w:tcBorders>
            <w:noWrap/>
            <w:hideMark/>
          </w:tcPr>
          <w:p w14:paraId="484648B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356</w:t>
            </w:r>
          </w:p>
        </w:tc>
        <w:tc>
          <w:tcPr>
            <w:tcW w:w="882" w:type="dxa"/>
            <w:tcBorders>
              <w:top w:val="single" w:sz="12" w:space="0" w:color="auto"/>
              <w:left w:val="single" w:sz="4" w:space="0" w:color="auto"/>
              <w:bottom w:val="single" w:sz="4" w:space="0" w:color="auto"/>
              <w:right w:val="single" w:sz="4" w:space="0" w:color="auto"/>
            </w:tcBorders>
            <w:noWrap/>
            <w:hideMark/>
          </w:tcPr>
          <w:p w14:paraId="4B60B0B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2879</w:t>
            </w:r>
          </w:p>
        </w:tc>
        <w:tc>
          <w:tcPr>
            <w:tcW w:w="882" w:type="dxa"/>
            <w:tcBorders>
              <w:top w:val="single" w:sz="12" w:space="0" w:color="auto"/>
              <w:left w:val="single" w:sz="4" w:space="0" w:color="auto"/>
              <w:bottom w:val="single" w:sz="4" w:space="0" w:color="auto"/>
              <w:right w:val="single" w:sz="4" w:space="0" w:color="auto"/>
            </w:tcBorders>
            <w:noWrap/>
            <w:hideMark/>
          </w:tcPr>
          <w:p w14:paraId="5767DEE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1021</w:t>
            </w:r>
          </w:p>
        </w:tc>
        <w:tc>
          <w:tcPr>
            <w:tcW w:w="882" w:type="dxa"/>
            <w:tcBorders>
              <w:top w:val="single" w:sz="12" w:space="0" w:color="auto"/>
              <w:left w:val="single" w:sz="4" w:space="0" w:color="auto"/>
              <w:bottom w:val="single" w:sz="4" w:space="0" w:color="auto"/>
              <w:right w:val="single" w:sz="4" w:space="0" w:color="auto"/>
            </w:tcBorders>
            <w:noWrap/>
            <w:hideMark/>
          </w:tcPr>
          <w:p w14:paraId="46DE306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1571</w:t>
            </w:r>
          </w:p>
        </w:tc>
        <w:tc>
          <w:tcPr>
            <w:tcW w:w="882" w:type="dxa"/>
            <w:tcBorders>
              <w:top w:val="single" w:sz="12" w:space="0" w:color="auto"/>
              <w:left w:val="single" w:sz="4" w:space="0" w:color="auto"/>
              <w:bottom w:val="single" w:sz="4" w:space="0" w:color="auto"/>
              <w:right w:val="single" w:sz="4" w:space="0" w:color="auto"/>
            </w:tcBorders>
            <w:noWrap/>
            <w:hideMark/>
          </w:tcPr>
          <w:p w14:paraId="54F306D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c>
          <w:tcPr>
            <w:tcW w:w="582" w:type="dxa"/>
            <w:tcBorders>
              <w:top w:val="single" w:sz="12" w:space="0" w:color="auto"/>
              <w:left w:val="single" w:sz="4" w:space="0" w:color="auto"/>
              <w:bottom w:val="single" w:sz="4" w:space="0" w:color="auto"/>
              <w:right w:val="single" w:sz="4" w:space="0" w:color="auto"/>
            </w:tcBorders>
            <w:noWrap/>
            <w:hideMark/>
          </w:tcPr>
          <w:p w14:paraId="0A5ABE9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w:t>
            </w:r>
          </w:p>
        </w:tc>
        <w:tc>
          <w:tcPr>
            <w:tcW w:w="709" w:type="dxa"/>
            <w:tcBorders>
              <w:top w:val="single" w:sz="12" w:space="0" w:color="auto"/>
              <w:left w:val="single" w:sz="4" w:space="0" w:color="auto"/>
              <w:bottom w:val="single" w:sz="4" w:space="0" w:color="auto"/>
              <w:right w:val="single" w:sz="4" w:space="0" w:color="auto"/>
            </w:tcBorders>
            <w:noWrap/>
            <w:hideMark/>
          </w:tcPr>
          <w:p w14:paraId="564DDE0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w:t>
            </w:r>
          </w:p>
        </w:tc>
        <w:tc>
          <w:tcPr>
            <w:tcW w:w="992" w:type="dxa"/>
            <w:tcBorders>
              <w:top w:val="single" w:sz="12" w:space="0" w:color="auto"/>
              <w:left w:val="single" w:sz="4" w:space="0" w:color="auto"/>
              <w:bottom w:val="single" w:sz="4" w:space="0" w:color="auto"/>
              <w:right w:val="single" w:sz="4" w:space="0" w:color="auto"/>
            </w:tcBorders>
            <w:hideMark/>
          </w:tcPr>
          <w:p w14:paraId="044B771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670</w:t>
            </w:r>
          </w:p>
        </w:tc>
        <w:tc>
          <w:tcPr>
            <w:tcW w:w="993" w:type="dxa"/>
            <w:tcBorders>
              <w:top w:val="single" w:sz="12" w:space="0" w:color="auto"/>
              <w:left w:val="single" w:sz="4" w:space="0" w:color="auto"/>
              <w:bottom w:val="single" w:sz="4" w:space="0" w:color="auto"/>
              <w:right w:val="single" w:sz="4" w:space="0" w:color="auto"/>
            </w:tcBorders>
            <w:noWrap/>
            <w:hideMark/>
          </w:tcPr>
          <w:p w14:paraId="5E25020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2214</w:t>
            </w:r>
          </w:p>
        </w:tc>
        <w:tc>
          <w:tcPr>
            <w:tcW w:w="992" w:type="dxa"/>
            <w:tcBorders>
              <w:top w:val="single" w:sz="12" w:space="0" w:color="auto"/>
              <w:left w:val="single" w:sz="4" w:space="0" w:color="auto"/>
              <w:bottom w:val="single" w:sz="4" w:space="0" w:color="auto"/>
              <w:right w:val="single" w:sz="12" w:space="0" w:color="auto"/>
            </w:tcBorders>
            <w:noWrap/>
            <w:hideMark/>
          </w:tcPr>
          <w:p w14:paraId="4CCAA6D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4063E0B0"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1A4E6BEA"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4D8EAA4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586" w:type="dxa"/>
            <w:tcBorders>
              <w:top w:val="single" w:sz="4" w:space="0" w:color="auto"/>
              <w:left w:val="single" w:sz="4" w:space="0" w:color="auto"/>
              <w:bottom w:val="single" w:sz="4" w:space="0" w:color="auto"/>
              <w:right w:val="single" w:sz="4" w:space="0" w:color="auto"/>
            </w:tcBorders>
            <w:noWrap/>
            <w:hideMark/>
          </w:tcPr>
          <w:p w14:paraId="752831F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253</w:t>
            </w:r>
          </w:p>
        </w:tc>
        <w:tc>
          <w:tcPr>
            <w:tcW w:w="882" w:type="dxa"/>
            <w:tcBorders>
              <w:top w:val="single" w:sz="4" w:space="0" w:color="auto"/>
              <w:left w:val="single" w:sz="4" w:space="0" w:color="auto"/>
              <w:bottom w:val="single" w:sz="4" w:space="0" w:color="auto"/>
              <w:right w:val="single" w:sz="4" w:space="0" w:color="auto"/>
            </w:tcBorders>
            <w:noWrap/>
            <w:hideMark/>
          </w:tcPr>
          <w:p w14:paraId="2211194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3156</w:t>
            </w:r>
          </w:p>
        </w:tc>
        <w:tc>
          <w:tcPr>
            <w:tcW w:w="882" w:type="dxa"/>
            <w:tcBorders>
              <w:top w:val="single" w:sz="4" w:space="0" w:color="auto"/>
              <w:left w:val="single" w:sz="4" w:space="0" w:color="auto"/>
              <w:bottom w:val="single" w:sz="4" w:space="0" w:color="auto"/>
              <w:right w:val="single" w:sz="4" w:space="0" w:color="auto"/>
            </w:tcBorders>
            <w:noWrap/>
            <w:hideMark/>
          </w:tcPr>
          <w:p w14:paraId="0503CF7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988</w:t>
            </w:r>
          </w:p>
        </w:tc>
        <w:tc>
          <w:tcPr>
            <w:tcW w:w="882" w:type="dxa"/>
            <w:tcBorders>
              <w:top w:val="single" w:sz="4" w:space="0" w:color="auto"/>
              <w:left w:val="single" w:sz="4" w:space="0" w:color="auto"/>
              <w:bottom w:val="single" w:sz="4" w:space="0" w:color="auto"/>
              <w:right w:val="single" w:sz="4" w:space="0" w:color="auto"/>
            </w:tcBorders>
            <w:noWrap/>
            <w:hideMark/>
          </w:tcPr>
          <w:p w14:paraId="7E3B398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1818</w:t>
            </w:r>
          </w:p>
        </w:tc>
        <w:tc>
          <w:tcPr>
            <w:tcW w:w="882" w:type="dxa"/>
            <w:tcBorders>
              <w:top w:val="single" w:sz="4" w:space="0" w:color="auto"/>
              <w:left w:val="single" w:sz="4" w:space="0" w:color="auto"/>
              <w:bottom w:val="single" w:sz="4" w:space="0" w:color="auto"/>
              <w:right w:val="single" w:sz="4" w:space="0" w:color="auto"/>
            </w:tcBorders>
            <w:noWrap/>
            <w:hideMark/>
          </w:tcPr>
          <w:p w14:paraId="411A274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w:t>
            </w:r>
          </w:p>
        </w:tc>
        <w:tc>
          <w:tcPr>
            <w:tcW w:w="582" w:type="dxa"/>
            <w:tcBorders>
              <w:top w:val="single" w:sz="4" w:space="0" w:color="auto"/>
              <w:left w:val="single" w:sz="4" w:space="0" w:color="auto"/>
              <w:bottom w:val="single" w:sz="4" w:space="0" w:color="auto"/>
              <w:right w:val="single" w:sz="4" w:space="0" w:color="auto"/>
            </w:tcBorders>
            <w:noWrap/>
            <w:hideMark/>
          </w:tcPr>
          <w:p w14:paraId="23620D7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c>
          <w:tcPr>
            <w:tcW w:w="709" w:type="dxa"/>
            <w:tcBorders>
              <w:top w:val="single" w:sz="4" w:space="0" w:color="auto"/>
              <w:left w:val="single" w:sz="4" w:space="0" w:color="auto"/>
              <w:bottom w:val="single" w:sz="4" w:space="0" w:color="auto"/>
              <w:right w:val="single" w:sz="4" w:space="0" w:color="auto"/>
            </w:tcBorders>
            <w:noWrap/>
            <w:hideMark/>
          </w:tcPr>
          <w:p w14:paraId="03AC327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w:t>
            </w:r>
          </w:p>
        </w:tc>
        <w:tc>
          <w:tcPr>
            <w:tcW w:w="992" w:type="dxa"/>
            <w:tcBorders>
              <w:top w:val="single" w:sz="4" w:space="0" w:color="auto"/>
              <w:left w:val="single" w:sz="4" w:space="0" w:color="auto"/>
              <w:bottom w:val="single" w:sz="4" w:space="0" w:color="auto"/>
              <w:right w:val="single" w:sz="4" w:space="0" w:color="auto"/>
            </w:tcBorders>
            <w:hideMark/>
          </w:tcPr>
          <w:p w14:paraId="00184EE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805</w:t>
            </w:r>
          </w:p>
        </w:tc>
        <w:tc>
          <w:tcPr>
            <w:tcW w:w="993" w:type="dxa"/>
            <w:tcBorders>
              <w:top w:val="single" w:sz="4" w:space="0" w:color="auto"/>
              <w:left w:val="single" w:sz="4" w:space="0" w:color="auto"/>
              <w:bottom w:val="single" w:sz="4" w:space="0" w:color="auto"/>
              <w:right w:val="single" w:sz="4" w:space="0" w:color="auto"/>
            </w:tcBorders>
            <w:noWrap/>
            <w:hideMark/>
          </w:tcPr>
          <w:p w14:paraId="3F97C7B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2749</w:t>
            </w:r>
          </w:p>
        </w:tc>
        <w:tc>
          <w:tcPr>
            <w:tcW w:w="992" w:type="dxa"/>
            <w:tcBorders>
              <w:top w:val="single" w:sz="4" w:space="0" w:color="auto"/>
              <w:left w:val="single" w:sz="4" w:space="0" w:color="auto"/>
              <w:bottom w:val="single" w:sz="4" w:space="0" w:color="auto"/>
              <w:right w:val="single" w:sz="12" w:space="0" w:color="auto"/>
            </w:tcBorders>
            <w:noWrap/>
            <w:hideMark/>
          </w:tcPr>
          <w:p w14:paraId="3CD487A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06849A6F"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52AF986D"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35777B4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586" w:type="dxa"/>
            <w:tcBorders>
              <w:top w:val="single" w:sz="4" w:space="0" w:color="auto"/>
              <w:left w:val="single" w:sz="4" w:space="0" w:color="auto"/>
              <w:bottom w:val="single" w:sz="4" w:space="0" w:color="auto"/>
              <w:right w:val="single" w:sz="4" w:space="0" w:color="auto"/>
            </w:tcBorders>
            <w:noWrap/>
            <w:hideMark/>
          </w:tcPr>
          <w:p w14:paraId="43C1C31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223</w:t>
            </w:r>
          </w:p>
        </w:tc>
        <w:tc>
          <w:tcPr>
            <w:tcW w:w="882" w:type="dxa"/>
            <w:tcBorders>
              <w:top w:val="single" w:sz="4" w:space="0" w:color="auto"/>
              <w:left w:val="single" w:sz="4" w:space="0" w:color="auto"/>
              <w:bottom w:val="single" w:sz="4" w:space="0" w:color="auto"/>
              <w:right w:val="single" w:sz="4" w:space="0" w:color="auto"/>
            </w:tcBorders>
            <w:noWrap/>
            <w:hideMark/>
          </w:tcPr>
          <w:p w14:paraId="7B6610D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3187</w:t>
            </w:r>
          </w:p>
        </w:tc>
        <w:tc>
          <w:tcPr>
            <w:tcW w:w="882" w:type="dxa"/>
            <w:tcBorders>
              <w:top w:val="single" w:sz="4" w:space="0" w:color="auto"/>
              <w:left w:val="single" w:sz="4" w:space="0" w:color="auto"/>
              <w:bottom w:val="single" w:sz="4" w:space="0" w:color="auto"/>
              <w:right w:val="single" w:sz="4" w:space="0" w:color="auto"/>
            </w:tcBorders>
            <w:noWrap/>
            <w:hideMark/>
          </w:tcPr>
          <w:p w14:paraId="15A0C68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1062</w:t>
            </w:r>
          </w:p>
        </w:tc>
        <w:tc>
          <w:tcPr>
            <w:tcW w:w="882" w:type="dxa"/>
            <w:tcBorders>
              <w:top w:val="single" w:sz="4" w:space="0" w:color="auto"/>
              <w:left w:val="single" w:sz="4" w:space="0" w:color="auto"/>
              <w:bottom w:val="single" w:sz="4" w:space="0" w:color="auto"/>
              <w:right w:val="single" w:sz="4" w:space="0" w:color="auto"/>
            </w:tcBorders>
            <w:noWrap/>
            <w:hideMark/>
          </w:tcPr>
          <w:p w14:paraId="53ECC1F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1809</w:t>
            </w:r>
          </w:p>
        </w:tc>
        <w:tc>
          <w:tcPr>
            <w:tcW w:w="882" w:type="dxa"/>
            <w:tcBorders>
              <w:top w:val="single" w:sz="4" w:space="0" w:color="auto"/>
              <w:left w:val="single" w:sz="4" w:space="0" w:color="auto"/>
              <w:bottom w:val="single" w:sz="4" w:space="0" w:color="auto"/>
              <w:right w:val="single" w:sz="4" w:space="0" w:color="auto"/>
            </w:tcBorders>
            <w:noWrap/>
            <w:hideMark/>
          </w:tcPr>
          <w:p w14:paraId="3CDB19C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33</w:t>
            </w:r>
          </w:p>
        </w:tc>
        <w:tc>
          <w:tcPr>
            <w:tcW w:w="582" w:type="dxa"/>
            <w:tcBorders>
              <w:top w:val="single" w:sz="4" w:space="0" w:color="auto"/>
              <w:left w:val="single" w:sz="4" w:space="0" w:color="auto"/>
              <w:bottom w:val="single" w:sz="4" w:space="0" w:color="auto"/>
              <w:right w:val="single" w:sz="4" w:space="0" w:color="auto"/>
            </w:tcBorders>
            <w:noWrap/>
            <w:hideMark/>
          </w:tcPr>
          <w:p w14:paraId="3C78750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c>
          <w:tcPr>
            <w:tcW w:w="709" w:type="dxa"/>
            <w:tcBorders>
              <w:top w:val="single" w:sz="4" w:space="0" w:color="auto"/>
              <w:left w:val="single" w:sz="4" w:space="0" w:color="auto"/>
              <w:bottom w:val="single" w:sz="4" w:space="0" w:color="auto"/>
              <w:right w:val="single" w:sz="4" w:space="0" w:color="auto"/>
            </w:tcBorders>
            <w:noWrap/>
            <w:hideMark/>
          </w:tcPr>
          <w:p w14:paraId="742D8A6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w:t>
            </w:r>
          </w:p>
        </w:tc>
        <w:tc>
          <w:tcPr>
            <w:tcW w:w="992" w:type="dxa"/>
            <w:tcBorders>
              <w:top w:val="single" w:sz="4" w:space="0" w:color="auto"/>
              <w:left w:val="single" w:sz="4" w:space="0" w:color="auto"/>
              <w:bottom w:val="single" w:sz="4" w:space="0" w:color="auto"/>
              <w:right w:val="single" w:sz="4" w:space="0" w:color="auto"/>
            </w:tcBorders>
            <w:hideMark/>
          </w:tcPr>
          <w:p w14:paraId="122409A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843</w:t>
            </w:r>
          </w:p>
        </w:tc>
        <w:tc>
          <w:tcPr>
            <w:tcW w:w="993" w:type="dxa"/>
            <w:tcBorders>
              <w:top w:val="single" w:sz="4" w:space="0" w:color="auto"/>
              <w:left w:val="single" w:sz="4" w:space="0" w:color="auto"/>
              <w:bottom w:val="single" w:sz="4" w:space="0" w:color="auto"/>
              <w:right w:val="single" w:sz="4" w:space="0" w:color="auto"/>
            </w:tcBorders>
            <w:noWrap/>
            <w:hideMark/>
          </w:tcPr>
          <w:p w14:paraId="0B93435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2787</w:t>
            </w:r>
          </w:p>
        </w:tc>
        <w:tc>
          <w:tcPr>
            <w:tcW w:w="992" w:type="dxa"/>
            <w:tcBorders>
              <w:top w:val="single" w:sz="4" w:space="0" w:color="auto"/>
              <w:left w:val="single" w:sz="4" w:space="0" w:color="auto"/>
              <w:bottom w:val="single" w:sz="4" w:space="0" w:color="auto"/>
              <w:right w:val="single" w:sz="12" w:space="0" w:color="auto"/>
            </w:tcBorders>
            <w:noWrap/>
            <w:hideMark/>
          </w:tcPr>
          <w:p w14:paraId="2B8ACA6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0F5AFA8D"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282537D8"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36DC10B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586" w:type="dxa"/>
            <w:tcBorders>
              <w:top w:val="single" w:sz="4" w:space="0" w:color="auto"/>
              <w:left w:val="single" w:sz="4" w:space="0" w:color="auto"/>
              <w:bottom w:val="single" w:sz="4" w:space="0" w:color="auto"/>
              <w:right w:val="single" w:sz="4" w:space="0" w:color="auto"/>
            </w:tcBorders>
            <w:noWrap/>
            <w:hideMark/>
          </w:tcPr>
          <w:p w14:paraId="33792B1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228</w:t>
            </w:r>
          </w:p>
        </w:tc>
        <w:tc>
          <w:tcPr>
            <w:tcW w:w="882" w:type="dxa"/>
            <w:tcBorders>
              <w:top w:val="single" w:sz="4" w:space="0" w:color="auto"/>
              <w:left w:val="single" w:sz="4" w:space="0" w:color="auto"/>
              <w:bottom w:val="single" w:sz="4" w:space="0" w:color="auto"/>
              <w:right w:val="single" w:sz="4" w:space="0" w:color="auto"/>
            </w:tcBorders>
            <w:noWrap/>
            <w:hideMark/>
          </w:tcPr>
          <w:p w14:paraId="4A780F6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3247</w:t>
            </w:r>
          </w:p>
        </w:tc>
        <w:tc>
          <w:tcPr>
            <w:tcW w:w="882" w:type="dxa"/>
            <w:tcBorders>
              <w:top w:val="single" w:sz="4" w:space="0" w:color="auto"/>
              <w:left w:val="single" w:sz="4" w:space="0" w:color="auto"/>
              <w:bottom w:val="single" w:sz="4" w:space="0" w:color="auto"/>
              <w:right w:val="single" w:sz="4" w:space="0" w:color="auto"/>
            </w:tcBorders>
            <w:noWrap/>
            <w:hideMark/>
          </w:tcPr>
          <w:p w14:paraId="7AF4367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1111</w:t>
            </w:r>
          </w:p>
        </w:tc>
        <w:tc>
          <w:tcPr>
            <w:tcW w:w="882" w:type="dxa"/>
            <w:tcBorders>
              <w:top w:val="single" w:sz="4" w:space="0" w:color="auto"/>
              <w:left w:val="single" w:sz="4" w:space="0" w:color="auto"/>
              <w:bottom w:val="single" w:sz="4" w:space="0" w:color="auto"/>
              <w:right w:val="single" w:sz="4" w:space="0" w:color="auto"/>
            </w:tcBorders>
            <w:noWrap/>
            <w:hideMark/>
          </w:tcPr>
          <w:p w14:paraId="05DA4EB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1794</w:t>
            </w:r>
          </w:p>
        </w:tc>
        <w:tc>
          <w:tcPr>
            <w:tcW w:w="882" w:type="dxa"/>
            <w:tcBorders>
              <w:top w:val="single" w:sz="4" w:space="0" w:color="auto"/>
              <w:left w:val="single" w:sz="4" w:space="0" w:color="auto"/>
              <w:bottom w:val="single" w:sz="4" w:space="0" w:color="auto"/>
              <w:right w:val="single" w:sz="4" w:space="0" w:color="auto"/>
            </w:tcBorders>
            <w:noWrap/>
            <w:hideMark/>
          </w:tcPr>
          <w:p w14:paraId="230ABA7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43</w:t>
            </w:r>
          </w:p>
        </w:tc>
        <w:tc>
          <w:tcPr>
            <w:tcW w:w="582" w:type="dxa"/>
            <w:tcBorders>
              <w:top w:val="single" w:sz="4" w:space="0" w:color="auto"/>
              <w:left w:val="single" w:sz="4" w:space="0" w:color="auto"/>
              <w:bottom w:val="single" w:sz="4" w:space="0" w:color="auto"/>
              <w:right w:val="single" w:sz="4" w:space="0" w:color="auto"/>
            </w:tcBorders>
            <w:noWrap/>
            <w:hideMark/>
          </w:tcPr>
          <w:p w14:paraId="6D9F537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c>
          <w:tcPr>
            <w:tcW w:w="709" w:type="dxa"/>
            <w:tcBorders>
              <w:top w:val="single" w:sz="4" w:space="0" w:color="auto"/>
              <w:left w:val="single" w:sz="4" w:space="0" w:color="auto"/>
              <w:bottom w:val="single" w:sz="4" w:space="0" w:color="auto"/>
              <w:right w:val="single" w:sz="4" w:space="0" w:color="auto"/>
            </w:tcBorders>
            <w:noWrap/>
            <w:hideMark/>
          </w:tcPr>
          <w:p w14:paraId="14521B4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w:t>
            </w:r>
          </w:p>
        </w:tc>
        <w:tc>
          <w:tcPr>
            <w:tcW w:w="992" w:type="dxa"/>
            <w:tcBorders>
              <w:top w:val="single" w:sz="4" w:space="0" w:color="auto"/>
              <w:left w:val="single" w:sz="4" w:space="0" w:color="auto"/>
              <w:bottom w:val="single" w:sz="4" w:space="0" w:color="auto"/>
              <w:right w:val="single" w:sz="4" w:space="0" w:color="auto"/>
            </w:tcBorders>
            <w:hideMark/>
          </w:tcPr>
          <w:p w14:paraId="2CEE4AC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855</w:t>
            </w:r>
          </w:p>
        </w:tc>
        <w:tc>
          <w:tcPr>
            <w:tcW w:w="993" w:type="dxa"/>
            <w:tcBorders>
              <w:top w:val="single" w:sz="4" w:space="0" w:color="auto"/>
              <w:left w:val="single" w:sz="4" w:space="0" w:color="auto"/>
              <w:bottom w:val="single" w:sz="4" w:space="0" w:color="auto"/>
              <w:right w:val="single" w:sz="4" w:space="0" w:color="auto"/>
            </w:tcBorders>
            <w:noWrap/>
            <w:hideMark/>
          </w:tcPr>
          <w:p w14:paraId="4CB7FDD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2826</w:t>
            </w:r>
          </w:p>
        </w:tc>
        <w:tc>
          <w:tcPr>
            <w:tcW w:w="992" w:type="dxa"/>
            <w:tcBorders>
              <w:top w:val="single" w:sz="4" w:space="0" w:color="auto"/>
              <w:left w:val="single" w:sz="4" w:space="0" w:color="auto"/>
              <w:bottom w:val="single" w:sz="4" w:space="0" w:color="auto"/>
              <w:right w:val="single" w:sz="12" w:space="0" w:color="auto"/>
            </w:tcBorders>
            <w:noWrap/>
            <w:hideMark/>
          </w:tcPr>
          <w:p w14:paraId="49925F3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5FFD68E7"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304AB097"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3C6561A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586" w:type="dxa"/>
            <w:tcBorders>
              <w:top w:val="single" w:sz="4" w:space="0" w:color="auto"/>
              <w:left w:val="single" w:sz="4" w:space="0" w:color="auto"/>
              <w:bottom w:val="single" w:sz="4" w:space="0" w:color="auto"/>
              <w:right w:val="single" w:sz="4" w:space="0" w:color="auto"/>
            </w:tcBorders>
            <w:noWrap/>
            <w:hideMark/>
          </w:tcPr>
          <w:p w14:paraId="185F2FF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235</w:t>
            </w:r>
          </w:p>
        </w:tc>
        <w:tc>
          <w:tcPr>
            <w:tcW w:w="882" w:type="dxa"/>
            <w:tcBorders>
              <w:top w:val="single" w:sz="4" w:space="0" w:color="auto"/>
              <w:left w:val="single" w:sz="4" w:space="0" w:color="auto"/>
              <w:bottom w:val="single" w:sz="4" w:space="0" w:color="auto"/>
              <w:right w:val="single" w:sz="4" w:space="0" w:color="auto"/>
            </w:tcBorders>
            <w:noWrap/>
            <w:hideMark/>
          </w:tcPr>
          <w:p w14:paraId="16C0AFD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3271</w:t>
            </w:r>
          </w:p>
        </w:tc>
        <w:tc>
          <w:tcPr>
            <w:tcW w:w="882" w:type="dxa"/>
            <w:tcBorders>
              <w:top w:val="single" w:sz="4" w:space="0" w:color="auto"/>
              <w:left w:val="single" w:sz="4" w:space="0" w:color="auto"/>
              <w:bottom w:val="single" w:sz="4" w:space="0" w:color="auto"/>
              <w:right w:val="single" w:sz="4" w:space="0" w:color="auto"/>
            </w:tcBorders>
            <w:noWrap/>
            <w:hideMark/>
          </w:tcPr>
          <w:p w14:paraId="7927788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1173</w:t>
            </w:r>
          </w:p>
        </w:tc>
        <w:tc>
          <w:tcPr>
            <w:tcW w:w="882" w:type="dxa"/>
            <w:tcBorders>
              <w:top w:val="single" w:sz="4" w:space="0" w:color="auto"/>
              <w:left w:val="single" w:sz="4" w:space="0" w:color="auto"/>
              <w:bottom w:val="single" w:sz="4" w:space="0" w:color="auto"/>
              <w:right w:val="single" w:sz="4" w:space="0" w:color="auto"/>
            </w:tcBorders>
            <w:noWrap/>
            <w:hideMark/>
          </w:tcPr>
          <w:p w14:paraId="7A483C5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1786</w:t>
            </w:r>
          </w:p>
        </w:tc>
        <w:tc>
          <w:tcPr>
            <w:tcW w:w="882" w:type="dxa"/>
            <w:tcBorders>
              <w:top w:val="single" w:sz="4" w:space="0" w:color="auto"/>
              <w:left w:val="single" w:sz="4" w:space="0" w:color="auto"/>
              <w:bottom w:val="single" w:sz="4" w:space="0" w:color="auto"/>
              <w:right w:val="single" w:sz="4" w:space="0" w:color="auto"/>
            </w:tcBorders>
            <w:noWrap/>
            <w:hideMark/>
          </w:tcPr>
          <w:p w14:paraId="4040D44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53</w:t>
            </w:r>
          </w:p>
        </w:tc>
        <w:tc>
          <w:tcPr>
            <w:tcW w:w="582" w:type="dxa"/>
            <w:tcBorders>
              <w:top w:val="single" w:sz="4" w:space="0" w:color="auto"/>
              <w:left w:val="single" w:sz="4" w:space="0" w:color="auto"/>
              <w:bottom w:val="single" w:sz="4" w:space="0" w:color="auto"/>
              <w:right w:val="single" w:sz="4" w:space="0" w:color="auto"/>
            </w:tcBorders>
            <w:noWrap/>
            <w:hideMark/>
          </w:tcPr>
          <w:p w14:paraId="121C00C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c>
          <w:tcPr>
            <w:tcW w:w="709" w:type="dxa"/>
            <w:tcBorders>
              <w:top w:val="single" w:sz="4" w:space="0" w:color="auto"/>
              <w:left w:val="single" w:sz="4" w:space="0" w:color="auto"/>
              <w:bottom w:val="single" w:sz="4" w:space="0" w:color="auto"/>
              <w:right w:val="single" w:sz="4" w:space="0" w:color="auto"/>
            </w:tcBorders>
            <w:noWrap/>
            <w:hideMark/>
          </w:tcPr>
          <w:p w14:paraId="5755D3F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w:t>
            </w:r>
          </w:p>
        </w:tc>
        <w:tc>
          <w:tcPr>
            <w:tcW w:w="992" w:type="dxa"/>
            <w:tcBorders>
              <w:top w:val="single" w:sz="4" w:space="0" w:color="auto"/>
              <w:left w:val="single" w:sz="4" w:space="0" w:color="auto"/>
              <w:bottom w:val="single" w:sz="4" w:space="0" w:color="auto"/>
              <w:right w:val="single" w:sz="4" w:space="0" w:color="auto"/>
            </w:tcBorders>
            <w:hideMark/>
          </w:tcPr>
          <w:p w14:paraId="12B17B2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869</w:t>
            </w:r>
          </w:p>
        </w:tc>
        <w:tc>
          <w:tcPr>
            <w:tcW w:w="993" w:type="dxa"/>
            <w:tcBorders>
              <w:top w:val="single" w:sz="4" w:space="0" w:color="auto"/>
              <w:left w:val="single" w:sz="4" w:space="0" w:color="auto"/>
              <w:bottom w:val="single" w:sz="4" w:space="0" w:color="auto"/>
              <w:right w:val="single" w:sz="4" w:space="0" w:color="auto"/>
            </w:tcBorders>
            <w:noWrap/>
            <w:hideMark/>
          </w:tcPr>
          <w:p w14:paraId="3DCD770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2872</w:t>
            </w:r>
          </w:p>
        </w:tc>
        <w:tc>
          <w:tcPr>
            <w:tcW w:w="992" w:type="dxa"/>
            <w:tcBorders>
              <w:top w:val="single" w:sz="4" w:space="0" w:color="auto"/>
              <w:left w:val="single" w:sz="4" w:space="0" w:color="auto"/>
              <w:bottom w:val="single" w:sz="4" w:space="0" w:color="auto"/>
              <w:right w:val="single" w:sz="12" w:space="0" w:color="auto"/>
            </w:tcBorders>
            <w:noWrap/>
            <w:hideMark/>
          </w:tcPr>
          <w:p w14:paraId="0E5B4F4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55AE98BB"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17AE4767"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13F5F9F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586" w:type="dxa"/>
            <w:tcBorders>
              <w:top w:val="single" w:sz="4" w:space="0" w:color="auto"/>
              <w:left w:val="single" w:sz="4" w:space="0" w:color="auto"/>
              <w:bottom w:val="single" w:sz="4" w:space="0" w:color="auto"/>
              <w:right w:val="single" w:sz="4" w:space="0" w:color="auto"/>
            </w:tcBorders>
            <w:noWrap/>
            <w:hideMark/>
          </w:tcPr>
          <w:p w14:paraId="5E83070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246</w:t>
            </w:r>
          </w:p>
        </w:tc>
        <w:tc>
          <w:tcPr>
            <w:tcW w:w="882" w:type="dxa"/>
            <w:tcBorders>
              <w:top w:val="single" w:sz="4" w:space="0" w:color="auto"/>
              <w:left w:val="single" w:sz="4" w:space="0" w:color="auto"/>
              <w:bottom w:val="single" w:sz="4" w:space="0" w:color="auto"/>
              <w:right w:val="single" w:sz="4" w:space="0" w:color="auto"/>
            </w:tcBorders>
            <w:noWrap/>
            <w:hideMark/>
          </w:tcPr>
          <w:p w14:paraId="63B1FF1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3310</w:t>
            </w:r>
          </w:p>
        </w:tc>
        <w:tc>
          <w:tcPr>
            <w:tcW w:w="882" w:type="dxa"/>
            <w:tcBorders>
              <w:top w:val="single" w:sz="4" w:space="0" w:color="auto"/>
              <w:left w:val="single" w:sz="4" w:space="0" w:color="auto"/>
              <w:bottom w:val="single" w:sz="4" w:space="0" w:color="auto"/>
              <w:right w:val="single" w:sz="4" w:space="0" w:color="auto"/>
            </w:tcBorders>
            <w:noWrap/>
            <w:hideMark/>
          </w:tcPr>
          <w:p w14:paraId="3E9339B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1237</w:t>
            </w:r>
          </w:p>
        </w:tc>
        <w:tc>
          <w:tcPr>
            <w:tcW w:w="882" w:type="dxa"/>
            <w:tcBorders>
              <w:top w:val="single" w:sz="4" w:space="0" w:color="auto"/>
              <w:left w:val="single" w:sz="4" w:space="0" w:color="auto"/>
              <w:bottom w:val="single" w:sz="4" w:space="0" w:color="auto"/>
              <w:right w:val="single" w:sz="4" w:space="0" w:color="auto"/>
            </w:tcBorders>
            <w:noWrap/>
            <w:hideMark/>
          </w:tcPr>
          <w:p w14:paraId="311A1C1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1766</w:t>
            </w:r>
          </w:p>
        </w:tc>
        <w:tc>
          <w:tcPr>
            <w:tcW w:w="882" w:type="dxa"/>
            <w:tcBorders>
              <w:top w:val="single" w:sz="4" w:space="0" w:color="auto"/>
              <w:left w:val="single" w:sz="4" w:space="0" w:color="auto"/>
              <w:bottom w:val="single" w:sz="4" w:space="0" w:color="auto"/>
              <w:right w:val="single" w:sz="4" w:space="0" w:color="auto"/>
            </w:tcBorders>
            <w:noWrap/>
            <w:hideMark/>
          </w:tcPr>
          <w:p w14:paraId="51B371F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63</w:t>
            </w:r>
          </w:p>
        </w:tc>
        <w:tc>
          <w:tcPr>
            <w:tcW w:w="582" w:type="dxa"/>
            <w:tcBorders>
              <w:top w:val="single" w:sz="4" w:space="0" w:color="auto"/>
              <w:left w:val="single" w:sz="4" w:space="0" w:color="auto"/>
              <w:bottom w:val="single" w:sz="4" w:space="0" w:color="auto"/>
              <w:right w:val="single" w:sz="4" w:space="0" w:color="auto"/>
            </w:tcBorders>
            <w:noWrap/>
            <w:hideMark/>
          </w:tcPr>
          <w:p w14:paraId="6C272C7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c>
          <w:tcPr>
            <w:tcW w:w="709" w:type="dxa"/>
            <w:tcBorders>
              <w:top w:val="single" w:sz="4" w:space="0" w:color="auto"/>
              <w:left w:val="single" w:sz="4" w:space="0" w:color="auto"/>
              <w:bottom w:val="single" w:sz="4" w:space="0" w:color="auto"/>
              <w:right w:val="single" w:sz="4" w:space="0" w:color="auto"/>
            </w:tcBorders>
            <w:noWrap/>
            <w:hideMark/>
          </w:tcPr>
          <w:p w14:paraId="35E21CD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w:t>
            </w:r>
          </w:p>
        </w:tc>
        <w:tc>
          <w:tcPr>
            <w:tcW w:w="992" w:type="dxa"/>
            <w:tcBorders>
              <w:top w:val="single" w:sz="4" w:space="0" w:color="auto"/>
              <w:left w:val="single" w:sz="4" w:space="0" w:color="auto"/>
              <w:bottom w:val="single" w:sz="4" w:space="0" w:color="auto"/>
              <w:right w:val="single" w:sz="4" w:space="0" w:color="auto"/>
            </w:tcBorders>
            <w:hideMark/>
          </w:tcPr>
          <w:p w14:paraId="3E781EF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881</w:t>
            </w:r>
          </w:p>
        </w:tc>
        <w:tc>
          <w:tcPr>
            <w:tcW w:w="993" w:type="dxa"/>
            <w:tcBorders>
              <w:top w:val="single" w:sz="4" w:space="0" w:color="auto"/>
              <w:left w:val="single" w:sz="4" w:space="0" w:color="auto"/>
              <w:bottom w:val="single" w:sz="4" w:space="0" w:color="auto"/>
              <w:right w:val="single" w:sz="4" w:space="0" w:color="auto"/>
            </w:tcBorders>
            <w:noWrap/>
            <w:hideMark/>
          </w:tcPr>
          <w:p w14:paraId="2148EDE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2920</w:t>
            </w:r>
          </w:p>
        </w:tc>
        <w:tc>
          <w:tcPr>
            <w:tcW w:w="992" w:type="dxa"/>
            <w:tcBorders>
              <w:top w:val="single" w:sz="4" w:space="0" w:color="auto"/>
              <w:left w:val="single" w:sz="4" w:space="0" w:color="auto"/>
              <w:bottom w:val="single" w:sz="4" w:space="0" w:color="auto"/>
              <w:right w:val="single" w:sz="12" w:space="0" w:color="auto"/>
            </w:tcBorders>
            <w:noWrap/>
            <w:hideMark/>
          </w:tcPr>
          <w:p w14:paraId="05DBA0A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2901F170"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26262004"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1FA70A6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586" w:type="dxa"/>
            <w:tcBorders>
              <w:top w:val="single" w:sz="4" w:space="0" w:color="auto"/>
              <w:left w:val="single" w:sz="4" w:space="0" w:color="auto"/>
              <w:bottom w:val="single" w:sz="4" w:space="0" w:color="auto"/>
              <w:right w:val="single" w:sz="4" w:space="0" w:color="auto"/>
            </w:tcBorders>
            <w:noWrap/>
            <w:hideMark/>
          </w:tcPr>
          <w:p w14:paraId="6645E54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253</w:t>
            </w:r>
          </w:p>
        </w:tc>
        <w:tc>
          <w:tcPr>
            <w:tcW w:w="882" w:type="dxa"/>
            <w:tcBorders>
              <w:top w:val="single" w:sz="4" w:space="0" w:color="auto"/>
              <w:left w:val="single" w:sz="4" w:space="0" w:color="auto"/>
              <w:bottom w:val="single" w:sz="4" w:space="0" w:color="auto"/>
              <w:right w:val="single" w:sz="4" w:space="0" w:color="auto"/>
            </w:tcBorders>
            <w:noWrap/>
            <w:hideMark/>
          </w:tcPr>
          <w:p w14:paraId="227AD8C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3328</w:t>
            </w:r>
          </w:p>
        </w:tc>
        <w:tc>
          <w:tcPr>
            <w:tcW w:w="882" w:type="dxa"/>
            <w:tcBorders>
              <w:top w:val="single" w:sz="4" w:space="0" w:color="auto"/>
              <w:left w:val="single" w:sz="4" w:space="0" w:color="auto"/>
              <w:bottom w:val="single" w:sz="4" w:space="0" w:color="auto"/>
              <w:right w:val="single" w:sz="4" w:space="0" w:color="auto"/>
            </w:tcBorders>
            <w:noWrap/>
            <w:hideMark/>
          </w:tcPr>
          <w:p w14:paraId="5DDAEBE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1310</w:t>
            </w:r>
          </w:p>
        </w:tc>
        <w:tc>
          <w:tcPr>
            <w:tcW w:w="882" w:type="dxa"/>
            <w:tcBorders>
              <w:top w:val="single" w:sz="4" w:space="0" w:color="auto"/>
              <w:left w:val="single" w:sz="4" w:space="0" w:color="auto"/>
              <w:bottom w:val="single" w:sz="4" w:space="0" w:color="auto"/>
              <w:right w:val="single" w:sz="4" w:space="0" w:color="auto"/>
            </w:tcBorders>
            <w:noWrap/>
            <w:hideMark/>
          </w:tcPr>
          <w:p w14:paraId="329A1F0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1755</w:t>
            </w:r>
          </w:p>
        </w:tc>
        <w:tc>
          <w:tcPr>
            <w:tcW w:w="882" w:type="dxa"/>
            <w:tcBorders>
              <w:top w:val="single" w:sz="4" w:space="0" w:color="auto"/>
              <w:left w:val="single" w:sz="4" w:space="0" w:color="auto"/>
              <w:bottom w:val="single" w:sz="4" w:space="0" w:color="auto"/>
              <w:right w:val="single" w:sz="4" w:space="0" w:color="auto"/>
            </w:tcBorders>
            <w:noWrap/>
            <w:hideMark/>
          </w:tcPr>
          <w:p w14:paraId="5DA4CB9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73</w:t>
            </w:r>
          </w:p>
        </w:tc>
        <w:tc>
          <w:tcPr>
            <w:tcW w:w="582" w:type="dxa"/>
            <w:tcBorders>
              <w:top w:val="single" w:sz="4" w:space="0" w:color="auto"/>
              <w:left w:val="single" w:sz="4" w:space="0" w:color="auto"/>
              <w:bottom w:val="single" w:sz="4" w:space="0" w:color="auto"/>
              <w:right w:val="single" w:sz="4" w:space="0" w:color="auto"/>
            </w:tcBorders>
            <w:noWrap/>
            <w:hideMark/>
          </w:tcPr>
          <w:p w14:paraId="1622883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c>
          <w:tcPr>
            <w:tcW w:w="709" w:type="dxa"/>
            <w:tcBorders>
              <w:top w:val="single" w:sz="4" w:space="0" w:color="auto"/>
              <w:left w:val="single" w:sz="4" w:space="0" w:color="auto"/>
              <w:bottom w:val="single" w:sz="4" w:space="0" w:color="auto"/>
              <w:right w:val="single" w:sz="4" w:space="0" w:color="auto"/>
            </w:tcBorders>
            <w:noWrap/>
            <w:hideMark/>
          </w:tcPr>
          <w:p w14:paraId="45CF85B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w:t>
            </w:r>
          </w:p>
        </w:tc>
        <w:tc>
          <w:tcPr>
            <w:tcW w:w="992" w:type="dxa"/>
            <w:tcBorders>
              <w:top w:val="single" w:sz="4" w:space="0" w:color="auto"/>
              <w:left w:val="single" w:sz="4" w:space="0" w:color="auto"/>
              <w:bottom w:val="single" w:sz="4" w:space="0" w:color="auto"/>
              <w:right w:val="single" w:sz="4" w:space="0" w:color="auto"/>
            </w:tcBorders>
            <w:hideMark/>
          </w:tcPr>
          <w:p w14:paraId="45495CA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887</w:t>
            </w:r>
          </w:p>
        </w:tc>
        <w:tc>
          <w:tcPr>
            <w:tcW w:w="993" w:type="dxa"/>
            <w:tcBorders>
              <w:top w:val="single" w:sz="4" w:space="0" w:color="auto"/>
              <w:left w:val="single" w:sz="4" w:space="0" w:color="auto"/>
              <w:bottom w:val="single" w:sz="4" w:space="0" w:color="auto"/>
              <w:right w:val="single" w:sz="4" w:space="0" w:color="auto"/>
            </w:tcBorders>
            <w:noWrap/>
            <w:hideMark/>
          </w:tcPr>
          <w:p w14:paraId="2A743BB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2971</w:t>
            </w:r>
          </w:p>
        </w:tc>
        <w:tc>
          <w:tcPr>
            <w:tcW w:w="992" w:type="dxa"/>
            <w:tcBorders>
              <w:top w:val="single" w:sz="4" w:space="0" w:color="auto"/>
              <w:left w:val="single" w:sz="4" w:space="0" w:color="auto"/>
              <w:bottom w:val="single" w:sz="4" w:space="0" w:color="auto"/>
              <w:right w:val="single" w:sz="12" w:space="0" w:color="auto"/>
            </w:tcBorders>
            <w:noWrap/>
            <w:hideMark/>
          </w:tcPr>
          <w:p w14:paraId="482405D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5EAFB55E"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4A981CB8"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4892A02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586" w:type="dxa"/>
            <w:tcBorders>
              <w:top w:val="single" w:sz="4" w:space="0" w:color="auto"/>
              <w:left w:val="single" w:sz="4" w:space="0" w:color="auto"/>
              <w:bottom w:val="single" w:sz="4" w:space="0" w:color="auto"/>
              <w:right w:val="single" w:sz="4" w:space="0" w:color="auto"/>
            </w:tcBorders>
            <w:noWrap/>
            <w:hideMark/>
          </w:tcPr>
          <w:p w14:paraId="3C17B65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299</w:t>
            </w:r>
          </w:p>
        </w:tc>
        <w:tc>
          <w:tcPr>
            <w:tcW w:w="882" w:type="dxa"/>
            <w:tcBorders>
              <w:top w:val="single" w:sz="4" w:space="0" w:color="auto"/>
              <w:left w:val="single" w:sz="4" w:space="0" w:color="auto"/>
              <w:bottom w:val="single" w:sz="4" w:space="0" w:color="auto"/>
              <w:right w:val="single" w:sz="4" w:space="0" w:color="auto"/>
            </w:tcBorders>
            <w:noWrap/>
            <w:hideMark/>
          </w:tcPr>
          <w:p w14:paraId="74B9FE5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3429</w:t>
            </w:r>
          </w:p>
        </w:tc>
        <w:tc>
          <w:tcPr>
            <w:tcW w:w="882" w:type="dxa"/>
            <w:tcBorders>
              <w:top w:val="single" w:sz="4" w:space="0" w:color="auto"/>
              <w:left w:val="single" w:sz="4" w:space="0" w:color="auto"/>
              <w:bottom w:val="single" w:sz="4" w:space="0" w:color="auto"/>
              <w:right w:val="single" w:sz="4" w:space="0" w:color="auto"/>
            </w:tcBorders>
            <w:noWrap/>
            <w:hideMark/>
          </w:tcPr>
          <w:p w14:paraId="1E5F434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1623</w:t>
            </w:r>
          </w:p>
        </w:tc>
        <w:tc>
          <w:tcPr>
            <w:tcW w:w="882" w:type="dxa"/>
            <w:tcBorders>
              <w:top w:val="single" w:sz="4" w:space="0" w:color="auto"/>
              <w:left w:val="single" w:sz="4" w:space="0" w:color="auto"/>
              <w:bottom w:val="single" w:sz="4" w:space="0" w:color="auto"/>
              <w:right w:val="single" w:sz="4" w:space="0" w:color="auto"/>
            </w:tcBorders>
            <w:noWrap/>
            <w:hideMark/>
          </w:tcPr>
          <w:p w14:paraId="47A57F7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1687</w:t>
            </w:r>
          </w:p>
        </w:tc>
        <w:tc>
          <w:tcPr>
            <w:tcW w:w="882" w:type="dxa"/>
            <w:tcBorders>
              <w:top w:val="single" w:sz="4" w:space="0" w:color="auto"/>
              <w:left w:val="single" w:sz="4" w:space="0" w:color="auto"/>
              <w:bottom w:val="single" w:sz="4" w:space="0" w:color="auto"/>
              <w:right w:val="single" w:sz="4" w:space="0" w:color="auto"/>
            </w:tcBorders>
            <w:noWrap/>
            <w:hideMark/>
          </w:tcPr>
          <w:p w14:paraId="3317F5A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78</w:t>
            </w:r>
          </w:p>
        </w:tc>
        <w:tc>
          <w:tcPr>
            <w:tcW w:w="582" w:type="dxa"/>
            <w:tcBorders>
              <w:top w:val="single" w:sz="4" w:space="0" w:color="auto"/>
              <w:left w:val="single" w:sz="4" w:space="0" w:color="auto"/>
              <w:bottom w:val="single" w:sz="4" w:space="0" w:color="auto"/>
              <w:right w:val="single" w:sz="4" w:space="0" w:color="auto"/>
            </w:tcBorders>
            <w:noWrap/>
            <w:hideMark/>
          </w:tcPr>
          <w:p w14:paraId="393830C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c>
          <w:tcPr>
            <w:tcW w:w="709" w:type="dxa"/>
            <w:tcBorders>
              <w:top w:val="single" w:sz="4" w:space="0" w:color="auto"/>
              <w:left w:val="single" w:sz="4" w:space="0" w:color="auto"/>
              <w:bottom w:val="single" w:sz="4" w:space="0" w:color="auto"/>
              <w:right w:val="single" w:sz="4" w:space="0" w:color="auto"/>
            </w:tcBorders>
            <w:noWrap/>
            <w:hideMark/>
          </w:tcPr>
          <w:p w14:paraId="3BB4411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w:t>
            </w:r>
          </w:p>
        </w:tc>
        <w:tc>
          <w:tcPr>
            <w:tcW w:w="992" w:type="dxa"/>
            <w:tcBorders>
              <w:top w:val="single" w:sz="4" w:space="0" w:color="auto"/>
              <w:left w:val="single" w:sz="4" w:space="0" w:color="auto"/>
              <w:bottom w:val="single" w:sz="4" w:space="0" w:color="auto"/>
              <w:right w:val="single" w:sz="4" w:space="0" w:color="auto"/>
            </w:tcBorders>
            <w:hideMark/>
          </w:tcPr>
          <w:p w14:paraId="0D31364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865</w:t>
            </w:r>
          </w:p>
        </w:tc>
        <w:tc>
          <w:tcPr>
            <w:tcW w:w="993" w:type="dxa"/>
            <w:tcBorders>
              <w:top w:val="single" w:sz="4" w:space="0" w:color="auto"/>
              <w:left w:val="single" w:sz="4" w:space="0" w:color="auto"/>
              <w:bottom w:val="single" w:sz="4" w:space="0" w:color="auto"/>
              <w:right w:val="single" w:sz="4" w:space="0" w:color="auto"/>
            </w:tcBorders>
            <w:noWrap/>
            <w:hideMark/>
          </w:tcPr>
          <w:p w14:paraId="33FBA9A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3122</w:t>
            </w:r>
          </w:p>
        </w:tc>
        <w:tc>
          <w:tcPr>
            <w:tcW w:w="992" w:type="dxa"/>
            <w:tcBorders>
              <w:top w:val="single" w:sz="4" w:space="0" w:color="auto"/>
              <w:left w:val="single" w:sz="4" w:space="0" w:color="auto"/>
              <w:bottom w:val="single" w:sz="4" w:space="0" w:color="auto"/>
              <w:right w:val="single" w:sz="12" w:space="0" w:color="auto"/>
            </w:tcBorders>
            <w:noWrap/>
            <w:hideMark/>
          </w:tcPr>
          <w:p w14:paraId="58A8CC3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37BB03F0"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15CDD15C"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13E573B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586" w:type="dxa"/>
            <w:tcBorders>
              <w:top w:val="single" w:sz="4" w:space="0" w:color="auto"/>
              <w:left w:val="single" w:sz="4" w:space="0" w:color="auto"/>
              <w:bottom w:val="single" w:sz="4" w:space="0" w:color="auto"/>
              <w:right w:val="single" w:sz="4" w:space="0" w:color="auto"/>
            </w:tcBorders>
            <w:noWrap/>
            <w:hideMark/>
          </w:tcPr>
          <w:p w14:paraId="6494FD4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336</w:t>
            </w:r>
          </w:p>
        </w:tc>
        <w:tc>
          <w:tcPr>
            <w:tcW w:w="882" w:type="dxa"/>
            <w:tcBorders>
              <w:top w:val="single" w:sz="4" w:space="0" w:color="auto"/>
              <w:left w:val="single" w:sz="4" w:space="0" w:color="auto"/>
              <w:bottom w:val="single" w:sz="4" w:space="0" w:color="auto"/>
              <w:right w:val="single" w:sz="4" w:space="0" w:color="auto"/>
            </w:tcBorders>
            <w:noWrap/>
            <w:hideMark/>
          </w:tcPr>
          <w:p w14:paraId="42C5B02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3716</w:t>
            </w:r>
          </w:p>
        </w:tc>
        <w:tc>
          <w:tcPr>
            <w:tcW w:w="882" w:type="dxa"/>
            <w:tcBorders>
              <w:top w:val="single" w:sz="4" w:space="0" w:color="auto"/>
              <w:left w:val="single" w:sz="4" w:space="0" w:color="auto"/>
              <w:bottom w:val="single" w:sz="4" w:space="0" w:color="auto"/>
              <w:right w:val="single" w:sz="4" w:space="0" w:color="auto"/>
            </w:tcBorders>
            <w:noWrap/>
            <w:hideMark/>
          </w:tcPr>
          <w:p w14:paraId="350307A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1842</w:t>
            </w:r>
          </w:p>
        </w:tc>
        <w:tc>
          <w:tcPr>
            <w:tcW w:w="882" w:type="dxa"/>
            <w:tcBorders>
              <w:top w:val="single" w:sz="4" w:space="0" w:color="auto"/>
              <w:left w:val="single" w:sz="4" w:space="0" w:color="auto"/>
              <w:bottom w:val="single" w:sz="4" w:space="0" w:color="auto"/>
              <w:right w:val="single" w:sz="4" w:space="0" w:color="auto"/>
            </w:tcBorders>
            <w:noWrap/>
            <w:hideMark/>
          </w:tcPr>
          <w:p w14:paraId="504982C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1554</w:t>
            </w:r>
          </w:p>
        </w:tc>
        <w:tc>
          <w:tcPr>
            <w:tcW w:w="882" w:type="dxa"/>
            <w:tcBorders>
              <w:top w:val="single" w:sz="4" w:space="0" w:color="auto"/>
              <w:left w:val="single" w:sz="4" w:space="0" w:color="auto"/>
              <w:bottom w:val="single" w:sz="4" w:space="0" w:color="auto"/>
              <w:right w:val="single" w:sz="4" w:space="0" w:color="auto"/>
            </w:tcBorders>
            <w:noWrap/>
            <w:hideMark/>
          </w:tcPr>
          <w:p w14:paraId="2F2C23A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84</w:t>
            </w:r>
          </w:p>
        </w:tc>
        <w:tc>
          <w:tcPr>
            <w:tcW w:w="582" w:type="dxa"/>
            <w:tcBorders>
              <w:top w:val="single" w:sz="4" w:space="0" w:color="auto"/>
              <w:left w:val="single" w:sz="4" w:space="0" w:color="auto"/>
              <w:bottom w:val="single" w:sz="4" w:space="0" w:color="auto"/>
              <w:right w:val="single" w:sz="4" w:space="0" w:color="auto"/>
            </w:tcBorders>
            <w:noWrap/>
            <w:hideMark/>
          </w:tcPr>
          <w:p w14:paraId="4B6193F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c>
          <w:tcPr>
            <w:tcW w:w="709" w:type="dxa"/>
            <w:tcBorders>
              <w:top w:val="single" w:sz="4" w:space="0" w:color="auto"/>
              <w:left w:val="single" w:sz="4" w:space="0" w:color="auto"/>
              <w:bottom w:val="single" w:sz="4" w:space="0" w:color="auto"/>
              <w:right w:val="single" w:sz="4" w:space="0" w:color="auto"/>
            </w:tcBorders>
            <w:noWrap/>
            <w:hideMark/>
          </w:tcPr>
          <w:p w14:paraId="7975543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w:t>
            </w:r>
          </w:p>
        </w:tc>
        <w:tc>
          <w:tcPr>
            <w:tcW w:w="992" w:type="dxa"/>
            <w:tcBorders>
              <w:top w:val="single" w:sz="4" w:space="0" w:color="auto"/>
              <w:left w:val="single" w:sz="4" w:space="0" w:color="auto"/>
              <w:bottom w:val="single" w:sz="4" w:space="0" w:color="auto"/>
              <w:right w:val="single" w:sz="4" w:space="0" w:color="auto"/>
            </w:tcBorders>
            <w:hideMark/>
          </w:tcPr>
          <w:p w14:paraId="252C059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879</w:t>
            </w:r>
          </w:p>
        </w:tc>
        <w:tc>
          <w:tcPr>
            <w:tcW w:w="993" w:type="dxa"/>
            <w:tcBorders>
              <w:top w:val="single" w:sz="4" w:space="0" w:color="auto"/>
              <w:left w:val="single" w:sz="4" w:space="0" w:color="auto"/>
              <w:bottom w:val="single" w:sz="4" w:space="0" w:color="auto"/>
              <w:right w:val="single" w:sz="4" w:space="0" w:color="auto"/>
            </w:tcBorders>
            <w:noWrap/>
            <w:hideMark/>
          </w:tcPr>
          <w:p w14:paraId="24DF3C6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3306</w:t>
            </w:r>
          </w:p>
        </w:tc>
        <w:tc>
          <w:tcPr>
            <w:tcW w:w="992" w:type="dxa"/>
            <w:tcBorders>
              <w:top w:val="single" w:sz="4" w:space="0" w:color="auto"/>
              <w:left w:val="single" w:sz="4" w:space="0" w:color="auto"/>
              <w:bottom w:val="single" w:sz="4" w:space="0" w:color="auto"/>
              <w:right w:val="single" w:sz="12" w:space="0" w:color="auto"/>
            </w:tcBorders>
            <w:noWrap/>
            <w:hideMark/>
          </w:tcPr>
          <w:p w14:paraId="231D57B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1F1007D8"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1C92DCB7"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492A19B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586" w:type="dxa"/>
            <w:tcBorders>
              <w:top w:val="single" w:sz="4" w:space="0" w:color="auto"/>
              <w:left w:val="single" w:sz="4" w:space="0" w:color="auto"/>
              <w:bottom w:val="single" w:sz="4" w:space="0" w:color="auto"/>
              <w:right w:val="single" w:sz="4" w:space="0" w:color="auto"/>
            </w:tcBorders>
            <w:noWrap/>
            <w:hideMark/>
          </w:tcPr>
          <w:p w14:paraId="6F2A6FE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339</w:t>
            </w:r>
          </w:p>
        </w:tc>
        <w:tc>
          <w:tcPr>
            <w:tcW w:w="882" w:type="dxa"/>
            <w:tcBorders>
              <w:top w:val="single" w:sz="4" w:space="0" w:color="auto"/>
              <w:left w:val="single" w:sz="4" w:space="0" w:color="auto"/>
              <w:bottom w:val="single" w:sz="4" w:space="0" w:color="auto"/>
              <w:right w:val="single" w:sz="4" w:space="0" w:color="auto"/>
            </w:tcBorders>
            <w:noWrap/>
            <w:hideMark/>
          </w:tcPr>
          <w:p w14:paraId="4A12ED1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3947</w:t>
            </w:r>
          </w:p>
        </w:tc>
        <w:tc>
          <w:tcPr>
            <w:tcW w:w="882" w:type="dxa"/>
            <w:tcBorders>
              <w:top w:val="single" w:sz="4" w:space="0" w:color="auto"/>
              <w:left w:val="single" w:sz="4" w:space="0" w:color="auto"/>
              <w:bottom w:val="single" w:sz="4" w:space="0" w:color="auto"/>
              <w:right w:val="single" w:sz="4" w:space="0" w:color="auto"/>
            </w:tcBorders>
            <w:noWrap/>
            <w:hideMark/>
          </w:tcPr>
          <w:p w14:paraId="531F84C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2062</w:t>
            </w:r>
          </w:p>
        </w:tc>
        <w:tc>
          <w:tcPr>
            <w:tcW w:w="882" w:type="dxa"/>
            <w:tcBorders>
              <w:top w:val="single" w:sz="4" w:space="0" w:color="auto"/>
              <w:left w:val="single" w:sz="4" w:space="0" w:color="auto"/>
              <w:bottom w:val="single" w:sz="4" w:space="0" w:color="auto"/>
              <w:right w:val="single" w:sz="4" w:space="0" w:color="auto"/>
            </w:tcBorders>
            <w:noWrap/>
            <w:hideMark/>
          </w:tcPr>
          <w:p w14:paraId="7B35507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1524</w:t>
            </w:r>
          </w:p>
        </w:tc>
        <w:tc>
          <w:tcPr>
            <w:tcW w:w="882" w:type="dxa"/>
            <w:tcBorders>
              <w:top w:val="single" w:sz="4" w:space="0" w:color="auto"/>
              <w:left w:val="single" w:sz="4" w:space="0" w:color="auto"/>
              <w:bottom w:val="single" w:sz="4" w:space="0" w:color="auto"/>
              <w:right w:val="single" w:sz="4" w:space="0" w:color="auto"/>
            </w:tcBorders>
            <w:noWrap/>
            <w:hideMark/>
          </w:tcPr>
          <w:p w14:paraId="475D737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90</w:t>
            </w:r>
          </w:p>
        </w:tc>
        <w:tc>
          <w:tcPr>
            <w:tcW w:w="582" w:type="dxa"/>
            <w:tcBorders>
              <w:top w:val="single" w:sz="4" w:space="0" w:color="auto"/>
              <w:left w:val="single" w:sz="4" w:space="0" w:color="auto"/>
              <w:bottom w:val="single" w:sz="4" w:space="0" w:color="auto"/>
              <w:right w:val="single" w:sz="4" w:space="0" w:color="auto"/>
            </w:tcBorders>
            <w:noWrap/>
            <w:hideMark/>
          </w:tcPr>
          <w:p w14:paraId="6724AFD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c>
          <w:tcPr>
            <w:tcW w:w="709" w:type="dxa"/>
            <w:tcBorders>
              <w:top w:val="single" w:sz="4" w:space="0" w:color="auto"/>
              <w:left w:val="single" w:sz="4" w:space="0" w:color="auto"/>
              <w:bottom w:val="single" w:sz="4" w:space="0" w:color="auto"/>
              <w:right w:val="single" w:sz="4" w:space="0" w:color="auto"/>
            </w:tcBorders>
            <w:noWrap/>
            <w:hideMark/>
          </w:tcPr>
          <w:p w14:paraId="057BC49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w:t>
            </w:r>
          </w:p>
        </w:tc>
        <w:tc>
          <w:tcPr>
            <w:tcW w:w="992" w:type="dxa"/>
            <w:tcBorders>
              <w:top w:val="single" w:sz="4" w:space="0" w:color="auto"/>
              <w:left w:val="single" w:sz="4" w:space="0" w:color="auto"/>
              <w:bottom w:val="single" w:sz="4" w:space="0" w:color="auto"/>
              <w:right w:val="single" w:sz="4" w:space="0" w:color="auto"/>
            </w:tcBorders>
            <w:hideMark/>
          </w:tcPr>
          <w:p w14:paraId="7831D91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891</w:t>
            </w:r>
          </w:p>
        </w:tc>
        <w:tc>
          <w:tcPr>
            <w:tcW w:w="993" w:type="dxa"/>
            <w:tcBorders>
              <w:top w:val="single" w:sz="4" w:space="0" w:color="auto"/>
              <w:left w:val="single" w:sz="4" w:space="0" w:color="auto"/>
              <w:bottom w:val="single" w:sz="4" w:space="0" w:color="auto"/>
              <w:right w:val="single" w:sz="4" w:space="0" w:color="auto"/>
            </w:tcBorders>
            <w:noWrap/>
            <w:hideMark/>
          </w:tcPr>
          <w:p w14:paraId="2B62AB2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3423</w:t>
            </w:r>
          </w:p>
        </w:tc>
        <w:tc>
          <w:tcPr>
            <w:tcW w:w="992" w:type="dxa"/>
            <w:tcBorders>
              <w:top w:val="single" w:sz="4" w:space="0" w:color="auto"/>
              <w:left w:val="single" w:sz="4" w:space="0" w:color="auto"/>
              <w:bottom w:val="single" w:sz="4" w:space="0" w:color="auto"/>
              <w:right w:val="single" w:sz="12" w:space="0" w:color="auto"/>
            </w:tcBorders>
            <w:noWrap/>
            <w:hideMark/>
          </w:tcPr>
          <w:p w14:paraId="034C3EC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05DEC902"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4509B6DF"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12" w:space="0" w:color="auto"/>
              <w:right w:val="single" w:sz="4" w:space="0" w:color="auto"/>
            </w:tcBorders>
            <w:noWrap/>
            <w:hideMark/>
          </w:tcPr>
          <w:p w14:paraId="20B96BD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c>
          <w:tcPr>
            <w:tcW w:w="586" w:type="dxa"/>
            <w:tcBorders>
              <w:top w:val="single" w:sz="4" w:space="0" w:color="auto"/>
              <w:left w:val="single" w:sz="4" w:space="0" w:color="auto"/>
              <w:bottom w:val="single" w:sz="12" w:space="0" w:color="auto"/>
              <w:right w:val="single" w:sz="4" w:space="0" w:color="auto"/>
            </w:tcBorders>
            <w:noWrap/>
            <w:hideMark/>
          </w:tcPr>
          <w:p w14:paraId="046B075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376</w:t>
            </w:r>
          </w:p>
        </w:tc>
        <w:tc>
          <w:tcPr>
            <w:tcW w:w="882" w:type="dxa"/>
            <w:tcBorders>
              <w:top w:val="single" w:sz="4" w:space="0" w:color="auto"/>
              <w:left w:val="single" w:sz="4" w:space="0" w:color="auto"/>
              <w:bottom w:val="single" w:sz="12" w:space="0" w:color="auto"/>
              <w:right w:val="single" w:sz="4" w:space="0" w:color="auto"/>
            </w:tcBorders>
            <w:noWrap/>
            <w:hideMark/>
          </w:tcPr>
          <w:p w14:paraId="1905BEE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4156</w:t>
            </w:r>
          </w:p>
        </w:tc>
        <w:tc>
          <w:tcPr>
            <w:tcW w:w="882" w:type="dxa"/>
            <w:tcBorders>
              <w:top w:val="single" w:sz="4" w:space="0" w:color="auto"/>
              <w:left w:val="single" w:sz="4" w:space="0" w:color="auto"/>
              <w:bottom w:val="single" w:sz="12" w:space="0" w:color="auto"/>
              <w:right w:val="single" w:sz="4" w:space="0" w:color="auto"/>
            </w:tcBorders>
            <w:noWrap/>
            <w:hideMark/>
          </w:tcPr>
          <w:p w14:paraId="0C7A123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2319</w:t>
            </w:r>
          </w:p>
        </w:tc>
        <w:tc>
          <w:tcPr>
            <w:tcW w:w="882" w:type="dxa"/>
            <w:tcBorders>
              <w:top w:val="single" w:sz="4" w:space="0" w:color="auto"/>
              <w:left w:val="single" w:sz="4" w:space="0" w:color="auto"/>
              <w:bottom w:val="single" w:sz="12" w:space="0" w:color="auto"/>
              <w:right w:val="single" w:sz="4" w:space="0" w:color="auto"/>
            </w:tcBorders>
            <w:noWrap/>
            <w:hideMark/>
          </w:tcPr>
          <w:p w14:paraId="4218ACF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1520</w:t>
            </w:r>
          </w:p>
        </w:tc>
        <w:tc>
          <w:tcPr>
            <w:tcW w:w="882" w:type="dxa"/>
            <w:tcBorders>
              <w:top w:val="single" w:sz="4" w:space="0" w:color="auto"/>
              <w:left w:val="single" w:sz="4" w:space="0" w:color="auto"/>
              <w:bottom w:val="single" w:sz="12" w:space="0" w:color="auto"/>
              <w:right w:val="single" w:sz="4" w:space="0" w:color="auto"/>
            </w:tcBorders>
            <w:noWrap/>
            <w:hideMark/>
          </w:tcPr>
          <w:p w14:paraId="47AFED9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94</w:t>
            </w:r>
          </w:p>
        </w:tc>
        <w:tc>
          <w:tcPr>
            <w:tcW w:w="582" w:type="dxa"/>
            <w:tcBorders>
              <w:top w:val="single" w:sz="4" w:space="0" w:color="auto"/>
              <w:left w:val="single" w:sz="4" w:space="0" w:color="auto"/>
              <w:bottom w:val="single" w:sz="12" w:space="0" w:color="auto"/>
              <w:right w:val="single" w:sz="4" w:space="0" w:color="auto"/>
            </w:tcBorders>
            <w:noWrap/>
            <w:hideMark/>
          </w:tcPr>
          <w:p w14:paraId="433AE21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c>
          <w:tcPr>
            <w:tcW w:w="709" w:type="dxa"/>
            <w:tcBorders>
              <w:top w:val="single" w:sz="4" w:space="0" w:color="auto"/>
              <w:left w:val="single" w:sz="4" w:space="0" w:color="auto"/>
              <w:bottom w:val="single" w:sz="12" w:space="0" w:color="auto"/>
              <w:right w:val="single" w:sz="4" w:space="0" w:color="auto"/>
            </w:tcBorders>
            <w:noWrap/>
            <w:hideMark/>
          </w:tcPr>
          <w:p w14:paraId="44FF9E1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w:t>
            </w:r>
          </w:p>
        </w:tc>
        <w:tc>
          <w:tcPr>
            <w:tcW w:w="992" w:type="dxa"/>
            <w:tcBorders>
              <w:top w:val="single" w:sz="4" w:space="0" w:color="auto"/>
              <w:left w:val="single" w:sz="4" w:space="0" w:color="auto"/>
              <w:bottom w:val="single" w:sz="12" w:space="0" w:color="auto"/>
              <w:right w:val="single" w:sz="4" w:space="0" w:color="auto"/>
            </w:tcBorders>
            <w:hideMark/>
          </w:tcPr>
          <w:p w14:paraId="1D5F974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898</w:t>
            </w:r>
          </w:p>
        </w:tc>
        <w:tc>
          <w:tcPr>
            <w:tcW w:w="993" w:type="dxa"/>
            <w:tcBorders>
              <w:top w:val="single" w:sz="4" w:space="0" w:color="auto"/>
              <w:left w:val="single" w:sz="4" w:space="0" w:color="auto"/>
              <w:bottom w:val="single" w:sz="12" w:space="0" w:color="auto"/>
              <w:right w:val="single" w:sz="4" w:space="0" w:color="auto"/>
            </w:tcBorders>
            <w:noWrap/>
            <w:hideMark/>
          </w:tcPr>
          <w:p w14:paraId="773AE22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3552</w:t>
            </w:r>
          </w:p>
        </w:tc>
        <w:tc>
          <w:tcPr>
            <w:tcW w:w="992" w:type="dxa"/>
            <w:tcBorders>
              <w:top w:val="single" w:sz="4" w:space="0" w:color="auto"/>
              <w:left w:val="single" w:sz="4" w:space="0" w:color="auto"/>
              <w:bottom w:val="single" w:sz="12" w:space="0" w:color="auto"/>
              <w:right w:val="single" w:sz="12" w:space="0" w:color="auto"/>
            </w:tcBorders>
            <w:noWrap/>
            <w:hideMark/>
          </w:tcPr>
          <w:p w14:paraId="29037CF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75AC22C0" w14:textId="77777777" w:rsidTr="00614438">
        <w:trPr>
          <w:trHeight w:val="298"/>
        </w:trPr>
        <w:tc>
          <w:tcPr>
            <w:tcW w:w="895" w:type="dxa"/>
            <w:vMerge w:val="restart"/>
            <w:tcBorders>
              <w:top w:val="single" w:sz="12" w:space="0" w:color="auto"/>
              <w:left w:val="single" w:sz="12" w:space="0" w:color="auto"/>
              <w:bottom w:val="single" w:sz="12" w:space="0" w:color="auto"/>
              <w:right w:val="single" w:sz="4" w:space="0" w:color="auto"/>
            </w:tcBorders>
            <w:shd w:val="clear" w:color="auto" w:fill="E7E6E6"/>
            <w:noWrap/>
            <w:vAlign w:val="center"/>
            <w:hideMark/>
          </w:tcPr>
          <w:p w14:paraId="4ED2161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w:t>
            </w:r>
          </w:p>
        </w:tc>
        <w:tc>
          <w:tcPr>
            <w:tcW w:w="641" w:type="dxa"/>
            <w:tcBorders>
              <w:top w:val="single" w:sz="12" w:space="0" w:color="auto"/>
              <w:left w:val="single" w:sz="4" w:space="0" w:color="auto"/>
              <w:bottom w:val="single" w:sz="4" w:space="0" w:color="auto"/>
              <w:right w:val="single" w:sz="4" w:space="0" w:color="auto"/>
            </w:tcBorders>
            <w:noWrap/>
            <w:hideMark/>
          </w:tcPr>
          <w:p w14:paraId="6CA5307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586" w:type="dxa"/>
            <w:tcBorders>
              <w:top w:val="single" w:sz="12" w:space="0" w:color="auto"/>
              <w:left w:val="single" w:sz="4" w:space="0" w:color="auto"/>
              <w:bottom w:val="single" w:sz="4" w:space="0" w:color="auto"/>
              <w:right w:val="single" w:sz="4" w:space="0" w:color="auto"/>
            </w:tcBorders>
            <w:noWrap/>
            <w:hideMark/>
          </w:tcPr>
          <w:p w14:paraId="1841181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358</w:t>
            </w:r>
          </w:p>
        </w:tc>
        <w:tc>
          <w:tcPr>
            <w:tcW w:w="882" w:type="dxa"/>
            <w:tcBorders>
              <w:top w:val="single" w:sz="12" w:space="0" w:color="auto"/>
              <w:left w:val="single" w:sz="4" w:space="0" w:color="auto"/>
              <w:bottom w:val="single" w:sz="4" w:space="0" w:color="auto"/>
              <w:right w:val="single" w:sz="4" w:space="0" w:color="auto"/>
            </w:tcBorders>
            <w:noWrap/>
            <w:hideMark/>
          </w:tcPr>
          <w:p w14:paraId="1446736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2910</w:t>
            </w:r>
          </w:p>
        </w:tc>
        <w:tc>
          <w:tcPr>
            <w:tcW w:w="882" w:type="dxa"/>
            <w:tcBorders>
              <w:top w:val="single" w:sz="12" w:space="0" w:color="auto"/>
              <w:left w:val="single" w:sz="4" w:space="0" w:color="auto"/>
              <w:bottom w:val="single" w:sz="4" w:space="0" w:color="auto"/>
              <w:right w:val="single" w:sz="4" w:space="0" w:color="auto"/>
            </w:tcBorders>
            <w:noWrap/>
            <w:hideMark/>
          </w:tcPr>
          <w:p w14:paraId="6DC583E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1030</w:t>
            </w:r>
          </w:p>
        </w:tc>
        <w:tc>
          <w:tcPr>
            <w:tcW w:w="882" w:type="dxa"/>
            <w:tcBorders>
              <w:top w:val="single" w:sz="12" w:space="0" w:color="auto"/>
              <w:left w:val="single" w:sz="4" w:space="0" w:color="auto"/>
              <w:bottom w:val="single" w:sz="4" w:space="0" w:color="auto"/>
              <w:right w:val="single" w:sz="4" w:space="0" w:color="auto"/>
            </w:tcBorders>
            <w:noWrap/>
            <w:hideMark/>
          </w:tcPr>
          <w:p w14:paraId="4D6297E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1571</w:t>
            </w:r>
          </w:p>
        </w:tc>
        <w:tc>
          <w:tcPr>
            <w:tcW w:w="882" w:type="dxa"/>
            <w:tcBorders>
              <w:top w:val="single" w:sz="12" w:space="0" w:color="auto"/>
              <w:left w:val="single" w:sz="4" w:space="0" w:color="auto"/>
              <w:bottom w:val="single" w:sz="4" w:space="0" w:color="auto"/>
              <w:right w:val="single" w:sz="4" w:space="0" w:color="auto"/>
            </w:tcBorders>
            <w:noWrap/>
            <w:hideMark/>
          </w:tcPr>
          <w:p w14:paraId="5A694D8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c>
          <w:tcPr>
            <w:tcW w:w="582" w:type="dxa"/>
            <w:tcBorders>
              <w:top w:val="single" w:sz="12" w:space="0" w:color="auto"/>
              <w:left w:val="single" w:sz="4" w:space="0" w:color="auto"/>
              <w:bottom w:val="single" w:sz="4" w:space="0" w:color="auto"/>
              <w:right w:val="single" w:sz="4" w:space="0" w:color="auto"/>
            </w:tcBorders>
            <w:noWrap/>
            <w:hideMark/>
          </w:tcPr>
          <w:p w14:paraId="14D130F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w:t>
            </w:r>
          </w:p>
        </w:tc>
        <w:tc>
          <w:tcPr>
            <w:tcW w:w="709" w:type="dxa"/>
            <w:tcBorders>
              <w:top w:val="single" w:sz="12" w:space="0" w:color="auto"/>
              <w:left w:val="single" w:sz="4" w:space="0" w:color="auto"/>
              <w:bottom w:val="single" w:sz="4" w:space="0" w:color="auto"/>
              <w:right w:val="single" w:sz="4" w:space="0" w:color="auto"/>
            </w:tcBorders>
            <w:noWrap/>
            <w:hideMark/>
          </w:tcPr>
          <w:p w14:paraId="3850D25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w:t>
            </w:r>
          </w:p>
        </w:tc>
        <w:tc>
          <w:tcPr>
            <w:tcW w:w="992" w:type="dxa"/>
            <w:tcBorders>
              <w:top w:val="single" w:sz="12" w:space="0" w:color="auto"/>
              <w:left w:val="single" w:sz="4" w:space="0" w:color="auto"/>
              <w:bottom w:val="single" w:sz="4" w:space="0" w:color="auto"/>
              <w:right w:val="single" w:sz="4" w:space="0" w:color="auto"/>
            </w:tcBorders>
            <w:hideMark/>
          </w:tcPr>
          <w:p w14:paraId="0FA2468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736</w:t>
            </w:r>
          </w:p>
        </w:tc>
        <w:tc>
          <w:tcPr>
            <w:tcW w:w="993" w:type="dxa"/>
            <w:tcBorders>
              <w:top w:val="single" w:sz="12" w:space="0" w:color="auto"/>
              <w:left w:val="single" w:sz="4" w:space="0" w:color="auto"/>
              <w:bottom w:val="single" w:sz="4" w:space="0" w:color="auto"/>
              <w:right w:val="single" w:sz="4" w:space="0" w:color="auto"/>
            </w:tcBorders>
            <w:noWrap/>
            <w:hideMark/>
          </w:tcPr>
          <w:p w14:paraId="5F7934C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2400</w:t>
            </w:r>
          </w:p>
        </w:tc>
        <w:tc>
          <w:tcPr>
            <w:tcW w:w="992" w:type="dxa"/>
            <w:tcBorders>
              <w:top w:val="single" w:sz="12" w:space="0" w:color="auto"/>
              <w:left w:val="single" w:sz="4" w:space="0" w:color="auto"/>
              <w:bottom w:val="single" w:sz="4" w:space="0" w:color="auto"/>
              <w:right w:val="single" w:sz="12" w:space="0" w:color="auto"/>
            </w:tcBorders>
            <w:noWrap/>
            <w:hideMark/>
          </w:tcPr>
          <w:p w14:paraId="47E9F6C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65805371"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67BE1B61"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032D4D5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586" w:type="dxa"/>
            <w:tcBorders>
              <w:top w:val="single" w:sz="4" w:space="0" w:color="auto"/>
              <w:left w:val="single" w:sz="4" w:space="0" w:color="auto"/>
              <w:bottom w:val="single" w:sz="4" w:space="0" w:color="auto"/>
              <w:right w:val="single" w:sz="4" w:space="0" w:color="auto"/>
            </w:tcBorders>
            <w:noWrap/>
            <w:hideMark/>
          </w:tcPr>
          <w:p w14:paraId="7BFD4BD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251</w:t>
            </w:r>
          </w:p>
        </w:tc>
        <w:tc>
          <w:tcPr>
            <w:tcW w:w="882" w:type="dxa"/>
            <w:tcBorders>
              <w:top w:val="single" w:sz="4" w:space="0" w:color="auto"/>
              <w:left w:val="single" w:sz="4" w:space="0" w:color="auto"/>
              <w:bottom w:val="single" w:sz="4" w:space="0" w:color="auto"/>
              <w:right w:val="single" w:sz="4" w:space="0" w:color="auto"/>
            </w:tcBorders>
            <w:noWrap/>
            <w:hideMark/>
          </w:tcPr>
          <w:p w14:paraId="3F5432C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3077</w:t>
            </w:r>
          </w:p>
        </w:tc>
        <w:tc>
          <w:tcPr>
            <w:tcW w:w="882" w:type="dxa"/>
            <w:tcBorders>
              <w:top w:val="single" w:sz="4" w:space="0" w:color="auto"/>
              <w:left w:val="single" w:sz="4" w:space="0" w:color="auto"/>
              <w:bottom w:val="single" w:sz="4" w:space="0" w:color="auto"/>
              <w:right w:val="single" w:sz="4" w:space="0" w:color="auto"/>
            </w:tcBorders>
            <w:noWrap/>
            <w:hideMark/>
          </w:tcPr>
          <w:p w14:paraId="1C2CF6C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893</w:t>
            </w:r>
          </w:p>
        </w:tc>
        <w:tc>
          <w:tcPr>
            <w:tcW w:w="882" w:type="dxa"/>
            <w:tcBorders>
              <w:top w:val="single" w:sz="4" w:space="0" w:color="auto"/>
              <w:left w:val="single" w:sz="4" w:space="0" w:color="auto"/>
              <w:bottom w:val="single" w:sz="4" w:space="0" w:color="auto"/>
              <w:right w:val="single" w:sz="4" w:space="0" w:color="auto"/>
            </w:tcBorders>
            <w:noWrap/>
            <w:hideMark/>
          </w:tcPr>
          <w:p w14:paraId="0404EFA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1637</w:t>
            </w:r>
          </w:p>
        </w:tc>
        <w:tc>
          <w:tcPr>
            <w:tcW w:w="882" w:type="dxa"/>
            <w:tcBorders>
              <w:top w:val="single" w:sz="4" w:space="0" w:color="auto"/>
              <w:left w:val="single" w:sz="4" w:space="0" w:color="auto"/>
              <w:bottom w:val="single" w:sz="4" w:space="0" w:color="auto"/>
              <w:right w:val="single" w:sz="4" w:space="0" w:color="auto"/>
            </w:tcBorders>
            <w:noWrap/>
            <w:hideMark/>
          </w:tcPr>
          <w:p w14:paraId="4C6A1FE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30</w:t>
            </w:r>
          </w:p>
        </w:tc>
        <w:tc>
          <w:tcPr>
            <w:tcW w:w="582" w:type="dxa"/>
            <w:tcBorders>
              <w:top w:val="single" w:sz="4" w:space="0" w:color="auto"/>
              <w:left w:val="single" w:sz="4" w:space="0" w:color="auto"/>
              <w:bottom w:val="single" w:sz="4" w:space="0" w:color="auto"/>
              <w:right w:val="single" w:sz="4" w:space="0" w:color="auto"/>
            </w:tcBorders>
            <w:noWrap/>
            <w:hideMark/>
          </w:tcPr>
          <w:p w14:paraId="1E5692A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w:t>
            </w:r>
          </w:p>
        </w:tc>
        <w:tc>
          <w:tcPr>
            <w:tcW w:w="709" w:type="dxa"/>
            <w:tcBorders>
              <w:top w:val="single" w:sz="4" w:space="0" w:color="auto"/>
              <w:left w:val="single" w:sz="4" w:space="0" w:color="auto"/>
              <w:bottom w:val="single" w:sz="4" w:space="0" w:color="auto"/>
              <w:right w:val="single" w:sz="4" w:space="0" w:color="auto"/>
            </w:tcBorders>
            <w:noWrap/>
            <w:hideMark/>
          </w:tcPr>
          <w:p w14:paraId="7A459B5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w:t>
            </w:r>
          </w:p>
        </w:tc>
        <w:tc>
          <w:tcPr>
            <w:tcW w:w="992" w:type="dxa"/>
            <w:tcBorders>
              <w:top w:val="single" w:sz="4" w:space="0" w:color="auto"/>
              <w:left w:val="single" w:sz="4" w:space="0" w:color="auto"/>
              <w:bottom w:val="single" w:sz="4" w:space="0" w:color="auto"/>
              <w:right w:val="single" w:sz="4" w:space="0" w:color="auto"/>
            </w:tcBorders>
            <w:hideMark/>
          </w:tcPr>
          <w:p w14:paraId="5B651DB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841</w:t>
            </w:r>
          </w:p>
        </w:tc>
        <w:tc>
          <w:tcPr>
            <w:tcW w:w="993" w:type="dxa"/>
            <w:tcBorders>
              <w:top w:val="single" w:sz="4" w:space="0" w:color="auto"/>
              <w:left w:val="single" w:sz="4" w:space="0" w:color="auto"/>
              <w:bottom w:val="single" w:sz="4" w:space="0" w:color="auto"/>
              <w:right w:val="single" w:sz="4" w:space="0" w:color="auto"/>
            </w:tcBorders>
            <w:noWrap/>
            <w:hideMark/>
          </w:tcPr>
          <w:p w14:paraId="5130D50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2559</w:t>
            </w:r>
          </w:p>
        </w:tc>
        <w:tc>
          <w:tcPr>
            <w:tcW w:w="992" w:type="dxa"/>
            <w:tcBorders>
              <w:top w:val="single" w:sz="4" w:space="0" w:color="auto"/>
              <w:left w:val="single" w:sz="4" w:space="0" w:color="auto"/>
              <w:bottom w:val="single" w:sz="4" w:space="0" w:color="auto"/>
              <w:right w:val="single" w:sz="12" w:space="0" w:color="auto"/>
            </w:tcBorders>
            <w:noWrap/>
            <w:hideMark/>
          </w:tcPr>
          <w:p w14:paraId="596A7E6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1FD1DD16"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070DF2F7"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3D2EAA3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586" w:type="dxa"/>
            <w:tcBorders>
              <w:top w:val="single" w:sz="4" w:space="0" w:color="auto"/>
              <w:left w:val="single" w:sz="4" w:space="0" w:color="auto"/>
              <w:bottom w:val="single" w:sz="4" w:space="0" w:color="auto"/>
              <w:right w:val="single" w:sz="4" w:space="0" w:color="auto"/>
            </w:tcBorders>
            <w:noWrap/>
            <w:hideMark/>
          </w:tcPr>
          <w:p w14:paraId="4244306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185</w:t>
            </w:r>
          </w:p>
        </w:tc>
        <w:tc>
          <w:tcPr>
            <w:tcW w:w="882" w:type="dxa"/>
            <w:tcBorders>
              <w:top w:val="single" w:sz="4" w:space="0" w:color="auto"/>
              <w:left w:val="single" w:sz="4" w:space="0" w:color="auto"/>
              <w:bottom w:val="single" w:sz="4" w:space="0" w:color="auto"/>
              <w:right w:val="single" w:sz="4" w:space="0" w:color="auto"/>
            </w:tcBorders>
            <w:noWrap/>
            <w:hideMark/>
          </w:tcPr>
          <w:p w14:paraId="4D01E35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3116</w:t>
            </w:r>
          </w:p>
        </w:tc>
        <w:tc>
          <w:tcPr>
            <w:tcW w:w="882" w:type="dxa"/>
            <w:tcBorders>
              <w:top w:val="single" w:sz="4" w:space="0" w:color="auto"/>
              <w:left w:val="single" w:sz="4" w:space="0" w:color="auto"/>
              <w:bottom w:val="single" w:sz="4" w:space="0" w:color="auto"/>
              <w:right w:val="single" w:sz="4" w:space="0" w:color="auto"/>
            </w:tcBorders>
            <w:noWrap/>
            <w:hideMark/>
          </w:tcPr>
          <w:p w14:paraId="5C7C61F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903</w:t>
            </w:r>
          </w:p>
        </w:tc>
        <w:tc>
          <w:tcPr>
            <w:tcW w:w="882" w:type="dxa"/>
            <w:tcBorders>
              <w:top w:val="single" w:sz="4" w:space="0" w:color="auto"/>
              <w:left w:val="single" w:sz="4" w:space="0" w:color="auto"/>
              <w:bottom w:val="single" w:sz="4" w:space="0" w:color="auto"/>
              <w:right w:val="single" w:sz="4" w:space="0" w:color="auto"/>
            </w:tcBorders>
            <w:noWrap/>
            <w:hideMark/>
          </w:tcPr>
          <w:p w14:paraId="2AC7324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1635</w:t>
            </w:r>
          </w:p>
        </w:tc>
        <w:tc>
          <w:tcPr>
            <w:tcW w:w="882" w:type="dxa"/>
            <w:tcBorders>
              <w:top w:val="single" w:sz="4" w:space="0" w:color="auto"/>
              <w:left w:val="single" w:sz="4" w:space="0" w:color="auto"/>
              <w:bottom w:val="single" w:sz="4" w:space="0" w:color="auto"/>
              <w:right w:val="single" w:sz="4" w:space="0" w:color="auto"/>
            </w:tcBorders>
            <w:noWrap/>
            <w:hideMark/>
          </w:tcPr>
          <w:p w14:paraId="36DF7BD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w:t>
            </w:r>
          </w:p>
        </w:tc>
        <w:tc>
          <w:tcPr>
            <w:tcW w:w="582" w:type="dxa"/>
            <w:tcBorders>
              <w:top w:val="single" w:sz="4" w:space="0" w:color="auto"/>
              <w:left w:val="single" w:sz="4" w:space="0" w:color="auto"/>
              <w:bottom w:val="single" w:sz="4" w:space="0" w:color="auto"/>
              <w:right w:val="single" w:sz="4" w:space="0" w:color="auto"/>
            </w:tcBorders>
            <w:noWrap/>
            <w:hideMark/>
          </w:tcPr>
          <w:p w14:paraId="369EE8F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w:t>
            </w:r>
          </w:p>
        </w:tc>
        <w:tc>
          <w:tcPr>
            <w:tcW w:w="709" w:type="dxa"/>
            <w:tcBorders>
              <w:top w:val="single" w:sz="4" w:space="0" w:color="auto"/>
              <w:left w:val="single" w:sz="4" w:space="0" w:color="auto"/>
              <w:bottom w:val="single" w:sz="4" w:space="0" w:color="auto"/>
              <w:right w:val="single" w:sz="4" w:space="0" w:color="auto"/>
            </w:tcBorders>
            <w:noWrap/>
            <w:hideMark/>
          </w:tcPr>
          <w:p w14:paraId="095BD08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w:t>
            </w:r>
          </w:p>
        </w:tc>
        <w:tc>
          <w:tcPr>
            <w:tcW w:w="992" w:type="dxa"/>
            <w:tcBorders>
              <w:top w:val="single" w:sz="4" w:space="0" w:color="auto"/>
              <w:left w:val="single" w:sz="4" w:space="0" w:color="auto"/>
              <w:bottom w:val="single" w:sz="4" w:space="0" w:color="auto"/>
              <w:right w:val="single" w:sz="4" w:space="0" w:color="auto"/>
            </w:tcBorders>
            <w:hideMark/>
          </w:tcPr>
          <w:p w14:paraId="225B967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847</w:t>
            </w:r>
          </w:p>
        </w:tc>
        <w:tc>
          <w:tcPr>
            <w:tcW w:w="993" w:type="dxa"/>
            <w:tcBorders>
              <w:top w:val="single" w:sz="4" w:space="0" w:color="auto"/>
              <w:left w:val="single" w:sz="4" w:space="0" w:color="auto"/>
              <w:bottom w:val="single" w:sz="4" w:space="0" w:color="auto"/>
              <w:right w:val="single" w:sz="4" w:space="0" w:color="auto"/>
            </w:tcBorders>
            <w:noWrap/>
            <w:hideMark/>
          </w:tcPr>
          <w:p w14:paraId="2EA95C9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2568</w:t>
            </w:r>
          </w:p>
        </w:tc>
        <w:tc>
          <w:tcPr>
            <w:tcW w:w="992" w:type="dxa"/>
            <w:tcBorders>
              <w:top w:val="single" w:sz="4" w:space="0" w:color="auto"/>
              <w:left w:val="single" w:sz="4" w:space="0" w:color="auto"/>
              <w:bottom w:val="single" w:sz="4" w:space="0" w:color="auto"/>
              <w:right w:val="single" w:sz="12" w:space="0" w:color="auto"/>
            </w:tcBorders>
            <w:noWrap/>
            <w:hideMark/>
          </w:tcPr>
          <w:p w14:paraId="3252715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070DB7A6"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511B525C"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2033643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586" w:type="dxa"/>
            <w:tcBorders>
              <w:top w:val="single" w:sz="4" w:space="0" w:color="auto"/>
              <w:left w:val="single" w:sz="4" w:space="0" w:color="auto"/>
              <w:bottom w:val="single" w:sz="4" w:space="0" w:color="auto"/>
              <w:right w:val="single" w:sz="4" w:space="0" w:color="auto"/>
            </w:tcBorders>
            <w:noWrap/>
            <w:hideMark/>
          </w:tcPr>
          <w:p w14:paraId="6E97A4A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189</w:t>
            </w:r>
          </w:p>
        </w:tc>
        <w:tc>
          <w:tcPr>
            <w:tcW w:w="882" w:type="dxa"/>
            <w:tcBorders>
              <w:top w:val="single" w:sz="4" w:space="0" w:color="auto"/>
              <w:left w:val="single" w:sz="4" w:space="0" w:color="auto"/>
              <w:bottom w:val="single" w:sz="4" w:space="0" w:color="auto"/>
              <w:right w:val="single" w:sz="4" w:space="0" w:color="auto"/>
            </w:tcBorders>
            <w:noWrap/>
            <w:hideMark/>
          </w:tcPr>
          <w:p w14:paraId="4A94C0B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3137</w:t>
            </w:r>
          </w:p>
        </w:tc>
        <w:tc>
          <w:tcPr>
            <w:tcW w:w="882" w:type="dxa"/>
            <w:tcBorders>
              <w:top w:val="single" w:sz="4" w:space="0" w:color="auto"/>
              <w:left w:val="single" w:sz="4" w:space="0" w:color="auto"/>
              <w:bottom w:val="single" w:sz="4" w:space="0" w:color="auto"/>
              <w:right w:val="single" w:sz="4" w:space="0" w:color="auto"/>
            </w:tcBorders>
            <w:noWrap/>
            <w:hideMark/>
          </w:tcPr>
          <w:p w14:paraId="47B1CD6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920</w:t>
            </w:r>
          </w:p>
        </w:tc>
        <w:tc>
          <w:tcPr>
            <w:tcW w:w="882" w:type="dxa"/>
            <w:tcBorders>
              <w:top w:val="single" w:sz="4" w:space="0" w:color="auto"/>
              <w:left w:val="single" w:sz="4" w:space="0" w:color="auto"/>
              <w:bottom w:val="single" w:sz="4" w:space="0" w:color="auto"/>
              <w:right w:val="single" w:sz="4" w:space="0" w:color="auto"/>
            </w:tcBorders>
            <w:noWrap/>
            <w:hideMark/>
          </w:tcPr>
          <w:p w14:paraId="0B20ABC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1620</w:t>
            </w:r>
          </w:p>
        </w:tc>
        <w:tc>
          <w:tcPr>
            <w:tcW w:w="882" w:type="dxa"/>
            <w:tcBorders>
              <w:top w:val="single" w:sz="4" w:space="0" w:color="auto"/>
              <w:left w:val="single" w:sz="4" w:space="0" w:color="auto"/>
              <w:bottom w:val="single" w:sz="4" w:space="0" w:color="auto"/>
              <w:right w:val="single" w:sz="4" w:space="0" w:color="auto"/>
            </w:tcBorders>
            <w:noWrap/>
            <w:hideMark/>
          </w:tcPr>
          <w:p w14:paraId="7F69B05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38</w:t>
            </w:r>
          </w:p>
        </w:tc>
        <w:tc>
          <w:tcPr>
            <w:tcW w:w="582" w:type="dxa"/>
            <w:tcBorders>
              <w:top w:val="single" w:sz="4" w:space="0" w:color="auto"/>
              <w:left w:val="single" w:sz="4" w:space="0" w:color="auto"/>
              <w:bottom w:val="single" w:sz="4" w:space="0" w:color="auto"/>
              <w:right w:val="single" w:sz="4" w:space="0" w:color="auto"/>
            </w:tcBorders>
            <w:noWrap/>
            <w:hideMark/>
          </w:tcPr>
          <w:p w14:paraId="149F511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17</w:t>
            </w:r>
          </w:p>
        </w:tc>
        <w:tc>
          <w:tcPr>
            <w:tcW w:w="709" w:type="dxa"/>
            <w:tcBorders>
              <w:top w:val="single" w:sz="4" w:space="0" w:color="auto"/>
              <w:left w:val="single" w:sz="4" w:space="0" w:color="auto"/>
              <w:bottom w:val="single" w:sz="4" w:space="0" w:color="auto"/>
              <w:right w:val="single" w:sz="4" w:space="0" w:color="auto"/>
            </w:tcBorders>
            <w:noWrap/>
            <w:hideMark/>
          </w:tcPr>
          <w:p w14:paraId="3EF7153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w:t>
            </w:r>
          </w:p>
        </w:tc>
        <w:tc>
          <w:tcPr>
            <w:tcW w:w="992" w:type="dxa"/>
            <w:tcBorders>
              <w:top w:val="single" w:sz="4" w:space="0" w:color="auto"/>
              <w:left w:val="single" w:sz="4" w:space="0" w:color="auto"/>
              <w:bottom w:val="single" w:sz="4" w:space="0" w:color="auto"/>
              <w:right w:val="single" w:sz="4" w:space="0" w:color="auto"/>
            </w:tcBorders>
            <w:hideMark/>
          </w:tcPr>
          <w:p w14:paraId="27F5660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844</w:t>
            </w:r>
          </w:p>
        </w:tc>
        <w:tc>
          <w:tcPr>
            <w:tcW w:w="993" w:type="dxa"/>
            <w:tcBorders>
              <w:top w:val="single" w:sz="4" w:space="0" w:color="auto"/>
              <w:left w:val="single" w:sz="4" w:space="0" w:color="auto"/>
              <w:bottom w:val="single" w:sz="4" w:space="0" w:color="auto"/>
              <w:right w:val="single" w:sz="4" w:space="0" w:color="auto"/>
            </w:tcBorders>
            <w:noWrap/>
            <w:hideMark/>
          </w:tcPr>
          <w:p w14:paraId="0C57D0D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2607</w:t>
            </w:r>
          </w:p>
        </w:tc>
        <w:tc>
          <w:tcPr>
            <w:tcW w:w="992" w:type="dxa"/>
            <w:tcBorders>
              <w:top w:val="single" w:sz="4" w:space="0" w:color="auto"/>
              <w:left w:val="single" w:sz="4" w:space="0" w:color="auto"/>
              <w:bottom w:val="single" w:sz="4" w:space="0" w:color="auto"/>
              <w:right w:val="single" w:sz="12" w:space="0" w:color="auto"/>
            </w:tcBorders>
            <w:noWrap/>
            <w:hideMark/>
          </w:tcPr>
          <w:p w14:paraId="1FF4A29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3DF4DA34"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344B1167"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3EE77BC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586" w:type="dxa"/>
            <w:tcBorders>
              <w:top w:val="single" w:sz="4" w:space="0" w:color="auto"/>
              <w:left w:val="single" w:sz="4" w:space="0" w:color="auto"/>
              <w:bottom w:val="single" w:sz="4" w:space="0" w:color="auto"/>
              <w:right w:val="single" w:sz="4" w:space="0" w:color="auto"/>
            </w:tcBorders>
            <w:noWrap/>
            <w:hideMark/>
          </w:tcPr>
          <w:p w14:paraId="51854A1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187</w:t>
            </w:r>
          </w:p>
        </w:tc>
        <w:tc>
          <w:tcPr>
            <w:tcW w:w="882" w:type="dxa"/>
            <w:tcBorders>
              <w:top w:val="single" w:sz="4" w:space="0" w:color="auto"/>
              <w:left w:val="single" w:sz="4" w:space="0" w:color="auto"/>
              <w:bottom w:val="single" w:sz="4" w:space="0" w:color="auto"/>
              <w:right w:val="single" w:sz="4" w:space="0" w:color="auto"/>
            </w:tcBorders>
            <w:noWrap/>
            <w:hideMark/>
          </w:tcPr>
          <w:p w14:paraId="0177BC9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3116</w:t>
            </w:r>
          </w:p>
        </w:tc>
        <w:tc>
          <w:tcPr>
            <w:tcW w:w="882" w:type="dxa"/>
            <w:tcBorders>
              <w:top w:val="single" w:sz="4" w:space="0" w:color="auto"/>
              <w:left w:val="single" w:sz="4" w:space="0" w:color="auto"/>
              <w:bottom w:val="single" w:sz="4" w:space="0" w:color="auto"/>
              <w:right w:val="single" w:sz="4" w:space="0" w:color="auto"/>
            </w:tcBorders>
            <w:noWrap/>
            <w:hideMark/>
          </w:tcPr>
          <w:p w14:paraId="698B49E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982</w:t>
            </w:r>
          </w:p>
        </w:tc>
        <w:tc>
          <w:tcPr>
            <w:tcW w:w="882" w:type="dxa"/>
            <w:tcBorders>
              <w:top w:val="single" w:sz="4" w:space="0" w:color="auto"/>
              <w:left w:val="single" w:sz="4" w:space="0" w:color="auto"/>
              <w:bottom w:val="single" w:sz="4" w:space="0" w:color="auto"/>
              <w:right w:val="single" w:sz="4" w:space="0" w:color="auto"/>
            </w:tcBorders>
            <w:noWrap/>
            <w:hideMark/>
          </w:tcPr>
          <w:p w14:paraId="1F9EA9E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1616</w:t>
            </w:r>
          </w:p>
        </w:tc>
        <w:tc>
          <w:tcPr>
            <w:tcW w:w="882" w:type="dxa"/>
            <w:tcBorders>
              <w:top w:val="single" w:sz="4" w:space="0" w:color="auto"/>
              <w:left w:val="single" w:sz="4" w:space="0" w:color="auto"/>
              <w:bottom w:val="single" w:sz="4" w:space="0" w:color="auto"/>
              <w:right w:val="single" w:sz="4" w:space="0" w:color="auto"/>
            </w:tcBorders>
            <w:noWrap/>
            <w:hideMark/>
          </w:tcPr>
          <w:p w14:paraId="24E84AA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w:t>
            </w:r>
          </w:p>
        </w:tc>
        <w:tc>
          <w:tcPr>
            <w:tcW w:w="582" w:type="dxa"/>
            <w:tcBorders>
              <w:top w:val="single" w:sz="4" w:space="0" w:color="auto"/>
              <w:left w:val="single" w:sz="4" w:space="0" w:color="auto"/>
              <w:bottom w:val="single" w:sz="4" w:space="0" w:color="auto"/>
              <w:right w:val="single" w:sz="4" w:space="0" w:color="auto"/>
            </w:tcBorders>
            <w:noWrap/>
            <w:hideMark/>
          </w:tcPr>
          <w:p w14:paraId="7E848C5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w:t>
            </w:r>
          </w:p>
        </w:tc>
        <w:tc>
          <w:tcPr>
            <w:tcW w:w="709" w:type="dxa"/>
            <w:tcBorders>
              <w:top w:val="single" w:sz="4" w:space="0" w:color="auto"/>
              <w:left w:val="single" w:sz="4" w:space="0" w:color="auto"/>
              <w:bottom w:val="single" w:sz="4" w:space="0" w:color="auto"/>
              <w:right w:val="single" w:sz="4" w:space="0" w:color="auto"/>
            </w:tcBorders>
            <w:noWrap/>
            <w:hideMark/>
          </w:tcPr>
          <w:p w14:paraId="3E08846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11</w:t>
            </w:r>
          </w:p>
        </w:tc>
        <w:tc>
          <w:tcPr>
            <w:tcW w:w="992" w:type="dxa"/>
            <w:tcBorders>
              <w:top w:val="single" w:sz="4" w:space="0" w:color="auto"/>
              <w:left w:val="single" w:sz="4" w:space="0" w:color="auto"/>
              <w:bottom w:val="single" w:sz="4" w:space="0" w:color="auto"/>
              <w:right w:val="single" w:sz="4" w:space="0" w:color="auto"/>
            </w:tcBorders>
            <w:hideMark/>
          </w:tcPr>
          <w:p w14:paraId="67CC301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846</w:t>
            </w:r>
          </w:p>
        </w:tc>
        <w:tc>
          <w:tcPr>
            <w:tcW w:w="993" w:type="dxa"/>
            <w:tcBorders>
              <w:top w:val="single" w:sz="4" w:space="0" w:color="auto"/>
              <w:left w:val="single" w:sz="4" w:space="0" w:color="auto"/>
              <w:bottom w:val="single" w:sz="4" w:space="0" w:color="auto"/>
              <w:right w:val="single" w:sz="4" w:space="0" w:color="auto"/>
            </w:tcBorders>
            <w:noWrap/>
            <w:hideMark/>
          </w:tcPr>
          <w:p w14:paraId="1F5CF56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2651</w:t>
            </w:r>
          </w:p>
        </w:tc>
        <w:tc>
          <w:tcPr>
            <w:tcW w:w="992" w:type="dxa"/>
            <w:tcBorders>
              <w:top w:val="single" w:sz="4" w:space="0" w:color="auto"/>
              <w:left w:val="single" w:sz="4" w:space="0" w:color="auto"/>
              <w:bottom w:val="single" w:sz="4" w:space="0" w:color="auto"/>
              <w:right w:val="single" w:sz="12" w:space="0" w:color="auto"/>
            </w:tcBorders>
            <w:noWrap/>
            <w:hideMark/>
          </w:tcPr>
          <w:p w14:paraId="4C3F92F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42436C29"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7563CEA2"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10FB239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586" w:type="dxa"/>
            <w:tcBorders>
              <w:top w:val="single" w:sz="4" w:space="0" w:color="auto"/>
              <w:left w:val="single" w:sz="4" w:space="0" w:color="auto"/>
              <w:bottom w:val="single" w:sz="4" w:space="0" w:color="auto"/>
              <w:right w:val="single" w:sz="4" w:space="0" w:color="auto"/>
            </w:tcBorders>
            <w:noWrap/>
            <w:hideMark/>
          </w:tcPr>
          <w:p w14:paraId="0D9088A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190</w:t>
            </w:r>
          </w:p>
        </w:tc>
        <w:tc>
          <w:tcPr>
            <w:tcW w:w="882" w:type="dxa"/>
            <w:tcBorders>
              <w:top w:val="single" w:sz="4" w:space="0" w:color="auto"/>
              <w:left w:val="single" w:sz="4" w:space="0" w:color="auto"/>
              <w:bottom w:val="single" w:sz="4" w:space="0" w:color="auto"/>
              <w:right w:val="single" w:sz="4" w:space="0" w:color="auto"/>
            </w:tcBorders>
            <w:noWrap/>
            <w:hideMark/>
          </w:tcPr>
          <w:p w14:paraId="7CD76F1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3124</w:t>
            </w:r>
          </w:p>
        </w:tc>
        <w:tc>
          <w:tcPr>
            <w:tcW w:w="882" w:type="dxa"/>
            <w:tcBorders>
              <w:top w:val="single" w:sz="4" w:space="0" w:color="auto"/>
              <w:left w:val="single" w:sz="4" w:space="0" w:color="auto"/>
              <w:bottom w:val="single" w:sz="4" w:space="0" w:color="auto"/>
              <w:right w:val="single" w:sz="4" w:space="0" w:color="auto"/>
            </w:tcBorders>
            <w:noWrap/>
            <w:hideMark/>
          </w:tcPr>
          <w:p w14:paraId="6FCDD24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993</w:t>
            </w:r>
          </w:p>
        </w:tc>
        <w:tc>
          <w:tcPr>
            <w:tcW w:w="882" w:type="dxa"/>
            <w:tcBorders>
              <w:top w:val="single" w:sz="4" w:space="0" w:color="auto"/>
              <w:left w:val="single" w:sz="4" w:space="0" w:color="auto"/>
              <w:bottom w:val="single" w:sz="4" w:space="0" w:color="auto"/>
              <w:right w:val="single" w:sz="4" w:space="0" w:color="auto"/>
            </w:tcBorders>
            <w:noWrap/>
            <w:hideMark/>
          </w:tcPr>
          <w:p w14:paraId="46097AB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1598</w:t>
            </w:r>
          </w:p>
        </w:tc>
        <w:tc>
          <w:tcPr>
            <w:tcW w:w="882" w:type="dxa"/>
            <w:tcBorders>
              <w:top w:val="single" w:sz="4" w:space="0" w:color="auto"/>
              <w:left w:val="single" w:sz="4" w:space="0" w:color="auto"/>
              <w:bottom w:val="single" w:sz="4" w:space="0" w:color="auto"/>
              <w:right w:val="single" w:sz="4" w:space="0" w:color="auto"/>
            </w:tcBorders>
            <w:noWrap/>
            <w:hideMark/>
          </w:tcPr>
          <w:p w14:paraId="74B56E8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45</w:t>
            </w:r>
          </w:p>
        </w:tc>
        <w:tc>
          <w:tcPr>
            <w:tcW w:w="582" w:type="dxa"/>
            <w:tcBorders>
              <w:top w:val="single" w:sz="4" w:space="0" w:color="auto"/>
              <w:left w:val="single" w:sz="4" w:space="0" w:color="auto"/>
              <w:bottom w:val="single" w:sz="4" w:space="0" w:color="auto"/>
              <w:right w:val="single" w:sz="4" w:space="0" w:color="auto"/>
            </w:tcBorders>
            <w:noWrap/>
            <w:hideMark/>
          </w:tcPr>
          <w:p w14:paraId="6F5D5B9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22</w:t>
            </w:r>
          </w:p>
        </w:tc>
        <w:tc>
          <w:tcPr>
            <w:tcW w:w="709" w:type="dxa"/>
            <w:tcBorders>
              <w:top w:val="single" w:sz="4" w:space="0" w:color="auto"/>
              <w:left w:val="single" w:sz="4" w:space="0" w:color="auto"/>
              <w:bottom w:val="single" w:sz="4" w:space="0" w:color="auto"/>
              <w:right w:val="single" w:sz="4" w:space="0" w:color="auto"/>
            </w:tcBorders>
            <w:noWrap/>
            <w:hideMark/>
          </w:tcPr>
          <w:p w14:paraId="6B90E04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w:t>
            </w:r>
          </w:p>
        </w:tc>
        <w:tc>
          <w:tcPr>
            <w:tcW w:w="992" w:type="dxa"/>
            <w:tcBorders>
              <w:top w:val="single" w:sz="4" w:space="0" w:color="auto"/>
              <w:left w:val="single" w:sz="4" w:space="0" w:color="auto"/>
              <w:bottom w:val="single" w:sz="4" w:space="0" w:color="auto"/>
              <w:right w:val="single" w:sz="4" w:space="0" w:color="auto"/>
            </w:tcBorders>
            <w:hideMark/>
          </w:tcPr>
          <w:p w14:paraId="2FF8742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847</w:t>
            </w:r>
          </w:p>
        </w:tc>
        <w:tc>
          <w:tcPr>
            <w:tcW w:w="993" w:type="dxa"/>
            <w:tcBorders>
              <w:top w:val="single" w:sz="4" w:space="0" w:color="auto"/>
              <w:left w:val="single" w:sz="4" w:space="0" w:color="auto"/>
              <w:bottom w:val="single" w:sz="4" w:space="0" w:color="auto"/>
              <w:right w:val="single" w:sz="4" w:space="0" w:color="auto"/>
            </w:tcBorders>
            <w:noWrap/>
            <w:hideMark/>
          </w:tcPr>
          <w:p w14:paraId="698C17B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2697</w:t>
            </w:r>
          </w:p>
        </w:tc>
        <w:tc>
          <w:tcPr>
            <w:tcW w:w="992" w:type="dxa"/>
            <w:tcBorders>
              <w:top w:val="single" w:sz="4" w:space="0" w:color="auto"/>
              <w:left w:val="single" w:sz="4" w:space="0" w:color="auto"/>
              <w:bottom w:val="single" w:sz="4" w:space="0" w:color="auto"/>
              <w:right w:val="single" w:sz="12" w:space="0" w:color="auto"/>
            </w:tcBorders>
            <w:noWrap/>
            <w:hideMark/>
          </w:tcPr>
          <w:p w14:paraId="3E75A4E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5D6940BA"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2F99369D"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23D0F71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586" w:type="dxa"/>
            <w:tcBorders>
              <w:top w:val="single" w:sz="4" w:space="0" w:color="auto"/>
              <w:left w:val="single" w:sz="4" w:space="0" w:color="auto"/>
              <w:bottom w:val="single" w:sz="4" w:space="0" w:color="auto"/>
              <w:right w:val="single" w:sz="4" w:space="0" w:color="auto"/>
            </w:tcBorders>
            <w:noWrap/>
            <w:hideMark/>
          </w:tcPr>
          <w:p w14:paraId="22A3B68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214</w:t>
            </w:r>
          </w:p>
        </w:tc>
        <w:tc>
          <w:tcPr>
            <w:tcW w:w="882" w:type="dxa"/>
            <w:tcBorders>
              <w:top w:val="single" w:sz="4" w:space="0" w:color="auto"/>
              <w:left w:val="single" w:sz="4" w:space="0" w:color="auto"/>
              <w:bottom w:val="single" w:sz="4" w:space="0" w:color="auto"/>
              <w:right w:val="single" w:sz="4" w:space="0" w:color="auto"/>
            </w:tcBorders>
            <w:noWrap/>
            <w:hideMark/>
          </w:tcPr>
          <w:p w14:paraId="7D9D061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3145</w:t>
            </w:r>
          </w:p>
        </w:tc>
        <w:tc>
          <w:tcPr>
            <w:tcW w:w="882" w:type="dxa"/>
            <w:tcBorders>
              <w:top w:val="single" w:sz="4" w:space="0" w:color="auto"/>
              <w:left w:val="single" w:sz="4" w:space="0" w:color="auto"/>
              <w:bottom w:val="single" w:sz="4" w:space="0" w:color="auto"/>
              <w:right w:val="single" w:sz="4" w:space="0" w:color="auto"/>
            </w:tcBorders>
            <w:noWrap/>
            <w:hideMark/>
          </w:tcPr>
          <w:p w14:paraId="0C00A0E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1055</w:t>
            </w:r>
          </w:p>
        </w:tc>
        <w:tc>
          <w:tcPr>
            <w:tcW w:w="882" w:type="dxa"/>
            <w:tcBorders>
              <w:top w:val="single" w:sz="4" w:space="0" w:color="auto"/>
              <w:left w:val="single" w:sz="4" w:space="0" w:color="auto"/>
              <w:bottom w:val="single" w:sz="4" w:space="0" w:color="auto"/>
              <w:right w:val="single" w:sz="4" w:space="0" w:color="auto"/>
            </w:tcBorders>
            <w:noWrap/>
            <w:hideMark/>
          </w:tcPr>
          <w:p w14:paraId="0F29053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1577</w:t>
            </w:r>
          </w:p>
        </w:tc>
        <w:tc>
          <w:tcPr>
            <w:tcW w:w="882" w:type="dxa"/>
            <w:tcBorders>
              <w:top w:val="single" w:sz="4" w:space="0" w:color="auto"/>
              <w:left w:val="single" w:sz="4" w:space="0" w:color="auto"/>
              <w:bottom w:val="single" w:sz="4" w:space="0" w:color="auto"/>
              <w:right w:val="single" w:sz="4" w:space="0" w:color="auto"/>
            </w:tcBorders>
            <w:noWrap/>
            <w:hideMark/>
          </w:tcPr>
          <w:p w14:paraId="33B93C1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49</w:t>
            </w:r>
          </w:p>
        </w:tc>
        <w:tc>
          <w:tcPr>
            <w:tcW w:w="582" w:type="dxa"/>
            <w:tcBorders>
              <w:top w:val="single" w:sz="4" w:space="0" w:color="auto"/>
              <w:left w:val="single" w:sz="4" w:space="0" w:color="auto"/>
              <w:bottom w:val="single" w:sz="4" w:space="0" w:color="auto"/>
              <w:right w:val="single" w:sz="4" w:space="0" w:color="auto"/>
            </w:tcBorders>
            <w:noWrap/>
            <w:hideMark/>
          </w:tcPr>
          <w:p w14:paraId="6443DC0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w:t>
            </w:r>
          </w:p>
        </w:tc>
        <w:tc>
          <w:tcPr>
            <w:tcW w:w="709" w:type="dxa"/>
            <w:tcBorders>
              <w:top w:val="single" w:sz="4" w:space="0" w:color="auto"/>
              <w:left w:val="single" w:sz="4" w:space="0" w:color="auto"/>
              <w:bottom w:val="single" w:sz="4" w:space="0" w:color="auto"/>
              <w:right w:val="single" w:sz="4" w:space="0" w:color="auto"/>
            </w:tcBorders>
            <w:noWrap/>
            <w:hideMark/>
          </w:tcPr>
          <w:p w14:paraId="1A5DF5C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w:t>
            </w:r>
          </w:p>
        </w:tc>
        <w:tc>
          <w:tcPr>
            <w:tcW w:w="992" w:type="dxa"/>
            <w:tcBorders>
              <w:top w:val="single" w:sz="4" w:space="0" w:color="auto"/>
              <w:left w:val="single" w:sz="4" w:space="0" w:color="auto"/>
              <w:bottom w:val="single" w:sz="4" w:space="0" w:color="auto"/>
              <w:right w:val="single" w:sz="4" w:space="0" w:color="auto"/>
            </w:tcBorders>
            <w:hideMark/>
          </w:tcPr>
          <w:p w14:paraId="21AAB45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833</w:t>
            </w:r>
          </w:p>
        </w:tc>
        <w:tc>
          <w:tcPr>
            <w:tcW w:w="993" w:type="dxa"/>
            <w:tcBorders>
              <w:top w:val="single" w:sz="4" w:space="0" w:color="auto"/>
              <w:left w:val="single" w:sz="4" w:space="0" w:color="auto"/>
              <w:bottom w:val="single" w:sz="4" w:space="0" w:color="auto"/>
              <w:right w:val="single" w:sz="4" w:space="0" w:color="auto"/>
            </w:tcBorders>
            <w:noWrap/>
            <w:hideMark/>
          </w:tcPr>
          <w:p w14:paraId="2CD4B69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2732</w:t>
            </w:r>
          </w:p>
        </w:tc>
        <w:tc>
          <w:tcPr>
            <w:tcW w:w="992" w:type="dxa"/>
            <w:tcBorders>
              <w:top w:val="single" w:sz="4" w:space="0" w:color="auto"/>
              <w:left w:val="single" w:sz="4" w:space="0" w:color="auto"/>
              <w:bottom w:val="single" w:sz="4" w:space="0" w:color="auto"/>
              <w:right w:val="single" w:sz="12" w:space="0" w:color="auto"/>
            </w:tcBorders>
            <w:noWrap/>
            <w:hideMark/>
          </w:tcPr>
          <w:p w14:paraId="776E4C1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4893D968"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29E518E2"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54F84C8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586" w:type="dxa"/>
            <w:tcBorders>
              <w:top w:val="single" w:sz="4" w:space="0" w:color="auto"/>
              <w:left w:val="single" w:sz="4" w:space="0" w:color="auto"/>
              <w:bottom w:val="single" w:sz="4" w:space="0" w:color="auto"/>
              <w:right w:val="single" w:sz="4" w:space="0" w:color="auto"/>
            </w:tcBorders>
            <w:noWrap/>
            <w:hideMark/>
          </w:tcPr>
          <w:p w14:paraId="549B9F6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196</w:t>
            </w:r>
          </w:p>
        </w:tc>
        <w:tc>
          <w:tcPr>
            <w:tcW w:w="882" w:type="dxa"/>
            <w:tcBorders>
              <w:top w:val="single" w:sz="4" w:space="0" w:color="auto"/>
              <w:left w:val="single" w:sz="4" w:space="0" w:color="auto"/>
              <w:bottom w:val="single" w:sz="4" w:space="0" w:color="auto"/>
              <w:right w:val="single" w:sz="4" w:space="0" w:color="auto"/>
            </w:tcBorders>
            <w:noWrap/>
            <w:hideMark/>
          </w:tcPr>
          <w:p w14:paraId="713EB7C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2949</w:t>
            </w:r>
          </w:p>
        </w:tc>
        <w:tc>
          <w:tcPr>
            <w:tcW w:w="882" w:type="dxa"/>
            <w:tcBorders>
              <w:top w:val="single" w:sz="4" w:space="0" w:color="auto"/>
              <w:left w:val="single" w:sz="4" w:space="0" w:color="auto"/>
              <w:bottom w:val="single" w:sz="4" w:space="0" w:color="auto"/>
              <w:right w:val="single" w:sz="4" w:space="0" w:color="auto"/>
            </w:tcBorders>
            <w:noWrap/>
            <w:hideMark/>
          </w:tcPr>
          <w:p w14:paraId="0E1E836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1159</w:t>
            </w:r>
          </w:p>
        </w:tc>
        <w:tc>
          <w:tcPr>
            <w:tcW w:w="882" w:type="dxa"/>
            <w:tcBorders>
              <w:top w:val="single" w:sz="4" w:space="0" w:color="auto"/>
              <w:left w:val="single" w:sz="4" w:space="0" w:color="auto"/>
              <w:bottom w:val="single" w:sz="4" w:space="0" w:color="auto"/>
              <w:right w:val="single" w:sz="4" w:space="0" w:color="auto"/>
            </w:tcBorders>
            <w:noWrap/>
            <w:hideMark/>
          </w:tcPr>
          <w:p w14:paraId="43A3BBF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1587</w:t>
            </w:r>
          </w:p>
        </w:tc>
        <w:tc>
          <w:tcPr>
            <w:tcW w:w="882" w:type="dxa"/>
            <w:tcBorders>
              <w:top w:val="single" w:sz="4" w:space="0" w:color="auto"/>
              <w:left w:val="single" w:sz="4" w:space="0" w:color="auto"/>
              <w:bottom w:val="single" w:sz="4" w:space="0" w:color="auto"/>
              <w:right w:val="single" w:sz="4" w:space="0" w:color="auto"/>
            </w:tcBorders>
            <w:noWrap/>
            <w:hideMark/>
          </w:tcPr>
          <w:p w14:paraId="7B6FD43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46</w:t>
            </w:r>
          </w:p>
        </w:tc>
        <w:tc>
          <w:tcPr>
            <w:tcW w:w="582" w:type="dxa"/>
            <w:tcBorders>
              <w:top w:val="single" w:sz="4" w:space="0" w:color="auto"/>
              <w:left w:val="single" w:sz="4" w:space="0" w:color="auto"/>
              <w:bottom w:val="single" w:sz="4" w:space="0" w:color="auto"/>
              <w:right w:val="single" w:sz="4" w:space="0" w:color="auto"/>
            </w:tcBorders>
            <w:noWrap/>
            <w:hideMark/>
          </w:tcPr>
          <w:p w14:paraId="0C2E279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33</w:t>
            </w:r>
          </w:p>
        </w:tc>
        <w:tc>
          <w:tcPr>
            <w:tcW w:w="709" w:type="dxa"/>
            <w:tcBorders>
              <w:top w:val="single" w:sz="4" w:space="0" w:color="auto"/>
              <w:left w:val="single" w:sz="4" w:space="0" w:color="auto"/>
              <w:bottom w:val="single" w:sz="4" w:space="0" w:color="auto"/>
              <w:right w:val="single" w:sz="4" w:space="0" w:color="auto"/>
            </w:tcBorders>
            <w:noWrap/>
            <w:hideMark/>
          </w:tcPr>
          <w:p w14:paraId="61B28AD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27</w:t>
            </w:r>
          </w:p>
        </w:tc>
        <w:tc>
          <w:tcPr>
            <w:tcW w:w="992" w:type="dxa"/>
            <w:tcBorders>
              <w:top w:val="single" w:sz="4" w:space="0" w:color="auto"/>
              <w:left w:val="single" w:sz="4" w:space="0" w:color="auto"/>
              <w:bottom w:val="single" w:sz="4" w:space="0" w:color="auto"/>
              <w:right w:val="single" w:sz="4" w:space="0" w:color="auto"/>
            </w:tcBorders>
            <w:hideMark/>
          </w:tcPr>
          <w:p w14:paraId="1984A3D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765</w:t>
            </w:r>
          </w:p>
        </w:tc>
        <w:tc>
          <w:tcPr>
            <w:tcW w:w="993" w:type="dxa"/>
            <w:tcBorders>
              <w:top w:val="single" w:sz="4" w:space="0" w:color="auto"/>
              <w:left w:val="single" w:sz="4" w:space="0" w:color="auto"/>
              <w:bottom w:val="single" w:sz="4" w:space="0" w:color="auto"/>
              <w:right w:val="single" w:sz="4" w:space="0" w:color="auto"/>
            </w:tcBorders>
            <w:noWrap/>
            <w:hideMark/>
          </w:tcPr>
          <w:p w14:paraId="108EF54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2918</w:t>
            </w:r>
          </w:p>
        </w:tc>
        <w:tc>
          <w:tcPr>
            <w:tcW w:w="992" w:type="dxa"/>
            <w:tcBorders>
              <w:top w:val="single" w:sz="4" w:space="0" w:color="auto"/>
              <w:left w:val="single" w:sz="4" w:space="0" w:color="auto"/>
              <w:bottom w:val="single" w:sz="4" w:space="0" w:color="auto"/>
              <w:right w:val="single" w:sz="12" w:space="0" w:color="auto"/>
            </w:tcBorders>
            <w:noWrap/>
            <w:hideMark/>
          </w:tcPr>
          <w:p w14:paraId="5764942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001B23AC"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6B084AB0"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38262EF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586" w:type="dxa"/>
            <w:tcBorders>
              <w:top w:val="single" w:sz="4" w:space="0" w:color="auto"/>
              <w:left w:val="single" w:sz="4" w:space="0" w:color="auto"/>
              <w:bottom w:val="single" w:sz="4" w:space="0" w:color="auto"/>
              <w:right w:val="single" w:sz="4" w:space="0" w:color="auto"/>
            </w:tcBorders>
            <w:noWrap/>
            <w:hideMark/>
          </w:tcPr>
          <w:p w14:paraId="2BE451E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181</w:t>
            </w:r>
          </w:p>
        </w:tc>
        <w:tc>
          <w:tcPr>
            <w:tcW w:w="882" w:type="dxa"/>
            <w:tcBorders>
              <w:top w:val="single" w:sz="4" w:space="0" w:color="auto"/>
              <w:left w:val="single" w:sz="4" w:space="0" w:color="auto"/>
              <w:bottom w:val="single" w:sz="4" w:space="0" w:color="auto"/>
              <w:right w:val="single" w:sz="4" w:space="0" w:color="auto"/>
            </w:tcBorders>
            <w:noWrap/>
            <w:hideMark/>
          </w:tcPr>
          <w:p w14:paraId="71280AF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2828</w:t>
            </w:r>
          </w:p>
        </w:tc>
        <w:tc>
          <w:tcPr>
            <w:tcW w:w="882" w:type="dxa"/>
            <w:tcBorders>
              <w:top w:val="single" w:sz="4" w:space="0" w:color="auto"/>
              <w:left w:val="single" w:sz="4" w:space="0" w:color="auto"/>
              <w:bottom w:val="single" w:sz="4" w:space="0" w:color="auto"/>
              <w:right w:val="single" w:sz="4" w:space="0" w:color="auto"/>
            </w:tcBorders>
            <w:noWrap/>
            <w:hideMark/>
          </w:tcPr>
          <w:p w14:paraId="283ADC4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1181</w:t>
            </w:r>
          </w:p>
        </w:tc>
        <w:tc>
          <w:tcPr>
            <w:tcW w:w="882" w:type="dxa"/>
            <w:tcBorders>
              <w:top w:val="single" w:sz="4" w:space="0" w:color="auto"/>
              <w:left w:val="single" w:sz="4" w:space="0" w:color="auto"/>
              <w:bottom w:val="single" w:sz="4" w:space="0" w:color="auto"/>
              <w:right w:val="single" w:sz="4" w:space="0" w:color="auto"/>
            </w:tcBorders>
            <w:noWrap/>
            <w:hideMark/>
          </w:tcPr>
          <w:p w14:paraId="7521BBE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1440</w:t>
            </w:r>
          </w:p>
        </w:tc>
        <w:tc>
          <w:tcPr>
            <w:tcW w:w="882" w:type="dxa"/>
            <w:tcBorders>
              <w:top w:val="single" w:sz="4" w:space="0" w:color="auto"/>
              <w:left w:val="single" w:sz="4" w:space="0" w:color="auto"/>
              <w:bottom w:val="single" w:sz="4" w:space="0" w:color="auto"/>
              <w:right w:val="single" w:sz="4" w:space="0" w:color="auto"/>
            </w:tcBorders>
            <w:noWrap/>
            <w:hideMark/>
          </w:tcPr>
          <w:p w14:paraId="2A326F8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45</w:t>
            </w:r>
          </w:p>
        </w:tc>
        <w:tc>
          <w:tcPr>
            <w:tcW w:w="582" w:type="dxa"/>
            <w:tcBorders>
              <w:top w:val="single" w:sz="4" w:space="0" w:color="auto"/>
              <w:left w:val="single" w:sz="4" w:space="0" w:color="auto"/>
              <w:bottom w:val="single" w:sz="4" w:space="0" w:color="auto"/>
              <w:right w:val="single" w:sz="4" w:space="0" w:color="auto"/>
            </w:tcBorders>
            <w:noWrap/>
            <w:hideMark/>
          </w:tcPr>
          <w:p w14:paraId="6BED430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42</w:t>
            </w:r>
          </w:p>
        </w:tc>
        <w:tc>
          <w:tcPr>
            <w:tcW w:w="709" w:type="dxa"/>
            <w:tcBorders>
              <w:top w:val="single" w:sz="4" w:space="0" w:color="auto"/>
              <w:left w:val="single" w:sz="4" w:space="0" w:color="auto"/>
              <w:bottom w:val="single" w:sz="4" w:space="0" w:color="auto"/>
              <w:right w:val="single" w:sz="4" w:space="0" w:color="auto"/>
            </w:tcBorders>
            <w:noWrap/>
            <w:hideMark/>
          </w:tcPr>
          <w:p w14:paraId="0830DA6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43</w:t>
            </w:r>
          </w:p>
        </w:tc>
        <w:tc>
          <w:tcPr>
            <w:tcW w:w="992" w:type="dxa"/>
            <w:tcBorders>
              <w:top w:val="single" w:sz="4" w:space="0" w:color="auto"/>
              <w:left w:val="single" w:sz="4" w:space="0" w:color="auto"/>
              <w:bottom w:val="single" w:sz="4" w:space="0" w:color="auto"/>
              <w:right w:val="single" w:sz="4" w:space="0" w:color="auto"/>
            </w:tcBorders>
            <w:hideMark/>
          </w:tcPr>
          <w:p w14:paraId="5537754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792</w:t>
            </w:r>
          </w:p>
        </w:tc>
        <w:tc>
          <w:tcPr>
            <w:tcW w:w="993" w:type="dxa"/>
            <w:tcBorders>
              <w:top w:val="single" w:sz="4" w:space="0" w:color="auto"/>
              <w:left w:val="single" w:sz="4" w:space="0" w:color="auto"/>
              <w:bottom w:val="single" w:sz="4" w:space="0" w:color="auto"/>
              <w:right w:val="single" w:sz="4" w:space="0" w:color="auto"/>
            </w:tcBorders>
            <w:noWrap/>
            <w:hideMark/>
          </w:tcPr>
          <w:p w14:paraId="4B9A6EF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3097</w:t>
            </w:r>
          </w:p>
        </w:tc>
        <w:tc>
          <w:tcPr>
            <w:tcW w:w="992" w:type="dxa"/>
            <w:tcBorders>
              <w:top w:val="single" w:sz="4" w:space="0" w:color="auto"/>
              <w:left w:val="single" w:sz="4" w:space="0" w:color="auto"/>
              <w:bottom w:val="single" w:sz="4" w:space="0" w:color="auto"/>
              <w:right w:val="single" w:sz="12" w:space="0" w:color="auto"/>
            </w:tcBorders>
            <w:noWrap/>
            <w:hideMark/>
          </w:tcPr>
          <w:p w14:paraId="7EA0F67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102</w:t>
            </w:r>
          </w:p>
        </w:tc>
      </w:tr>
      <w:tr w:rsidR="00614438" w:rsidRPr="00656BE7" w14:paraId="10E716CE"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2C343010"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6924A09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586" w:type="dxa"/>
            <w:tcBorders>
              <w:top w:val="single" w:sz="4" w:space="0" w:color="auto"/>
              <w:left w:val="single" w:sz="4" w:space="0" w:color="auto"/>
              <w:bottom w:val="single" w:sz="4" w:space="0" w:color="auto"/>
              <w:right w:val="single" w:sz="4" w:space="0" w:color="auto"/>
            </w:tcBorders>
            <w:noWrap/>
            <w:hideMark/>
          </w:tcPr>
          <w:p w14:paraId="3D31B3B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191</w:t>
            </w:r>
          </w:p>
        </w:tc>
        <w:tc>
          <w:tcPr>
            <w:tcW w:w="882" w:type="dxa"/>
            <w:tcBorders>
              <w:top w:val="single" w:sz="4" w:space="0" w:color="auto"/>
              <w:left w:val="single" w:sz="4" w:space="0" w:color="auto"/>
              <w:bottom w:val="single" w:sz="4" w:space="0" w:color="auto"/>
              <w:right w:val="single" w:sz="4" w:space="0" w:color="auto"/>
            </w:tcBorders>
            <w:noWrap/>
            <w:hideMark/>
          </w:tcPr>
          <w:p w14:paraId="36C8852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2425</w:t>
            </w:r>
          </w:p>
        </w:tc>
        <w:tc>
          <w:tcPr>
            <w:tcW w:w="882" w:type="dxa"/>
            <w:tcBorders>
              <w:top w:val="single" w:sz="4" w:space="0" w:color="auto"/>
              <w:left w:val="single" w:sz="4" w:space="0" w:color="auto"/>
              <w:bottom w:val="single" w:sz="4" w:space="0" w:color="auto"/>
              <w:right w:val="single" w:sz="4" w:space="0" w:color="auto"/>
            </w:tcBorders>
            <w:noWrap/>
            <w:hideMark/>
          </w:tcPr>
          <w:p w14:paraId="45A8941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1206</w:t>
            </w:r>
          </w:p>
        </w:tc>
        <w:tc>
          <w:tcPr>
            <w:tcW w:w="882" w:type="dxa"/>
            <w:tcBorders>
              <w:top w:val="single" w:sz="4" w:space="0" w:color="auto"/>
              <w:left w:val="single" w:sz="4" w:space="0" w:color="auto"/>
              <w:bottom w:val="single" w:sz="4" w:space="0" w:color="auto"/>
              <w:right w:val="single" w:sz="4" w:space="0" w:color="auto"/>
            </w:tcBorders>
            <w:noWrap/>
            <w:hideMark/>
          </w:tcPr>
          <w:p w14:paraId="6F46F4C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985</w:t>
            </w:r>
          </w:p>
        </w:tc>
        <w:tc>
          <w:tcPr>
            <w:tcW w:w="882" w:type="dxa"/>
            <w:tcBorders>
              <w:top w:val="single" w:sz="4" w:space="0" w:color="auto"/>
              <w:left w:val="single" w:sz="4" w:space="0" w:color="auto"/>
              <w:bottom w:val="single" w:sz="4" w:space="0" w:color="auto"/>
              <w:right w:val="single" w:sz="4" w:space="0" w:color="auto"/>
            </w:tcBorders>
            <w:noWrap/>
            <w:hideMark/>
          </w:tcPr>
          <w:p w14:paraId="102A354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43</w:t>
            </w:r>
          </w:p>
        </w:tc>
        <w:tc>
          <w:tcPr>
            <w:tcW w:w="582" w:type="dxa"/>
            <w:tcBorders>
              <w:top w:val="single" w:sz="4" w:space="0" w:color="auto"/>
              <w:left w:val="single" w:sz="4" w:space="0" w:color="auto"/>
              <w:bottom w:val="single" w:sz="4" w:space="0" w:color="auto"/>
              <w:right w:val="single" w:sz="4" w:space="0" w:color="auto"/>
            </w:tcBorders>
            <w:noWrap/>
            <w:hideMark/>
          </w:tcPr>
          <w:p w14:paraId="3E4A2E9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51</w:t>
            </w:r>
          </w:p>
        </w:tc>
        <w:tc>
          <w:tcPr>
            <w:tcW w:w="709" w:type="dxa"/>
            <w:tcBorders>
              <w:top w:val="single" w:sz="4" w:space="0" w:color="auto"/>
              <w:left w:val="single" w:sz="4" w:space="0" w:color="auto"/>
              <w:bottom w:val="single" w:sz="4" w:space="0" w:color="auto"/>
              <w:right w:val="single" w:sz="4" w:space="0" w:color="auto"/>
            </w:tcBorders>
            <w:noWrap/>
            <w:hideMark/>
          </w:tcPr>
          <w:p w14:paraId="3EEB571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85</w:t>
            </w:r>
          </w:p>
        </w:tc>
        <w:tc>
          <w:tcPr>
            <w:tcW w:w="992" w:type="dxa"/>
            <w:tcBorders>
              <w:top w:val="single" w:sz="4" w:space="0" w:color="auto"/>
              <w:left w:val="single" w:sz="4" w:space="0" w:color="auto"/>
              <w:bottom w:val="single" w:sz="4" w:space="0" w:color="auto"/>
              <w:right w:val="single" w:sz="4" w:space="0" w:color="auto"/>
            </w:tcBorders>
            <w:hideMark/>
          </w:tcPr>
          <w:p w14:paraId="6578D23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802</w:t>
            </w:r>
          </w:p>
        </w:tc>
        <w:tc>
          <w:tcPr>
            <w:tcW w:w="993" w:type="dxa"/>
            <w:tcBorders>
              <w:top w:val="single" w:sz="4" w:space="0" w:color="auto"/>
              <w:left w:val="single" w:sz="4" w:space="0" w:color="auto"/>
              <w:bottom w:val="single" w:sz="4" w:space="0" w:color="auto"/>
              <w:right w:val="single" w:sz="4" w:space="0" w:color="auto"/>
            </w:tcBorders>
            <w:noWrap/>
            <w:hideMark/>
          </w:tcPr>
          <w:p w14:paraId="67255F0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3484</w:t>
            </w:r>
          </w:p>
        </w:tc>
        <w:tc>
          <w:tcPr>
            <w:tcW w:w="992" w:type="dxa"/>
            <w:tcBorders>
              <w:top w:val="single" w:sz="4" w:space="0" w:color="auto"/>
              <w:left w:val="single" w:sz="4" w:space="0" w:color="auto"/>
              <w:bottom w:val="single" w:sz="4" w:space="0" w:color="auto"/>
              <w:right w:val="single" w:sz="12" w:space="0" w:color="auto"/>
            </w:tcBorders>
            <w:noWrap/>
            <w:hideMark/>
          </w:tcPr>
          <w:p w14:paraId="1FBC2BC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256</w:t>
            </w:r>
          </w:p>
        </w:tc>
      </w:tr>
      <w:tr w:rsidR="00614438" w:rsidRPr="00656BE7" w14:paraId="6D34AEB1"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0C629D34"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12" w:space="0" w:color="auto"/>
              <w:right w:val="single" w:sz="4" w:space="0" w:color="auto"/>
            </w:tcBorders>
            <w:noWrap/>
            <w:hideMark/>
          </w:tcPr>
          <w:p w14:paraId="3E35887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c>
          <w:tcPr>
            <w:tcW w:w="586" w:type="dxa"/>
            <w:tcBorders>
              <w:top w:val="single" w:sz="4" w:space="0" w:color="auto"/>
              <w:left w:val="single" w:sz="4" w:space="0" w:color="auto"/>
              <w:bottom w:val="single" w:sz="12" w:space="0" w:color="auto"/>
              <w:right w:val="single" w:sz="4" w:space="0" w:color="auto"/>
            </w:tcBorders>
            <w:noWrap/>
            <w:hideMark/>
          </w:tcPr>
          <w:p w14:paraId="26C210E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w:t>
            </w:r>
          </w:p>
        </w:tc>
        <w:tc>
          <w:tcPr>
            <w:tcW w:w="882" w:type="dxa"/>
            <w:tcBorders>
              <w:top w:val="single" w:sz="4" w:space="0" w:color="auto"/>
              <w:left w:val="single" w:sz="4" w:space="0" w:color="auto"/>
              <w:bottom w:val="single" w:sz="12" w:space="0" w:color="auto"/>
              <w:right w:val="single" w:sz="4" w:space="0" w:color="auto"/>
            </w:tcBorders>
            <w:noWrap/>
            <w:hideMark/>
          </w:tcPr>
          <w:p w14:paraId="7E0E700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1967</w:t>
            </w:r>
          </w:p>
        </w:tc>
        <w:tc>
          <w:tcPr>
            <w:tcW w:w="882" w:type="dxa"/>
            <w:tcBorders>
              <w:top w:val="single" w:sz="4" w:space="0" w:color="auto"/>
              <w:left w:val="single" w:sz="4" w:space="0" w:color="auto"/>
              <w:bottom w:val="single" w:sz="12" w:space="0" w:color="auto"/>
              <w:right w:val="single" w:sz="4" w:space="0" w:color="auto"/>
            </w:tcBorders>
            <w:noWrap/>
            <w:hideMark/>
          </w:tcPr>
          <w:p w14:paraId="0AED037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1274</w:t>
            </w:r>
          </w:p>
        </w:tc>
        <w:tc>
          <w:tcPr>
            <w:tcW w:w="882" w:type="dxa"/>
            <w:tcBorders>
              <w:top w:val="single" w:sz="4" w:space="0" w:color="auto"/>
              <w:left w:val="single" w:sz="4" w:space="0" w:color="auto"/>
              <w:bottom w:val="single" w:sz="12" w:space="0" w:color="auto"/>
              <w:right w:val="single" w:sz="4" w:space="0" w:color="auto"/>
            </w:tcBorders>
            <w:noWrap/>
            <w:hideMark/>
          </w:tcPr>
          <w:p w14:paraId="41AB430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618</w:t>
            </w:r>
          </w:p>
        </w:tc>
        <w:tc>
          <w:tcPr>
            <w:tcW w:w="882" w:type="dxa"/>
            <w:tcBorders>
              <w:top w:val="single" w:sz="4" w:space="0" w:color="auto"/>
              <w:left w:val="single" w:sz="4" w:space="0" w:color="auto"/>
              <w:bottom w:val="single" w:sz="12" w:space="0" w:color="auto"/>
              <w:right w:val="single" w:sz="4" w:space="0" w:color="auto"/>
            </w:tcBorders>
            <w:noWrap/>
            <w:hideMark/>
          </w:tcPr>
          <w:p w14:paraId="62381A7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w:t>
            </w:r>
          </w:p>
        </w:tc>
        <w:tc>
          <w:tcPr>
            <w:tcW w:w="582" w:type="dxa"/>
            <w:tcBorders>
              <w:top w:val="single" w:sz="4" w:space="0" w:color="auto"/>
              <w:left w:val="single" w:sz="4" w:space="0" w:color="auto"/>
              <w:bottom w:val="single" w:sz="12" w:space="0" w:color="auto"/>
              <w:right w:val="single" w:sz="4" w:space="0" w:color="auto"/>
            </w:tcBorders>
            <w:noWrap/>
            <w:hideMark/>
          </w:tcPr>
          <w:p w14:paraId="1D5D4CA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61</w:t>
            </w:r>
          </w:p>
        </w:tc>
        <w:tc>
          <w:tcPr>
            <w:tcW w:w="709" w:type="dxa"/>
            <w:tcBorders>
              <w:top w:val="single" w:sz="4" w:space="0" w:color="auto"/>
              <w:left w:val="single" w:sz="4" w:space="0" w:color="auto"/>
              <w:bottom w:val="single" w:sz="12" w:space="0" w:color="auto"/>
              <w:right w:val="single" w:sz="4" w:space="0" w:color="auto"/>
            </w:tcBorders>
            <w:noWrap/>
            <w:hideMark/>
          </w:tcPr>
          <w:p w14:paraId="1F51BC2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147</w:t>
            </w:r>
          </w:p>
        </w:tc>
        <w:tc>
          <w:tcPr>
            <w:tcW w:w="992" w:type="dxa"/>
            <w:tcBorders>
              <w:top w:val="single" w:sz="4" w:space="0" w:color="auto"/>
              <w:left w:val="single" w:sz="4" w:space="0" w:color="auto"/>
              <w:bottom w:val="single" w:sz="12" w:space="0" w:color="auto"/>
              <w:right w:val="single" w:sz="4" w:space="0" w:color="auto"/>
            </w:tcBorders>
            <w:hideMark/>
          </w:tcPr>
          <w:p w14:paraId="1DAC84E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822</w:t>
            </w:r>
          </w:p>
        </w:tc>
        <w:tc>
          <w:tcPr>
            <w:tcW w:w="993" w:type="dxa"/>
            <w:tcBorders>
              <w:top w:val="single" w:sz="4" w:space="0" w:color="auto"/>
              <w:left w:val="single" w:sz="4" w:space="0" w:color="auto"/>
              <w:bottom w:val="single" w:sz="12" w:space="0" w:color="auto"/>
              <w:right w:val="single" w:sz="4" w:space="0" w:color="auto"/>
            </w:tcBorders>
            <w:noWrap/>
            <w:hideMark/>
          </w:tcPr>
          <w:p w14:paraId="7E727B9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3944</w:t>
            </w:r>
          </w:p>
        </w:tc>
        <w:tc>
          <w:tcPr>
            <w:tcW w:w="992" w:type="dxa"/>
            <w:tcBorders>
              <w:top w:val="single" w:sz="4" w:space="0" w:color="auto"/>
              <w:left w:val="single" w:sz="4" w:space="0" w:color="auto"/>
              <w:bottom w:val="single" w:sz="12" w:space="0" w:color="auto"/>
              <w:right w:val="single" w:sz="12" w:space="0" w:color="auto"/>
            </w:tcBorders>
            <w:noWrap/>
            <w:hideMark/>
          </w:tcPr>
          <w:p w14:paraId="08FD01A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412</w:t>
            </w:r>
          </w:p>
        </w:tc>
      </w:tr>
      <w:tr w:rsidR="00614438" w:rsidRPr="00656BE7" w14:paraId="0D597B61" w14:textId="77777777" w:rsidTr="00614438">
        <w:trPr>
          <w:trHeight w:val="298"/>
        </w:trPr>
        <w:tc>
          <w:tcPr>
            <w:tcW w:w="895" w:type="dxa"/>
            <w:vMerge w:val="restart"/>
            <w:tcBorders>
              <w:top w:val="single" w:sz="12" w:space="0" w:color="auto"/>
              <w:left w:val="single" w:sz="12" w:space="0" w:color="auto"/>
              <w:bottom w:val="single" w:sz="12" w:space="0" w:color="auto"/>
              <w:right w:val="single" w:sz="4" w:space="0" w:color="auto"/>
            </w:tcBorders>
            <w:shd w:val="clear" w:color="auto" w:fill="E7E6E6"/>
            <w:noWrap/>
            <w:vAlign w:val="center"/>
            <w:hideMark/>
          </w:tcPr>
          <w:p w14:paraId="191EAC6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Scenario-S-N</w:t>
            </w:r>
          </w:p>
        </w:tc>
        <w:tc>
          <w:tcPr>
            <w:tcW w:w="641" w:type="dxa"/>
            <w:tcBorders>
              <w:top w:val="single" w:sz="12" w:space="0" w:color="auto"/>
              <w:left w:val="single" w:sz="4" w:space="0" w:color="auto"/>
              <w:bottom w:val="single" w:sz="4" w:space="0" w:color="auto"/>
              <w:right w:val="single" w:sz="4" w:space="0" w:color="auto"/>
            </w:tcBorders>
            <w:noWrap/>
            <w:hideMark/>
          </w:tcPr>
          <w:p w14:paraId="48C86E5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586" w:type="dxa"/>
            <w:tcBorders>
              <w:top w:val="single" w:sz="12" w:space="0" w:color="auto"/>
              <w:left w:val="single" w:sz="4" w:space="0" w:color="auto"/>
              <w:bottom w:val="single" w:sz="4" w:space="0" w:color="auto"/>
              <w:right w:val="single" w:sz="4" w:space="0" w:color="auto"/>
            </w:tcBorders>
            <w:noWrap/>
            <w:hideMark/>
          </w:tcPr>
          <w:p w14:paraId="4C3DDCA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358</w:t>
            </w:r>
          </w:p>
        </w:tc>
        <w:tc>
          <w:tcPr>
            <w:tcW w:w="882" w:type="dxa"/>
            <w:tcBorders>
              <w:top w:val="single" w:sz="12" w:space="0" w:color="auto"/>
              <w:left w:val="single" w:sz="4" w:space="0" w:color="auto"/>
              <w:bottom w:val="single" w:sz="4" w:space="0" w:color="auto"/>
              <w:right w:val="single" w:sz="4" w:space="0" w:color="auto"/>
            </w:tcBorders>
            <w:noWrap/>
            <w:hideMark/>
          </w:tcPr>
          <w:p w14:paraId="7C47568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2910</w:t>
            </w:r>
          </w:p>
        </w:tc>
        <w:tc>
          <w:tcPr>
            <w:tcW w:w="882" w:type="dxa"/>
            <w:tcBorders>
              <w:top w:val="single" w:sz="12" w:space="0" w:color="auto"/>
              <w:left w:val="single" w:sz="4" w:space="0" w:color="auto"/>
              <w:bottom w:val="single" w:sz="4" w:space="0" w:color="auto"/>
              <w:right w:val="single" w:sz="4" w:space="0" w:color="auto"/>
            </w:tcBorders>
            <w:noWrap/>
            <w:hideMark/>
          </w:tcPr>
          <w:p w14:paraId="57CF3AA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1030</w:t>
            </w:r>
          </w:p>
        </w:tc>
        <w:tc>
          <w:tcPr>
            <w:tcW w:w="882" w:type="dxa"/>
            <w:tcBorders>
              <w:top w:val="single" w:sz="12" w:space="0" w:color="auto"/>
              <w:left w:val="single" w:sz="4" w:space="0" w:color="auto"/>
              <w:bottom w:val="single" w:sz="4" w:space="0" w:color="auto"/>
              <w:right w:val="single" w:sz="4" w:space="0" w:color="auto"/>
            </w:tcBorders>
            <w:noWrap/>
            <w:hideMark/>
          </w:tcPr>
          <w:p w14:paraId="440B038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1571</w:t>
            </w:r>
          </w:p>
        </w:tc>
        <w:tc>
          <w:tcPr>
            <w:tcW w:w="882" w:type="dxa"/>
            <w:tcBorders>
              <w:top w:val="single" w:sz="12" w:space="0" w:color="auto"/>
              <w:left w:val="single" w:sz="4" w:space="0" w:color="auto"/>
              <w:bottom w:val="single" w:sz="4" w:space="0" w:color="auto"/>
              <w:right w:val="single" w:sz="4" w:space="0" w:color="auto"/>
            </w:tcBorders>
            <w:noWrap/>
            <w:hideMark/>
          </w:tcPr>
          <w:p w14:paraId="7593DFA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c>
          <w:tcPr>
            <w:tcW w:w="582" w:type="dxa"/>
            <w:tcBorders>
              <w:top w:val="single" w:sz="12" w:space="0" w:color="auto"/>
              <w:left w:val="single" w:sz="4" w:space="0" w:color="auto"/>
              <w:bottom w:val="single" w:sz="4" w:space="0" w:color="auto"/>
              <w:right w:val="single" w:sz="4" w:space="0" w:color="auto"/>
            </w:tcBorders>
            <w:noWrap/>
            <w:hideMark/>
          </w:tcPr>
          <w:p w14:paraId="44F7388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w:t>
            </w:r>
          </w:p>
        </w:tc>
        <w:tc>
          <w:tcPr>
            <w:tcW w:w="709" w:type="dxa"/>
            <w:tcBorders>
              <w:top w:val="single" w:sz="12" w:space="0" w:color="auto"/>
              <w:left w:val="single" w:sz="4" w:space="0" w:color="auto"/>
              <w:bottom w:val="single" w:sz="4" w:space="0" w:color="auto"/>
              <w:right w:val="single" w:sz="4" w:space="0" w:color="auto"/>
            </w:tcBorders>
            <w:noWrap/>
            <w:hideMark/>
          </w:tcPr>
          <w:p w14:paraId="5B402B1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w:t>
            </w:r>
          </w:p>
        </w:tc>
        <w:tc>
          <w:tcPr>
            <w:tcW w:w="992" w:type="dxa"/>
            <w:tcBorders>
              <w:top w:val="single" w:sz="12" w:space="0" w:color="auto"/>
              <w:left w:val="single" w:sz="4" w:space="0" w:color="auto"/>
              <w:bottom w:val="single" w:sz="4" w:space="0" w:color="auto"/>
              <w:right w:val="single" w:sz="4" w:space="0" w:color="auto"/>
            </w:tcBorders>
            <w:hideMark/>
          </w:tcPr>
          <w:p w14:paraId="47C21D5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736</w:t>
            </w:r>
          </w:p>
        </w:tc>
        <w:tc>
          <w:tcPr>
            <w:tcW w:w="993" w:type="dxa"/>
            <w:tcBorders>
              <w:top w:val="single" w:sz="12" w:space="0" w:color="auto"/>
              <w:left w:val="single" w:sz="4" w:space="0" w:color="auto"/>
              <w:bottom w:val="single" w:sz="4" w:space="0" w:color="auto"/>
              <w:right w:val="single" w:sz="4" w:space="0" w:color="auto"/>
            </w:tcBorders>
            <w:noWrap/>
            <w:hideMark/>
          </w:tcPr>
          <w:p w14:paraId="7CEBB85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2400</w:t>
            </w:r>
          </w:p>
        </w:tc>
        <w:tc>
          <w:tcPr>
            <w:tcW w:w="992" w:type="dxa"/>
            <w:tcBorders>
              <w:top w:val="single" w:sz="12" w:space="0" w:color="auto"/>
              <w:left w:val="single" w:sz="4" w:space="0" w:color="auto"/>
              <w:bottom w:val="single" w:sz="4" w:space="0" w:color="auto"/>
              <w:right w:val="single" w:sz="12" w:space="0" w:color="auto"/>
            </w:tcBorders>
            <w:noWrap/>
            <w:hideMark/>
          </w:tcPr>
          <w:p w14:paraId="7A0AD9F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5A27A738"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3CDF0231"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5263F65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586" w:type="dxa"/>
            <w:tcBorders>
              <w:top w:val="single" w:sz="4" w:space="0" w:color="auto"/>
              <w:left w:val="single" w:sz="4" w:space="0" w:color="auto"/>
              <w:bottom w:val="single" w:sz="4" w:space="0" w:color="auto"/>
              <w:right w:val="single" w:sz="4" w:space="0" w:color="auto"/>
            </w:tcBorders>
            <w:noWrap/>
            <w:hideMark/>
          </w:tcPr>
          <w:p w14:paraId="5FEED1C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251</w:t>
            </w:r>
          </w:p>
        </w:tc>
        <w:tc>
          <w:tcPr>
            <w:tcW w:w="882" w:type="dxa"/>
            <w:tcBorders>
              <w:top w:val="single" w:sz="4" w:space="0" w:color="auto"/>
              <w:left w:val="single" w:sz="4" w:space="0" w:color="auto"/>
              <w:bottom w:val="single" w:sz="4" w:space="0" w:color="auto"/>
              <w:right w:val="single" w:sz="4" w:space="0" w:color="auto"/>
            </w:tcBorders>
            <w:noWrap/>
            <w:hideMark/>
          </w:tcPr>
          <w:p w14:paraId="67F1CB0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3077</w:t>
            </w:r>
          </w:p>
        </w:tc>
        <w:tc>
          <w:tcPr>
            <w:tcW w:w="882" w:type="dxa"/>
            <w:tcBorders>
              <w:top w:val="single" w:sz="4" w:space="0" w:color="auto"/>
              <w:left w:val="single" w:sz="4" w:space="0" w:color="auto"/>
              <w:bottom w:val="single" w:sz="4" w:space="0" w:color="auto"/>
              <w:right w:val="single" w:sz="4" w:space="0" w:color="auto"/>
            </w:tcBorders>
            <w:noWrap/>
            <w:hideMark/>
          </w:tcPr>
          <w:p w14:paraId="4205C2C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893</w:t>
            </w:r>
          </w:p>
        </w:tc>
        <w:tc>
          <w:tcPr>
            <w:tcW w:w="882" w:type="dxa"/>
            <w:tcBorders>
              <w:top w:val="single" w:sz="4" w:space="0" w:color="auto"/>
              <w:left w:val="single" w:sz="4" w:space="0" w:color="auto"/>
              <w:bottom w:val="single" w:sz="4" w:space="0" w:color="auto"/>
              <w:right w:val="single" w:sz="4" w:space="0" w:color="auto"/>
            </w:tcBorders>
            <w:noWrap/>
            <w:hideMark/>
          </w:tcPr>
          <w:p w14:paraId="720EF95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1637</w:t>
            </w:r>
          </w:p>
        </w:tc>
        <w:tc>
          <w:tcPr>
            <w:tcW w:w="882" w:type="dxa"/>
            <w:tcBorders>
              <w:top w:val="single" w:sz="4" w:space="0" w:color="auto"/>
              <w:left w:val="single" w:sz="4" w:space="0" w:color="auto"/>
              <w:bottom w:val="single" w:sz="4" w:space="0" w:color="auto"/>
              <w:right w:val="single" w:sz="4" w:space="0" w:color="auto"/>
            </w:tcBorders>
            <w:noWrap/>
            <w:hideMark/>
          </w:tcPr>
          <w:p w14:paraId="4380EB7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30</w:t>
            </w:r>
          </w:p>
        </w:tc>
        <w:tc>
          <w:tcPr>
            <w:tcW w:w="582" w:type="dxa"/>
            <w:tcBorders>
              <w:top w:val="single" w:sz="4" w:space="0" w:color="auto"/>
              <w:left w:val="single" w:sz="4" w:space="0" w:color="auto"/>
              <w:bottom w:val="single" w:sz="4" w:space="0" w:color="auto"/>
              <w:right w:val="single" w:sz="4" w:space="0" w:color="auto"/>
            </w:tcBorders>
            <w:noWrap/>
            <w:hideMark/>
          </w:tcPr>
          <w:p w14:paraId="43D5A16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w:t>
            </w:r>
          </w:p>
        </w:tc>
        <w:tc>
          <w:tcPr>
            <w:tcW w:w="709" w:type="dxa"/>
            <w:tcBorders>
              <w:top w:val="single" w:sz="4" w:space="0" w:color="auto"/>
              <w:left w:val="single" w:sz="4" w:space="0" w:color="auto"/>
              <w:bottom w:val="single" w:sz="4" w:space="0" w:color="auto"/>
              <w:right w:val="single" w:sz="4" w:space="0" w:color="auto"/>
            </w:tcBorders>
            <w:noWrap/>
            <w:hideMark/>
          </w:tcPr>
          <w:p w14:paraId="759E95B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w:t>
            </w:r>
          </w:p>
        </w:tc>
        <w:tc>
          <w:tcPr>
            <w:tcW w:w="992" w:type="dxa"/>
            <w:tcBorders>
              <w:top w:val="single" w:sz="4" w:space="0" w:color="auto"/>
              <w:left w:val="single" w:sz="4" w:space="0" w:color="auto"/>
              <w:bottom w:val="single" w:sz="4" w:space="0" w:color="auto"/>
              <w:right w:val="single" w:sz="4" w:space="0" w:color="auto"/>
            </w:tcBorders>
            <w:hideMark/>
          </w:tcPr>
          <w:p w14:paraId="5FE31D8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841</w:t>
            </w:r>
          </w:p>
        </w:tc>
        <w:tc>
          <w:tcPr>
            <w:tcW w:w="993" w:type="dxa"/>
            <w:tcBorders>
              <w:top w:val="single" w:sz="4" w:space="0" w:color="auto"/>
              <w:left w:val="single" w:sz="4" w:space="0" w:color="auto"/>
              <w:bottom w:val="single" w:sz="4" w:space="0" w:color="auto"/>
              <w:right w:val="single" w:sz="4" w:space="0" w:color="auto"/>
            </w:tcBorders>
            <w:noWrap/>
            <w:hideMark/>
          </w:tcPr>
          <w:p w14:paraId="26F14C0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2559</w:t>
            </w:r>
          </w:p>
        </w:tc>
        <w:tc>
          <w:tcPr>
            <w:tcW w:w="992" w:type="dxa"/>
            <w:tcBorders>
              <w:top w:val="single" w:sz="4" w:space="0" w:color="auto"/>
              <w:left w:val="single" w:sz="4" w:space="0" w:color="auto"/>
              <w:bottom w:val="single" w:sz="4" w:space="0" w:color="auto"/>
              <w:right w:val="single" w:sz="12" w:space="0" w:color="auto"/>
            </w:tcBorders>
            <w:noWrap/>
            <w:hideMark/>
          </w:tcPr>
          <w:p w14:paraId="11FE0C3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7C96EC03"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3E46F83E"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43AE47C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586" w:type="dxa"/>
            <w:tcBorders>
              <w:top w:val="single" w:sz="4" w:space="0" w:color="auto"/>
              <w:left w:val="single" w:sz="4" w:space="0" w:color="auto"/>
              <w:bottom w:val="single" w:sz="4" w:space="0" w:color="auto"/>
              <w:right w:val="single" w:sz="4" w:space="0" w:color="auto"/>
            </w:tcBorders>
            <w:noWrap/>
            <w:hideMark/>
          </w:tcPr>
          <w:p w14:paraId="100379C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185</w:t>
            </w:r>
          </w:p>
        </w:tc>
        <w:tc>
          <w:tcPr>
            <w:tcW w:w="882" w:type="dxa"/>
            <w:tcBorders>
              <w:top w:val="single" w:sz="4" w:space="0" w:color="auto"/>
              <w:left w:val="single" w:sz="4" w:space="0" w:color="auto"/>
              <w:bottom w:val="single" w:sz="4" w:space="0" w:color="auto"/>
              <w:right w:val="single" w:sz="4" w:space="0" w:color="auto"/>
            </w:tcBorders>
            <w:noWrap/>
            <w:hideMark/>
          </w:tcPr>
          <w:p w14:paraId="70647A4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3116</w:t>
            </w:r>
          </w:p>
        </w:tc>
        <w:tc>
          <w:tcPr>
            <w:tcW w:w="882" w:type="dxa"/>
            <w:tcBorders>
              <w:top w:val="single" w:sz="4" w:space="0" w:color="auto"/>
              <w:left w:val="single" w:sz="4" w:space="0" w:color="auto"/>
              <w:bottom w:val="single" w:sz="4" w:space="0" w:color="auto"/>
              <w:right w:val="single" w:sz="4" w:space="0" w:color="auto"/>
            </w:tcBorders>
            <w:noWrap/>
            <w:hideMark/>
          </w:tcPr>
          <w:p w14:paraId="59B3B03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903</w:t>
            </w:r>
          </w:p>
        </w:tc>
        <w:tc>
          <w:tcPr>
            <w:tcW w:w="882" w:type="dxa"/>
            <w:tcBorders>
              <w:top w:val="single" w:sz="4" w:space="0" w:color="auto"/>
              <w:left w:val="single" w:sz="4" w:space="0" w:color="auto"/>
              <w:bottom w:val="single" w:sz="4" w:space="0" w:color="auto"/>
              <w:right w:val="single" w:sz="4" w:space="0" w:color="auto"/>
            </w:tcBorders>
            <w:noWrap/>
            <w:hideMark/>
          </w:tcPr>
          <w:p w14:paraId="5D7CE1B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1635</w:t>
            </w:r>
          </w:p>
        </w:tc>
        <w:tc>
          <w:tcPr>
            <w:tcW w:w="882" w:type="dxa"/>
            <w:tcBorders>
              <w:top w:val="single" w:sz="4" w:space="0" w:color="auto"/>
              <w:left w:val="single" w:sz="4" w:space="0" w:color="auto"/>
              <w:bottom w:val="single" w:sz="4" w:space="0" w:color="auto"/>
              <w:right w:val="single" w:sz="4" w:space="0" w:color="auto"/>
            </w:tcBorders>
            <w:noWrap/>
            <w:hideMark/>
          </w:tcPr>
          <w:p w14:paraId="1AEBDCE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w:t>
            </w:r>
          </w:p>
        </w:tc>
        <w:tc>
          <w:tcPr>
            <w:tcW w:w="582" w:type="dxa"/>
            <w:tcBorders>
              <w:top w:val="single" w:sz="4" w:space="0" w:color="auto"/>
              <w:left w:val="single" w:sz="4" w:space="0" w:color="auto"/>
              <w:bottom w:val="single" w:sz="4" w:space="0" w:color="auto"/>
              <w:right w:val="single" w:sz="4" w:space="0" w:color="auto"/>
            </w:tcBorders>
            <w:noWrap/>
            <w:hideMark/>
          </w:tcPr>
          <w:p w14:paraId="658594C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w:t>
            </w:r>
          </w:p>
        </w:tc>
        <w:tc>
          <w:tcPr>
            <w:tcW w:w="709" w:type="dxa"/>
            <w:tcBorders>
              <w:top w:val="single" w:sz="4" w:space="0" w:color="auto"/>
              <w:left w:val="single" w:sz="4" w:space="0" w:color="auto"/>
              <w:bottom w:val="single" w:sz="4" w:space="0" w:color="auto"/>
              <w:right w:val="single" w:sz="4" w:space="0" w:color="auto"/>
            </w:tcBorders>
            <w:noWrap/>
            <w:hideMark/>
          </w:tcPr>
          <w:p w14:paraId="50AA805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w:t>
            </w:r>
          </w:p>
        </w:tc>
        <w:tc>
          <w:tcPr>
            <w:tcW w:w="992" w:type="dxa"/>
            <w:tcBorders>
              <w:top w:val="single" w:sz="4" w:space="0" w:color="auto"/>
              <w:left w:val="single" w:sz="4" w:space="0" w:color="auto"/>
              <w:bottom w:val="single" w:sz="4" w:space="0" w:color="auto"/>
              <w:right w:val="single" w:sz="4" w:space="0" w:color="auto"/>
            </w:tcBorders>
            <w:hideMark/>
          </w:tcPr>
          <w:p w14:paraId="380AA42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847</w:t>
            </w:r>
          </w:p>
        </w:tc>
        <w:tc>
          <w:tcPr>
            <w:tcW w:w="993" w:type="dxa"/>
            <w:tcBorders>
              <w:top w:val="single" w:sz="4" w:space="0" w:color="auto"/>
              <w:left w:val="single" w:sz="4" w:space="0" w:color="auto"/>
              <w:bottom w:val="single" w:sz="4" w:space="0" w:color="auto"/>
              <w:right w:val="single" w:sz="4" w:space="0" w:color="auto"/>
            </w:tcBorders>
            <w:noWrap/>
            <w:hideMark/>
          </w:tcPr>
          <w:p w14:paraId="0B496E5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2568</w:t>
            </w:r>
          </w:p>
        </w:tc>
        <w:tc>
          <w:tcPr>
            <w:tcW w:w="992" w:type="dxa"/>
            <w:tcBorders>
              <w:top w:val="single" w:sz="4" w:space="0" w:color="auto"/>
              <w:left w:val="single" w:sz="4" w:space="0" w:color="auto"/>
              <w:bottom w:val="single" w:sz="4" w:space="0" w:color="auto"/>
              <w:right w:val="single" w:sz="12" w:space="0" w:color="auto"/>
            </w:tcBorders>
            <w:noWrap/>
            <w:hideMark/>
          </w:tcPr>
          <w:p w14:paraId="1B1B2CE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4423A567"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44E93B95"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429F8CC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586" w:type="dxa"/>
            <w:tcBorders>
              <w:top w:val="single" w:sz="4" w:space="0" w:color="auto"/>
              <w:left w:val="single" w:sz="4" w:space="0" w:color="auto"/>
              <w:bottom w:val="single" w:sz="4" w:space="0" w:color="auto"/>
              <w:right w:val="single" w:sz="4" w:space="0" w:color="auto"/>
            </w:tcBorders>
            <w:noWrap/>
            <w:hideMark/>
          </w:tcPr>
          <w:p w14:paraId="7DE8C3B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189</w:t>
            </w:r>
          </w:p>
        </w:tc>
        <w:tc>
          <w:tcPr>
            <w:tcW w:w="882" w:type="dxa"/>
            <w:tcBorders>
              <w:top w:val="single" w:sz="4" w:space="0" w:color="auto"/>
              <w:left w:val="single" w:sz="4" w:space="0" w:color="auto"/>
              <w:bottom w:val="single" w:sz="4" w:space="0" w:color="auto"/>
              <w:right w:val="single" w:sz="4" w:space="0" w:color="auto"/>
            </w:tcBorders>
            <w:noWrap/>
            <w:hideMark/>
          </w:tcPr>
          <w:p w14:paraId="65A88B3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3137</w:t>
            </w:r>
          </w:p>
        </w:tc>
        <w:tc>
          <w:tcPr>
            <w:tcW w:w="882" w:type="dxa"/>
            <w:tcBorders>
              <w:top w:val="single" w:sz="4" w:space="0" w:color="auto"/>
              <w:left w:val="single" w:sz="4" w:space="0" w:color="auto"/>
              <w:bottom w:val="single" w:sz="4" w:space="0" w:color="auto"/>
              <w:right w:val="single" w:sz="4" w:space="0" w:color="auto"/>
            </w:tcBorders>
            <w:noWrap/>
            <w:hideMark/>
          </w:tcPr>
          <w:p w14:paraId="0DF160B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920</w:t>
            </w:r>
          </w:p>
        </w:tc>
        <w:tc>
          <w:tcPr>
            <w:tcW w:w="882" w:type="dxa"/>
            <w:tcBorders>
              <w:top w:val="single" w:sz="4" w:space="0" w:color="auto"/>
              <w:left w:val="single" w:sz="4" w:space="0" w:color="auto"/>
              <w:bottom w:val="single" w:sz="4" w:space="0" w:color="auto"/>
              <w:right w:val="single" w:sz="4" w:space="0" w:color="auto"/>
            </w:tcBorders>
            <w:noWrap/>
            <w:hideMark/>
          </w:tcPr>
          <w:p w14:paraId="0018655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1620</w:t>
            </w:r>
          </w:p>
        </w:tc>
        <w:tc>
          <w:tcPr>
            <w:tcW w:w="882" w:type="dxa"/>
            <w:tcBorders>
              <w:top w:val="single" w:sz="4" w:space="0" w:color="auto"/>
              <w:left w:val="single" w:sz="4" w:space="0" w:color="auto"/>
              <w:bottom w:val="single" w:sz="4" w:space="0" w:color="auto"/>
              <w:right w:val="single" w:sz="4" w:space="0" w:color="auto"/>
            </w:tcBorders>
            <w:noWrap/>
            <w:hideMark/>
          </w:tcPr>
          <w:p w14:paraId="42F45CB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38</w:t>
            </w:r>
          </w:p>
        </w:tc>
        <w:tc>
          <w:tcPr>
            <w:tcW w:w="582" w:type="dxa"/>
            <w:tcBorders>
              <w:top w:val="single" w:sz="4" w:space="0" w:color="auto"/>
              <w:left w:val="single" w:sz="4" w:space="0" w:color="auto"/>
              <w:bottom w:val="single" w:sz="4" w:space="0" w:color="auto"/>
              <w:right w:val="single" w:sz="4" w:space="0" w:color="auto"/>
            </w:tcBorders>
            <w:noWrap/>
            <w:hideMark/>
          </w:tcPr>
          <w:p w14:paraId="33950B4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17</w:t>
            </w:r>
          </w:p>
        </w:tc>
        <w:tc>
          <w:tcPr>
            <w:tcW w:w="709" w:type="dxa"/>
            <w:tcBorders>
              <w:top w:val="single" w:sz="4" w:space="0" w:color="auto"/>
              <w:left w:val="single" w:sz="4" w:space="0" w:color="auto"/>
              <w:bottom w:val="single" w:sz="4" w:space="0" w:color="auto"/>
              <w:right w:val="single" w:sz="4" w:space="0" w:color="auto"/>
            </w:tcBorders>
            <w:noWrap/>
            <w:hideMark/>
          </w:tcPr>
          <w:p w14:paraId="77DF935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w:t>
            </w:r>
          </w:p>
        </w:tc>
        <w:tc>
          <w:tcPr>
            <w:tcW w:w="992" w:type="dxa"/>
            <w:tcBorders>
              <w:top w:val="single" w:sz="4" w:space="0" w:color="auto"/>
              <w:left w:val="single" w:sz="4" w:space="0" w:color="auto"/>
              <w:bottom w:val="single" w:sz="4" w:space="0" w:color="auto"/>
              <w:right w:val="single" w:sz="4" w:space="0" w:color="auto"/>
            </w:tcBorders>
            <w:hideMark/>
          </w:tcPr>
          <w:p w14:paraId="5725436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844</w:t>
            </w:r>
          </w:p>
        </w:tc>
        <w:tc>
          <w:tcPr>
            <w:tcW w:w="993" w:type="dxa"/>
            <w:tcBorders>
              <w:top w:val="single" w:sz="4" w:space="0" w:color="auto"/>
              <w:left w:val="single" w:sz="4" w:space="0" w:color="auto"/>
              <w:bottom w:val="single" w:sz="4" w:space="0" w:color="auto"/>
              <w:right w:val="single" w:sz="4" w:space="0" w:color="auto"/>
            </w:tcBorders>
            <w:noWrap/>
            <w:hideMark/>
          </w:tcPr>
          <w:p w14:paraId="4B98BB7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2607</w:t>
            </w:r>
          </w:p>
        </w:tc>
        <w:tc>
          <w:tcPr>
            <w:tcW w:w="992" w:type="dxa"/>
            <w:tcBorders>
              <w:top w:val="single" w:sz="4" w:space="0" w:color="auto"/>
              <w:left w:val="single" w:sz="4" w:space="0" w:color="auto"/>
              <w:bottom w:val="single" w:sz="4" w:space="0" w:color="auto"/>
              <w:right w:val="single" w:sz="12" w:space="0" w:color="auto"/>
            </w:tcBorders>
            <w:noWrap/>
            <w:hideMark/>
          </w:tcPr>
          <w:p w14:paraId="3D5D6CC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0FB1D656"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268D2B59"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10C4C16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586" w:type="dxa"/>
            <w:tcBorders>
              <w:top w:val="single" w:sz="4" w:space="0" w:color="auto"/>
              <w:left w:val="single" w:sz="4" w:space="0" w:color="auto"/>
              <w:bottom w:val="single" w:sz="4" w:space="0" w:color="auto"/>
              <w:right w:val="single" w:sz="4" w:space="0" w:color="auto"/>
            </w:tcBorders>
            <w:noWrap/>
            <w:hideMark/>
          </w:tcPr>
          <w:p w14:paraId="673BB47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187</w:t>
            </w:r>
          </w:p>
        </w:tc>
        <w:tc>
          <w:tcPr>
            <w:tcW w:w="882" w:type="dxa"/>
            <w:tcBorders>
              <w:top w:val="single" w:sz="4" w:space="0" w:color="auto"/>
              <w:left w:val="single" w:sz="4" w:space="0" w:color="auto"/>
              <w:bottom w:val="single" w:sz="4" w:space="0" w:color="auto"/>
              <w:right w:val="single" w:sz="4" w:space="0" w:color="auto"/>
            </w:tcBorders>
            <w:noWrap/>
            <w:hideMark/>
          </w:tcPr>
          <w:p w14:paraId="7886968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3116</w:t>
            </w:r>
          </w:p>
        </w:tc>
        <w:tc>
          <w:tcPr>
            <w:tcW w:w="882" w:type="dxa"/>
            <w:tcBorders>
              <w:top w:val="single" w:sz="4" w:space="0" w:color="auto"/>
              <w:left w:val="single" w:sz="4" w:space="0" w:color="auto"/>
              <w:bottom w:val="single" w:sz="4" w:space="0" w:color="auto"/>
              <w:right w:val="single" w:sz="4" w:space="0" w:color="auto"/>
            </w:tcBorders>
            <w:noWrap/>
            <w:hideMark/>
          </w:tcPr>
          <w:p w14:paraId="5E4A022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982</w:t>
            </w:r>
          </w:p>
        </w:tc>
        <w:tc>
          <w:tcPr>
            <w:tcW w:w="882" w:type="dxa"/>
            <w:tcBorders>
              <w:top w:val="single" w:sz="4" w:space="0" w:color="auto"/>
              <w:left w:val="single" w:sz="4" w:space="0" w:color="auto"/>
              <w:bottom w:val="single" w:sz="4" w:space="0" w:color="auto"/>
              <w:right w:val="single" w:sz="4" w:space="0" w:color="auto"/>
            </w:tcBorders>
            <w:noWrap/>
            <w:hideMark/>
          </w:tcPr>
          <w:p w14:paraId="584159B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1616</w:t>
            </w:r>
          </w:p>
        </w:tc>
        <w:tc>
          <w:tcPr>
            <w:tcW w:w="882" w:type="dxa"/>
            <w:tcBorders>
              <w:top w:val="single" w:sz="4" w:space="0" w:color="auto"/>
              <w:left w:val="single" w:sz="4" w:space="0" w:color="auto"/>
              <w:bottom w:val="single" w:sz="4" w:space="0" w:color="auto"/>
              <w:right w:val="single" w:sz="4" w:space="0" w:color="auto"/>
            </w:tcBorders>
            <w:noWrap/>
            <w:hideMark/>
          </w:tcPr>
          <w:p w14:paraId="5E1BF9F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41</w:t>
            </w:r>
          </w:p>
        </w:tc>
        <w:tc>
          <w:tcPr>
            <w:tcW w:w="582" w:type="dxa"/>
            <w:tcBorders>
              <w:top w:val="single" w:sz="4" w:space="0" w:color="auto"/>
              <w:left w:val="single" w:sz="4" w:space="0" w:color="auto"/>
              <w:bottom w:val="single" w:sz="4" w:space="0" w:color="auto"/>
              <w:right w:val="single" w:sz="4" w:space="0" w:color="auto"/>
            </w:tcBorders>
            <w:noWrap/>
            <w:hideMark/>
          </w:tcPr>
          <w:p w14:paraId="7250E71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w:t>
            </w:r>
          </w:p>
        </w:tc>
        <w:tc>
          <w:tcPr>
            <w:tcW w:w="709" w:type="dxa"/>
            <w:tcBorders>
              <w:top w:val="single" w:sz="4" w:space="0" w:color="auto"/>
              <w:left w:val="single" w:sz="4" w:space="0" w:color="auto"/>
              <w:bottom w:val="single" w:sz="4" w:space="0" w:color="auto"/>
              <w:right w:val="single" w:sz="4" w:space="0" w:color="auto"/>
            </w:tcBorders>
            <w:noWrap/>
            <w:hideMark/>
          </w:tcPr>
          <w:p w14:paraId="24BF762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11</w:t>
            </w:r>
          </w:p>
        </w:tc>
        <w:tc>
          <w:tcPr>
            <w:tcW w:w="992" w:type="dxa"/>
            <w:tcBorders>
              <w:top w:val="single" w:sz="4" w:space="0" w:color="auto"/>
              <w:left w:val="single" w:sz="4" w:space="0" w:color="auto"/>
              <w:bottom w:val="single" w:sz="4" w:space="0" w:color="auto"/>
              <w:right w:val="single" w:sz="4" w:space="0" w:color="auto"/>
            </w:tcBorders>
            <w:hideMark/>
          </w:tcPr>
          <w:p w14:paraId="6025044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846</w:t>
            </w:r>
          </w:p>
        </w:tc>
        <w:tc>
          <w:tcPr>
            <w:tcW w:w="993" w:type="dxa"/>
            <w:tcBorders>
              <w:top w:val="single" w:sz="4" w:space="0" w:color="auto"/>
              <w:left w:val="single" w:sz="4" w:space="0" w:color="auto"/>
              <w:bottom w:val="single" w:sz="4" w:space="0" w:color="auto"/>
              <w:right w:val="single" w:sz="4" w:space="0" w:color="auto"/>
            </w:tcBorders>
            <w:noWrap/>
            <w:hideMark/>
          </w:tcPr>
          <w:p w14:paraId="0722A5B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2651</w:t>
            </w:r>
          </w:p>
        </w:tc>
        <w:tc>
          <w:tcPr>
            <w:tcW w:w="992" w:type="dxa"/>
            <w:tcBorders>
              <w:top w:val="single" w:sz="4" w:space="0" w:color="auto"/>
              <w:left w:val="single" w:sz="4" w:space="0" w:color="auto"/>
              <w:bottom w:val="single" w:sz="4" w:space="0" w:color="auto"/>
              <w:right w:val="single" w:sz="12" w:space="0" w:color="auto"/>
            </w:tcBorders>
            <w:noWrap/>
            <w:hideMark/>
          </w:tcPr>
          <w:p w14:paraId="573B0EC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2267F50C"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34785B03"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08485DA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586" w:type="dxa"/>
            <w:tcBorders>
              <w:top w:val="single" w:sz="4" w:space="0" w:color="auto"/>
              <w:left w:val="single" w:sz="4" w:space="0" w:color="auto"/>
              <w:bottom w:val="single" w:sz="4" w:space="0" w:color="auto"/>
              <w:right w:val="single" w:sz="4" w:space="0" w:color="auto"/>
            </w:tcBorders>
            <w:noWrap/>
            <w:hideMark/>
          </w:tcPr>
          <w:p w14:paraId="5B3DA82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190</w:t>
            </w:r>
          </w:p>
        </w:tc>
        <w:tc>
          <w:tcPr>
            <w:tcW w:w="882" w:type="dxa"/>
            <w:tcBorders>
              <w:top w:val="single" w:sz="4" w:space="0" w:color="auto"/>
              <w:left w:val="single" w:sz="4" w:space="0" w:color="auto"/>
              <w:bottom w:val="single" w:sz="4" w:space="0" w:color="auto"/>
              <w:right w:val="single" w:sz="4" w:space="0" w:color="auto"/>
            </w:tcBorders>
            <w:noWrap/>
            <w:hideMark/>
          </w:tcPr>
          <w:p w14:paraId="6768F43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3124</w:t>
            </w:r>
          </w:p>
        </w:tc>
        <w:tc>
          <w:tcPr>
            <w:tcW w:w="882" w:type="dxa"/>
            <w:tcBorders>
              <w:top w:val="single" w:sz="4" w:space="0" w:color="auto"/>
              <w:left w:val="single" w:sz="4" w:space="0" w:color="auto"/>
              <w:bottom w:val="single" w:sz="4" w:space="0" w:color="auto"/>
              <w:right w:val="single" w:sz="4" w:space="0" w:color="auto"/>
            </w:tcBorders>
            <w:noWrap/>
            <w:hideMark/>
          </w:tcPr>
          <w:p w14:paraId="406E2BE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993</w:t>
            </w:r>
          </w:p>
        </w:tc>
        <w:tc>
          <w:tcPr>
            <w:tcW w:w="882" w:type="dxa"/>
            <w:tcBorders>
              <w:top w:val="single" w:sz="4" w:space="0" w:color="auto"/>
              <w:left w:val="single" w:sz="4" w:space="0" w:color="auto"/>
              <w:bottom w:val="single" w:sz="4" w:space="0" w:color="auto"/>
              <w:right w:val="single" w:sz="4" w:space="0" w:color="auto"/>
            </w:tcBorders>
            <w:noWrap/>
            <w:hideMark/>
          </w:tcPr>
          <w:p w14:paraId="5D97777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1598</w:t>
            </w:r>
          </w:p>
        </w:tc>
        <w:tc>
          <w:tcPr>
            <w:tcW w:w="882" w:type="dxa"/>
            <w:tcBorders>
              <w:top w:val="single" w:sz="4" w:space="0" w:color="auto"/>
              <w:left w:val="single" w:sz="4" w:space="0" w:color="auto"/>
              <w:bottom w:val="single" w:sz="4" w:space="0" w:color="auto"/>
              <w:right w:val="single" w:sz="4" w:space="0" w:color="auto"/>
            </w:tcBorders>
            <w:noWrap/>
            <w:hideMark/>
          </w:tcPr>
          <w:p w14:paraId="16CFDB3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45</w:t>
            </w:r>
          </w:p>
        </w:tc>
        <w:tc>
          <w:tcPr>
            <w:tcW w:w="582" w:type="dxa"/>
            <w:tcBorders>
              <w:top w:val="single" w:sz="4" w:space="0" w:color="auto"/>
              <w:left w:val="single" w:sz="4" w:space="0" w:color="auto"/>
              <w:bottom w:val="single" w:sz="4" w:space="0" w:color="auto"/>
              <w:right w:val="single" w:sz="4" w:space="0" w:color="auto"/>
            </w:tcBorders>
            <w:noWrap/>
            <w:hideMark/>
          </w:tcPr>
          <w:p w14:paraId="3F18A60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22</w:t>
            </w:r>
          </w:p>
        </w:tc>
        <w:tc>
          <w:tcPr>
            <w:tcW w:w="709" w:type="dxa"/>
            <w:tcBorders>
              <w:top w:val="single" w:sz="4" w:space="0" w:color="auto"/>
              <w:left w:val="single" w:sz="4" w:space="0" w:color="auto"/>
              <w:bottom w:val="single" w:sz="4" w:space="0" w:color="auto"/>
              <w:right w:val="single" w:sz="4" w:space="0" w:color="auto"/>
            </w:tcBorders>
            <w:noWrap/>
            <w:hideMark/>
          </w:tcPr>
          <w:p w14:paraId="2FA6B32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w:t>
            </w:r>
          </w:p>
        </w:tc>
        <w:tc>
          <w:tcPr>
            <w:tcW w:w="992" w:type="dxa"/>
            <w:tcBorders>
              <w:top w:val="single" w:sz="4" w:space="0" w:color="auto"/>
              <w:left w:val="single" w:sz="4" w:space="0" w:color="auto"/>
              <w:bottom w:val="single" w:sz="4" w:space="0" w:color="auto"/>
              <w:right w:val="single" w:sz="4" w:space="0" w:color="auto"/>
            </w:tcBorders>
            <w:hideMark/>
          </w:tcPr>
          <w:p w14:paraId="29340A7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847</w:t>
            </w:r>
          </w:p>
        </w:tc>
        <w:tc>
          <w:tcPr>
            <w:tcW w:w="993" w:type="dxa"/>
            <w:tcBorders>
              <w:top w:val="single" w:sz="4" w:space="0" w:color="auto"/>
              <w:left w:val="single" w:sz="4" w:space="0" w:color="auto"/>
              <w:bottom w:val="single" w:sz="4" w:space="0" w:color="auto"/>
              <w:right w:val="single" w:sz="4" w:space="0" w:color="auto"/>
            </w:tcBorders>
            <w:noWrap/>
            <w:hideMark/>
          </w:tcPr>
          <w:p w14:paraId="4C81E6D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2697</w:t>
            </w:r>
          </w:p>
        </w:tc>
        <w:tc>
          <w:tcPr>
            <w:tcW w:w="992" w:type="dxa"/>
            <w:tcBorders>
              <w:top w:val="single" w:sz="4" w:space="0" w:color="auto"/>
              <w:left w:val="single" w:sz="4" w:space="0" w:color="auto"/>
              <w:bottom w:val="single" w:sz="4" w:space="0" w:color="auto"/>
              <w:right w:val="single" w:sz="12" w:space="0" w:color="auto"/>
            </w:tcBorders>
            <w:noWrap/>
            <w:hideMark/>
          </w:tcPr>
          <w:p w14:paraId="2E80E89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12CFCEAF"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0930A16F"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29ADCB2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586" w:type="dxa"/>
            <w:tcBorders>
              <w:top w:val="single" w:sz="4" w:space="0" w:color="auto"/>
              <w:left w:val="single" w:sz="4" w:space="0" w:color="auto"/>
              <w:bottom w:val="single" w:sz="4" w:space="0" w:color="auto"/>
              <w:right w:val="single" w:sz="4" w:space="0" w:color="auto"/>
            </w:tcBorders>
            <w:noWrap/>
            <w:hideMark/>
          </w:tcPr>
          <w:p w14:paraId="0B57A15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214</w:t>
            </w:r>
          </w:p>
        </w:tc>
        <w:tc>
          <w:tcPr>
            <w:tcW w:w="882" w:type="dxa"/>
            <w:tcBorders>
              <w:top w:val="single" w:sz="4" w:space="0" w:color="auto"/>
              <w:left w:val="single" w:sz="4" w:space="0" w:color="auto"/>
              <w:bottom w:val="single" w:sz="4" w:space="0" w:color="auto"/>
              <w:right w:val="single" w:sz="4" w:space="0" w:color="auto"/>
            </w:tcBorders>
            <w:noWrap/>
            <w:hideMark/>
          </w:tcPr>
          <w:p w14:paraId="3BD537F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3145</w:t>
            </w:r>
          </w:p>
        </w:tc>
        <w:tc>
          <w:tcPr>
            <w:tcW w:w="882" w:type="dxa"/>
            <w:tcBorders>
              <w:top w:val="single" w:sz="4" w:space="0" w:color="auto"/>
              <w:left w:val="single" w:sz="4" w:space="0" w:color="auto"/>
              <w:bottom w:val="single" w:sz="4" w:space="0" w:color="auto"/>
              <w:right w:val="single" w:sz="4" w:space="0" w:color="auto"/>
            </w:tcBorders>
            <w:noWrap/>
            <w:hideMark/>
          </w:tcPr>
          <w:p w14:paraId="7DD18CE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1055</w:t>
            </w:r>
          </w:p>
        </w:tc>
        <w:tc>
          <w:tcPr>
            <w:tcW w:w="882" w:type="dxa"/>
            <w:tcBorders>
              <w:top w:val="single" w:sz="4" w:space="0" w:color="auto"/>
              <w:left w:val="single" w:sz="4" w:space="0" w:color="auto"/>
              <w:bottom w:val="single" w:sz="4" w:space="0" w:color="auto"/>
              <w:right w:val="single" w:sz="4" w:space="0" w:color="auto"/>
            </w:tcBorders>
            <w:noWrap/>
            <w:hideMark/>
          </w:tcPr>
          <w:p w14:paraId="6B18136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1577</w:t>
            </w:r>
          </w:p>
        </w:tc>
        <w:tc>
          <w:tcPr>
            <w:tcW w:w="882" w:type="dxa"/>
            <w:tcBorders>
              <w:top w:val="single" w:sz="4" w:space="0" w:color="auto"/>
              <w:left w:val="single" w:sz="4" w:space="0" w:color="auto"/>
              <w:bottom w:val="single" w:sz="4" w:space="0" w:color="auto"/>
              <w:right w:val="single" w:sz="4" w:space="0" w:color="auto"/>
            </w:tcBorders>
            <w:noWrap/>
            <w:hideMark/>
          </w:tcPr>
          <w:p w14:paraId="15AE006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49</w:t>
            </w:r>
          </w:p>
        </w:tc>
        <w:tc>
          <w:tcPr>
            <w:tcW w:w="582" w:type="dxa"/>
            <w:tcBorders>
              <w:top w:val="single" w:sz="4" w:space="0" w:color="auto"/>
              <w:left w:val="single" w:sz="4" w:space="0" w:color="auto"/>
              <w:bottom w:val="single" w:sz="4" w:space="0" w:color="auto"/>
              <w:right w:val="single" w:sz="4" w:space="0" w:color="auto"/>
            </w:tcBorders>
            <w:noWrap/>
            <w:hideMark/>
          </w:tcPr>
          <w:p w14:paraId="4F527E7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w:t>
            </w:r>
          </w:p>
        </w:tc>
        <w:tc>
          <w:tcPr>
            <w:tcW w:w="709" w:type="dxa"/>
            <w:tcBorders>
              <w:top w:val="single" w:sz="4" w:space="0" w:color="auto"/>
              <w:left w:val="single" w:sz="4" w:space="0" w:color="auto"/>
              <w:bottom w:val="single" w:sz="4" w:space="0" w:color="auto"/>
              <w:right w:val="single" w:sz="4" w:space="0" w:color="auto"/>
            </w:tcBorders>
            <w:noWrap/>
            <w:hideMark/>
          </w:tcPr>
          <w:p w14:paraId="2ACA1ED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w:t>
            </w:r>
          </w:p>
        </w:tc>
        <w:tc>
          <w:tcPr>
            <w:tcW w:w="992" w:type="dxa"/>
            <w:tcBorders>
              <w:top w:val="single" w:sz="4" w:space="0" w:color="auto"/>
              <w:left w:val="single" w:sz="4" w:space="0" w:color="auto"/>
              <w:bottom w:val="single" w:sz="4" w:space="0" w:color="auto"/>
              <w:right w:val="single" w:sz="4" w:space="0" w:color="auto"/>
            </w:tcBorders>
            <w:hideMark/>
          </w:tcPr>
          <w:p w14:paraId="270D7A1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833</w:t>
            </w:r>
          </w:p>
        </w:tc>
        <w:tc>
          <w:tcPr>
            <w:tcW w:w="993" w:type="dxa"/>
            <w:tcBorders>
              <w:top w:val="single" w:sz="4" w:space="0" w:color="auto"/>
              <w:left w:val="single" w:sz="4" w:space="0" w:color="auto"/>
              <w:bottom w:val="single" w:sz="4" w:space="0" w:color="auto"/>
              <w:right w:val="single" w:sz="4" w:space="0" w:color="auto"/>
            </w:tcBorders>
            <w:noWrap/>
            <w:hideMark/>
          </w:tcPr>
          <w:p w14:paraId="4B10A9D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2732</w:t>
            </w:r>
          </w:p>
        </w:tc>
        <w:tc>
          <w:tcPr>
            <w:tcW w:w="992" w:type="dxa"/>
            <w:tcBorders>
              <w:top w:val="single" w:sz="4" w:space="0" w:color="auto"/>
              <w:left w:val="single" w:sz="4" w:space="0" w:color="auto"/>
              <w:bottom w:val="single" w:sz="4" w:space="0" w:color="auto"/>
              <w:right w:val="single" w:sz="12" w:space="0" w:color="auto"/>
            </w:tcBorders>
            <w:noWrap/>
            <w:hideMark/>
          </w:tcPr>
          <w:p w14:paraId="5950FB9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5F6F6A28"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4938BD5B"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20C5253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586" w:type="dxa"/>
            <w:tcBorders>
              <w:top w:val="single" w:sz="4" w:space="0" w:color="auto"/>
              <w:left w:val="single" w:sz="4" w:space="0" w:color="auto"/>
              <w:bottom w:val="single" w:sz="4" w:space="0" w:color="auto"/>
              <w:right w:val="single" w:sz="4" w:space="0" w:color="auto"/>
            </w:tcBorders>
            <w:noWrap/>
            <w:hideMark/>
          </w:tcPr>
          <w:p w14:paraId="4631DB6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206</w:t>
            </w:r>
          </w:p>
        </w:tc>
        <w:tc>
          <w:tcPr>
            <w:tcW w:w="882" w:type="dxa"/>
            <w:tcBorders>
              <w:top w:val="single" w:sz="4" w:space="0" w:color="auto"/>
              <w:left w:val="single" w:sz="4" w:space="0" w:color="auto"/>
              <w:bottom w:val="single" w:sz="4" w:space="0" w:color="auto"/>
              <w:right w:val="single" w:sz="4" w:space="0" w:color="auto"/>
            </w:tcBorders>
            <w:noWrap/>
            <w:hideMark/>
          </w:tcPr>
          <w:p w14:paraId="01BA637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2957</w:t>
            </w:r>
          </w:p>
        </w:tc>
        <w:tc>
          <w:tcPr>
            <w:tcW w:w="882" w:type="dxa"/>
            <w:tcBorders>
              <w:top w:val="single" w:sz="4" w:space="0" w:color="auto"/>
              <w:left w:val="single" w:sz="4" w:space="0" w:color="auto"/>
              <w:bottom w:val="single" w:sz="4" w:space="0" w:color="auto"/>
              <w:right w:val="single" w:sz="4" w:space="0" w:color="auto"/>
            </w:tcBorders>
            <w:noWrap/>
            <w:hideMark/>
          </w:tcPr>
          <w:p w14:paraId="6685D74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1157</w:t>
            </w:r>
          </w:p>
        </w:tc>
        <w:tc>
          <w:tcPr>
            <w:tcW w:w="882" w:type="dxa"/>
            <w:tcBorders>
              <w:top w:val="single" w:sz="4" w:space="0" w:color="auto"/>
              <w:left w:val="single" w:sz="4" w:space="0" w:color="auto"/>
              <w:bottom w:val="single" w:sz="4" w:space="0" w:color="auto"/>
              <w:right w:val="single" w:sz="4" w:space="0" w:color="auto"/>
            </w:tcBorders>
            <w:noWrap/>
            <w:hideMark/>
          </w:tcPr>
          <w:p w14:paraId="37A0372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1590</w:t>
            </w:r>
          </w:p>
        </w:tc>
        <w:tc>
          <w:tcPr>
            <w:tcW w:w="882" w:type="dxa"/>
            <w:tcBorders>
              <w:top w:val="single" w:sz="4" w:space="0" w:color="auto"/>
              <w:left w:val="single" w:sz="4" w:space="0" w:color="auto"/>
              <w:bottom w:val="single" w:sz="4" w:space="0" w:color="auto"/>
              <w:right w:val="single" w:sz="4" w:space="0" w:color="auto"/>
            </w:tcBorders>
            <w:noWrap/>
            <w:hideMark/>
          </w:tcPr>
          <w:p w14:paraId="1870AFC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46</w:t>
            </w:r>
          </w:p>
        </w:tc>
        <w:tc>
          <w:tcPr>
            <w:tcW w:w="582" w:type="dxa"/>
            <w:tcBorders>
              <w:top w:val="single" w:sz="4" w:space="0" w:color="auto"/>
              <w:left w:val="single" w:sz="4" w:space="0" w:color="auto"/>
              <w:bottom w:val="single" w:sz="4" w:space="0" w:color="auto"/>
              <w:right w:val="single" w:sz="4" w:space="0" w:color="auto"/>
            </w:tcBorders>
            <w:noWrap/>
            <w:hideMark/>
          </w:tcPr>
          <w:p w14:paraId="3614529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33</w:t>
            </w:r>
          </w:p>
        </w:tc>
        <w:tc>
          <w:tcPr>
            <w:tcW w:w="709" w:type="dxa"/>
            <w:tcBorders>
              <w:top w:val="single" w:sz="4" w:space="0" w:color="auto"/>
              <w:left w:val="single" w:sz="4" w:space="0" w:color="auto"/>
              <w:bottom w:val="single" w:sz="4" w:space="0" w:color="auto"/>
              <w:right w:val="single" w:sz="4" w:space="0" w:color="auto"/>
            </w:tcBorders>
            <w:noWrap/>
            <w:hideMark/>
          </w:tcPr>
          <w:p w14:paraId="44B22B6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28</w:t>
            </w:r>
          </w:p>
        </w:tc>
        <w:tc>
          <w:tcPr>
            <w:tcW w:w="992" w:type="dxa"/>
            <w:tcBorders>
              <w:top w:val="single" w:sz="4" w:space="0" w:color="auto"/>
              <w:left w:val="single" w:sz="4" w:space="0" w:color="auto"/>
              <w:bottom w:val="single" w:sz="4" w:space="0" w:color="auto"/>
              <w:right w:val="single" w:sz="4" w:space="0" w:color="auto"/>
            </w:tcBorders>
            <w:hideMark/>
          </w:tcPr>
          <w:p w14:paraId="0237C42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759</w:t>
            </w:r>
          </w:p>
        </w:tc>
        <w:tc>
          <w:tcPr>
            <w:tcW w:w="993" w:type="dxa"/>
            <w:tcBorders>
              <w:top w:val="single" w:sz="4" w:space="0" w:color="auto"/>
              <w:left w:val="single" w:sz="4" w:space="0" w:color="auto"/>
              <w:bottom w:val="single" w:sz="4" w:space="0" w:color="auto"/>
              <w:right w:val="single" w:sz="4" w:space="0" w:color="auto"/>
            </w:tcBorders>
            <w:noWrap/>
            <w:hideMark/>
          </w:tcPr>
          <w:p w14:paraId="306C7BF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2925</w:t>
            </w:r>
          </w:p>
        </w:tc>
        <w:tc>
          <w:tcPr>
            <w:tcW w:w="992" w:type="dxa"/>
            <w:tcBorders>
              <w:top w:val="single" w:sz="4" w:space="0" w:color="auto"/>
              <w:left w:val="single" w:sz="4" w:space="0" w:color="auto"/>
              <w:bottom w:val="single" w:sz="4" w:space="0" w:color="auto"/>
              <w:right w:val="single" w:sz="12" w:space="0" w:color="auto"/>
            </w:tcBorders>
            <w:noWrap/>
            <w:hideMark/>
          </w:tcPr>
          <w:p w14:paraId="4CDD436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0</w:t>
            </w:r>
          </w:p>
        </w:tc>
      </w:tr>
      <w:tr w:rsidR="00614438" w:rsidRPr="00656BE7" w14:paraId="7926B477"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50487305"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067175A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586" w:type="dxa"/>
            <w:tcBorders>
              <w:top w:val="single" w:sz="4" w:space="0" w:color="auto"/>
              <w:left w:val="single" w:sz="4" w:space="0" w:color="auto"/>
              <w:bottom w:val="single" w:sz="4" w:space="0" w:color="auto"/>
              <w:right w:val="single" w:sz="4" w:space="0" w:color="auto"/>
            </w:tcBorders>
            <w:noWrap/>
            <w:hideMark/>
          </w:tcPr>
          <w:p w14:paraId="49BABA7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181</w:t>
            </w:r>
          </w:p>
        </w:tc>
        <w:tc>
          <w:tcPr>
            <w:tcW w:w="882" w:type="dxa"/>
            <w:tcBorders>
              <w:top w:val="single" w:sz="4" w:space="0" w:color="auto"/>
              <w:left w:val="single" w:sz="4" w:space="0" w:color="auto"/>
              <w:bottom w:val="single" w:sz="4" w:space="0" w:color="auto"/>
              <w:right w:val="single" w:sz="4" w:space="0" w:color="auto"/>
            </w:tcBorders>
            <w:noWrap/>
            <w:hideMark/>
          </w:tcPr>
          <w:p w14:paraId="1B914A2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2744</w:t>
            </w:r>
          </w:p>
        </w:tc>
        <w:tc>
          <w:tcPr>
            <w:tcW w:w="882" w:type="dxa"/>
            <w:tcBorders>
              <w:top w:val="single" w:sz="4" w:space="0" w:color="auto"/>
              <w:left w:val="single" w:sz="4" w:space="0" w:color="auto"/>
              <w:bottom w:val="single" w:sz="4" w:space="0" w:color="auto"/>
              <w:right w:val="single" w:sz="4" w:space="0" w:color="auto"/>
            </w:tcBorders>
            <w:noWrap/>
            <w:hideMark/>
          </w:tcPr>
          <w:p w14:paraId="2FD717A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1170</w:t>
            </w:r>
          </w:p>
        </w:tc>
        <w:tc>
          <w:tcPr>
            <w:tcW w:w="882" w:type="dxa"/>
            <w:tcBorders>
              <w:top w:val="single" w:sz="4" w:space="0" w:color="auto"/>
              <w:left w:val="single" w:sz="4" w:space="0" w:color="auto"/>
              <w:bottom w:val="single" w:sz="4" w:space="0" w:color="auto"/>
              <w:right w:val="single" w:sz="4" w:space="0" w:color="auto"/>
            </w:tcBorders>
            <w:noWrap/>
            <w:hideMark/>
          </w:tcPr>
          <w:p w14:paraId="69B35F2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1440</w:t>
            </w:r>
          </w:p>
        </w:tc>
        <w:tc>
          <w:tcPr>
            <w:tcW w:w="882" w:type="dxa"/>
            <w:tcBorders>
              <w:top w:val="single" w:sz="4" w:space="0" w:color="auto"/>
              <w:left w:val="single" w:sz="4" w:space="0" w:color="auto"/>
              <w:bottom w:val="single" w:sz="4" w:space="0" w:color="auto"/>
              <w:right w:val="single" w:sz="4" w:space="0" w:color="auto"/>
            </w:tcBorders>
            <w:noWrap/>
            <w:hideMark/>
          </w:tcPr>
          <w:p w14:paraId="2156FE5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44</w:t>
            </w:r>
          </w:p>
        </w:tc>
        <w:tc>
          <w:tcPr>
            <w:tcW w:w="582" w:type="dxa"/>
            <w:tcBorders>
              <w:top w:val="single" w:sz="4" w:space="0" w:color="auto"/>
              <w:left w:val="single" w:sz="4" w:space="0" w:color="auto"/>
              <w:bottom w:val="single" w:sz="4" w:space="0" w:color="auto"/>
              <w:right w:val="single" w:sz="4" w:space="0" w:color="auto"/>
            </w:tcBorders>
            <w:noWrap/>
            <w:hideMark/>
          </w:tcPr>
          <w:p w14:paraId="216823E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42</w:t>
            </w:r>
          </w:p>
        </w:tc>
        <w:tc>
          <w:tcPr>
            <w:tcW w:w="709" w:type="dxa"/>
            <w:tcBorders>
              <w:top w:val="single" w:sz="4" w:space="0" w:color="auto"/>
              <w:left w:val="single" w:sz="4" w:space="0" w:color="auto"/>
              <w:bottom w:val="single" w:sz="4" w:space="0" w:color="auto"/>
              <w:right w:val="single" w:sz="4" w:space="0" w:color="auto"/>
            </w:tcBorders>
            <w:noWrap/>
            <w:hideMark/>
          </w:tcPr>
          <w:p w14:paraId="333615A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43</w:t>
            </w:r>
          </w:p>
        </w:tc>
        <w:tc>
          <w:tcPr>
            <w:tcW w:w="992" w:type="dxa"/>
            <w:tcBorders>
              <w:top w:val="single" w:sz="4" w:space="0" w:color="auto"/>
              <w:left w:val="single" w:sz="4" w:space="0" w:color="auto"/>
              <w:bottom w:val="single" w:sz="4" w:space="0" w:color="auto"/>
              <w:right w:val="single" w:sz="4" w:space="0" w:color="auto"/>
            </w:tcBorders>
            <w:hideMark/>
          </w:tcPr>
          <w:p w14:paraId="3CE9A57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793</w:t>
            </w:r>
          </w:p>
        </w:tc>
        <w:tc>
          <w:tcPr>
            <w:tcW w:w="993" w:type="dxa"/>
            <w:tcBorders>
              <w:top w:val="single" w:sz="4" w:space="0" w:color="auto"/>
              <w:left w:val="single" w:sz="4" w:space="0" w:color="auto"/>
              <w:bottom w:val="single" w:sz="4" w:space="0" w:color="auto"/>
              <w:right w:val="single" w:sz="4" w:space="0" w:color="auto"/>
            </w:tcBorders>
            <w:noWrap/>
            <w:hideMark/>
          </w:tcPr>
          <w:p w14:paraId="6A7DEBD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3113</w:t>
            </w:r>
          </w:p>
        </w:tc>
        <w:tc>
          <w:tcPr>
            <w:tcW w:w="992" w:type="dxa"/>
            <w:tcBorders>
              <w:top w:val="single" w:sz="4" w:space="0" w:color="auto"/>
              <w:left w:val="single" w:sz="4" w:space="0" w:color="auto"/>
              <w:bottom w:val="single" w:sz="4" w:space="0" w:color="auto"/>
              <w:right w:val="single" w:sz="12" w:space="0" w:color="auto"/>
            </w:tcBorders>
            <w:noWrap/>
            <w:hideMark/>
          </w:tcPr>
          <w:p w14:paraId="7BCCC17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152</w:t>
            </w:r>
          </w:p>
        </w:tc>
      </w:tr>
      <w:tr w:rsidR="00614438" w:rsidRPr="00656BE7" w14:paraId="4461429E"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5CE628F2"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4" w:space="0" w:color="auto"/>
              <w:right w:val="single" w:sz="4" w:space="0" w:color="auto"/>
            </w:tcBorders>
            <w:noWrap/>
            <w:hideMark/>
          </w:tcPr>
          <w:p w14:paraId="04BDC58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586" w:type="dxa"/>
            <w:tcBorders>
              <w:top w:val="single" w:sz="4" w:space="0" w:color="auto"/>
              <w:left w:val="single" w:sz="4" w:space="0" w:color="auto"/>
              <w:bottom w:val="single" w:sz="4" w:space="0" w:color="auto"/>
              <w:right w:val="single" w:sz="4" w:space="0" w:color="auto"/>
            </w:tcBorders>
            <w:noWrap/>
            <w:hideMark/>
          </w:tcPr>
          <w:p w14:paraId="7F4F77F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198</w:t>
            </w:r>
          </w:p>
        </w:tc>
        <w:tc>
          <w:tcPr>
            <w:tcW w:w="882" w:type="dxa"/>
            <w:tcBorders>
              <w:top w:val="single" w:sz="4" w:space="0" w:color="auto"/>
              <w:left w:val="single" w:sz="4" w:space="0" w:color="auto"/>
              <w:bottom w:val="single" w:sz="4" w:space="0" w:color="auto"/>
              <w:right w:val="single" w:sz="4" w:space="0" w:color="auto"/>
            </w:tcBorders>
            <w:noWrap/>
            <w:hideMark/>
          </w:tcPr>
          <w:p w14:paraId="26B9900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2286</w:t>
            </w:r>
          </w:p>
        </w:tc>
        <w:tc>
          <w:tcPr>
            <w:tcW w:w="882" w:type="dxa"/>
            <w:tcBorders>
              <w:top w:val="single" w:sz="4" w:space="0" w:color="auto"/>
              <w:left w:val="single" w:sz="4" w:space="0" w:color="auto"/>
              <w:bottom w:val="single" w:sz="4" w:space="0" w:color="auto"/>
              <w:right w:val="single" w:sz="4" w:space="0" w:color="auto"/>
            </w:tcBorders>
            <w:noWrap/>
            <w:hideMark/>
          </w:tcPr>
          <w:p w14:paraId="37D8166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1229</w:t>
            </w:r>
          </w:p>
        </w:tc>
        <w:tc>
          <w:tcPr>
            <w:tcW w:w="882" w:type="dxa"/>
            <w:tcBorders>
              <w:top w:val="single" w:sz="4" w:space="0" w:color="auto"/>
              <w:left w:val="single" w:sz="4" w:space="0" w:color="auto"/>
              <w:bottom w:val="single" w:sz="4" w:space="0" w:color="auto"/>
              <w:right w:val="single" w:sz="4" w:space="0" w:color="auto"/>
            </w:tcBorders>
            <w:noWrap/>
            <w:hideMark/>
          </w:tcPr>
          <w:p w14:paraId="77E0DC9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945</w:t>
            </w:r>
          </w:p>
        </w:tc>
        <w:tc>
          <w:tcPr>
            <w:tcW w:w="882" w:type="dxa"/>
            <w:tcBorders>
              <w:top w:val="single" w:sz="4" w:space="0" w:color="auto"/>
              <w:left w:val="single" w:sz="4" w:space="0" w:color="auto"/>
              <w:bottom w:val="single" w:sz="4" w:space="0" w:color="auto"/>
              <w:right w:val="single" w:sz="4" w:space="0" w:color="auto"/>
            </w:tcBorders>
            <w:noWrap/>
            <w:hideMark/>
          </w:tcPr>
          <w:p w14:paraId="087B5EE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42</w:t>
            </w:r>
          </w:p>
        </w:tc>
        <w:tc>
          <w:tcPr>
            <w:tcW w:w="582" w:type="dxa"/>
            <w:tcBorders>
              <w:top w:val="single" w:sz="4" w:space="0" w:color="auto"/>
              <w:left w:val="single" w:sz="4" w:space="0" w:color="auto"/>
              <w:bottom w:val="single" w:sz="4" w:space="0" w:color="auto"/>
              <w:right w:val="single" w:sz="4" w:space="0" w:color="auto"/>
            </w:tcBorders>
            <w:noWrap/>
            <w:hideMark/>
          </w:tcPr>
          <w:p w14:paraId="7FF499D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51</w:t>
            </w:r>
          </w:p>
        </w:tc>
        <w:tc>
          <w:tcPr>
            <w:tcW w:w="709" w:type="dxa"/>
            <w:tcBorders>
              <w:top w:val="single" w:sz="4" w:space="0" w:color="auto"/>
              <w:left w:val="single" w:sz="4" w:space="0" w:color="auto"/>
              <w:bottom w:val="single" w:sz="4" w:space="0" w:color="auto"/>
              <w:right w:val="single" w:sz="4" w:space="0" w:color="auto"/>
            </w:tcBorders>
            <w:noWrap/>
            <w:hideMark/>
          </w:tcPr>
          <w:p w14:paraId="65BF73D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80</w:t>
            </w:r>
          </w:p>
        </w:tc>
        <w:tc>
          <w:tcPr>
            <w:tcW w:w="992" w:type="dxa"/>
            <w:tcBorders>
              <w:top w:val="single" w:sz="4" w:space="0" w:color="auto"/>
              <w:left w:val="single" w:sz="4" w:space="0" w:color="auto"/>
              <w:bottom w:val="single" w:sz="4" w:space="0" w:color="auto"/>
              <w:right w:val="single" w:sz="4" w:space="0" w:color="auto"/>
            </w:tcBorders>
            <w:hideMark/>
          </w:tcPr>
          <w:p w14:paraId="7CCD220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779</w:t>
            </w:r>
          </w:p>
        </w:tc>
        <w:tc>
          <w:tcPr>
            <w:tcW w:w="993" w:type="dxa"/>
            <w:tcBorders>
              <w:top w:val="single" w:sz="4" w:space="0" w:color="auto"/>
              <w:left w:val="single" w:sz="4" w:space="0" w:color="auto"/>
              <w:bottom w:val="single" w:sz="4" w:space="0" w:color="auto"/>
              <w:right w:val="single" w:sz="4" w:space="0" w:color="auto"/>
            </w:tcBorders>
            <w:noWrap/>
            <w:hideMark/>
          </w:tcPr>
          <w:p w14:paraId="649F559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3552</w:t>
            </w:r>
          </w:p>
        </w:tc>
        <w:tc>
          <w:tcPr>
            <w:tcW w:w="992" w:type="dxa"/>
            <w:tcBorders>
              <w:top w:val="single" w:sz="4" w:space="0" w:color="auto"/>
              <w:left w:val="single" w:sz="4" w:space="0" w:color="auto"/>
              <w:bottom w:val="single" w:sz="4" w:space="0" w:color="auto"/>
              <w:right w:val="single" w:sz="12" w:space="0" w:color="auto"/>
            </w:tcBorders>
            <w:noWrap/>
            <w:hideMark/>
          </w:tcPr>
          <w:p w14:paraId="4FA33CD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304</w:t>
            </w:r>
          </w:p>
        </w:tc>
      </w:tr>
      <w:tr w:rsidR="00614438" w:rsidRPr="00656BE7" w14:paraId="03685B40" w14:textId="77777777" w:rsidTr="00614438">
        <w:trPr>
          <w:trHeight w:val="298"/>
        </w:trPr>
        <w:tc>
          <w:tcPr>
            <w:tcW w:w="895" w:type="dxa"/>
            <w:vMerge/>
            <w:tcBorders>
              <w:top w:val="single" w:sz="12" w:space="0" w:color="auto"/>
              <w:left w:val="single" w:sz="12" w:space="0" w:color="auto"/>
              <w:bottom w:val="single" w:sz="12" w:space="0" w:color="auto"/>
              <w:right w:val="single" w:sz="4" w:space="0" w:color="auto"/>
            </w:tcBorders>
            <w:vAlign w:val="center"/>
            <w:hideMark/>
          </w:tcPr>
          <w:p w14:paraId="62458AAD" w14:textId="77777777" w:rsidR="00614438" w:rsidRPr="00656BE7" w:rsidRDefault="00614438" w:rsidP="00656BE7">
            <w:pPr>
              <w:spacing w:line="259" w:lineRule="auto"/>
              <w:jc w:val="both"/>
              <w:rPr>
                <w:rFonts w:ascii="Times New Roman" w:hAnsi="Times New Roman" w:cs="Times New Roman"/>
                <w:sz w:val="20"/>
                <w:szCs w:val="20"/>
                <w:lang w:val="en-GB"/>
              </w:rPr>
            </w:pPr>
          </w:p>
        </w:tc>
        <w:tc>
          <w:tcPr>
            <w:tcW w:w="641" w:type="dxa"/>
            <w:tcBorders>
              <w:top w:val="single" w:sz="4" w:space="0" w:color="auto"/>
              <w:left w:val="single" w:sz="4" w:space="0" w:color="auto"/>
              <w:bottom w:val="single" w:sz="12" w:space="0" w:color="auto"/>
              <w:right w:val="single" w:sz="4" w:space="0" w:color="auto"/>
            </w:tcBorders>
            <w:noWrap/>
            <w:hideMark/>
          </w:tcPr>
          <w:p w14:paraId="20E6028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c>
          <w:tcPr>
            <w:tcW w:w="586" w:type="dxa"/>
            <w:tcBorders>
              <w:top w:val="single" w:sz="4" w:space="0" w:color="auto"/>
              <w:left w:val="single" w:sz="4" w:space="0" w:color="auto"/>
              <w:bottom w:val="single" w:sz="12" w:space="0" w:color="auto"/>
              <w:right w:val="single" w:sz="4" w:space="0" w:color="auto"/>
            </w:tcBorders>
            <w:noWrap/>
            <w:hideMark/>
          </w:tcPr>
          <w:p w14:paraId="32FC2CF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208</w:t>
            </w:r>
          </w:p>
        </w:tc>
        <w:tc>
          <w:tcPr>
            <w:tcW w:w="882" w:type="dxa"/>
            <w:tcBorders>
              <w:top w:val="single" w:sz="4" w:space="0" w:color="auto"/>
              <w:left w:val="single" w:sz="4" w:space="0" w:color="auto"/>
              <w:bottom w:val="single" w:sz="12" w:space="0" w:color="auto"/>
              <w:right w:val="single" w:sz="4" w:space="0" w:color="auto"/>
            </w:tcBorders>
            <w:noWrap/>
            <w:hideMark/>
          </w:tcPr>
          <w:p w14:paraId="0F56E35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1813</w:t>
            </w:r>
          </w:p>
        </w:tc>
        <w:tc>
          <w:tcPr>
            <w:tcW w:w="882" w:type="dxa"/>
            <w:tcBorders>
              <w:top w:val="single" w:sz="4" w:space="0" w:color="auto"/>
              <w:left w:val="single" w:sz="4" w:space="0" w:color="auto"/>
              <w:bottom w:val="single" w:sz="12" w:space="0" w:color="auto"/>
              <w:right w:val="single" w:sz="4" w:space="0" w:color="auto"/>
            </w:tcBorders>
            <w:noWrap/>
            <w:hideMark/>
          </w:tcPr>
          <w:p w14:paraId="135C5CF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1276</w:t>
            </w:r>
          </w:p>
        </w:tc>
        <w:tc>
          <w:tcPr>
            <w:tcW w:w="882" w:type="dxa"/>
            <w:tcBorders>
              <w:top w:val="single" w:sz="4" w:space="0" w:color="auto"/>
              <w:left w:val="single" w:sz="4" w:space="0" w:color="auto"/>
              <w:bottom w:val="single" w:sz="12" w:space="0" w:color="auto"/>
              <w:right w:val="single" w:sz="4" w:space="0" w:color="auto"/>
            </w:tcBorders>
            <w:noWrap/>
            <w:hideMark/>
          </w:tcPr>
          <w:p w14:paraId="596854B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586</w:t>
            </w:r>
          </w:p>
        </w:tc>
        <w:tc>
          <w:tcPr>
            <w:tcW w:w="882" w:type="dxa"/>
            <w:tcBorders>
              <w:top w:val="single" w:sz="4" w:space="0" w:color="auto"/>
              <w:left w:val="single" w:sz="4" w:space="0" w:color="auto"/>
              <w:bottom w:val="single" w:sz="12" w:space="0" w:color="auto"/>
              <w:right w:val="single" w:sz="4" w:space="0" w:color="auto"/>
            </w:tcBorders>
            <w:noWrap/>
            <w:hideMark/>
          </w:tcPr>
          <w:p w14:paraId="1285CAA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40</w:t>
            </w:r>
          </w:p>
        </w:tc>
        <w:tc>
          <w:tcPr>
            <w:tcW w:w="582" w:type="dxa"/>
            <w:tcBorders>
              <w:top w:val="single" w:sz="4" w:space="0" w:color="auto"/>
              <w:left w:val="single" w:sz="4" w:space="0" w:color="auto"/>
              <w:bottom w:val="single" w:sz="12" w:space="0" w:color="auto"/>
              <w:right w:val="single" w:sz="4" w:space="0" w:color="auto"/>
            </w:tcBorders>
            <w:noWrap/>
            <w:hideMark/>
          </w:tcPr>
          <w:p w14:paraId="31BCB6B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61</w:t>
            </w:r>
          </w:p>
        </w:tc>
        <w:tc>
          <w:tcPr>
            <w:tcW w:w="709" w:type="dxa"/>
            <w:tcBorders>
              <w:top w:val="single" w:sz="4" w:space="0" w:color="auto"/>
              <w:left w:val="single" w:sz="4" w:space="0" w:color="auto"/>
              <w:bottom w:val="single" w:sz="12" w:space="0" w:color="auto"/>
              <w:right w:val="single" w:sz="4" w:space="0" w:color="auto"/>
            </w:tcBorders>
            <w:noWrap/>
            <w:hideMark/>
          </w:tcPr>
          <w:p w14:paraId="2FBA9E5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135</w:t>
            </w:r>
          </w:p>
        </w:tc>
        <w:tc>
          <w:tcPr>
            <w:tcW w:w="992" w:type="dxa"/>
            <w:tcBorders>
              <w:top w:val="single" w:sz="4" w:space="0" w:color="auto"/>
              <w:left w:val="single" w:sz="4" w:space="0" w:color="auto"/>
              <w:bottom w:val="single" w:sz="12" w:space="0" w:color="auto"/>
              <w:right w:val="single" w:sz="4" w:space="0" w:color="auto"/>
            </w:tcBorders>
            <w:hideMark/>
          </w:tcPr>
          <w:p w14:paraId="25584B5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803</w:t>
            </w:r>
          </w:p>
        </w:tc>
        <w:tc>
          <w:tcPr>
            <w:tcW w:w="993" w:type="dxa"/>
            <w:tcBorders>
              <w:top w:val="single" w:sz="4" w:space="0" w:color="auto"/>
              <w:left w:val="single" w:sz="4" w:space="0" w:color="auto"/>
              <w:bottom w:val="single" w:sz="12" w:space="0" w:color="auto"/>
              <w:right w:val="single" w:sz="4" w:space="0" w:color="auto"/>
            </w:tcBorders>
            <w:noWrap/>
            <w:hideMark/>
          </w:tcPr>
          <w:p w14:paraId="475002A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4038</w:t>
            </w:r>
          </w:p>
        </w:tc>
        <w:tc>
          <w:tcPr>
            <w:tcW w:w="992" w:type="dxa"/>
            <w:tcBorders>
              <w:top w:val="single" w:sz="4" w:space="0" w:color="auto"/>
              <w:left w:val="single" w:sz="4" w:space="0" w:color="auto"/>
              <w:bottom w:val="single" w:sz="12" w:space="0" w:color="auto"/>
              <w:right w:val="single" w:sz="12" w:space="0" w:color="auto"/>
            </w:tcBorders>
            <w:noWrap/>
            <w:hideMark/>
          </w:tcPr>
          <w:p w14:paraId="6381BE2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459</w:t>
            </w:r>
          </w:p>
        </w:tc>
      </w:tr>
    </w:tbl>
    <w:p w14:paraId="55815681" w14:textId="77777777" w:rsidR="00614438" w:rsidRPr="00614438" w:rsidRDefault="00614438" w:rsidP="00656BE7">
      <w:pPr>
        <w:spacing w:before="240"/>
        <w:jc w:val="both"/>
        <w:rPr>
          <w:rFonts w:ascii="Times New Roman" w:hAnsi="Times New Roman" w:cs="Times New Roman"/>
          <w:sz w:val="24"/>
          <w:szCs w:val="24"/>
          <w:lang w:val="en-GB"/>
        </w:rPr>
      </w:pPr>
      <w:bookmarkStart w:id="731" w:name="_Toc153545117"/>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24</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Final Energy Consumption per Sector - Industry [ktoe]</w:t>
      </w:r>
      <w:bookmarkEnd w:id="731"/>
    </w:p>
    <w:tbl>
      <w:tblPr>
        <w:tblStyle w:val="TableGrid"/>
        <w:tblW w:w="9780" w:type="dxa"/>
        <w:tblLayout w:type="fixed"/>
        <w:tblLook w:val="04A0" w:firstRow="1" w:lastRow="0" w:firstColumn="1" w:lastColumn="0" w:noHBand="0" w:noVBand="1"/>
      </w:tblPr>
      <w:tblGrid>
        <w:gridCol w:w="1273"/>
        <w:gridCol w:w="774"/>
        <w:gridCol w:w="774"/>
        <w:gridCol w:w="773"/>
        <w:gridCol w:w="773"/>
        <w:gridCol w:w="773"/>
        <w:gridCol w:w="774"/>
        <w:gridCol w:w="773"/>
        <w:gridCol w:w="773"/>
        <w:gridCol w:w="773"/>
        <w:gridCol w:w="773"/>
        <w:gridCol w:w="774"/>
      </w:tblGrid>
      <w:tr w:rsidR="00614438" w:rsidRPr="00656BE7" w14:paraId="095AFDCA" w14:textId="77777777" w:rsidTr="00614438">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5DE06BC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FEC Industry [ktoe]</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594889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E49D38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14438A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13F613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781A4C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77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39AE3F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828891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6203C0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DACB2E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559707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77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33C3F7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r>
      <w:tr w:rsidR="00614438" w:rsidRPr="00656BE7" w14:paraId="448AADF2" w14:textId="77777777" w:rsidTr="00614438">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02C6EE2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WEM</w:t>
            </w:r>
          </w:p>
        </w:tc>
        <w:tc>
          <w:tcPr>
            <w:tcW w:w="773" w:type="dxa"/>
            <w:tcBorders>
              <w:top w:val="single" w:sz="4" w:space="0" w:color="auto"/>
              <w:left w:val="single" w:sz="4" w:space="0" w:color="auto"/>
              <w:bottom w:val="single" w:sz="4" w:space="0" w:color="auto"/>
              <w:right w:val="single" w:sz="4" w:space="0" w:color="auto"/>
            </w:tcBorders>
            <w:noWrap/>
            <w:hideMark/>
          </w:tcPr>
          <w:p w14:paraId="24AAF16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2188</w:t>
            </w:r>
          </w:p>
        </w:tc>
        <w:tc>
          <w:tcPr>
            <w:tcW w:w="773" w:type="dxa"/>
            <w:tcBorders>
              <w:top w:val="single" w:sz="4" w:space="0" w:color="auto"/>
              <w:left w:val="single" w:sz="4" w:space="0" w:color="auto"/>
              <w:bottom w:val="single" w:sz="4" w:space="0" w:color="auto"/>
              <w:right w:val="single" w:sz="4" w:space="0" w:color="auto"/>
            </w:tcBorders>
            <w:noWrap/>
            <w:hideMark/>
          </w:tcPr>
          <w:p w14:paraId="4CFB24A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2417</w:t>
            </w:r>
          </w:p>
        </w:tc>
        <w:tc>
          <w:tcPr>
            <w:tcW w:w="773" w:type="dxa"/>
            <w:tcBorders>
              <w:top w:val="single" w:sz="4" w:space="0" w:color="auto"/>
              <w:left w:val="single" w:sz="4" w:space="0" w:color="auto"/>
              <w:bottom w:val="single" w:sz="4" w:space="0" w:color="auto"/>
              <w:right w:val="single" w:sz="4" w:space="0" w:color="auto"/>
            </w:tcBorders>
            <w:noWrap/>
            <w:hideMark/>
          </w:tcPr>
          <w:p w14:paraId="59BAFD2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2477</w:t>
            </w:r>
          </w:p>
        </w:tc>
        <w:tc>
          <w:tcPr>
            <w:tcW w:w="773" w:type="dxa"/>
            <w:tcBorders>
              <w:top w:val="single" w:sz="4" w:space="0" w:color="auto"/>
              <w:left w:val="single" w:sz="4" w:space="0" w:color="auto"/>
              <w:bottom w:val="single" w:sz="4" w:space="0" w:color="auto"/>
              <w:right w:val="single" w:sz="4" w:space="0" w:color="auto"/>
            </w:tcBorders>
            <w:noWrap/>
            <w:hideMark/>
          </w:tcPr>
          <w:p w14:paraId="758EA81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2555</w:t>
            </w:r>
          </w:p>
        </w:tc>
        <w:tc>
          <w:tcPr>
            <w:tcW w:w="773" w:type="dxa"/>
            <w:tcBorders>
              <w:top w:val="single" w:sz="4" w:space="0" w:color="auto"/>
              <w:left w:val="single" w:sz="4" w:space="0" w:color="auto"/>
              <w:bottom w:val="single" w:sz="4" w:space="0" w:color="auto"/>
              <w:right w:val="single" w:sz="4" w:space="0" w:color="auto"/>
            </w:tcBorders>
            <w:noWrap/>
            <w:hideMark/>
          </w:tcPr>
          <w:p w14:paraId="7CD476C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2622</w:t>
            </w:r>
          </w:p>
        </w:tc>
        <w:tc>
          <w:tcPr>
            <w:tcW w:w="774" w:type="dxa"/>
            <w:tcBorders>
              <w:top w:val="single" w:sz="4" w:space="0" w:color="auto"/>
              <w:left w:val="single" w:sz="4" w:space="0" w:color="auto"/>
              <w:bottom w:val="single" w:sz="4" w:space="0" w:color="auto"/>
              <w:right w:val="single" w:sz="4" w:space="0" w:color="auto"/>
            </w:tcBorders>
            <w:noWrap/>
            <w:hideMark/>
          </w:tcPr>
          <w:p w14:paraId="7DDD1E6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2706</w:t>
            </w:r>
          </w:p>
        </w:tc>
        <w:tc>
          <w:tcPr>
            <w:tcW w:w="773" w:type="dxa"/>
            <w:tcBorders>
              <w:top w:val="single" w:sz="4" w:space="0" w:color="auto"/>
              <w:left w:val="single" w:sz="4" w:space="0" w:color="auto"/>
              <w:bottom w:val="single" w:sz="4" w:space="0" w:color="auto"/>
              <w:right w:val="single" w:sz="4" w:space="0" w:color="auto"/>
            </w:tcBorders>
            <w:noWrap/>
            <w:hideMark/>
          </w:tcPr>
          <w:p w14:paraId="26E3861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2784</w:t>
            </w:r>
          </w:p>
        </w:tc>
        <w:tc>
          <w:tcPr>
            <w:tcW w:w="773" w:type="dxa"/>
            <w:tcBorders>
              <w:top w:val="single" w:sz="4" w:space="0" w:color="auto"/>
              <w:left w:val="single" w:sz="4" w:space="0" w:color="auto"/>
              <w:bottom w:val="single" w:sz="4" w:space="0" w:color="auto"/>
              <w:right w:val="single" w:sz="4" w:space="0" w:color="auto"/>
            </w:tcBorders>
            <w:noWrap/>
            <w:hideMark/>
          </w:tcPr>
          <w:p w14:paraId="019B2CB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3027</w:t>
            </w:r>
          </w:p>
        </w:tc>
        <w:tc>
          <w:tcPr>
            <w:tcW w:w="773" w:type="dxa"/>
            <w:tcBorders>
              <w:top w:val="single" w:sz="4" w:space="0" w:color="auto"/>
              <w:left w:val="single" w:sz="4" w:space="0" w:color="auto"/>
              <w:bottom w:val="single" w:sz="4" w:space="0" w:color="auto"/>
              <w:right w:val="single" w:sz="4" w:space="0" w:color="auto"/>
            </w:tcBorders>
            <w:noWrap/>
            <w:hideMark/>
          </w:tcPr>
          <w:p w14:paraId="3910447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3319</w:t>
            </w:r>
          </w:p>
        </w:tc>
        <w:tc>
          <w:tcPr>
            <w:tcW w:w="773" w:type="dxa"/>
            <w:tcBorders>
              <w:top w:val="single" w:sz="4" w:space="0" w:color="auto"/>
              <w:left w:val="single" w:sz="4" w:space="0" w:color="auto"/>
              <w:bottom w:val="single" w:sz="4" w:space="0" w:color="auto"/>
              <w:right w:val="single" w:sz="4" w:space="0" w:color="auto"/>
            </w:tcBorders>
            <w:noWrap/>
            <w:hideMark/>
          </w:tcPr>
          <w:p w14:paraId="401EB7E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3541</w:t>
            </w:r>
          </w:p>
        </w:tc>
        <w:tc>
          <w:tcPr>
            <w:tcW w:w="774" w:type="dxa"/>
            <w:tcBorders>
              <w:top w:val="single" w:sz="4" w:space="0" w:color="auto"/>
              <w:left w:val="single" w:sz="4" w:space="0" w:color="auto"/>
              <w:bottom w:val="single" w:sz="4" w:space="0" w:color="auto"/>
              <w:right w:val="single" w:sz="4" w:space="0" w:color="auto"/>
            </w:tcBorders>
            <w:noWrap/>
            <w:hideMark/>
          </w:tcPr>
          <w:p w14:paraId="75832E0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3814</w:t>
            </w:r>
          </w:p>
        </w:tc>
      </w:tr>
      <w:tr w:rsidR="00614438" w:rsidRPr="00656BE7" w14:paraId="7EAE42EA" w14:textId="77777777" w:rsidTr="00614438">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173FF54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w:t>
            </w:r>
          </w:p>
        </w:tc>
        <w:tc>
          <w:tcPr>
            <w:tcW w:w="773" w:type="dxa"/>
            <w:tcBorders>
              <w:top w:val="single" w:sz="4" w:space="0" w:color="auto"/>
              <w:left w:val="single" w:sz="4" w:space="0" w:color="auto"/>
              <w:bottom w:val="single" w:sz="4" w:space="0" w:color="auto"/>
              <w:right w:val="single" w:sz="4" w:space="0" w:color="auto"/>
            </w:tcBorders>
            <w:noWrap/>
            <w:hideMark/>
          </w:tcPr>
          <w:p w14:paraId="0BB09E6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2187</w:t>
            </w:r>
          </w:p>
        </w:tc>
        <w:tc>
          <w:tcPr>
            <w:tcW w:w="773" w:type="dxa"/>
            <w:tcBorders>
              <w:top w:val="single" w:sz="4" w:space="0" w:color="auto"/>
              <w:left w:val="single" w:sz="4" w:space="0" w:color="auto"/>
              <w:bottom w:val="single" w:sz="4" w:space="0" w:color="auto"/>
              <w:right w:val="single" w:sz="4" w:space="0" w:color="auto"/>
            </w:tcBorders>
            <w:noWrap/>
            <w:hideMark/>
          </w:tcPr>
          <w:p w14:paraId="11B8819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2358</w:t>
            </w:r>
          </w:p>
        </w:tc>
        <w:tc>
          <w:tcPr>
            <w:tcW w:w="773" w:type="dxa"/>
            <w:tcBorders>
              <w:top w:val="single" w:sz="4" w:space="0" w:color="auto"/>
              <w:left w:val="single" w:sz="4" w:space="0" w:color="auto"/>
              <w:bottom w:val="single" w:sz="4" w:space="0" w:color="auto"/>
              <w:right w:val="single" w:sz="4" w:space="0" w:color="auto"/>
            </w:tcBorders>
            <w:noWrap/>
            <w:hideMark/>
          </w:tcPr>
          <w:p w14:paraId="6E50915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2341</w:t>
            </w:r>
          </w:p>
        </w:tc>
        <w:tc>
          <w:tcPr>
            <w:tcW w:w="773" w:type="dxa"/>
            <w:tcBorders>
              <w:top w:val="single" w:sz="4" w:space="0" w:color="auto"/>
              <w:left w:val="single" w:sz="4" w:space="0" w:color="auto"/>
              <w:bottom w:val="single" w:sz="4" w:space="0" w:color="auto"/>
              <w:right w:val="single" w:sz="4" w:space="0" w:color="auto"/>
            </w:tcBorders>
            <w:noWrap/>
            <w:hideMark/>
          </w:tcPr>
          <w:p w14:paraId="23E395E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2399</w:t>
            </w:r>
          </w:p>
        </w:tc>
        <w:tc>
          <w:tcPr>
            <w:tcW w:w="773" w:type="dxa"/>
            <w:tcBorders>
              <w:top w:val="single" w:sz="4" w:space="0" w:color="auto"/>
              <w:left w:val="single" w:sz="4" w:space="0" w:color="auto"/>
              <w:bottom w:val="single" w:sz="4" w:space="0" w:color="auto"/>
              <w:right w:val="single" w:sz="4" w:space="0" w:color="auto"/>
            </w:tcBorders>
            <w:noWrap/>
            <w:hideMark/>
          </w:tcPr>
          <w:p w14:paraId="6CF9E7A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2454</w:t>
            </w:r>
          </w:p>
        </w:tc>
        <w:tc>
          <w:tcPr>
            <w:tcW w:w="774" w:type="dxa"/>
            <w:tcBorders>
              <w:top w:val="single" w:sz="4" w:space="0" w:color="auto"/>
              <w:left w:val="single" w:sz="4" w:space="0" w:color="auto"/>
              <w:bottom w:val="single" w:sz="4" w:space="0" w:color="auto"/>
              <w:right w:val="single" w:sz="4" w:space="0" w:color="auto"/>
            </w:tcBorders>
            <w:noWrap/>
            <w:hideMark/>
          </w:tcPr>
          <w:p w14:paraId="4A37CDE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2504</w:t>
            </w:r>
          </w:p>
        </w:tc>
        <w:tc>
          <w:tcPr>
            <w:tcW w:w="773" w:type="dxa"/>
            <w:tcBorders>
              <w:top w:val="single" w:sz="4" w:space="0" w:color="auto"/>
              <w:left w:val="single" w:sz="4" w:space="0" w:color="auto"/>
              <w:bottom w:val="single" w:sz="4" w:space="0" w:color="auto"/>
              <w:right w:val="single" w:sz="4" w:space="0" w:color="auto"/>
            </w:tcBorders>
            <w:noWrap/>
            <w:hideMark/>
          </w:tcPr>
          <w:p w14:paraId="59E1E1D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2547</w:t>
            </w:r>
          </w:p>
        </w:tc>
        <w:tc>
          <w:tcPr>
            <w:tcW w:w="773" w:type="dxa"/>
            <w:tcBorders>
              <w:top w:val="single" w:sz="4" w:space="0" w:color="auto"/>
              <w:left w:val="single" w:sz="4" w:space="0" w:color="auto"/>
              <w:bottom w:val="single" w:sz="4" w:space="0" w:color="auto"/>
              <w:right w:val="single" w:sz="4" w:space="0" w:color="auto"/>
            </w:tcBorders>
            <w:noWrap/>
            <w:hideMark/>
          </w:tcPr>
          <w:p w14:paraId="49A0E7C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2803</w:t>
            </w:r>
          </w:p>
        </w:tc>
        <w:tc>
          <w:tcPr>
            <w:tcW w:w="773" w:type="dxa"/>
            <w:tcBorders>
              <w:top w:val="single" w:sz="4" w:space="0" w:color="auto"/>
              <w:left w:val="single" w:sz="4" w:space="0" w:color="auto"/>
              <w:bottom w:val="single" w:sz="4" w:space="0" w:color="auto"/>
              <w:right w:val="single" w:sz="4" w:space="0" w:color="auto"/>
            </w:tcBorders>
            <w:noWrap/>
            <w:hideMark/>
          </w:tcPr>
          <w:p w14:paraId="3CE91A8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3019</w:t>
            </w:r>
          </w:p>
        </w:tc>
        <w:tc>
          <w:tcPr>
            <w:tcW w:w="773" w:type="dxa"/>
            <w:tcBorders>
              <w:top w:val="single" w:sz="4" w:space="0" w:color="auto"/>
              <w:left w:val="single" w:sz="4" w:space="0" w:color="auto"/>
              <w:bottom w:val="single" w:sz="4" w:space="0" w:color="auto"/>
              <w:right w:val="single" w:sz="4" w:space="0" w:color="auto"/>
            </w:tcBorders>
            <w:noWrap/>
            <w:hideMark/>
          </w:tcPr>
          <w:p w14:paraId="55ACA22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3182</w:t>
            </w:r>
          </w:p>
        </w:tc>
        <w:tc>
          <w:tcPr>
            <w:tcW w:w="774" w:type="dxa"/>
            <w:tcBorders>
              <w:top w:val="single" w:sz="4" w:space="0" w:color="auto"/>
              <w:left w:val="single" w:sz="4" w:space="0" w:color="auto"/>
              <w:bottom w:val="single" w:sz="4" w:space="0" w:color="auto"/>
              <w:right w:val="single" w:sz="4" w:space="0" w:color="auto"/>
            </w:tcBorders>
            <w:noWrap/>
            <w:hideMark/>
          </w:tcPr>
          <w:p w14:paraId="5AD6D4C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3403</w:t>
            </w:r>
          </w:p>
        </w:tc>
      </w:tr>
      <w:tr w:rsidR="00614438" w:rsidRPr="00656BE7" w14:paraId="67EFA95F" w14:textId="77777777" w:rsidTr="00614438">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7E49FCA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Scenario-S-N</w:t>
            </w:r>
          </w:p>
        </w:tc>
        <w:tc>
          <w:tcPr>
            <w:tcW w:w="773" w:type="dxa"/>
            <w:tcBorders>
              <w:top w:val="single" w:sz="4" w:space="0" w:color="auto"/>
              <w:left w:val="single" w:sz="4" w:space="0" w:color="auto"/>
              <w:bottom w:val="single" w:sz="4" w:space="0" w:color="auto"/>
              <w:right w:val="single" w:sz="4" w:space="0" w:color="auto"/>
            </w:tcBorders>
            <w:noWrap/>
            <w:hideMark/>
          </w:tcPr>
          <w:p w14:paraId="776F417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2187</w:t>
            </w:r>
          </w:p>
        </w:tc>
        <w:tc>
          <w:tcPr>
            <w:tcW w:w="773" w:type="dxa"/>
            <w:tcBorders>
              <w:top w:val="single" w:sz="4" w:space="0" w:color="auto"/>
              <w:left w:val="single" w:sz="4" w:space="0" w:color="auto"/>
              <w:bottom w:val="single" w:sz="4" w:space="0" w:color="auto"/>
              <w:right w:val="single" w:sz="4" w:space="0" w:color="auto"/>
            </w:tcBorders>
            <w:noWrap/>
            <w:hideMark/>
          </w:tcPr>
          <w:p w14:paraId="022ED96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2358</w:t>
            </w:r>
          </w:p>
        </w:tc>
        <w:tc>
          <w:tcPr>
            <w:tcW w:w="773" w:type="dxa"/>
            <w:tcBorders>
              <w:top w:val="single" w:sz="4" w:space="0" w:color="auto"/>
              <w:left w:val="single" w:sz="4" w:space="0" w:color="auto"/>
              <w:bottom w:val="single" w:sz="4" w:space="0" w:color="auto"/>
              <w:right w:val="single" w:sz="4" w:space="0" w:color="auto"/>
            </w:tcBorders>
            <w:noWrap/>
            <w:hideMark/>
          </w:tcPr>
          <w:p w14:paraId="5A58262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2341</w:t>
            </w:r>
          </w:p>
        </w:tc>
        <w:tc>
          <w:tcPr>
            <w:tcW w:w="773" w:type="dxa"/>
            <w:tcBorders>
              <w:top w:val="single" w:sz="4" w:space="0" w:color="auto"/>
              <w:left w:val="single" w:sz="4" w:space="0" w:color="auto"/>
              <w:bottom w:val="single" w:sz="4" w:space="0" w:color="auto"/>
              <w:right w:val="single" w:sz="4" w:space="0" w:color="auto"/>
            </w:tcBorders>
            <w:noWrap/>
            <w:hideMark/>
          </w:tcPr>
          <w:p w14:paraId="02BC942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2399</w:t>
            </w:r>
          </w:p>
        </w:tc>
        <w:tc>
          <w:tcPr>
            <w:tcW w:w="773" w:type="dxa"/>
            <w:tcBorders>
              <w:top w:val="single" w:sz="4" w:space="0" w:color="auto"/>
              <w:left w:val="single" w:sz="4" w:space="0" w:color="auto"/>
              <w:bottom w:val="single" w:sz="4" w:space="0" w:color="auto"/>
              <w:right w:val="single" w:sz="4" w:space="0" w:color="auto"/>
            </w:tcBorders>
            <w:noWrap/>
            <w:hideMark/>
          </w:tcPr>
          <w:p w14:paraId="178CF29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2454</w:t>
            </w:r>
          </w:p>
        </w:tc>
        <w:tc>
          <w:tcPr>
            <w:tcW w:w="774" w:type="dxa"/>
            <w:tcBorders>
              <w:top w:val="single" w:sz="4" w:space="0" w:color="auto"/>
              <w:left w:val="single" w:sz="4" w:space="0" w:color="auto"/>
              <w:bottom w:val="single" w:sz="4" w:space="0" w:color="auto"/>
              <w:right w:val="single" w:sz="4" w:space="0" w:color="auto"/>
            </w:tcBorders>
            <w:noWrap/>
            <w:hideMark/>
          </w:tcPr>
          <w:p w14:paraId="1544455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2504</w:t>
            </w:r>
          </w:p>
        </w:tc>
        <w:tc>
          <w:tcPr>
            <w:tcW w:w="773" w:type="dxa"/>
            <w:tcBorders>
              <w:top w:val="single" w:sz="4" w:space="0" w:color="auto"/>
              <w:left w:val="single" w:sz="4" w:space="0" w:color="auto"/>
              <w:bottom w:val="single" w:sz="4" w:space="0" w:color="auto"/>
              <w:right w:val="single" w:sz="4" w:space="0" w:color="auto"/>
            </w:tcBorders>
            <w:noWrap/>
            <w:hideMark/>
          </w:tcPr>
          <w:p w14:paraId="7724A59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2547</w:t>
            </w:r>
          </w:p>
        </w:tc>
        <w:tc>
          <w:tcPr>
            <w:tcW w:w="773" w:type="dxa"/>
            <w:tcBorders>
              <w:top w:val="single" w:sz="4" w:space="0" w:color="auto"/>
              <w:left w:val="single" w:sz="4" w:space="0" w:color="auto"/>
              <w:bottom w:val="single" w:sz="4" w:space="0" w:color="auto"/>
              <w:right w:val="single" w:sz="4" w:space="0" w:color="auto"/>
            </w:tcBorders>
            <w:noWrap/>
            <w:hideMark/>
          </w:tcPr>
          <w:p w14:paraId="53F2932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2805</w:t>
            </w:r>
          </w:p>
        </w:tc>
        <w:tc>
          <w:tcPr>
            <w:tcW w:w="773" w:type="dxa"/>
            <w:tcBorders>
              <w:top w:val="single" w:sz="4" w:space="0" w:color="auto"/>
              <w:left w:val="single" w:sz="4" w:space="0" w:color="auto"/>
              <w:bottom w:val="single" w:sz="4" w:space="0" w:color="auto"/>
              <w:right w:val="single" w:sz="4" w:space="0" w:color="auto"/>
            </w:tcBorders>
            <w:noWrap/>
            <w:hideMark/>
          </w:tcPr>
          <w:p w14:paraId="1C037F8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3011</w:t>
            </w:r>
          </w:p>
        </w:tc>
        <w:tc>
          <w:tcPr>
            <w:tcW w:w="773" w:type="dxa"/>
            <w:tcBorders>
              <w:top w:val="single" w:sz="4" w:space="0" w:color="auto"/>
              <w:left w:val="single" w:sz="4" w:space="0" w:color="auto"/>
              <w:bottom w:val="single" w:sz="4" w:space="0" w:color="auto"/>
              <w:right w:val="single" w:sz="4" w:space="0" w:color="auto"/>
            </w:tcBorders>
            <w:noWrap/>
            <w:hideMark/>
          </w:tcPr>
          <w:p w14:paraId="4D413C4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3184</w:t>
            </w:r>
          </w:p>
        </w:tc>
        <w:tc>
          <w:tcPr>
            <w:tcW w:w="774" w:type="dxa"/>
            <w:tcBorders>
              <w:top w:val="single" w:sz="4" w:space="0" w:color="auto"/>
              <w:left w:val="single" w:sz="4" w:space="0" w:color="auto"/>
              <w:bottom w:val="single" w:sz="4" w:space="0" w:color="auto"/>
              <w:right w:val="single" w:sz="4" w:space="0" w:color="auto"/>
            </w:tcBorders>
            <w:noWrap/>
            <w:hideMark/>
          </w:tcPr>
          <w:p w14:paraId="5AB1895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3406</w:t>
            </w:r>
          </w:p>
        </w:tc>
      </w:tr>
    </w:tbl>
    <w:p w14:paraId="704193A0" w14:textId="77777777" w:rsidR="00614438" w:rsidRPr="00614438" w:rsidRDefault="00614438" w:rsidP="00656BE7">
      <w:pPr>
        <w:spacing w:before="240"/>
        <w:jc w:val="both"/>
        <w:rPr>
          <w:rFonts w:ascii="Times New Roman" w:hAnsi="Times New Roman" w:cs="Times New Roman"/>
          <w:sz w:val="24"/>
          <w:szCs w:val="24"/>
          <w:lang w:val="en-GB"/>
        </w:rPr>
      </w:pPr>
      <w:bookmarkStart w:id="732" w:name="_Toc153545118"/>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25</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Final Energy Consumption per Sector - Transport [ktoe]</w:t>
      </w:r>
      <w:bookmarkEnd w:id="732"/>
    </w:p>
    <w:tbl>
      <w:tblPr>
        <w:tblStyle w:val="TableGrid"/>
        <w:tblW w:w="9780" w:type="dxa"/>
        <w:tblLayout w:type="fixed"/>
        <w:tblLook w:val="04A0" w:firstRow="1" w:lastRow="0" w:firstColumn="1" w:lastColumn="0" w:noHBand="0" w:noVBand="1"/>
      </w:tblPr>
      <w:tblGrid>
        <w:gridCol w:w="1273"/>
        <w:gridCol w:w="774"/>
        <w:gridCol w:w="774"/>
        <w:gridCol w:w="773"/>
        <w:gridCol w:w="773"/>
        <w:gridCol w:w="773"/>
        <w:gridCol w:w="774"/>
        <w:gridCol w:w="773"/>
        <w:gridCol w:w="773"/>
        <w:gridCol w:w="773"/>
        <w:gridCol w:w="773"/>
        <w:gridCol w:w="774"/>
      </w:tblGrid>
      <w:tr w:rsidR="00614438" w:rsidRPr="00656BE7" w14:paraId="1B62D598" w14:textId="77777777" w:rsidTr="00614438">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1EC9537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FEC Transport [ktoe]</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C93DD4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F9C35C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6C8A08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9C28D6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7B814D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77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C0372A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B539EF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206E35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D4B75F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2FA436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77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5F88DC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r>
      <w:tr w:rsidR="00614438" w:rsidRPr="00656BE7" w14:paraId="1C38410F" w14:textId="77777777" w:rsidTr="00614438">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39A8EFB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WEM</w:t>
            </w:r>
          </w:p>
        </w:tc>
        <w:tc>
          <w:tcPr>
            <w:tcW w:w="773" w:type="dxa"/>
            <w:tcBorders>
              <w:top w:val="single" w:sz="4" w:space="0" w:color="auto"/>
              <w:left w:val="single" w:sz="4" w:space="0" w:color="auto"/>
              <w:bottom w:val="single" w:sz="4" w:space="0" w:color="auto"/>
              <w:right w:val="single" w:sz="4" w:space="0" w:color="auto"/>
            </w:tcBorders>
            <w:noWrap/>
            <w:hideMark/>
          </w:tcPr>
          <w:p w14:paraId="21008AC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2347</w:t>
            </w:r>
          </w:p>
        </w:tc>
        <w:tc>
          <w:tcPr>
            <w:tcW w:w="773" w:type="dxa"/>
            <w:tcBorders>
              <w:top w:val="single" w:sz="4" w:space="0" w:color="auto"/>
              <w:left w:val="single" w:sz="4" w:space="0" w:color="auto"/>
              <w:bottom w:val="single" w:sz="4" w:space="0" w:color="auto"/>
              <w:right w:val="single" w:sz="4" w:space="0" w:color="auto"/>
            </w:tcBorders>
            <w:noWrap/>
            <w:hideMark/>
          </w:tcPr>
          <w:p w14:paraId="2CD9E67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2573</w:t>
            </w:r>
          </w:p>
        </w:tc>
        <w:tc>
          <w:tcPr>
            <w:tcW w:w="773" w:type="dxa"/>
            <w:tcBorders>
              <w:top w:val="single" w:sz="4" w:space="0" w:color="auto"/>
              <w:left w:val="single" w:sz="4" w:space="0" w:color="auto"/>
              <w:bottom w:val="single" w:sz="4" w:space="0" w:color="auto"/>
              <w:right w:val="single" w:sz="4" w:space="0" w:color="auto"/>
            </w:tcBorders>
            <w:noWrap/>
            <w:hideMark/>
          </w:tcPr>
          <w:p w14:paraId="3E6A3C3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2623</w:t>
            </w:r>
          </w:p>
        </w:tc>
        <w:tc>
          <w:tcPr>
            <w:tcW w:w="773" w:type="dxa"/>
            <w:tcBorders>
              <w:top w:val="single" w:sz="4" w:space="0" w:color="auto"/>
              <w:left w:val="single" w:sz="4" w:space="0" w:color="auto"/>
              <w:bottom w:val="single" w:sz="4" w:space="0" w:color="auto"/>
              <w:right w:val="single" w:sz="4" w:space="0" w:color="auto"/>
            </w:tcBorders>
            <w:noWrap/>
            <w:hideMark/>
          </w:tcPr>
          <w:p w14:paraId="0C94E88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2654</w:t>
            </w:r>
          </w:p>
        </w:tc>
        <w:tc>
          <w:tcPr>
            <w:tcW w:w="773" w:type="dxa"/>
            <w:tcBorders>
              <w:top w:val="single" w:sz="4" w:space="0" w:color="auto"/>
              <w:left w:val="single" w:sz="4" w:space="0" w:color="auto"/>
              <w:bottom w:val="single" w:sz="4" w:space="0" w:color="auto"/>
              <w:right w:val="single" w:sz="4" w:space="0" w:color="auto"/>
            </w:tcBorders>
            <w:noWrap/>
            <w:hideMark/>
          </w:tcPr>
          <w:p w14:paraId="47A9D8D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2687</w:t>
            </w:r>
          </w:p>
        </w:tc>
        <w:tc>
          <w:tcPr>
            <w:tcW w:w="774" w:type="dxa"/>
            <w:tcBorders>
              <w:top w:val="single" w:sz="4" w:space="0" w:color="auto"/>
              <w:left w:val="single" w:sz="4" w:space="0" w:color="auto"/>
              <w:bottom w:val="single" w:sz="4" w:space="0" w:color="auto"/>
              <w:right w:val="single" w:sz="4" w:space="0" w:color="auto"/>
            </w:tcBorders>
            <w:noWrap/>
            <w:hideMark/>
          </w:tcPr>
          <w:p w14:paraId="59EF85D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2721</w:t>
            </w:r>
          </w:p>
        </w:tc>
        <w:tc>
          <w:tcPr>
            <w:tcW w:w="773" w:type="dxa"/>
            <w:tcBorders>
              <w:top w:val="single" w:sz="4" w:space="0" w:color="auto"/>
              <w:left w:val="single" w:sz="4" w:space="0" w:color="auto"/>
              <w:bottom w:val="single" w:sz="4" w:space="0" w:color="auto"/>
              <w:right w:val="single" w:sz="4" w:space="0" w:color="auto"/>
            </w:tcBorders>
            <w:noWrap/>
            <w:hideMark/>
          </w:tcPr>
          <w:p w14:paraId="54EF7B7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2748</w:t>
            </w:r>
          </w:p>
        </w:tc>
        <w:tc>
          <w:tcPr>
            <w:tcW w:w="773" w:type="dxa"/>
            <w:tcBorders>
              <w:top w:val="single" w:sz="4" w:space="0" w:color="auto"/>
              <w:left w:val="single" w:sz="4" w:space="0" w:color="auto"/>
              <w:bottom w:val="single" w:sz="4" w:space="0" w:color="auto"/>
              <w:right w:val="single" w:sz="4" w:space="0" w:color="auto"/>
            </w:tcBorders>
            <w:noWrap/>
            <w:hideMark/>
          </w:tcPr>
          <w:p w14:paraId="0260CB6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2935</w:t>
            </w:r>
          </w:p>
        </w:tc>
        <w:tc>
          <w:tcPr>
            <w:tcW w:w="773" w:type="dxa"/>
            <w:tcBorders>
              <w:top w:val="single" w:sz="4" w:space="0" w:color="auto"/>
              <w:left w:val="single" w:sz="4" w:space="0" w:color="auto"/>
              <w:bottom w:val="single" w:sz="4" w:space="0" w:color="auto"/>
              <w:right w:val="single" w:sz="4" w:space="0" w:color="auto"/>
            </w:tcBorders>
            <w:noWrap/>
            <w:hideMark/>
          </w:tcPr>
          <w:p w14:paraId="56678D8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3190</w:t>
            </w:r>
          </w:p>
        </w:tc>
        <w:tc>
          <w:tcPr>
            <w:tcW w:w="773" w:type="dxa"/>
            <w:tcBorders>
              <w:top w:val="single" w:sz="4" w:space="0" w:color="auto"/>
              <w:left w:val="single" w:sz="4" w:space="0" w:color="auto"/>
              <w:bottom w:val="single" w:sz="4" w:space="0" w:color="auto"/>
              <w:right w:val="single" w:sz="4" w:space="0" w:color="auto"/>
            </w:tcBorders>
            <w:noWrap/>
            <w:hideMark/>
          </w:tcPr>
          <w:p w14:paraId="5DAD317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3434</w:t>
            </w:r>
          </w:p>
        </w:tc>
        <w:tc>
          <w:tcPr>
            <w:tcW w:w="774" w:type="dxa"/>
            <w:tcBorders>
              <w:top w:val="single" w:sz="4" w:space="0" w:color="auto"/>
              <w:left w:val="single" w:sz="4" w:space="0" w:color="auto"/>
              <w:bottom w:val="single" w:sz="4" w:space="0" w:color="auto"/>
              <w:right w:val="single" w:sz="4" w:space="0" w:color="auto"/>
            </w:tcBorders>
            <w:noWrap/>
            <w:hideMark/>
          </w:tcPr>
          <w:p w14:paraId="585050C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3679</w:t>
            </w:r>
          </w:p>
        </w:tc>
      </w:tr>
      <w:tr w:rsidR="00614438" w:rsidRPr="00656BE7" w14:paraId="02AF1691" w14:textId="77777777" w:rsidTr="00614438">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3524909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w:t>
            </w:r>
          </w:p>
        </w:tc>
        <w:tc>
          <w:tcPr>
            <w:tcW w:w="773" w:type="dxa"/>
            <w:tcBorders>
              <w:top w:val="single" w:sz="4" w:space="0" w:color="auto"/>
              <w:left w:val="single" w:sz="4" w:space="0" w:color="auto"/>
              <w:bottom w:val="single" w:sz="4" w:space="0" w:color="auto"/>
              <w:right w:val="single" w:sz="4" w:space="0" w:color="auto"/>
            </w:tcBorders>
            <w:noWrap/>
            <w:hideMark/>
          </w:tcPr>
          <w:p w14:paraId="56CC279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2347</w:t>
            </w:r>
          </w:p>
        </w:tc>
        <w:tc>
          <w:tcPr>
            <w:tcW w:w="773" w:type="dxa"/>
            <w:tcBorders>
              <w:top w:val="single" w:sz="4" w:space="0" w:color="auto"/>
              <w:left w:val="single" w:sz="4" w:space="0" w:color="auto"/>
              <w:bottom w:val="single" w:sz="4" w:space="0" w:color="auto"/>
              <w:right w:val="single" w:sz="4" w:space="0" w:color="auto"/>
            </w:tcBorders>
            <w:noWrap/>
            <w:hideMark/>
          </w:tcPr>
          <w:p w14:paraId="71183FF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2481</w:t>
            </w:r>
          </w:p>
        </w:tc>
        <w:tc>
          <w:tcPr>
            <w:tcW w:w="773" w:type="dxa"/>
            <w:tcBorders>
              <w:top w:val="single" w:sz="4" w:space="0" w:color="auto"/>
              <w:left w:val="single" w:sz="4" w:space="0" w:color="auto"/>
              <w:bottom w:val="single" w:sz="4" w:space="0" w:color="auto"/>
              <w:right w:val="single" w:sz="4" w:space="0" w:color="auto"/>
            </w:tcBorders>
            <w:noWrap/>
            <w:hideMark/>
          </w:tcPr>
          <w:p w14:paraId="4A5B050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2494</w:t>
            </w:r>
          </w:p>
        </w:tc>
        <w:tc>
          <w:tcPr>
            <w:tcW w:w="773" w:type="dxa"/>
            <w:tcBorders>
              <w:top w:val="single" w:sz="4" w:space="0" w:color="auto"/>
              <w:left w:val="single" w:sz="4" w:space="0" w:color="auto"/>
              <w:bottom w:val="single" w:sz="4" w:space="0" w:color="auto"/>
              <w:right w:val="single" w:sz="4" w:space="0" w:color="auto"/>
            </w:tcBorders>
            <w:noWrap/>
            <w:hideMark/>
          </w:tcPr>
          <w:p w14:paraId="20DDBC9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2480</w:t>
            </w:r>
          </w:p>
        </w:tc>
        <w:tc>
          <w:tcPr>
            <w:tcW w:w="773" w:type="dxa"/>
            <w:tcBorders>
              <w:top w:val="single" w:sz="4" w:space="0" w:color="auto"/>
              <w:left w:val="single" w:sz="4" w:space="0" w:color="auto"/>
              <w:bottom w:val="single" w:sz="4" w:space="0" w:color="auto"/>
              <w:right w:val="single" w:sz="4" w:space="0" w:color="auto"/>
            </w:tcBorders>
            <w:noWrap/>
            <w:hideMark/>
          </w:tcPr>
          <w:p w14:paraId="7598797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2482</w:t>
            </w:r>
          </w:p>
        </w:tc>
        <w:tc>
          <w:tcPr>
            <w:tcW w:w="774" w:type="dxa"/>
            <w:tcBorders>
              <w:top w:val="single" w:sz="4" w:space="0" w:color="auto"/>
              <w:left w:val="single" w:sz="4" w:space="0" w:color="auto"/>
              <w:bottom w:val="single" w:sz="4" w:space="0" w:color="auto"/>
              <w:right w:val="single" w:sz="4" w:space="0" w:color="auto"/>
            </w:tcBorders>
            <w:noWrap/>
            <w:hideMark/>
          </w:tcPr>
          <w:p w14:paraId="7577D1A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2461</w:t>
            </w:r>
          </w:p>
        </w:tc>
        <w:tc>
          <w:tcPr>
            <w:tcW w:w="773" w:type="dxa"/>
            <w:tcBorders>
              <w:top w:val="single" w:sz="4" w:space="0" w:color="auto"/>
              <w:left w:val="single" w:sz="4" w:space="0" w:color="auto"/>
              <w:bottom w:val="single" w:sz="4" w:space="0" w:color="auto"/>
              <w:right w:val="single" w:sz="4" w:space="0" w:color="auto"/>
            </w:tcBorders>
            <w:noWrap/>
            <w:hideMark/>
          </w:tcPr>
          <w:p w14:paraId="10B3837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2512</w:t>
            </w:r>
          </w:p>
        </w:tc>
        <w:tc>
          <w:tcPr>
            <w:tcW w:w="773" w:type="dxa"/>
            <w:tcBorders>
              <w:top w:val="single" w:sz="4" w:space="0" w:color="auto"/>
              <w:left w:val="single" w:sz="4" w:space="0" w:color="auto"/>
              <w:bottom w:val="single" w:sz="4" w:space="0" w:color="auto"/>
              <w:right w:val="single" w:sz="4" w:space="0" w:color="auto"/>
            </w:tcBorders>
            <w:noWrap/>
            <w:hideMark/>
          </w:tcPr>
          <w:p w14:paraId="51C60BF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2427</w:t>
            </w:r>
          </w:p>
        </w:tc>
        <w:tc>
          <w:tcPr>
            <w:tcW w:w="773" w:type="dxa"/>
            <w:tcBorders>
              <w:top w:val="single" w:sz="4" w:space="0" w:color="auto"/>
              <w:left w:val="single" w:sz="4" w:space="0" w:color="auto"/>
              <w:bottom w:val="single" w:sz="4" w:space="0" w:color="auto"/>
              <w:right w:val="single" w:sz="4" w:space="0" w:color="auto"/>
            </w:tcBorders>
            <w:noWrap/>
            <w:hideMark/>
          </w:tcPr>
          <w:p w14:paraId="35C6105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2444</w:t>
            </w:r>
          </w:p>
        </w:tc>
        <w:tc>
          <w:tcPr>
            <w:tcW w:w="773" w:type="dxa"/>
            <w:tcBorders>
              <w:top w:val="single" w:sz="4" w:space="0" w:color="auto"/>
              <w:left w:val="single" w:sz="4" w:space="0" w:color="auto"/>
              <w:bottom w:val="single" w:sz="4" w:space="0" w:color="auto"/>
              <w:right w:val="single" w:sz="4" w:space="0" w:color="auto"/>
            </w:tcBorders>
            <w:noWrap/>
            <w:hideMark/>
          </w:tcPr>
          <w:p w14:paraId="0A6DE55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2316</w:t>
            </w:r>
          </w:p>
        </w:tc>
        <w:tc>
          <w:tcPr>
            <w:tcW w:w="774" w:type="dxa"/>
            <w:tcBorders>
              <w:top w:val="single" w:sz="4" w:space="0" w:color="auto"/>
              <w:left w:val="single" w:sz="4" w:space="0" w:color="auto"/>
              <w:bottom w:val="single" w:sz="4" w:space="0" w:color="auto"/>
              <w:right w:val="single" w:sz="4" w:space="0" w:color="auto"/>
            </w:tcBorders>
            <w:noWrap/>
            <w:hideMark/>
          </w:tcPr>
          <w:p w14:paraId="350457F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2208</w:t>
            </w:r>
          </w:p>
        </w:tc>
      </w:tr>
      <w:tr w:rsidR="00614438" w:rsidRPr="00656BE7" w14:paraId="423E60E4" w14:textId="77777777" w:rsidTr="00614438">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120173D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Scenario-S-N</w:t>
            </w:r>
          </w:p>
        </w:tc>
        <w:tc>
          <w:tcPr>
            <w:tcW w:w="773" w:type="dxa"/>
            <w:tcBorders>
              <w:top w:val="single" w:sz="4" w:space="0" w:color="auto"/>
              <w:left w:val="single" w:sz="4" w:space="0" w:color="auto"/>
              <w:bottom w:val="single" w:sz="4" w:space="0" w:color="auto"/>
              <w:right w:val="single" w:sz="4" w:space="0" w:color="auto"/>
            </w:tcBorders>
            <w:noWrap/>
            <w:hideMark/>
          </w:tcPr>
          <w:p w14:paraId="5CC6F88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2347</w:t>
            </w:r>
          </w:p>
        </w:tc>
        <w:tc>
          <w:tcPr>
            <w:tcW w:w="773" w:type="dxa"/>
            <w:tcBorders>
              <w:top w:val="single" w:sz="4" w:space="0" w:color="auto"/>
              <w:left w:val="single" w:sz="4" w:space="0" w:color="auto"/>
              <w:bottom w:val="single" w:sz="4" w:space="0" w:color="auto"/>
              <w:right w:val="single" w:sz="4" w:space="0" w:color="auto"/>
            </w:tcBorders>
            <w:noWrap/>
            <w:hideMark/>
          </w:tcPr>
          <w:p w14:paraId="5838F43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2481</w:t>
            </w:r>
          </w:p>
        </w:tc>
        <w:tc>
          <w:tcPr>
            <w:tcW w:w="773" w:type="dxa"/>
            <w:tcBorders>
              <w:top w:val="single" w:sz="4" w:space="0" w:color="auto"/>
              <w:left w:val="single" w:sz="4" w:space="0" w:color="auto"/>
              <w:bottom w:val="single" w:sz="4" w:space="0" w:color="auto"/>
              <w:right w:val="single" w:sz="4" w:space="0" w:color="auto"/>
            </w:tcBorders>
            <w:noWrap/>
            <w:hideMark/>
          </w:tcPr>
          <w:p w14:paraId="1BFE8D8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2494</w:t>
            </w:r>
          </w:p>
        </w:tc>
        <w:tc>
          <w:tcPr>
            <w:tcW w:w="773" w:type="dxa"/>
            <w:tcBorders>
              <w:top w:val="single" w:sz="4" w:space="0" w:color="auto"/>
              <w:left w:val="single" w:sz="4" w:space="0" w:color="auto"/>
              <w:bottom w:val="single" w:sz="4" w:space="0" w:color="auto"/>
              <w:right w:val="single" w:sz="4" w:space="0" w:color="auto"/>
            </w:tcBorders>
            <w:noWrap/>
            <w:hideMark/>
          </w:tcPr>
          <w:p w14:paraId="0F88EEF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2480</w:t>
            </w:r>
          </w:p>
        </w:tc>
        <w:tc>
          <w:tcPr>
            <w:tcW w:w="773" w:type="dxa"/>
            <w:tcBorders>
              <w:top w:val="single" w:sz="4" w:space="0" w:color="auto"/>
              <w:left w:val="single" w:sz="4" w:space="0" w:color="auto"/>
              <w:bottom w:val="single" w:sz="4" w:space="0" w:color="auto"/>
              <w:right w:val="single" w:sz="4" w:space="0" w:color="auto"/>
            </w:tcBorders>
            <w:noWrap/>
            <w:hideMark/>
          </w:tcPr>
          <w:p w14:paraId="1344D2B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2482</w:t>
            </w:r>
          </w:p>
        </w:tc>
        <w:tc>
          <w:tcPr>
            <w:tcW w:w="774" w:type="dxa"/>
            <w:tcBorders>
              <w:top w:val="single" w:sz="4" w:space="0" w:color="auto"/>
              <w:left w:val="single" w:sz="4" w:space="0" w:color="auto"/>
              <w:bottom w:val="single" w:sz="4" w:space="0" w:color="auto"/>
              <w:right w:val="single" w:sz="4" w:space="0" w:color="auto"/>
            </w:tcBorders>
            <w:noWrap/>
            <w:hideMark/>
          </w:tcPr>
          <w:p w14:paraId="5254DE3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2461</w:t>
            </w:r>
          </w:p>
        </w:tc>
        <w:tc>
          <w:tcPr>
            <w:tcW w:w="773" w:type="dxa"/>
            <w:tcBorders>
              <w:top w:val="single" w:sz="4" w:space="0" w:color="auto"/>
              <w:left w:val="single" w:sz="4" w:space="0" w:color="auto"/>
              <w:bottom w:val="single" w:sz="4" w:space="0" w:color="auto"/>
              <w:right w:val="single" w:sz="4" w:space="0" w:color="auto"/>
            </w:tcBorders>
            <w:noWrap/>
            <w:hideMark/>
          </w:tcPr>
          <w:p w14:paraId="1CDEE4F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2512</w:t>
            </w:r>
          </w:p>
        </w:tc>
        <w:tc>
          <w:tcPr>
            <w:tcW w:w="773" w:type="dxa"/>
            <w:tcBorders>
              <w:top w:val="single" w:sz="4" w:space="0" w:color="auto"/>
              <w:left w:val="single" w:sz="4" w:space="0" w:color="auto"/>
              <w:bottom w:val="single" w:sz="4" w:space="0" w:color="auto"/>
              <w:right w:val="single" w:sz="4" w:space="0" w:color="auto"/>
            </w:tcBorders>
            <w:noWrap/>
            <w:hideMark/>
          </w:tcPr>
          <w:p w14:paraId="2E02958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2445</w:t>
            </w:r>
          </w:p>
        </w:tc>
        <w:tc>
          <w:tcPr>
            <w:tcW w:w="773" w:type="dxa"/>
            <w:tcBorders>
              <w:top w:val="single" w:sz="4" w:space="0" w:color="auto"/>
              <w:left w:val="single" w:sz="4" w:space="0" w:color="auto"/>
              <w:bottom w:val="single" w:sz="4" w:space="0" w:color="auto"/>
              <w:right w:val="single" w:sz="4" w:space="0" w:color="auto"/>
            </w:tcBorders>
            <w:noWrap/>
            <w:hideMark/>
          </w:tcPr>
          <w:p w14:paraId="342FF01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2420</w:t>
            </w:r>
          </w:p>
        </w:tc>
        <w:tc>
          <w:tcPr>
            <w:tcW w:w="773" w:type="dxa"/>
            <w:tcBorders>
              <w:top w:val="single" w:sz="4" w:space="0" w:color="auto"/>
              <w:left w:val="single" w:sz="4" w:space="0" w:color="auto"/>
              <w:bottom w:val="single" w:sz="4" w:space="0" w:color="auto"/>
              <w:right w:val="single" w:sz="4" w:space="0" w:color="auto"/>
            </w:tcBorders>
            <w:noWrap/>
            <w:hideMark/>
          </w:tcPr>
          <w:p w14:paraId="2E1A0F6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2265</w:t>
            </w:r>
          </w:p>
        </w:tc>
        <w:tc>
          <w:tcPr>
            <w:tcW w:w="774" w:type="dxa"/>
            <w:tcBorders>
              <w:top w:val="single" w:sz="4" w:space="0" w:color="auto"/>
              <w:left w:val="single" w:sz="4" w:space="0" w:color="auto"/>
              <w:bottom w:val="single" w:sz="4" w:space="0" w:color="auto"/>
              <w:right w:val="single" w:sz="4" w:space="0" w:color="auto"/>
            </w:tcBorders>
            <w:noWrap/>
            <w:hideMark/>
          </w:tcPr>
          <w:p w14:paraId="38CD979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2149</w:t>
            </w:r>
          </w:p>
        </w:tc>
      </w:tr>
    </w:tbl>
    <w:p w14:paraId="6E17D228" w14:textId="77777777" w:rsidR="00614438" w:rsidRPr="00614438" w:rsidRDefault="00614438" w:rsidP="00656BE7">
      <w:pPr>
        <w:spacing w:before="240"/>
        <w:jc w:val="both"/>
        <w:rPr>
          <w:rFonts w:ascii="Times New Roman" w:hAnsi="Times New Roman" w:cs="Times New Roman"/>
          <w:sz w:val="24"/>
          <w:szCs w:val="24"/>
          <w:lang w:val="en-GB"/>
        </w:rPr>
      </w:pPr>
      <w:bookmarkStart w:id="733" w:name="_Toc153545119"/>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26</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Final Energy Consumption per Sector - Services [ktoe]</w:t>
      </w:r>
      <w:bookmarkEnd w:id="733"/>
    </w:p>
    <w:tbl>
      <w:tblPr>
        <w:tblStyle w:val="TableGrid"/>
        <w:tblW w:w="9780" w:type="dxa"/>
        <w:tblLayout w:type="fixed"/>
        <w:tblLook w:val="04A0" w:firstRow="1" w:lastRow="0" w:firstColumn="1" w:lastColumn="0" w:noHBand="0" w:noVBand="1"/>
      </w:tblPr>
      <w:tblGrid>
        <w:gridCol w:w="1273"/>
        <w:gridCol w:w="774"/>
        <w:gridCol w:w="774"/>
        <w:gridCol w:w="773"/>
        <w:gridCol w:w="773"/>
        <w:gridCol w:w="773"/>
        <w:gridCol w:w="774"/>
        <w:gridCol w:w="773"/>
        <w:gridCol w:w="773"/>
        <w:gridCol w:w="773"/>
        <w:gridCol w:w="773"/>
        <w:gridCol w:w="774"/>
      </w:tblGrid>
      <w:tr w:rsidR="00614438" w:rsidRPr="00656BE7" w14:paraId="7F28342F" w14:textId="77777777" w:rsidTr="00614438">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22E645B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FEC Services [ktoe]</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70E2B3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59CC8B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ACD693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549BD7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8F571D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77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B1C29A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275E30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F9244D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9682E7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6CCB922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77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8B3A75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r>
      <w:tr w:rsidR="00614438" w:rsidRPr="00656BE7" w14:paraId="43FCB00E" w14:textId="77777777" w:rsidTr="00614438">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4466DF0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WEM</w:t>
            </w:r>
          </w:p>
        </w:tc>
        <w:tc>
          <w:tcPr>
            <w:tcW w:w="773" w:type="dxa"/>
            <w:tcBorders>
              <w:top w:val="single" w:sz="4" w:space="0" w:color="auto"/>
              <w:left w:val="single" w:sz="4" w:space="0" w:color="auto"/>
              <w:bottom w:val="single" w:sz="4" w:space="0" w:color="auto"/>
              <w:right w:val="single" w:sz="4" w:space="0" w:color="auto"/>
            </w:tcBorders>
            <w:noWrap/>
            <w:hideMark/>
          </w:tcPr>
          <w:p w14:paraId="398684A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761</w:t>
            </w:r>
          </w:p>
        </w:tc>
        <w:tc>
          <w:tcPr>
            <w:tcW w:w="773" w:type="dxa"/>
            <w:tcBorders>
              <w:top w:val="single" w:sz="4" w:space="0" w:color="auto"/>
              <w:left w:val="single" w:sz="4" w:space="0" w:color="auto"/>
              <w:bottom w:val="single" w:sz="4" w:space="0" w:color="auto"/>
              <w:right w:val="single" w:sz="4" w:space="0" w:color="auto"/>
            </w:tcBorders>
            <w:noWrap/>
            <w:hideMark/>
          </w:tcPr>
          <w:p w14:paraId="789CD41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974</w:t>
            </w:r>
          </w:p>
        </w:tc>
        <w:tc>
          <w:tcPr>
            <w:tcW w:w="773" w:type="dxa"/>
            <w:tcBorders>
              <w:top w:val="single" w:sz="4" w:space="0" w:color="auto"/>
              <w:left w:val="single" w:sz="4" w:space="0" w:color="auto"/>
              <w:bottom w:val="single" w:sz="4" w:space="0" w:color="auto"/>
              <w:right w:val="single" w:sz="4" w:space="0" w:color="auto"/>
            </w:tcBorders>
            <w:noWrap/>
            <w:hideMark/>
          </w:tcPr>
          <w:p w14:paraId="338137C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998</w:t>
            </w:r>
          </w:p>
        </w:tc>
        <w:tc>
          <w:tcPr>
            <w:tcW w:w="773" w:type="dxa"/>
            <w:tcBorders>
              <w:top w:val="single" w:sz="4" w:space="0" w:color="auto"/>
              <w:left w:val="single" w:sz="4" w:space="0" w:color="auto"/>
              <w:bottom w:val="single" w:sz="4" w:space="0" w:color="auto"/>
              <w:right w:val="single" w:sz="4" w:space="0" w:color="auto"/>
            </w:tcBorders>
            <w:noWrap/>
            <w:hideMark/>
          </w:tcPr>
          <w:p w14:paraId="7F454A1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1022</w:t>
            </w:r>
          </w:p>
        </w:tc>
        <w:tc>
          <w:tcPr>
            <w:tcW w:w="773" w:type="dxa"/>
            <w:tcBorders>
              <w:top w:val="single" w:sz="4" w:space="0" w:color="auto"/>
              <w:left w:val="single" w:sz="4" w:space="0" w:color="auto"/>
              <w:bottom w:val="single" w:sz="4" w:space="0" w:color="auto"/>
              <w:right w:val="single" w:sz="4" w:space="0" w:color="auto"/>
            </w:tcBorders>
            <w:noWrap/>
            <w:hideMark/>
          </w:tcPr>
          <w:p w14:paraId="203775A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1047</w:t>
            </w:r>
          </w:p>
        </w:tc>
        <w:tc>
          <w:tcPr>
            <w:tcW w:w="774" w:type="dxa"/>
            <w:tcBorders>
              <w:top w:val="single" w:sz="4" w:space="0" w:color="auto"/>
              <w:left w:val="single" w:sz="4" w:space="0" w:color="auto"/>
              <w:bottom w:val="single" w:sz="4" w:space="0" w:color="auto"/>
              <w:right w:val="single" w:sz="4" w:space="0" w:color="auto"/>
            </w:tcBorders>
            <w:noWrap/>
            <w:hideMark/>
          </w:tcPr>
          <w:p w14:paraId="0AA9245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1072</w:t>
            </w:r>
          </w:p>
        </w:tc>
        <w:tc>
          <w:tcPr>
            <w:tcW w:w="773" w:type="dxa"/>
            <w:tcBorders>
              <w:top w:val="single" w:sz="4" w:space="0" w:color="auto"/>
              <w:left w:val="single" w:sz="4" w:space="0" w:color="auto"/>
              <w:bottom w:val="single" w:sz="4" w:space="0" w:color="auto"/>
              <w:right w:val="single" w:sz="4" w:space="0" w:color="auto"/>
            </w:tcBorders>
            <w:noWrap/>
            <w:hideMark/>
          </w:tcPr>
          <w:p w14:paraId="15E4F36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1097</w:t>
            </w:r>
          </w:p>
        </w:tc>
        <w:tc>
          <w:tcPr>
            <w:tcW w:w="773" w:type="dxa"/>
            <w:tcBorders>
              <w:top w:val="single" w:sz="4" w:space="0" w:color="auto"/>
              <w:left w:val="single" w:sz="4" w:space="0" w:color="auto"/>
              <w:bottom w:val="single" w:sz="4" w:space="0" w:color="auto"/>
              <w:right w:val="single" w:sz="4" w:space="0" w:color="auto"/>
            </w:tcBorders>
            <w:noWrap/>
            <w:hideMark/>
          </w:tcPr>
          <w:p w14:paraId="0B5B8F2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1219</w:t>
            </w:r>
          </w:p>
        </w:tc>
        <w:tc>
          <w:tcPr>
            <w:tcW w:w="773" w:type="dxa"/>
            <w:tcBorders>
              <w:top w:val="single" w:sz="4" w:space="0" w:color="auto"/>
              <w:left w:val="single" w:sz="4" w:space="0" w:color="auto"/>
              <w:bottom w:val="single" w:sz="4" w:space="0" w:color="auto"/>
              <w:right w:val="single" w:sz="4" w:space="0" w:color="auto"/>
            </w:tcBorders>
            <w:noWrap/>
            <w:hideMark/>
          </w:tcPr>
          <w:p w14:paraId="52900DA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1342</w:t>
            </w:r>
          </w:p>
        </w:tc>
        <w:tc>
          <w:tcPr>
            <w:tcW w:w="773" w:type="dxa"/>
            <w:tcBorders>
              <w:top w:val="single" w:sz="4" w:space="0" w:color="auto"/>
              <w:left w:val="single" w:sz="4" w:space="0" w:color="auto"/>
              <w:bottom w:val="single" w:sz="4" w:space="0" w:color="auto"/>
              <w:right w:val="single" w:sz="4" w:space="0" w:color="auto"/>
            </w:tcBorders>
            <w:noWrap/>
            <w:hideMark/>
          </w:tcPr>
          <w:p w14:paraId="7B69BAB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1459</w:t>
            </w:r>
          </w:p>
        </w:tc>
        <w:tc>
          <w:tcPr>
            <w:tcW w:w="774" w:type="dxa"/>
            <w:tcBorders>
              <w:top w:val="single" w:sz="4" w:space="0" w:color="auto"/>
              <w:left w:val="single" w:sz="4" w:space="0" w:color="auto"/>
              <w:bottom w:val="single" w:sz="4" w:space="0" w:color="auto"/>
              <w:right w:val="single" w:sz="4" w:space="0" w:color="auto"/>
            </w:tcBorders>
            <w:noWrap/>
            <w:hideMark/>
          </w:tcPr>
          <w:p w14:paraId="222D6EB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1579</w:t>
            </w:r>
          </w:p>
        </w:tc>
      </w:tr>
      <w:tr w:rsidR="00614438" w:rsidRPr="00656BE7" w14:paraId="358CC498" w14:textId="77777777" w:rsidTr="00614438">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4FFAD98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w:t>
            </w:r>
          </w:p>
        </w:tc>
        <w:tc>
          <w:tcPr>
            <w:tcW w:w="773" w:type="dxa"/>
            <w:tcBorders>
              <w:top w:val="single" w:sz="4" w:space="0" w:color="auto"/>
              <w:left w:val="single" w:sz="4" w:space="0" w:color="auto"/>
              <w:bottom w:val="single" w:sz="4" w:space="0" w:color="auto"/>
              <w:right w:val="single" w:sz="4" w:space="0" w:color="auto"/>
            </w:tcBorders>
            <w:noWrap/>
            <w:hideMark/>
          </w:tcPr>
          <w:p w14:paraId="65791FE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842</w:t>
            </w:r>
          </w:p>
        </w:tc>
        <w:tc>
          <w:tcPr>
            <w:tcW w:w="773" w:type="dxa"/>
            <w:tcBorders>
              <w:top w:val="single" w:sz="4" w:space="0" w:color="auto"/>
              <w:left w:val="single" w:sz="4" w:space="0" w:color="auto"/>
              <w:bottom w:val="single" w:sz="4" w:space="0" w:color="auto"/>
              <w:right w:val="single" w:sz="4" w:space="0" w:color="auto"/>
            </w:tcBorders>
            <w:noWrap/>
            <w:hideMark/>
          </w:tcPr>
          <w:p w14:paraId="72CAFD9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864</w:t>
            </w:r>
          </w:p>
        </w:tc>
        <w:tc>
          <w:tcPr>
            <w:tcW w:w="773" w:type="dxa"/>
            <w:tcBorders>
              <w:top w:val="single" w:sz="4" w:space="0" w:color="auto"/>
              <w:left w:val="single" w:sz="4" w:space="0" w:color="auto"/>
              <w:bottom w:val="single" w:sz="4" w:space="0" w:color="auto"/>
              <w:right w:val="single" w:sz="4" w:space="0" w:color="auto"/>
            </w:tcBorders>
            <w:noWrap/>
            <w:hideMark/>
          </w:tcPr>
          <w:p w14:paraId="7070A8E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870</w:t>
            </w:r>
          </w:p>
        </w:tc>
        <w:tc>
          <w:tcPr>
            <w:tcW w:w="773" w:type="dxa"/>
            <w:tcBorders>
              <w:top w:val="single" w:sz="4" w:space="0" w:color="auto"/>
              <w:left w:val="single" w:sz="4" w:space="0" w:color="auto"/>
              <w:bottom w:val="single" w:sz="4" w:space="0" w:color="auto"/>
              <w:right w:val="single" w:sz="4" w:space="0" w:color="auto"/>
            </w:tcBorders>
            <w:noWrap/>
            <w:hideMark/>
          </w:tcPr>
          <w:p w14:paraId="2D0BC42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881</w:t>
            </w:r>
          </w:p>
        </w:tc>
        <w:tc>
          <w:tcPr>
            <w:tcW w:w="773" w:type="dxa"/>
            <w:tcBorders>
              <w:top w:val="single" w:sz="4" w:space="0" w:color="auto"/>
              <w:left w:val="single" w:sz="4" w:space="0" w:color="auto"/>
              <w:bottom w:val="single" w:sz="4" w:space="0" w:color="auto"/>
              <w:right w:val="single" w:sz="4" w:space="0" w:color="auto"/>
            </w:tcBorders>
            <w:noWrap/>
            <w:hideMark/>
          </w:tcPr>
          <w:p w14:paraId="37704B0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891</w:t>
            </w:r>
          </w:p>
        </w:tc>
        <w:tc>
          <w:tcPr>
            <w:tcW w:w="774" w:type="dxa"/>
            <w:tcBorders>
              <w:top w:val="single" w:sz="4" w:space="0" w:color="auto"/>
              <w:left w:val="single" w:sz="4" w:space="0" w:color="auto"/>
              <w:bottom w:val="single" w:sz="4" w:space="0" w:color="auto"/>
              <w:right w:val="single" w:sz="4" w:space="0" w:color="auto"/>
            </w:tcBorders>
            <w:noWrap/>
            <w:hideMark/>
          </w:tcPr>
          <w:p w14:paraId="69FC37D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901</w:t>
            </w:r>
          </w:p>
        </w:tc>
        <w:tc>
          <w:tcPr>
            <w:tcW w:w="773" w:type="dxa"/>
            <w:tcBorders>
              <w:top w:val="single" w:sz="4" w:space="0" w:color="auto"/>
              <w:left w:val="single" w:sz="4" w:space="0" w:color="auto"/>
              <w:bottom w:val="single" w:sz="4" w:space="0" w:color="auto"/>
              <w:right w:val="single" w:sz="4" w:space="0" w:color="auto"/>
            </w:tcBorders>
            <w:noWrap/>
            <w:hideMark/>
          </w:tcPr>
          <w:p w14:paraId="0BF7388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910</w:t>
            </w:r>
          </w:p>
        </w:tc>
        <w:tc>
          <w:tcPr>
            <w:tcW w:w="773" w:type="dxa"/>
            <w:tcBorders>
              <w:top w:val="single" w:sz="4" w:space="0" w:color="auto"/>
              <w:left w:val="single" w:sz="4" w:space="0" w:color="auto"/>
              <w:bottom w:val="single" w:sz="4" w:space="0" w:color="auto"/>
              <w:right w:val="single" w:sz="4" w:space="0" w:color="auto"/>
            </w:tcBorders>
            <w:noWrap/>
            <w:hideMark/>
          </w:tcPr>
          <w:p w14:paraId="2641665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922</w:t>
            </w:r>
          </w:p>
        </w:tc>
        <w:tc>
          <w:tcPr>
            <w:tcW w:w="773" w:type="dxa"/>
            <w:tcBorders>
              <w:top w:val="single" w:sz="4" w:space="0" w:color="auto"/>
              <w:left w:val="single" w:sz="4" w:space="0" w:color="auto"/>
              <w:bottom w:val="single" w:sz="4" w:space="0" w:color="auto"/>
              <w:right w:val="single" w:sz="4" w:space="0" w:color="auto"/>
            </w:tcBorders>
            <w:noWrap/>
            <w:hideMark/>
          </w:tcPr>
          <w:p w14:paraId="35FF1D4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946</w:t>
            </w:r>
          </w:p>
        </w:tc>
        <w:tc>
          <w:tcPr>
            <w:tcW w:w="773" w:type="dxa"/>
            <w:tcBorders>
              <w:top w:val="single" w:sz="4" w:space="0" w:color="auto"/>
              <w:left w:val="single" w:sz="4" w:space="0" w:color="auto"/>
              <w:bottom w:val="single" w:sz="4" w:space="0" w:color="auto"/>
              <w:right w:val="single" w:sz="4" w:space="0" w:color="auto"/>
            </w:tcBorders>
            <w:noWrap/>
            <w:hideMark/>
          </w:tcPr>
          <w:p w14:paraId="1711E25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1041</w:t>
            </w:r>
          </w:p>
        </w:tc>
        <w:tc>
          <w:tcPr>
            <w:tcW w:w="774" w:type="dxa"/>
            <w:tcBorders>
              <w:top w:val="single" w:sz="4" w:space="0" w:color="auto"/>
              <w:left w:val="single" w:sz="4" w:space="0" w:color="auto"/>
              <w:bottom w:val="single" w:sz="4" w:space="0" w:color="auto"/>
              <w:right w:val="single" w:sz="4" w:space="0" w:color="auto"/>
            </w:tcBorders>
            <w:noWrap/>
            <w:hideMark/>
          </w:tcPr>
          <w:p w14:paraId="2424DF0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1198</w:t>
            </w:r>
          </w:p>
        </w:tc>
      </w:tr>
      <w:tr w:rsidR="00614438" w:rsidRPr="00656BE7" w14:paraId="286EE700" w14:textId="77777777" w:rsidTr="00614438">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745EC5C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Scenario-S-N</w:t>
            </w:r>
          </w:p>
        </w:tc>
        <w:tc>
          <w:tcPr>
            <w:tcW w:w="773" w:type="dxa"/>
            <w:tcBorders>
              <w:top w:val="single" w:sz="4" w:space="0" w:color="auto"/>
              <w:left w:val="single" w:sz="4" w:space="0" w:color="auto"/>
              <w:bottom w:val="single" w:sz="4" w:space="0" w:color="auto"/>
              <w:right w:val="single" w:sz="4" w:space="0" w:color="auto"/>
            </w:tcBorders>
            <w:noWrap/>
            <w:hideMark/>
          </w:tcPr>
          <w:p w14:paraId="72D60C8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842</w:t>
            </w:r>
          </w:p>
        </w:tc>
        <w:tc>
          <w:tcPr>
            <w:tcW w:w="773" w:type="dxa"/>
            <w:tcBorders>
              <w:top w:val="single" w:sz="4" w:space="0" w:color="auto"/>
              <w:left w:val="single" w:sz="4" w:space="0" w:color="auto"/>
              <w:bottom w:val="single" w:sz="4" w:space="0" w:color="auto"/>
              <w:right w:val="single" w:sz="4" w:space="0" w:color="auto"/>
            </w:tcBorders>
            <w:noWrap/>
            <w:hideMark/>
          </w:tcPr>
          <w:p w14:paraId="18AA871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864</w:t>
            </w:r>
          </w:p>
        </w:tc>
        <w:tc>
          <w:tcPr>
            <w:tcW w:w="773" w:type="dxa"/>
            <w:tcBorders>
              <w:top w:val="single" w:sz="4" w:space="0" w:color="auto"/>
              <w:left w:val="single" w:sz="4" w:space="0" w:color="auto"/>
              <w:bottom w:val="single" w:sz="4" w:space="0" w:color="auto"/>
              <w:right w:val="single" w:sz="4" w:space="0" w:color="auto"/>
            </w:tcBorders>
            <w:noWrap/>
            <w:hideMark/>
          </w:tcPr>
          <w:p w14:paraId="610DF35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870</w:t>
            </w:r>
          </w:p>
        </w:tc>
        <w:tc>
          <w:tcPr>
            <w:tcW w:w="773" w:type="dxa"/>
            <w:tcBorders>
              <w:top w:val="single" w:sz="4" w:space="0" w:color="auto"/>
              <w:left w:val="single" w:sz="4" w:space="0" w:color="auto"/>
              <w:bottom w:val="single" w:sz="4" w:space="0" w:color="auto"/>
              <w:right w:val="single" w:sz="4" w:space="0" w:color="auto"/>
            </w:tcBorders>
            <w:noWrap/>
            <w:hideMark/>
          </w:tcPr>
          <w:p w14:paraId="6F3D5D5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881</w:t>
            </w:r>
          </w:p>
        </w:tc>
        <w:tc>
          <w:tcPr>
            <w:tcW w:w="773" w:type="dxa"/>
            <w:tcBorders>
              <w:top w:val="single" w:sz="4" w:space="0" w:color="auto"/>
              <w:left w:val="single" w:sz="4" w:space="0" w:color="auto"/>
              <w:bottom w:val="single" w:sz="4" w:space="0" w:color="auto"/>
              <w:right w:val="single" w:sz="4" w:space="0" w:color="auto"/>
            </w:tcBorders>
            <w:noWrap/>
            <w:hideMark/>
          </w:tcPr>
          <w:p w14:paraId="2031F14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891</w:t>
            </w:r>
          </w:p>
        </w:tc>
        <w:tc>
          <w:tcPr>
            <w:tcW w:w="774" w:type="dxa"/>
            <w:tcBorders>
              <w:top w:val="single" w:sz="4" w:space="0" w:color="auto"/>
              <w:left w:val="single" w:sz="4" w:space="0" w:color="auto"/>
              <w:bottom w:val="single" w:sz="4" w:space="0" w:color="auto"/>
              <w:right w:val="single" w:sz="4" w:space="0" w:color="auto"/>
            </w:tcBorders>
            <w:noWrap/>
            <w:hideMark/>
          </w:tcPr>
          <w:p w14:paraId="3701E63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901</w:t>
            </w:r>
          </w:p>
        </w:tc>
        <w:tc>
          <w:tcPr>
            <w:tcW w:w="773" w:type="dxa"/>
            <w:tcBorders>
              <w:top w:val="single" w:sz="4" w:space="0" w:color="auto"/>
              <w:left w:val="single" w:sz="4" w:space="0" w:color="auto"/>
              <w:bottom w:val="single" w:sz="4" w:space="0" w:color="auto"/>
              <w:right w:val="single" w:sz="4" w:space="0" w:color="auto"/>
            </w:tcBorders>
            <w:noWrap/>
            <w:hideMark/>
          </w:tcPr>
          <w:p w14:paraId="5EE9B96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910</w:t>
            </w:r>
          </w:p>
        </w:tc>
        <w:tc>
          <w:tcPr>
            <w:tcW w:w="773" w:type="dxa"/>
            <w:tcBorders>
              <w:top w:val="single" w:sz="4" w:space="0" w:color="auto"/>
              <w:left w:val="single" w:sz="4" w:space="0" w:color="auto"/>
              <w:bottom w:val="single" w:sz="4" w:space="0" w:color="auto"/>
              <w:right w:val="single" w:sz="4" w:space="0" w:color="auto"/>
            </w:tcBorders>
            <w:noWrap/>
            <w:hideMark/>
          </w:tcPr>
          <w:p w14:paraId="4779793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922</w:t>
            </w:r>
          </w:p>
        </w:tc>
        <w:tc>
          <w:tcPr>
            <w:tcW w:w="773" w:type="dxa"/>
            <w:tcBorders>
              <w:top w:val="single" w:sz="4" w:space="0" w:color="auto"/>
              <w:left w:val="single" w:sz="4" w:space="0" w:color="auto"/>
              <w:bottom w:val="single" w:sz="4" w:space="0" w:color="auto"/>
              <w:right w:val="single" w:sz="4" w:space="0" w:color="auto"/>
            </w:tcBorders>
            <w:noWrap/>
            <w:hideMark/>
          </w:tcPr>
          <w:p w14:paraId="1A2BBE3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947</w:t>
            </w:r>
          </w:p>
        </w:tc>
        <w:tc>
          <w:tcPr>
            <w:tcW w:w="773" w:type="dxa"/>
            <w:tcBorders>
              <w:top w:val="single" w:sz="4" w:space="0" w:color="auto"/>
              <w:left w:val="single" w:sz="4" w:space="0" w:color="auto"/>
              <w:bottom w:val="single" w:sz="4" w:space="0" w:color="auto"/>
              <w:right w:val="single" w:sz="4" w:space="0" w:color="auto"/>
            </w:tcBorders>
            <w:noWrap/>
            <w:hideMark/>
          </w:tcPr>
          <w:p w14:paraId="1B2D4DA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1041</w:t>
            </w:r>
          </w:p>
        </w:tc>
        <w:tc>
          <w:tcPr>
            <w:tcW w:w="774" w:type="dxa"/>
            <w:tcBorders>
              <w:top w:val="single" w:sz="4" w:space="0" w:color="auto"/>
              <w:left w:val="single" w:sz="4" w:space="0" w:color="auto"/>
              <w:bottom w:val="single" w:sz="4" w:space="0" w:color="auto"/>
              <w:right w:val="single" w:sz="4" w:space="0" w:color="auto"/>
            </w:tcBorders>
            <w:noWrap/>
            <w:hideMark/>
          </w:tcPr>
          <w:p w14:paraId="3407C07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1197</w:t>
            </w:r>
          </w:p>
        </w:tc>
      </w:tr>
    </w:tbl>
    <w:p w14:paraId="41A0C211" w14:textId="77777777" w:rsidR="00614438" w:rsidRPr="00614438" w:rsidRDefault="00614438" w:rsidP="00656BE7">
      <w:pPr>
        <w:spacing w:before="240"/>
        <w:jc w:val="both"/>
        <w:rPr>
          <w:rFonts w:ascii="Times New Roman" w:hAnsi="Times New Roman" w:cs="Times New Roman"/>
          <w:sz w:val="24"/>
          <w:szCs w:val="24"/>
          <w:lang w:val="en-GB"/>
        </w:rPr>
      </w:pPr>
      <w:bookmarkStart w:id="734" w:name="_Toc153545120"/>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27</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Final Energy Consumption per Sector - Residential [ktoe]</w:t>
      </w:r>
      <w:bookmarkEnd w:id="734"/>
    </w:p>
    <w:tbl>
      <w:tblPr>
        <w:tblStyle w:val="TableGrid"/>
        <w:tblW w:w="9780" w:type="dxa"/>
        <w:tblLayout w:type="fixed"/>
        <w:tblLook w:val="04A0" w:firstRow="1" w:lastRow="0" w:firstColumn="1" w:lastColumn="0" w:noHBand="0" w:noVBand="1"/>
      </w:tblPr>
      <w:tblGrid>
        <w:gridCol w:w="1273"/>
        <w:gridCol w:w="774"/>
        <w:gridCol w:w="774"/>
        <w:gridCol w:w="773"/>
        <w:gridCol w:w="773"/>
        <w:gridCol w:w="773"/>
        <w:gridCol w:w="774"/>
        <w:gridCol w:w="773"/>
        <w:gridCol w:w="773"/>
        <w:gridCol w:w="773"/>
        <w:gridCol w:w="773"/>
        <w:gridCol w:w="774"/>
      </w:tblGrid>
      <w:tr w:rsidR="00614438" w:rsidRPr="00656BE7" w14:paraId="21ACDD22" w14:textId="77777777" w:rsidTr="00614438">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4F41E29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FEC Residential [ktoe]</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D9D86B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F46744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CE8629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A1A688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02282B8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77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A1AADE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C8DC11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536A31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C1AB71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7EEC73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77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E5C9AD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r>
      <w:tr w:rsidR="00614438" w:rsidRPr="00656BE7" w14:paraId="2EB2CB0A" w14:textId="77777777" w:rsidTr="00614438">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7FAC2F9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WEM</w:t>
            </w:r>
          </w:p>
        </w:tc>
        <w:tc>
          <w:tcPr>
            <w:tcW w:w="773" w:type="dxa"/>
            <w:tcBorders>
              <w:top w:val="single" w:sz="4" w:space="0" w:color="auto"/>
              <w:left w:val="single" w:sz="4" w:space="0" w:color="auto"/>
              <w:bottom w:val="single" w:sz="4" w:space="0" w:color="auto"/>
              <w:right w:val="single" w:sz="4" w:space="0" w:color="auto"/>
            </w:tcBorders>
            <w:noWrap/>
            <w:hideMark/>
          </w:tcPr>
          <w:p w14:paraId="0BAA0C8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3284</w:t>
            </w:r>
          </w:p>
        </w:tc>
        <w:tc>
          <w:tcPr>
            <w:tcW w:w="773" w:type="dxa"/>
            <w:tcBorders>
              <w:top w:val="single" w:sz="4" w:space="0" w:color="auto"/>
              <w:left w:val="single" w:sz="4" w:space="0" w:color="auto"/>
              <w:bottom w:val="single" w:sz="4" w:space="0" w:color="auto"/>
              <w:right w:val="single" w:sz="4" w:space="0" w:color="auto"/>
            </w:tcBorders>
            <w:noWrap/>
            <w:hideMark/>
          </w:tcPr>
          <w:p w14:paraId="15AF165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3685</w:t>
            </w:r>
          </w:p>
        </w:tc>
        <w:tc>
          <w:tcPr>
            <w:tcW w:w="773" w:type="dxa"/>
            <w:tcBorders>
              <w:top w:val="single" w:sz="4" w:space="0" w:color="auto"/>
              <w:left w:val="single" w:sz="4" w:space="0" w:color="auto"/>
              <w:bottom w:val="single" w:sz="4" w:space="0" w:color="auto"/>
              <w:right w:val="single" w:sz="4" w:space="0" w:color="auto"/>
            </w:tcBorders>
            <w:noWrap/>
            <w:hideMark/>
          </w:tcPr>
          <w:p w14:paraId="78F9FBF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3700</w:t>
            </w:r>
          </w:p>
        </w:tc>
        <w:tc>
          <w:tcPr>
            <w:tcW w:w="773" w:type="dxa"/>
            <w:tcBorders>
              <w:top w:val="single" w:sz="4" w:space="0" w:color="auto"/>
              <w:left w:val="single" w:sz="4" w:space="0" w:color="auto"/>
              <w:bottom w:val="single" w:sz="4" w:space="0" w:color="auto"/>
              <w:right w:val="single" w:sz="4" w:space="0" w:color="auto"/>
            </w:tcBorders>
            <w:noWrap/>
            <w:hideMark/>
          </w:tcPr>
          <w:p w14:paraId="29455C6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3728</w:t>
            </w:r>
          </w:p>
        </w:tc>
        <w:tc>
          <w:tcPr>
            <w:tcW w:w="773" w:type="dxa"/>
            <w:tcBorders>
              <w:top w:val="single" w:sz="4" w:space="0" w:color="auto"/>
              <w:left w:val="single" w:sz="4" w:space="0" w:color="auto"/>
              <w:bottom w:val="single" w:sz="4" w:space="0" w:color="auto"/>
              <w:right w:val="single" w:sz="4" w:space="0" w:color="auto"/>
            </w:tcBorders>
            <w:noWrap/>
            <w:hideMark/>
          </w:tcPr>
          <w:p w14:paraId="64F68B2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3756</w:t>
            </w:r>
          </w:p>
        </w:tc>
        <w:tc>
          <w:tcPr>
            <w:tcW w:w="774" w:type="dxa"/>
            <w:tcBorders>
              <w:top w:val="single" w:sz="4" w:space="0" w:color="auto"/>
              <w:left w:val="single" w:sz="4" w:space="0" w:color="auto"/>
              <w:bottom w:val="single" w:sz="4" w:space="0" w:color="auto"/>
              <w:right w:val="single" w:sz="4" w:space="0" w:color="auto"/>
            </w:tcBorders>
            <w:noWrap/>
            <w:hideMark/>
          </w:tcPr>
          <w:p w14:paraId="6144FF5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3777</w:t>
            </w:r>
          </w:p>
        </w:tc>
        <w:tc>
          <w:tcPr>
            <w:tcW w:w="773" w:type="dxa"/>
            <w:tcBorders>
              <w:top w:val="single" w:sz="4" w:space="0" w:color="auto"/>
              <w:left w:val="single" w:sz="4" w:space="0" w:color="auto"/>
              <w:bottom w:val="single" w:sz="4" w:space="0" w:color="auto"/>
              <w:right w:val="single" w:sz="4" w:space="0" w:color="auto"/>
            </w:tcBorders>
            <w:noWrap/>
            <w:hideMark/>
          </w:tcPr>
          <w:p w14:paraId="2F04212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3798</w:t>
            </w:r>
          </w:p>
        </w:tc>
        <w:tc>
          <w:tcPr>
            <w:tcW w:w="773" w:type="dxa"/>
            <w:tcBorders>
              <w:top w:val="single" w:sz="4" w:space="0" w:color="auto"/>
              <w:left w:val="single" w:sz="4" w:space="0" w:color="auto"/>
              <w:bottom w:val="single" w:sz="4" w:space="0" w:color="auto"/>
              <w:right w:val="single" w:sz="4" w:space="0" w:color="auto"/>
            </w:tcBorders>
            <w:noWrap/>
            <w:hideMark/>
          </w:tcPr>
          <w:p w14:paraId="4C7843E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3771</w:t>
            </w:r>
          </w:p>
        </w:tc>
        <w:tc>
          <w:tcPr>
            <w:tcW w:w="773" w:type="dxa"/>
            <w:tcBorders>
              <w:top w:val="single" w:sz="4" w:space="0" w:color="auto"/>
              <w:left w:val="single" w:sz="4" w:space="0" w:color="auto"/>
              <w:bottom w:val="single" w:sz="4" w:space="0" w:color="auto"/>
              <w:right w:val="single" w:sz="4" w:space="0" w:color="auto"/>
            </w:tcBorders>
            <w:noWrap/>
            <w:hideMark/>
          </w:tcPr>
          <w:p w14:paraId="3CD30A3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3711</w:t>
            </w:r>
          </w:p>
        </w:tc>
        <w:tc>
          <w:tcPr>
            <w:tcW w:w="773" w:type="dxa"/>
            <w:tcBorders>
              <w:top w:val="single" w:sz="4" w:space="0" w:color="auto"/>
              <w:left w:val="single" w:sz="4" w:space="0" w:color="auto"/>
              <w:bottom w:val="single" w:sz="4" w:space="0" w:color="auto"/>
              <w:right w:val="single" w:sz="4" w:space="0" w:color="auto"/>
            </w:tcBorders>
            <w:noWrap/>
            <w:hideMark/>
          </w:tcPr>
          <w:p w14:paraId="073B59B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3686</w:t>
            </w:r>
          </w:p>
        </w:tc>
        <w:tc>
          <w:tcPr>
            <w:tcW w:w="774" w:type="dxa"/>
            <w:tcBorders>
              <w:top w:val="single" w:sz="4" w:space="0" w:color="auto"/>
              <w:left w:val="single" w:sz="4" w:space="0" w:color="auto"/>
              <w:bottom w:val="single" w:sz="4" w:space="0" w:color="auto"/>
              <w:right w:val="single" w:sz="4" w:space="0" w:color="auto"/>
            </w:tcBorders>
            <w:noWrap/>
            <w:hideMark/>
          </w:tcPr>
          <w:p w14:paraId="0AEC84E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3687</w:t>
            </w:r>
          </w:p>
        </w:tc>
      </w:tr>
      <w:tr w:rsidR="00614438" w:rsidRPr="00656BE7" w14:paraId="03D1B54E" w14:textId="77777777" w:rsidTr="00614438">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1C23F88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lastRenderedPageBreak/>
              <w:t>Scenario-S</w:t>
            </w:r>
          </w:p>
        </w:tc>
        <w:tc>
          <w:tcPr>
            <w:tcW w:w="773" w:type="dxa"/>
            <w:tcBorders>
              <w:top w:val="single" w:sz="4" w:space="0" w:color="auto"/>
              <w:left w:val="single" w:sz="4" w:space="0" w:color="auto"/>
              <w:bottom w:val="single" w:sz="4" w:space="0" w:color="auto"/>
              <w:right w:val="single" w:sz="4" w:space="0" w:color="auto"/>
            </w:tcBorders>
            <w:noWrap/>
            <w:hideMark/>
          </w:tcPr>
          <w:p w14:paraId="2B0322B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3497</w:t>
            </w:r>
          </w:p>
        </w:tc>
        <w:tc>
          <w:tcPr>
            <w:tcW w:w="773" w:type="dxa"/>
            <w:tcBorders>
              <w:top w:val="single" w:sz="4" w:space="0" w:color="auto"/>
              <w:left w:val="single" w:sz="4" w:space="0" w:color="auto"/>
              <w:bottom w:val="single" w:sz="4" w:space="0" w:color="auto"/>
              <w:right w:val="single" w:sz="4" w:space="0" w:color="auto"/>
            </w:tcBorders>
            <w:noWrap/>
            <w:hideMark/>
          </w:tcPr>
          <w:p w14:paraId="3257E37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3462</w:t>
            </w:r>
          </w:p>
        </w:tc>
        <w:tc>
          <w:tcPr>
            <w:tcW w:w="773" w:type="dxa"/>
            <w:tcBorders>
              <w:top w:val="single" w:sz="4" w:space="0" w:color="auto"/>
              <w:left w:val="single" w:sz="4" w:space="0" w:color="auto"/>
              <w:bottom w:val="single" w:sz="4" w:space="0" w:color="auto"/>
              <w:right w:val="single" w:sz="4" w:space="0" w:color="auto"/>
            </w:tcBorders>
            <w:noWrap/>
            <w:hideMark/>
          </w:tcPr>
          <w:p w14:paraId="70BDC79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3463</w:t>
            </w:r>
          </w:p>
        </w:tc>
        <w:tc>
          <w:tcPr>
            <w:tcW w:w="773" w:type="dxa"/>
            <w:tcBorders>
              <w:top w:val="single" w:sz="4" w:space="0" w:color="auto"/>
              <w:left w:val="single" w:sz="4" w:space="0" w:color="auto"/>
              <w:bottom w:val="single" w:sz="4" w:space="0" w:color="auto"/>
              <w:right w:val="single" w:sz="4" w:space="0" w:color="auto"/>
            </w:tcBorders>
            <w:noWrap/>
            <w:hideMark/>
          </w:tcPr>
          <w:p w14:paraId="3B9E954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3477</w:t>
            </w:r>
          </w:p>
        </w:tc>
        <w:tc>
          <w:tcPr>
            <w:tcW w:w="773" w:type="dxa"/>
            <w:tcBorders>
              <w:top w:val="single" w:sz="4" w:space="0" w:color="auto"/>
              <w:left w:val="single" w:sz="4" w:space="0" w:color="auto"/>
              <w:bottom w:val="single" w:sz="4" w:space="0" w:color="auto"/>
              <w:right w:val="single" w:sz="4" w:space="0" w:color="auto"/>
            </w:tcBorders>
            <w:noWrap/>
            <w:hideMark/>
          </w:tcPr>
          <w:p w14:paraId="4DD222F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3495</w:t>
            </w:r>
          </w:p>
        </w:tc>
        <w:tc>
          <w:tcPr>
            <w:tcW w:w="774" w:type="dxa"/>
            <w:tcBorders>
              <w:top w:val="single" w:sz="4" w:space="0" w:color="auto"/>
              <w:left w:val="single" w:sz="4" w:space="0" w:color="auto"/>
              <w:bottom w:val="single" w:sz="4" w:space="0" w:color="auto"/>
              <w:right w:val="single" w:sz="4" w:space="0" w:color="auto"/>
            </w:tcBorders>
            <w:noWrap/>
            <w:hideMark/>
          </w:tcPr>
          <w:p w14:paraId="1193DA2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3513</w:t>
            </w:r>
          </w:p>
        </w:tc>
        <w:tc>
          <w:tcPr>
            <w:tcW w:w="773" w:type="dxa"/>
            <w:tcBorders>
              <w:top w:val="single" w:sz="4" w:space="0" w:color="auto"/>
              <w:left w:val="single" w:sz="4" w:space="0" w:color="auto"/>
              <w:bottom w:val="single" w:sz="4" w:space="0" w:color="auto"/>
              <w:right w:val="single" w:sz="4" w:space="0" w:color="auto"/>
            </w:tcBorders>
            <w:noWrap/>
            <w:hideMark/>
          </w:tcPr>
          <w:p w14:paraId="70242EF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3523</w:t>
            </w:r>
          </w:p>
        </w:tc>
        <w:tc>
          <w:tcPr>
            <w:tcW w:w="773" w:type="dxa"/>
            <w:tcBorders>
              <w:top w:val="single" w:sz="4" w:space="0" w:color="auto"/>
              <w:left w:val="single" w:sz="4" w:space="0" w:color="auto"/>
              <w:bottom w:val="single" w:sz="4" w:space="0" w:color="auto"/>
              <w:right w:val="single" w:sz="4" w:space="0" w:color="auto"/>
            </w:tcBorders>
            <w:noWrap/>
            <w:hideMark/>
          </w:tcPr>
          <w:p w14:paraId="372B2AD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3382</w:t>
            </w:r>
          </w:p>
        </w:tc>
        <w:tc>
          <w:tcPr>
            <w:tcW w:w="773" w:type="dxa"/>
            <w:tcBorders>
              <w:top w:val="single" w:sz="4" w:space="0" w:color="auto"/>
              <w:left w:val="single" w:sz="4" w:space="0" w:color="auto"/>
              <w:bottom w:val="single" w:sz="4" w:space="0" w:color="auto"/>
              <w:right w:val="single" w:sz="4" w:space="0" w:color="auto"/>
            </w:tcBorders>
            <w:noWrap/>
            <w:hideMark/>
          </w:tcPr>
          <w:p w14:paraId="0E17B4C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3193</w:t>
            </w:r>
          </w:p>
        </w:tc>
        <w:tc>
          <w:tcPr>
            <w:tcW w:w="773" w:type="dxa"/>
            <w:tcBorders>
              <w:top w:val="single" w:sz="4" w:space="0" w:color="auto"/>
              <w:left w:val="single" w:sz="4" w:space="0" w:color="auto"/>
              <w:bottom w:val="single" w:sz="4" w:space="0" w:color="auto"/>
              <w:right w:val="single" w:sz="4" w:space="0" w:color="auto"/>
            </w:tcBorders>
            <w:noWrap/>
            <w:hideMark/>
          </w:tcPr>
          <w:p w14:paraId="3E7E157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2838</w:t>
            </w:r>
          </w:p>
        </w:tc>
        <w:tc>
          <w:tcPr>
            <w:tcW w:w="774" w:type="dxa"/>
            <w:tcBorders>
              <w:top w:val="single" w:sz="4" w:space="0" w:color="auto"/>
              <w:left w:val="single" w:sz="4" w:space="0" w:color="auto"/>
              <w:bottom w:val="single" w:sz="4" w:space="0" w:color="auto"/>
              <w:right w:val="single" w:sz="4" w:space="0" w:color="auto"/>
            </w:tcBorders>
            <w:noWrap/>
            <w:hideMark/>
          </w:tcPr>
          <w:p w14:paraId="060B8A9F"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2528</w:t>
            </w:r>
          </w:p>
        </w:tc>
      </w:tr>
      <w:tr w:rsidR="00614438" w:rsidRPr="00656BE7" w14:paraId="678B9E4E" w14:textId="77777777" w:rsidTr="00614438">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1F25260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Scenario-S-N</w:t>
            </w:r>
          </w:p>
        </w:tc>
        <w:tc>
          <w:tcPr>
            <w:tcW w:w="773" w:type="dxa"/>
            <w:tcBorders>
              <w:top w:val="single" w:sz="4" w:space="0" w:color="auto"/>
              <w:left w:val="single" w:sz="4" w:space="0" w:color="auto"/>
              <w:bottom w:val="single" w:sz="4" w:space="0" w:color="auto"/>
              <w:right w:val="single" w:sz="4" w:space="0" w:color="auto"/>
            </w:tcBorders>
            <w:noWrap/>
            <w:hideMark/>
          </w:tcPr>
          <w:p w14:paraId="6F300F2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3497</w:t>
            </w:r>
          </w:p>
        </w:tc>
        <w:tc>
          <w:tcPr>
            <w:tcW w:w="773" w:type="dxa"/>
            <w:tcBorders>
              <w:top w:val="single" w:sz="4" w:space="0" w:color="auto"/>
              <w:left w:val="single" w:sz="4" w:space="0" w:color="auto"/>
              <w:bottom w:val="single" w:sz="4" w:space="0" w:color="auto"/>
              <w:right w:val="single" w:sz="4" w:space="0" w:color="auto"/>
            </w:tcBorders>
            <w:noWrap/>
            <w:hideMark/>
          </w:tcPr>
          <w:p w14:paraId="21C2A27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3462</w:t>
            </w:r>
          </w:p>
        </w:tc>
        <w:tc>
          <w:tcPr>
            <w:tcW w:w="773" w:type="dxa"/>
            <w:tcBorders>
              <w:top w:val="single" w:sz="4" w:space="0" w:color="auto"/>
              <w:left w:val="single" w:sz="4" w:space="0" w:color="auto"/>
              <w:bottom w:val="single" w:sz="4" w:space="0" w:color="auto"/>
              <w:right w:val="single" w:sz="4" w:space="0" w:color="auto"/>
            </w:tcBorders>
            <w:noWrap/>
            <w:hideMark/>
          </w:tcPr>
          <w:p w14:paraId="42DE76F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3463</w:t>
            </w:r>
          </w:p>
        </w:tc>
        <w:tc>
          <w:tcPr>
            <w:tcW w:w="773" w:type="dxa"/>
            <w:tcBorders>
              <w:top w:val="single" w:sz="4" w:space="0" w:color="auto"/>
              <w:left w:val="single" w:sz="4" w:space="0" w:color="auto"/>
              <w:bottom w:val="single" w:sz="4" w:space="0" w:color="auto"/>
              <w:right w:val="single" w:sz="4" w:space="0" w:color="auto"/>
            </w:tcBorders>
            <w:noWrap/>
            <w:hideMark/>
          </w:tcPr>
          <w:p w14:paraId="6B87624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3477</w:t>
            </w:r>
          </w:p>
        </w:tc>
        <w:tc>
          <w:tcPr>
            <w:tcW w:w="773" w:type="dxa"/>
            <w:tcBorders>
              <w:top w:val="single" w:sz="4" w:space="0" w:color="auto"/>
              <w:left w:val="single" w:sz="4" w:space="0" w:color="auto"/>
              <w:bottom w:val="single" w:sz="4" w:space="0" w:color="auto"/>
              <w:right w:val="single" w:sz="4" w:space="0" w:color="auto"/>
            </w:tcBorders>
            <w:noWrap/>
            <w:hideMark/>
          </w:tcPr>
          <w:p w14:paraId="43D261F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3495</w:t>
            </w:r>
          </w:p>
        </w:tc>
        <w:tc>
          <w:tcPr>
            <w:tcW w:w="774" w:type="dxa"/>
            <w:tcBorders>
              <w:top w:val="single" w:sz="4" w:space="0" w:color="auto"/>
              <w:left w:val="single" w:sz="4" w:space="0" w:color="auto"/>
              <w:bottom w:val="single" w:sz="4" w:space="0" w:color="auto"/>
              <w:right w:val="single" w:sz="4" w:space="0" w:color="auto"/>
            </w:tcBorders>
            <w:noWrap/>
            <w:hideMark/>
          </w:tcPr>
          <w:p w14:paraId="7904F34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3513</w:t>
            </w:r>
          </w:p>
        </w:tc>
        <w:tc>
          <w:tcPr>
            <w:tcW w:w="773" w:type="dxa"/>
            <w:tcBorders>
              <w:top w:val="single" w:sz="4" w:space="0" w:color="auto"/>
              <w:left w:val="single" w:sz="4" w:space="0" w:color="auto"/>
              <w:bottom w:val="single" w:sz="4" w:space="0" w:color="auto"/>
              <w:right w:val="single" w:sz="4" w:space="0" w:color="auto"/>
            </w:tcBorders>
            <w:noWrap/>
            <w:hideMark/>
          </w:tcPr>
          <w:p w14:paraId="4DF6E87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3523</w:t>
            </w:r>
          </w:p>
        </w:tc>
        <w:tc>
          <w:tcPr>
            <w:tcW w:w="773" w:type="dxa"/>
            <w:tcBorders>
              <w:top w:val="single" w:sz="4" w:space="0" w:color="auto"/>
              <w:left w:val="single" w:sz="4" w:space="0" w:color="auto"/>
              <w:bottom w:val="single" w:sz="4" w:space="0" w:color="auto"/>
              <w:right w:val="single" w:sz="4" w:space="0" w:color="auto"/>
            </w:tcBorders>
            <w:noWrap/>
            <w:hideMark/>
          </w:tcPr>
          <w:p w14:paraId="144174F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3381</w:t>
            </w:r>
          </w:p>
        </w:tc>
        <w:tc>
          <w:tcPr>
            <w:tcW w:w="773" w:type="dxa"/>
            <w:tcBorders>
              <w:top w:val="single" w:sz="4" w:space="0" w:color="auto"/>
              <w:left w:val="single" w:sz="4" w:space="0" w:color="auto"/>
              <w:bottom w:val="single" w:sz="4" w:space="0" w:color="auto"/>
              <w:right w:val="single" w:sz="4" w:space="0" w:color="auto"/>
            </w:tcBorders>
            <w:noWrap/>
            <w:hideMark/>
          </w:tcPr>
          <w:p w14:paraId="2E3065F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3192</w:t>
            </w:r>
          </w:p>
        </w:tc>
        <w:tc>
          <w:tcPr>
            <w:tcW w:w="773" w:type="dxa"/>
            <w:tcBorders>
              <w:top w:val="single" w:sz="4" w:space="0" w:color="auto"/>
              <w:left w:val="single" w:sz="4" w:space="0" w:color="auto"/>
              <w:bottom w:val="single" w:sz="4" w:space="0" w:color="auto"/>
              <w:right w:val="single" w:sz="4" w:space="0" w:color="auto"/>
            </w:tcBorders>
            <w:noWrap/>
            <w:hideMark/>
          </w:tcPr>
          <w:p w14:paraId="11C3BC5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2824</w:t>
            </w:r>
          </w:p>
        </w:tc>
        <w:tc>
          <w:tcPr>
            <w:tcW w:w="774" w:type="dxa"/>
            <w:tcBorders>
              <w:top w:val="single" w:sz="4" w:space="0" w:color="auto"/>
              <w:left w:val="single" w:sz="4" w:space="0" w:color="auto"/>
              <w:bottom w:val="single" w:sz="4" w:space="0" w:color="auto"/>
              <w:right w:val="single" w:sz="4" w:space="0" w:color="auto"/>
            </w:tcBorders>
            <w:noWrap/>
            <w:hideMark/>
          </w:tcPr>
          <w:p w14:paraId="1D1C739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2517</w:t>
            </w:r>
          </w:p>
        </w:tc>
      </w:tr>
    </w:tbl>
    <w:p w14:paraId="7244FB7D" w14:textId="77777777" w:rsidR="00614438" w:rsidRPr="00614438" w:rsidRDefault="00614438" w:rsidP="00656BE7">
      <w:pPr>
        <w:spacing w:before="240"/>
        <w:jc w:val="both"/>
        <w:rPr>
          <w:rFonts w:ascii="Times New Roman" w:hAnsi="Times New Roman" w:cs="Times New Roman"/>
          <w:sz w:val="24"/>
          <w:szCs w:val="24"/>
          <w:lang w:val="en-GB"/>
        </w:rPr>
      </w:pPr>
      <w:bookmarkStart w:id="735" w:name="_Toc153545121"/>
      <w:r w:rsidRPr="00614438">
        <w:rPr>
          <w:rFonts w:ascii="Times New Roman" w:hAnsi="Times New Roman" w:cs="Times New Roman"/>
          <w:sz w:val="24"/>
          <w:szCs w:val="24"/>
        </w:rPr>
        <w:t xml:space="preserve">Table </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STYLEREF 1 \s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V</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w:t>
      </w:r>
      <w:r w:rsidR="00C83251" w:rsidRPr="00614438">
        <w:rPr>
          <w:rFonts w:ascii="Times New Roman" w:hAnsi="Times New Roman" w:cs="Times New Roman"/>
          <w:sz w:val="24"/>
          <w:szCs w:val="24"/>
        </w:rPr>
        <w:fldChar w:fldCharType="begin"/>
      </w:r>
      <w:r w:rsidRPr="00614438">
        <w:rPr>
          <w:rFonts w:ascii="Times New Roman" w:hAnsi="Times New Roman" w:cs="Times New Roman"/>
          <w:sz w:val="24"/>
          <w:szCs w:val="24"/>
        </w:rPr>
        <w:instrText xml:space="preserve"> SEQ Table \* ARABIC \s 1 </w:instrText>
      </w:r>
      <w:r w:rsidR="00C83251" w:rsidRPr="00614438">
        <w:rPr>
          <w:rFonts w:ascii="Times New Roman" w:hAnsi="Times New Roman" w:cs="Times New Roman"/>
          <w:sz w:val="24"/>
          <w:szCs w:val="24"/>
        </w:rPr>
        <w:fldChar w:fldCharType="separate"/>
      </w:r>
      <w:r w:rsidRPr="00614438">
        <w:rPr>
          <w:rFonts w:ascii="Times New Roman" w:hAnsi="Times New Roman" w:cs="Times New Roman"/>
          <w:sz w:val="24"/>
          <w:szCs w:val="24"/>
        </w:rPr>
        <w:t>28</w:t>
      </w:r>
      <w:r w:rsidR="00C83251" w:rsidRPr="00614438">
        <w:rPr>
          <w:rFonts w:ascii="Times New Roman" w:hAnsi="Times New Roman" w:cs="Times New Roman"/>
          <w:sz w:val="24"/>
          <w:szCs w:val="24"/>
        </w:rPr>
        <w:fldChar w:fldCharType="end"/>
      </w:r>
      <w:r w:rsidRPr="00614438">
        <w:rPr>
          <w:rFonts w:ascii="Times New Roman" w:hAnsi="Times New Roman" w:cs="Times New Roman"/>
          <w:sz w:val="24"/>
          <w:szCs w:val="24"/>
        </w:rPr>
        <w:t>: Final Energy Consumption per Sector - Agriculture [ktoe]</w:t>
      </w:r>
      <w:bookmarkEnd w:id="735"/>
    </w:p>
    <w:tbl>
      <w:tblPr>
        <w:tblStyle w:val="TableGrid"/>
        <w:tblW w:w="9780" w:type="dxa"/>
        <w:tblLayout w:type="fixed"/>
        <w:tblLook w:val="04A0" w:firstRow="1" w:lastRow="0" w:firstColumn="1" w:lastColumn="0" w:noHBand="0" w:noVBand="1"/>
      </w:tblPr>
      <w:tblGrid>
        <w:gridCol w:w="1273"/>
        <w:gridCol w:w="774"/>
        <w:gridCol w:w="774"/>
        <w:gridCol w:w="773"/>
        <w:gridCol w:w="773"/>
        <w:gridCol w:w="773"/>
        <w:gridCol w:w="774"/>
        <w:gridCol w:w="773"/>
        <w:gridCol w:w="773"/>
        <w:gridCol w:w="773"/>
        <w:gridCol w:w="773"/>
        <w:gridCol w:w="774"/>
      </w:tblGrid>
      <w:tr w:rsidR="00614438" w:rsidRPr="00656BE7" w14:paraId="6B8E9E45" w14:textId="77777777" w:rsidTr="00614438">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5B70CC7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FEC Agriculture [ktoe]</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161CEC6"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2020</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04642F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2025</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283F10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2026</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AC321D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2027</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1AF51B3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2028</w:t>
            </w:r>
          </w:p>
        </w:tc>
        <w:tc>
          <w:tcPr>
            <w:tcW w:w="77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8217048"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2029</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45DD648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2030</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96772B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2035</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70A92CE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2040</w:t>
            </w:r>
          </w:p>
        </w:tc>
        <w:tc>
          <w:tcPr>
            <w:tcW w:w="773"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52D546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2045</w:t>
            </w:r>
          </w:p>
        </w:tc>
        <w:tc>
          <w:tcPr>
            <w:tcW w:w="774"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70B678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2050</w:t>
            </w:r>
          </w:p>
        </w:tc>
      </w:tr>
      <w:tr w:rsidR="00614438" w:rsidRPr="00656BE7" w14:paraId="65B01EEA" w14:textId="77777777" w:rsidTr="00614438">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595AB82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WEM</w:t>
            </w:r>
          </w:p>
        </w:tc>
        <w:tc>
          <w:tcPr>
            <w:tcW w:w="773" w:type="dxa"/>
            <w:tcBorders>
              <w:top w:val="single" w:sz="4" w:space="0" w:color="auto"/>
              <w:left w:val="single" w:sz="4" w:space="0" w:color="auto"/>
              <w:bottom w:val="single" w:sz="4" w:space="0" w:color="auto"/>
              <w:right w:val="single" w:sz="4" w:space="0" w:color="auto"/>
            </w:tcBorders>
            <w:noWrap/>
            <w:hideMark/>
          </w:tcPr>
          <w:p w14:paraId="08585A9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140</w:t>
            </w:r>
          </w:p>
        </w:tc>
        <w:tc>
          <w:tcPr>
            <w:tcW w:w="773" w:type="dxa"/>
            <w:tcBorders>
              <w:top w:val="single" w:sz="4" w:space="0" w:color="auto"/>
              <w:left w:val="single" w:sz="4" w:space="0" w:color="auto"/>
              <w:bottom w:val="single" w:sz="4" w:space="0" w:color="auto"/>
              <w:right w:val="single" w:sz="4" w:space="0" w:color="auto"/>
            </w:tcBorders>
            <w:noWrap/>
            <w:hideMark/>
          </w:tcPr>
          <w:p w14:paraId="4098D85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150</w:t>
            </w:r>
          </w:p>
        </w:tc>
        <w:tc>
          <w:tcPr>
            <w:tcW w:w="773" w:type="dxa"/>
            <w:tcBorders>
              <w:top w:val="single" w:sz="4" w:space="0" w:color="auto"/>
              <w:left w:val="single" w:sz="4" w:space="0" w:color="auto"/>
              <w:bottom w:val="single" w:sz="4" w:space="0" w:color="auto"/>
              <w:right w:val="single" w:sz="4" w:space="0" w:color="auto"/>
            </w:tcBorders>
            <w:noWrap/>
            <w:hideMark/>
          </w:tcPr>
          <w:p w14:paraId="42B0F20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152</w:t>
            </w:r>
          </w:p>
        </w:tc>
        <w:tc>
          <w:tcPr>
            <w:tcW w:w="773" w:type="dxa"/>
            <w:tcBorders>
              <w:top w:val="single" w:sz="4" w:space="0" w:color="auto"/>
              <w:left w:val="single" w:sz="4" w:space="0" w:color="auto"/>
              <w:bottom w:val="single" w:sz="4" w:space="0" w:color="auto"/>
              <w:right w:val="single" w:sz="4" w:space="0" w:color="auto"/>
            </w:tcBorders>
            <w:noWrap/>
            <w:hideMark/>
          </w:tcPr>
          <w:p w14:paraId="1942B22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154</w:t>
            </w:r>
          </w:p>
        </w:tc>
        <w:tc>
          <w:tcPr>
            <w:tcW w:w="773" w:type="dxa"/>
            <w:tcBorders>
              <w:top w:val="single" w:sz="4" w:space="0" w:color="auto"/>
              <w:left w:val="single" w:sz="4" w:space="0" w:color="auto"/>
              <w:bottom w:val="single" w:sz="4" w:space="0" w:color="auto"/>
              <w:right w:val="single" w:sz="4" w:space="0" w:color="auto"/>
            </w:tcBorders>
            <w:noWrap/>
            <w:hideMark/>
          </w:tcPr>
          <w:p w14:paraId="2EB8EB9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156</w:t>
            </w:r>
          </w:p>
        </w:tc>
        <w:tc>
          <w:tcPr>
            <w:tcW w:w="774" w:type="dxa"/>
            <w:tcBorders>
              <w:top w:val="single" w:sz="4" w:space="0" w:color="auto"/>
              <w:left w:val="single" w:sz="4" w:space="0" w:color="auto"/>
              <w:bottom w:val="single" w:sz="4" w:space="0" w:color="auto"/>
              <w:right w:val="single" w:sz="4" w:space="0" w:color="auto"/>
            </w:tcBorders>
            <w:noWrap/>
            <w:hideMark/>
          </w:tcPr>
          <w:p w14:paraId="0733CC64"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157</w:t>
            </w:r>
          </w:p>
        </w:tc>
        <w:tc>
          <w:tcPr>
            <w:tcW w:w="773" w:type="dxa"/>
            <w:tcBorders>
              <w:top w:val="single" w:sz="4" w:space="0" w:color="auto"/>
              <w:left w:val="single" w:sz="4" w:space="0" w:color="auto"/>
              <w:bottom w:val="single" w:sz="4" w:space="0" w:color="auto"/>
              <w:right w:val="single" w:sz="4" w:space="0" w:color="auto"/>
            </w:tcBorders>
            <w:noWrap/>
            <w:hideMark/>
          </w:tcPr>
          <w:p w14:paraId="6934D07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159</w:t>
            </w:r>
          </w:p>
        </w:tc>
        <w:tc>
          <w:tcPr>
            <w:tcW w:w="773" w:type="dxa"/>
            <w:tcBorders>
              <w:top w:val="single" w:sz="4" w:space="0" w:color="auto"/>
              <w:left w:val="single" w:sz="4" w:space="0" w:color="auto"/>
              <w:bottom w:val="single" w:sz="4" w:space="0" w:color="auto"/>
              <w:right w:val="single" w:sz="4" w:space="0" w:color="auto"/>
            </w:tcBorders>
            <w:noWrap/>
            <w:hideMark/>
          </w:tcPr>
          <w:p w14:paraId="2A2DA77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164</w:t>
            </w:r>
          </w:p>
        </w:tc>
        <w:tc>
          <w:tcPr>
            <w:tcW w:w="773" w:type="dxa"/>
            <w:tcBorders>
              <w:top w:val="single" w:sz="4" w:space="0" w:color="auto"/>
              <w:left w:val="single" w:sz="4" w:space="0" w:color="auto"/>
              <w:bottom w:val="single" w:sz="4" w:space="0" w:color="auto"/>
              <w:right w:val="single" w:sz="4" w:space="0" w:color="auto"/>
            </w:tcBorders>
            <w:noWrap/>
            <w:hideMark/>
          </w:tcPr>
          <w:p w14:paraId="347F4CD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168</w:t>
            </w:r>
          </w:p>
        </w:tc>
        <w:tc>
          <w:tcPr>
            <w:tcW w:w="773" w:type="dxa"/>
            <w:tcBorders>
              <w:top w:val="single" w:sz="4" w:space="0" w:color="auto"/>
              <w:left w:val="single" w:sz="4" w:space="0" w:color="auto"/>
              <w:bottom w:val="single" w:sz="4" w:space="0" w:color="auto"/>
              <w:right w:val="single" w:sz="4" w:space="0" w:color="auto"/>
            </w:tcBorders>
            <w:noWrap/>
            <w:hideMark/>
          </w:tcPr>
          <w:p w14:paraId="12B3933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169</w:t>
            </w:r>
          </w:p>
        </w:tc>
        <w:tc>
          <w:tcPr>
            <w:tcW w:w="774" w:type="dxa"/>
            <w:tcBorders>
              <w:top w:val="single" w:sz="4" w:space="0" w:color="auto"/>
              <w:left w:val="single" w:sz="4" w:space="0" w:color="auto"/>
              <w:bottom w:val="single" w:sz="4" w:space="0" w:color="auto"/>
              <w:right w:val="single" w:sz="4" w:space="0" w:color="auto"/>
            </w:tcBorders>
            <w:noWrap/>
            <w:hideMark/>
          </w:tcPr>
          <w:p w14:paraId="0E22BCC2"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169</w:t>
            </w:r>
          </w:p>
        </w:tc>
      </w:tr>
      <w:tr w:rsidR="00614438" w:rsidRPr="00656BE7" w14:paraId="62CFF709" w14:textId="77777777" w:rsidTr="00614438">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309ED8F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w:t>
            </w:r>
          </w:p>
        </w:tc>
        <w:tc>
          <w:tcPr>
            <w:tcW w:w="773" w:type="dxa"/>
            <w:tcBorders>
              <w:top w:val="single" w:sz="4" w:space="0" w:color="auto"/>
              <w:left w:val="single" w:sz="4" w:space="0" w:color="auto"/>
              <w:bottom w:val="single" w:sz="4" w:space="0" w:color="auto"/>
              <w:right w:val="single" w:sz="4" w:space="0" w:color="auto"/>
            </w:tcBorders>
            <w:noWrap/>
            <w:hideMark/>
          </w:tcPr>
          <w:p w14:paraId="58F5588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140</w:t>
            </w:r>
          </w:p>
        </w:tc>
        <w:tc>
          <w:tcPr>
            <w:tcW w:w="773" w:type="dxa"/>
            <w:tcBorders>
              <w:top w:val="single" w:sz="4" w:space="0" w:color="auto"/>
              <w:left w:val="single" w:sz="4" w:space="0" w:color="auto"/>
              <w:bottom w:val="single" w:sz="4" w:space="0" w:color="auto"/>
              <w:right w:val="single" w:sz="4" w:space="0" w:color="auto"/>
            </w:tcBorders>
            <w:noWrap/>
            <w:hideMark/>
          </w:tcPr>
          <w:p w14:paraId="5752687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146</w:t>
            </w:r>
          </w:p>
        </w:tc>
        <w:tc>
          <w:tcPr>
            <w:tcW w:w="773" w:type="dxa"/>
            <w:tcBorders>
              <w:top w:val="single" w:sz="4" w:space="0" w:color="auto"/>
              <w:left w:val="single" w:sz="4" w:space="0" w:color="auto"/>
              <w:bottom w:val="single" w:sz="4" w:space="0" w:color="auto"/>
              <w:right w:val="single" w:sz="4" w:space="0" w:color="auto"/>
            </w:tcBorders>
            <w:noWrap/>
            <w:hideMark/>
          </w:tcPr>
          <w:p w14:paraId="0F7DADB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144</w:t>
            </w:r>
          </w:p>
        </w:tc>
        <w:tc>
          <w:tcPr>
            <w:tcW w:w="773" w:type="dxa"/>
            <w:tcBorders>
              <w:top w:val="single" w:sz="4" w:space="0" w:color="auto"/>
              <w:left w:val="single" w:sz="4" w:space="0" w:color="auto"/>
              <w:bottom w:val="single" w:sz="4" w:space="0" w:color="auto"/>
              <w:right w:val="single" w:sz="4" w:space="0" w:color="auto"/>
            </w:tcBorders>
            <w:noWrap/>
            <w:hideMark/>
          </w:tcPr>
          <w:p w14:paraId="637EFAB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145</w:t>
            </w:r>
          </w:p>
        </w:tc>
        <w:tc>
          <w:tcPr>
            <w:tcW w:w="773" w:type="dxa"/>
            <w:tcBorders>
              <w:top w:val="single" w:sz="4" w:space="0" w:color="auto"/>
              <w:left w:val="single" w:sz="4" w:space="0" w:color="auto"/>
              <w:bottom w:val="single" w:sz="4" w:space="0" w:color="auto"/>
              <w:right w:val="single" w:sz="4" w:space="0" w:color="auto"/>
            </w:tcBorders>
            <w:noWrap/>
            <w:hideMark/>
          </w:tcPr>
          <w:p w14:paraId="1964E3CC"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147</w:t>
            </w:r>
          </w:p>
        </w:tc>
        <w:tc>
          <w:tcPr>
            <w:tcW w:w="774" w:type="dxa"/>
            <w:tcBorders>
              <w:top w:val="single" w:sz="4" w:space="0" w:color="auto"/>
              <w:left w:val="single" w:sz="4" w:space="0" w:color="auto"/>
              <w:bottom w:val="single" w:sz="4" w:space="0" w:color="auto"/>
              <w:right w:val="single" w:sz="4" w:space="0" w:color="auto"/>
            </w:tcBorders>
            <w:noWrap/>
            <w:hideMark/>
          </w:tcPr>
          <w:p w14:paraId="4E83CE1E"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148</w:t>
            </w:r>
          </w:p>
        </w:tc>
        <w:tc>
          <w:tcPr>
            <w:tcW w:w="773" w:type="dxa"/>
            <w:tcBorders>
              <w:top w:val="single" w:sz="4" w:space="0" w:color="auto"/>
              <w:left w:val="single" w:sz="4" w:space="0" w:color="auto"/>
              <w:bottom w:val="single" w:sz="4" w:space="0" w:color="auto"/>
              <w:right w:val="single" w:sz="4" w:space="0" w:color="auto"/>
            </w:tcBorders>
            <w:noWrap/>
            <w:hideMark/>
          </w:tcPr>
          <w:p w14:paraId="318739E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150</w:t>
            </w:r>
          </w:p>
        </w:tc>
        <w:tc>
          <w:tcPr>
            <w:tcW w:w="773" w:type="dxa"/>
            <w:tcBorders>
              <w:top w:val="single" w:sz="4" w:space="0" w:color="auto"/>
              <w:left w:val="single" w:sz="4" w:space="0" w:color="auto"/>
              <w:bottom w:val="single" w:sz="4" w:space="0" w:color="auto"/>
              <w:right w:val="single" w:sz="4" w:space="0" w:color="auto"/>
            </w:tcBorders>
            <w:noWrap/>
            <w:hideMark/>
          </w:tcPr>
          <w:p w14:paraId="2BC5271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155</w:t>
            </w:r>
          </w:p>
        </w:tc>
        <w:tc>
          <w:tcPr>
            <w:tcW w:w="773" w:type="dxa"/>
            <w:tcBorders>
              <w:top w:val="single" w:sz="4" w:space="0" w:color="auto"/>
              <w:left w:val="single" w:sz="4" w:space="0" w:color="auto"/>
              <w:bottom w:val="single" w:sz="4" w:space="0" w:color="auto"/>
              <w:right w:val="single" w:sz="4" w:space="0" w:color="auto"/>
            </w:tcBorders>
            <w:noWrap/>
            <w:hideMark/>
          </w:tcPr>
          <w:p w14:paraId="457869F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158</w:t>
            </w:r>
          </w:p>
        </w:tc>
        <w:tc>
          <w:tcPr>
            <w:tcW w:w="773" w:type="dxa"/>
            <w:tcBorders>
              <w:top w:val="single" w:sz="4" w:space="0" w:color="auto"/>
              <w:left w:val="single" w:sz="4" w:space="0" w:color="auto"/>
              <w:bottom w:val="single" w:sz="4" w:space="0" w:color="auto"/>
              <w:right w:val="single" w:sz="4" w:space="0" w:color="auto"/>
            </w:tcBorders>
            <w:noWrap/>
            <w:hideMark/>
          </w:tcPr>
          <w:p w14:paraId="37867B8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159</w:t>
            </w:r>
          </w:p>
        </w:tc>
        <w:tc>
          <w:tcPr>
            <w:tcW w:w="774" w:type="dxa"/>
            <w:tcBorders>
              <w:top w:val="single" w:sz="4" w:space="0" w:color="auto"/>
              <w:left w:val="single" w:sz="4" w:space="0" w:color="auto"/>
              <w:bottom w:val="single" w:sz="4" w:space="0" w:color="auto"/>
              <w:right w:val="single" w:sz="4" w:space="0" w:color="auto"/>
            </w:tcBorders>
            <w:noWrap/>
            <w:hideMark/>
          </w:tcPr>
          <w:p w14:paraId="3D3CDBF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159</w:t>
            </w:r>
          </w:p>
        </w:tc>
      </w:tr>
      <w:tr w:rsidR="00614438" w:rsidRPr="00656BE7" w14:paraId="6CC6C6C7" w14:textId="77777777" w:rsidTr="00614438">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5F44FFB7"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Scenario-S-N</w:t>
            </w:r>
          </w:p>
        </w:tc>
        <w:tc>
          <w:tcPr>
            <w:tcW w:w="773" w:type="dxa"/>
            <w:tcBorders>
              <w:top w:val="single" w:sz="4" w:space="0" w:color="auto"/>
              <w:left w:val="single" w:sz="4" w:space="0" w:color="auto"/>
              <w:bottom w:val="single" w:sz="4" w:space="0" w:color="auto"/>
              <w:right w:val="single" w:sz="4" w:space="0" w:color="auto"/>
            </w:tcBorders>
            <w:noWrap/>
            <w:hideMark/>
          </w:tcPr>
          <w:p w14:paraId="7512FB73"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140</w:t>
            </w:r>
          </w:p>
        </w:tc>
        <w:tc>
          <w:tcPr>
            <w:tcW w:w="773" w:type="dxa"/>
            <w:tcBorders>
              <w:top w:val="single" w:sz="4" w:space="0" w:color="auto"/>
              <w:left w:val="single" w:sz="4" w:space="0" w:color="auto"/>
              <w:bottom w:val="single" w:sz="4" w:space="0" w:color="auto"/>
              <w:right w:val="single" w:sz="4" w:space="0" w:color="auto"/>
            </w:tcBorders>
            <w:noWrap/>
            <w:hideMark/>
          </w:tcPr>
          <w:p w14:paraId="7445612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146</w:t>
            </w:r>
          </w:p>
        </w:tc>
        <w:tc>
          <w:tcPr>
            <w:tcW w:w="773" w:type="dxa"/>
            <w:tcBorders>
              <w:top w:val="single" w:sz="4" w:space="0" w:color="auto"/>
              <w:left w:val="single" w:sz="4" w:space="0" w:color="auto"/>
              <w:bottom w:val="single" w:sz="4" w:space="0" w:color="auto"/>
              <w:right w:val="single" w:sz="4" w:space="0" w:color="auto"/>
            </w:tcBorders>
            <w:noWrap/>
            <w:hideMark/>
          </w:tcPr>
          <w:p w14:paraId="24AD61CD"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144</w:t>
            </w:r>
          </w:p>
        </w:tc>
        <w:tc>
          <w:tcPr>
            <w:tcW w:w="773" w:type="dxa"/>
            <w:tcBorders>
              <w:top w:val="single" w:sz="4" w:space="0" w:color="auto"/>
              <w:left w:val="single" w:sz="4" w:space="0" w:color="auto"/>
              <w:bottom w:val="single" w:sz="4" w:space="0" w:color="auto"/>
              <w:right w:val="single" w:sz="4" w:space="0" w:color="auto"/>
            </w:tcBorders>
            <w:noWrap/>
            <w:hideMark/>
          </w:tcPr>
          <w:p w14:paraId="2A8DAB5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145</w:t>
            </w:r>
          </w:p>
        </w:tc>
        <w:tc>
          <w:tcPr>
            <w:tcW w:w="773" w:type="dxa"/>
            <w:tcBorders>
              <w:top w:val="single" w:sz="4" w:space="0" w:color="auto"/>
              <w:left w:val="single" w:sz="4" w:space="0" w:color="auto"/>
              <w:bottom w:val="single" w:sz="4" w:space="0" w:color="auto"/>
              <w:right w:val="single" w:sz="4" w:space="0" w:color="auto"/>
            </w:tcBorders>
            <w:noWrap/>
            <w:hideMark/>
          </w:tcPr>
          <w:p w14:paraId="17F33FD0"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147</w:t>
            </w:r>
          </w:p>
        </w:tc>
        <w:tc>
          <w:tcPr>
            <w:tcW w:w="774" w:type="dxa"/>
            <w:tcBorders>
              <w:top w:val="single" w:sz="4" w:space="0" w:color="auto"/>
              <w:left w:val="single" w:sz="4" w:space="0" w:color="auto"/>
              <w:bottom w:val="single" w:sz="4" w:space="0" w:color="auto"/>
              <w:right w:val="single" w:sz="4" w:space="0" w:color="auto"/>
            </w:tcBorders>
            <w:noWrap/>
            <w:hideMark/>
          </w:tcPr>
          <w:p w14:paraId="69E3D72A"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148</w:t>
            </w:r>
          </w:p>
        </w:tc>
        <w:tc>
          <w:tcPr>
            <w:tcW w:w="773" w:type="dxa"/>
            <w:tcBorders>
              <w:top w:val="single" w:sz="4" w:space="0" w:color="auto"/>
              <w:left w:val="single" w:sz="4" w:space="0" w:color="auto"/>
              <w:bottom w:val="single" w:sz="4" w:space="0" w:color="auto"/>
              <w:right w:val="single" w:sz="4" w:space="0" w:color="auto"/>
            </w:tcBorders>
            <w:noWrap/>
            <w:hideMark/>
          </w:tcPr>
          <w:p w14:paraId="64C266D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150</w:t>
            </w:r>
          </w:p>
        </w:tc>
        <w:tc>
          <w:tcPr>
            <w:tcW w:w="773" w:type="dxa"/>
            <w:tcBorders>
              <w:top w:val="single" w:sz="4" w:space="0" w:color="auto"/>
              <w:left w:val="single" w:sz="4" w:space="0" w:color="auto"/>
              <w:bottom w:val="single" w:sz="4" w:space="0" w:color="auto"/>
              <w:right w:val="single" w:sz="4" w:space="0" w:color="auto"/>
            </w:tcBorders>
            <w:noWrap/>
            <w:hideMark/>
          </w:tcPr>
          <w:p w14:paraId="10EFEDE5"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155</w:t>
            </w:r>
          </w:p>
        </w:tc>
        <w:tc>
          <w:tcPr>
            <w:tcW w:w="773" w:type="dxa"/>
            <w:tcBorders>
              <w:top w:val="single" w:sz="4" w:space="0" w:color="auto"/>
              <w:left w:val="single" w:sz="4" w:space="0" w:color="auto"/>
              <w:bottom w:val="single" w:sz="4" w:space="0" w:color="auto"/>
              <w:right w:val="single" w:sz="4" w:space="0" w:color="auto"/>
            </w:tcBorders>
            <w:noWrap/>
            <w:hideMark/>
          </w:tcPr>
          <w:p w14:paraId="5F862EF9"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158</w:t>
            </w:r>
          </w:p>
        </w:tc>
        <w:tc>
          <w:tcPr>
            <w:tcW w:w="773" w:type="dxa"/>
            <w:tcBorders>
              <w:top w:val="single" w:sz="4" w:space="0" w:color="auto"/>
              <w:left w:val="single" w:sz="4" w:space="0" w:color="auto"/>
              <w:bottom w:val="single" w:sz="4" w:space="0" w:color="auto"/>
              <w:right w:val="single" w:sz="4" w:space="0" w:color="auto"/>
            </w:tcBorders>
            <w:noWrap/>
            <w:hideMark/>
          </w:tcPr>
          <w:p w14:paraId="39C4FCEB"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159</w:t>
            </w:r>
          </w:p>
        </w:tc>
        <w:tc>
          <w:tcPr>
            <w:tcW w:w="774" w:type="dxa"/>
            <w:tcBorders>
              <w:top w:val="single" w:sz="4" w:space="0" w:color="auto"/>
              <w:left w:val="single" w:sz="4" w:space="0" w:color="auto"/>
              <w:bottom w:val="single" w:sz="4" w:space="0" w:color="auto"/>
              <w:right w:val="single" w:sz="4" w:space="0" w:color="auto"/>
            </w:tcBorders>
            <w:noWrap/>
            <w:hideMark/>
          </w:tcPr>
          <w:p w14:paraId="5527A3E1" w14:textId="77777777" w:rsidR="00614438" w:rsidRPr="00656BE7" w:rsidRDefault="00614438" w:rsidP="00656BE7">
            <w:pPr>
              <w:spacing w:line="259" w:lineRule="auto"/>
              <w:jc w:val="both"/>
              <w:rPr>
                <w:rFonts w:ascii="Times New Roman" w:hAnsi="Times New Roman" w:cs="Times New Roman"/>
                <w:sz w:val="20"/>
                <w:szCs w:val="20"/>
                <w:lang w:val="en-GB"/>
              </w:rPr>
            </w:pPr>
            <w:r w:rsidRPr="00656BE7">
              <w:rPr>
                <w:rFonts w:ascii="Times New Roman" w:hAnsi="Times New Roman" w:cs="Times New Roman"/>
                <w:sz w:val="20"/>
                <w:szCs w:val="20"/>
                <w:lang w:val="en-GB"/>
              </w:rPr>
              <w:t>159</w:t>
            </w:r>
          </w:p>
        </w:tc>
      </w:tr>
    </w:tbl>
    <w:p w14:paraId="20C4AA8B" w14:textId="77777777" w:rsidR="00614438" w:rsidRPr="00614438" w:rsidRDefault="00614438" w:rsidP="00614438">
      <w:pPr>
        <w:jc w:val="both"/>
        <w:rPr>
          <w:rFonts w:ascii="Times New Roman" w:hAnsi="Times New Roman" w:cs="Times New Roman"/>
          <w:sz w:val="24"/>
          <w:szCs w:val="24"/>
          <w:lang w:val="en-GB"/>
        </w:rPr>
      </w:pPr>
    </w:p>
    <w:p w14:paraId="33CF5FDA" w14:textId="77777777" w:rsidR="00400F6B" w:rsidRPr="00013008" w:rsidRDefault="00400F6B" w:rsidP="00614438">
      <w:pPr>
        <w:jc w:val="both"/>
        <w:rPr>
          <w:rFonts w:ascii="Times New Roman" w:hAnsi="Times New Roman" w:cs="Times New Roman"/>
          <w:sz w:val="24"/>
          <w:szCs w:val="24"/>
        </w:rPr>
      </w:pPr>
    </w:p>
    <w:sectPr w:rsidR="00400F6B" w:rsidRPr="00013008" w:rsidSect="00C8325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E59D48" w14:textId="77777777" w:rsidR="00444AE2" w:rsidRDefault="00444AE2" w:rsidP="00614438">
      <w:pPr>
        <w:spacing w:after="0" w:line="240" w:lineRule="auto"/>
      </w:pPr>
      <w:r>
        <w:separator/>
      </w:r>
    </w:p>
  </w:endnote>
  <w:endnote w:type="continuationSeparator" w:id="0">
    <w:p w14:paraId="0D53E91A" w14:textId="77777777" w:rsidR="00444AE2" w:rsidRDefault="00444AE2" w:rsidP="006144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Trebuchet MS Bold">
    <w:panose1 w:val="020B0703020202020204"/>
    <w:charset w:val="00"/>
    <w:family w:val="auto"/>
    <w:pitch w:val="default"/>
    <w:sig w:usb0="00000000"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2610670"/>
      <w:docPartObj>
        <w:docPartGallery w:val="Page Numbers (Bottom of Page)"/>
        <w:docPartUnique/>
      </w:docPartObj>
    </w:sdtPr>
    <w:sdtEndPr/>
    <w:sdtContent>
      <w:p w14:paraId="469E9BED" w14:textId="77777777" w:rsidR="009A1548" w:rsidRDefault="009A1548">
        <w:pPr>
          <w:pStyle w:val="Footer"/>
          <w:jc w:val="center"/>
        </w:pPr>
        <w:r>
          <w:rPr>
            <w:noProof/>
          </w:rPr>
          <w:fldChar w:fldCharType="begin"/>
        </w:r>
        <w:r>
          <w:rPr>
            <w:noProof/>
          </w:rPr>
          <w:instrText xml:space="preserve"> PAGE   \* MERGEFORMAT </w:instrText>
        </w:r>
        <w:r>
          <w:rPr>
            <w:noProof/>
          </w:rPr>
          <w:fldChar w:fldCharType="separate"/>
        </w:r>
        <w:r w:rsidR="00F45704">
          <w:rPr>
            <w:noProof/>
          </w:rPr>
          <w:t>356</w:t>
        </w:r>
        <w:r>
          <w:rPr>
            <w:noProof/>
          </w:rPr>
          <w:fldChar w:fldCharType="end"/>
        </w:r>
      </w:p>
    </w:sdtContent>
  </w:sdt>
  <w:p w14:paraId="4DD0A3A5" w14:textId="77777777" w:rsidR="009A1548" w:rsidRDefault="009A15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36BC5C" w14:textId="77777777" w:rsidR="00444AE2" w:rsidRDefault="00444AE2" w:rsidP="00614438">
      <w:pPr>
        <w:spacing w:after="0" w:line="240" w:lineRule="auto"/>
      </w:pPr>
      <w:r>
        <w:separator/>
      </w:r>
    </w:p>
  </w:footnote>
  <w:footnote w:type="continuationSeparator" w:id="0">
    <w:p w14:paraId="7B5BF9CD" w14:textId="77777777" w:rsidR="00444AE2" w:rsidRDefault="00444AE2" w:rsidP="0061443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57B4F"/>
    <w:multiLevelType w:val="hybridMultilevel"/>
    <w:tmpl w:val="97A4D72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04637E1"/>
    <w:multiLevelType w:val="hybridMultilevel"/>
    <w:tmpl w:val="F2C40D5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00770FDE"/>
    <w:multiLevelType w:val="hybridMultilevel"/>
    <w:tmpl w:val="18640B5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008F11BB"/>
    <w:multiLevelType w:val="hybridMultilevel"/>
    <w:tmpl w:val="CF00D1D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00A72DF9"/>
    <w:multiLevelType w:val="hybridMultilevel"/>
    <w:tmpl w:val="BB46FB82"/>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 w15:restartNumberingAfterBreak="0">
    <w:nsid w:val="00EE4B78"/>
    <w:multiLevelType w:val="hybridMultilevel"/>
    <w:tmpl w:val="0BA652F4"/>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018F0691"/>
    <w:multiLevelType w:val="hybridMultilevel"/>
    <w:tmpl w:val="5E54598C"/>
    <w:lvl w:ilvl="0" w:tplc="0B62340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19A25B7"/>
    <w:multiLevelType w:val="hybridMultilevel"/>
    <w:tmpl w:val="446062E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01B35C83"/>
    <w:multiLevelType w:val="hybridMultilevel"/>
    <w:tmpl w:val="D78E0AB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02121781"/>
    <w:multiLevelType w:val="multilevel"/>
    <w:tmpl w:val="CEFE68DA"/>
    <w:lvl w:ilvl="0">
      <w:start w:val="2"/>
      <w:numFmt w:val="decimal"/>
      <w:lvlText w:val="%1"/>
      <w:lvlJc w:val="left"/>
      <w:pPr>
        <w:ind w:left="480" w:hanging="480"/>
      </w:pPr>
      <w:rPr>
        <w:rFonts w:hint="default"/>
      </w:rPr>
    </w:lvl>
    <w:lvl w:ilvl="1">
      <w:start w:val="7"/>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0219228C"/>
    <w:multiLevelType w:val="hybridMultilevel"/>
    <w:tmpl w:val="3BC4173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02B052F4"/>
    <w:multiLevelType w:val="hybridMultilevel"/>
    <w:tmpl w:val="7B12F450"/>
    <w:lvl w:ilvl="0" w:tplc="FB429D48">
      <w:start w:val="1"/>
      <w:numFmt w:val="bullet"/>
      <w:lvlText w:val=""/>
      <w:lvlJc w:val="left"/>
      <w:pPr>
        <w:ind w:left="720" w:hanging="360"/>
      </w:pPr>
      <w:rPr>
        <w:rFonts w:ascii="Wingdings" w:hAnsi="Wingdings" w:hint="default"/>
        <w:color w:val="01406B"/>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02C57133"/>
    <w:multiLevelType w:val="hybridMultilevel"/>
    <w:tmpl w:val="F47012F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042C41C8"/>
    <w:multiLevelType w:val="hybridMultilevel"/>
    <w:tmpl w:val="CC2A15E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0499076F"/>
    <w:multiLevelType w:val="hybridMultilevel"/>
    <w:tmpl w:val="83B2D650"/>
    <w:lvl w:ilvl="0" w:tplc="F348A3A6">
      <w:start w:val="1"/>
      <w:numFmt w:val="lowerRoman"/>
      <w:pStyle w:val="Heading4"/>
      <w:lvlText w:val="%1."/>
      <w:lvlJc w:val="right"/>
      <w:pPr>
        <w:ind w:left="36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5" w15:restartNumberingAfterBreak="0">
    <w:nsid w:val="06977C7B"/>
    <w:multiLevelType w:val="hybridMultilevel"/>
    <w:tmpl w:val="98AC684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075B573E"/>
    <w:multiLevelType w:val="hybridMultilevel"/>
    <w:tmpl w:val="5C940BB4"/>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079C2446"/>
    <w:multiLevelType w:val="hybridMultilevel"/>
    <w:tmpl w:val="6AF4816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07E76BD4"/>
    <w:multiLevelType w:val="hybridMultilevel"/>
    <w:tmpl w:val="C764FCA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07ED3A0F"/>
    <w:multiLevelType w:val="hybridMultilevel"/>
    <w:tmpl w:val="D418415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08AF644D"/>
    <w:multiLevelType w:val="hybridMultilevel"/>
    <w:tmpl w:val="598CA0D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09460633"/>
    <w:multiLevelType w:val="hybridMultilevel"/>
    <w:tmpl w:val="2124D2B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097C00AC"/>
    <w:multiLevelType w:val="hybridMultilevel"/>
    <w:tmpl w:val="FD16E6DA"/>
    <w:lvl w:ilvl="0" w:tplc="EB34B7C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09B7657F"/>
    <w:multiLevelType w:val="hybridMultilevel"/>
    <w:tmpl w:val="8D36F6E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0A550464"/>
    <w:multiLevelType w:val="hybridMultilevel"/>
    <w:tmpl w:val="63DEAE2E"/>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25" w15:restartNumberingAfterBreak="0">
    <w:nsid w:val="0A994D90"/>
    <w:multiLevelType w:val="multilevel"/>
    <w:tmpl w:val="13CA9F02"/>
    <w:lvl w:ilvl="0">
      <w:start w:val="1"/>
      <w:numFmt w:val="bullet"/>
      <w:pStyle w:val="Bullet"/>
      <w:lvlText w:val=""/>
      <w:lvlJc w:val="left"/>
      <w:pPr>
        <w:tabs>
          <w:tab w:val="num" w:pos="360"/>
        </w:tabs>
        <w:ind w:left="360" w:hanging="360"/>
      </w:pPr>
      <w:rPr>
        <w:rFonts w:ascii="Symbol" w:hAnsi="Symbol" w:hint="default"/>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0B346DF9"/>
    <w:multiLevelType w:val="hybridMultilevel"/>
    <w:tmpl w:val="052EF19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0C11287C"/>
    <w:multiLevelType w:val="hybridMultilevel"/>
    <w:tmpl w:val="CC00C58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15:restartNumberingAfterBreak="0">
    <w:nsid w:val="0CA964A5"/>
    <w:multiLevelType w:val="hybridMultilevel"/>
    <w:tmpl w:val="CEB469B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 w15:restartNumberingAfterBreak="0">
    <w:nsid w:val="0D3F637A"/>
    <w:multiLevelType w:val="hybridMultilevel"/>
    <w:tmpl w:val="FB628CF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0D645F33"/>
    <w:multiLevelType w:val="hybridMultilevel"/>
    <w:tmpl w:val="EBD636D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15:restartNumberingAfterBreak="0">
    <w:nsid w:val="0E212EEE"/>
    <w:multiLevelType w:val="hybridMultilevel"/>
    <w:tmpl w:val="90E6558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2" w15:restartNumberingAfterBreak="0">
    <w:nsid w:val="0E6D1A88"/>
    <w:multiLevelType w:val="hybridMultilevel"/>
    <w:tmpl w:val="628C280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3" w15:restartNumberingAfterBreak="0">
    <w:nsid w:val="0E8C3D91"/>
    <w:multiLevelType w:val="hybridMultilevel"/>
    <w:tmpl w:val="3AC865E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0F8E6D9E"/>
    <w:multiLevelType w:val="hybridMultilevel"/>
    <w:tmpl w:val="274E223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5" w15:restartNumberingAfterBreak="0">
    <w:nsid w:val="0FD514EE"/>
    <w:multiLevelType w:val="hybridMultilevel"/>
    <w:tmpl w:val="289441D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 w15:restartNumberingAfterBreak="0">
    <w:nsid w:val="10181373"/>
    <w:multiLevelType w:val="hybridMultilevel"/>
    <w:tmpl w:val="A530D162"/>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7" w15:restartNumberingAfterBreak="0">
    <w:nsid w:val="10BF1FE8"/>
    <w:multiLevelType w:val="hybridMultilevel"/>
    <w:tmpl w:val="6B16952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8" w15:restartNumberingAfterBreak="0">
    <w:nsid w:val="11FF1CB2"/>
    <w:multiLevelType w:val="hybridMultilevel"/>
    <w:tmpl w:val="2CD08A3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 w15:restartNumberingAfterBreak="0">
    <w:nsid w:val="12B5567F"/>
    <w:multiLevelType w:val="hybridMultilevel"/>
    <w:tmpl w:val="2FEE2C6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12EC0B35"/>
    <w:multiLevelType w:val="multilevel"/>
    <w:tmpl w:val="690C7EB8"/>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1390207E"/>
    <w:multiLevelType w:val="hybridMultilevel"/>
    <w:tmpl w:val="820A4DF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2" w15:restartNumberingAfterBreak="0">
    <w:nsid w:val="13AA1379"/>
    <w:multiLevelType w:val="hybridMultilevel"/>
    <w:tmpl w:val="90E6423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3" w15:restartNumberingAfterBreak="0">
    <w:nsid w:val="141639D7"/>
    <w:multiLevelType w:val="hybridMultilevel"/>
    <w:tmpl w:val="6BECA16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4" w15:restartNumberingAfterBreak="0">
    <w:nsid w:val="15592FEB"/>
    <w:multiLevelType w:val="hybridMultilevel"/>
    <w:tmpl w:val="0378663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5" w15:restartNumberingAfterBreak="0">
    <w:nsid w:val="17140EAF"/>
    <w:multiLevelType w:val="multilevel"/>
    <w:tmpl w:val="14CC4B18"/>
    <w:lvl w:ilvl="0">
      <w:start w:val="4"/>
      <w:numFmt w:val="decimal"/>
      <w:lvlText w:val="%1"/>
      <w:lvlJc w:val="left"/>
      <w:pPr>
        <w:ind w:left="660" w:hanging="660"/>
      </w:pPr>
      <w:rPr>
        <w:rFonts w:hint="default"/>
      </w:rPr>
    </w:lvl>
    <w:lvl w:ilvl="1">
      <w:start w:val="5"/>
      <w:numFmt w:val="decimal"/>
      <w:lvlText w:val="%1.%2"/>
      <w:lvlJc w:val="left"/>
      <w:pPr>
        <w:ind w:left="660" w:hanging="660"/>
      </w:pPr>
      <w:rPr>
        <w:rFonts w:hint="default"/>
      </w:rPr>
    </w:lvl>
    <w:lvl w:ilvl="2">
      <w:start w:val="3"/>
      <w:numFmt w:val="decimal"/>
      <w:lvlText w:val="%1.%2.%3"/>
      <w:lvlJc w:val="left"/>
      <w:pPr>
        <w:ind w:left="720" w:hanging="720"/>
      </w:pPr>
      <w:rPr>
        <w:rFonts w:hint="default"/>
      </w:rPr>
    </w:lvl>
    <w:lvl w:ilvl="3">
      <w:start w:val="4"/>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173D317F"/>
    <w:multiLevelType w:val="hybridMultilevel"/>
    <w:tmpl w:val="A676A33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 w15:restartNumberingAfterBreak="0">
    <w:nsid w:val="177C2C00"/>
    <w:multiLevelType w:val="hybridMultilevel"/>
    <w:tmpl w:val="6EDC650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8" w15:restartNumberingAfterBreak="0">
    <w:nsid w:val="17F12721"/>
    <w:multiLevelType w:val="hybridMultilevel"/>
    <w:tmpl w:val="C5F4CF1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9" w15:restartNumberingAfterBreak="0">
    <w:nsid w:val="18192A9F"/>
    <w:multiLevelType w:val="hybridMultilevel"/>
    <w:tmpl w:val="752ECCC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0" w15:restartNumberingAfterBreak="0">
    <w:nsid w:val="182868D4"/>
    <w:multiLevelType w:val="hybridMultilevel"/>
    <w:tmpl w:val="929E287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1" w15:restartNumberingAfterBreak="0">
    <w:nsid w:val="18B33164"/>
    <w:multiLevelType w:val="hybridMultilevel"/>
    <w:tmpl w:val="1BF6ECB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2" w15:restartNumberingAfterBreak="0">
    <w:nsid w:val="18FF19B1"/>
    <w:multiLevelType w:val="hybridMultilevel"/>
    <w:tmpl w:val="6C3A7DC8"/>
    <w:lvl w:ilvl="0" w:tplc="0409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19A1655F"/>
    <w:multiLevelType w:val="multilevel"/>
    <w:tmpl w:val="5302F69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4" w15:restartNumberingAfterBreak="0">
    <w:nsid w:val="1A4613BF"/>
    <w:multiLevelType w:val="hybridMultilevel"/>
    <w:tmpl w:val="0ABAEC2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5" w15:restartNumberingAfterBreak="0">
    <w:nsid w:val="1A795A19"/>
    <w:multiLevelType w:val="hybridMultilevel"/>
    <w:tmpl w:val="93D26C0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6" w15:restartNumberingAfterBreak="0">
    <w:nsid w:val="1B153374"/>
    <w:multiLevelType w:val="hybridMultilevel"/>
    <w:tmpl w:val="A9C2114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7" w15:restartNumberingAfterBreak="0">
    <w:nsid w:val="1D1D0DDB"/>
    <w:multiLevelType w:val="hybridMultilevel"/>
    <w:tmpl w:val="B4E4210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1D3A02BC"/>
    <w:multiLevelType w:val="hybridMultilevel"/>
    <w:tmpl w:val="FCE8F36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9" w15:restartNumberingAfterBreak="0">
    <w:nsid w:val="1D42180E"/>
    <w:multiLevelType w:val="hybridMultilevel"/>
    <w:tmpl w:val="0E78653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0" w15:restartNumberingAfterBreak="0">
    <w:nsid w:val="1E7407FB"/>
    <w:multiLevelType w:val="hybridMultilevel"/>
    <w:tmpl w:val="CA0852E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1" w15:restartNumberingAfterBreak="0">
    <w:nsid w:val="1E985E20"/>
    <w:multiLevelType w:val="hybridMultilevel"/>
    <w:tmpl w:val="6EB22F0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2" w15:restartNumberingAfterBreak="0">
    <w:nsid w:val="1EB24D32"/>
    <w:multiLevelType w:val="hybridMultilevel"/>
    <w:tmpl w:val="7BAE303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3" w15:restartNumberingAfterBreak="0">
    <w:nsid w:val="1EDD3A2E"/>
    <w:multiLevelType w:val="hybridMultilevel"/>
    <w:tmpl w:val="11C9ADA1"/>
    <w:lvl w:ilvl="0" w:tplc="FFFFFFFF">
      <w:start w:val="1"/>
      <w:numFmt w:val="ideographDigit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64" w15:restartNumberingAfterBreak="0">
    <w:nsid w:val="1EFD7AC6"/>
    <w:multiLevelType w:val="hybridMultilevel"/>
    <w:tmpl w:val="1E7CC5F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5" w15:restartNumberingAfterBreak="0">
    <w:nsid w:val="1F21643C"/>
    <w:multiLevelType w:val="hybridMultilevel"/>
    <w:tmpl w:val="49DCE84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6" w15:restartNumberingAfterBreak="0">
    <w:nsid w:val="1F6345F1"/>
    <w:multiLevelType w:val="hybridMultilevel"/>
    <w:tmpl w:val="F2FC5F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7" w15:restartNumberingAfterBreak="0">
    <w:nsid w:val="1F7748F3"/>
    <w:multiLevelType w:val="multilevel"/>
    <w:tmpl w:val="C49C34E4"/>
    <w:lvl w:ilvl="0">
      <w:start w:val="4"/>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8" w15:restartNumberingAfterBreak="0">
    <w:nsid w:val="20187DE3"/>
    <w:multiLevelType w:val="hybridMultilevel"/>
    <w:tmpl w:val="10EA2B82"/>
    <w:lvl w:ilvl="0" w:tplc="9966626C">
      <w:start w:val="1"/>
      <w:numFmt w:val="bullet"/>
      <w:pStyle w:val="LDKBullets-main2"/>
      <w:lvlText w:val="-"/>
      <w:lvlJc w:val="left"/>
      <w:pPr>
        <w:tabs>
          <w:tab w:val="num" w:pos="360"/>
        </w:tabs>
        <w:ind w:left="360" w:hanging="360"/>
      </w:pPr>
      <w:rPr>
        <w:rFonts w:ascii="Courier New" w:hAnsi="Courier New" w:cs="Times New Roman" w:hint="default"/>
        <w:b/>
        <w:i w:val="0"/>
        <w:color w:val="365F91"/>
        <w:sz w:val="24"/>
        <w:u w:color="993366"/>
      </w:rPr>
    </w:lvl>
    <w:lvl w:ilvl="1" w:tplc="04080003">
      <w:start w:val="1"/>
      <w:numFmt w:val="bullet"/>
      <w:lvlText w:val="o"/>
      <w:lvlJc w:val="left"/>
      <w:pPr>
        <w:tabs>
          <w:tab w:val="num" w:pos="1490"/>
        </w:tabs>
        <w:ind w:left="1490" w:hanging="360"/>
      </w:pPr>
      <w:rPr>
        <w:rFonts w:ascii="Courier New" w:hAnsi="Courier New" w:cs="Courier New" w:hint="default"/>
      </w:rPr>
    </w:lvl>
    <w:lvl w:ilvl="2" w:tplc="04080005">
      <w:start w:val="1"/>
      <w:numFmt w:val="bullet"/>
      <w:lvlText w:val=""/>
      <w:lvlJc w:val="left"/>
      <w:pPr>
        <w:tabs>
          <w:tab w:val="num" w:pos="2210"/>
        </w:tabs>
        <w:ind w:left="2210" w:hanging="360"/>
      </w:pPr>
      <w:rPr>
        <w:rFonts w:ascii="Wingdings" w:hAnsi="Wingdings" w:hint="default"/>
      </w:rPr>
    </w:lvl>
    <w:lvl w:ilvl="3" w:tplc="04080001">
      <w:start w:val="1"/>
      <w:numFmt w:val="bullet"/>
      <w:lvlText w:val=""/>
      <w:lvlJc w:val="left"/>
      <w:pPr>
        <w:tabs>
          <w:tab w:val="num" w:pos="2930"/>
        </w:tabs>
        <w:ind w:left="2930" w:hanging="360"/>
      </w:pPr>
      <w:rPr>
        <w:rFonts w:ascii="Symbol" w:hAnsi="Symbol" w:hint="default"/>
      </w:rPr>
    </w:lvl>
    <w:lvl w:ilvl="4" w:tplc="04080003">
      <w:start w:val="1"/>
      <w:numFmt w:val="bullet"/>
      <w:lvlText w:val="o"/>
      <w:lvlJc w:val="left"/>
      <w:pPr>
        <w:tabs>
          <w:tab w:val="num" w:pos="3650"/>
        </w:tabs>
        <w:ind w:left="3650" w:hanging="360"/>
      </w:pPr>
      <w:rPr>
        <w:rFonts w:ascii="Courier New" w:hAnsi="Courier New" w:cs="Courier New" w:hint="default"/>
      </w:rPr>
    </w:lvl>
    <w:lvl w:ilvl="5" w:tplc="04080005">
      <w:start w:val="1"/>
      <w:numFmt w:val="bullet"/>
      <w:lvlText w:val=""/>
      <w:lvlJc w:val="left"/>
      <w:pPr>
        <w:tabs>
          <w:tab w:val="num" w:pos="4370"/>
        </w:tabs>
        <w:ind w:left="4370" w:hanging="360"/>
      </w:pPr>
      <w:rPr>
        <w:rFonts w:ascii="Wingdings" w:hAnsi="Wingdings" w:hint="default"/>
      </w:rPr>
    </w:lvl>
    <w:lvl w:ilvl="6" w:tplc="04080001">
      <w:start w:val="1"/>
      <w:numFmt w:val="bullet"/>
      <w:lvlText w:val=""/>
      <w:lvlJc w:val="left"/>
      <w:pPr>
        <w:tabs>
          <w:tab w:val="num" w:pos="5090"/>
        </w:tabs>
        <w:ind w:left="5090" w:hanging="360"/>
      </w:pPr>
      <w:rPr>
        <w:rFonts w:ascii="Symbol" w:hAnsi="Symbol" w:hint="default"/>
      </w:rPr>
    </w:lvl>
    <w:lvl w:ilvl="7" w:tplc="04080003">
      <w:start w:val="1"/>
      <w:numFmt w:val="bullet"/>
      <w:lvlText w:val="o"/>
      <w:lvlJc w:val="left"/>
      <w:pPr>
        <w:tabs>
          <w:tab w:val="num" w:pos="5810"/>
        </w:tabs>
        <w:ind w:left="5810" w:hanging="360"/>
      </w:pPr>
      <w:rPr>
        <w:rFonts w:ascii="Courier New" w:hAnsi="Courier New" w:cs="Courier New" w:hint="default"/>
      </w:rPr>
    </w:lvl>
    <w:lvl w:ilvl="8" w:tplc="04080005">
      <w:start w:val="1"/>
      <w:numFmt w:val="bullet"/>
      <w:lvlText w:val=""/>
      <w:lvlJc w:val="left"/>
      <w:pPr>
        <w:tabs>
          <w:tab w:val="num" w:pos="6530"/>
        </w:tabs>
        <w:ind w:left="6530" w:hanging="360"/>
      </w:pPr>
      <w:rPr>
        <w:rFonts w:ascii="Wingdings" w:hAnsi="Wingdings" w:hint="default"/>
      </w:rPr>
    </w:lvl>
  </w:abstractNum>
  <w:abstractNum w:abstractNumId="69" w15:restartNumberingAfterBreak="0">
    <w:nsid w:val="201F04E7"/>
    <w:multiLevelType w:val="hybridMultilevel"/>
    <w:tmpl w:val="0D0C083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0" w15:restartNumberingAfterBreak="0">
    <w:nsid w:val="204F29B4"/>
    <w:multiLevelType w:val="hybridMultilevel"/>
    <w:tmpl w:val="2816391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1" w15:restartNumberingAfterBreak="0">
    <w:nsid w:val="206758C1"/>
    <w:multiLevelType w:val="hybridMultilevel"/>
    <w:tmpl w:val="4C8AE2C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2" w15:restartNumberingAfterBreak="0">
    <w:nsid w:val="21533489"/>
    <w:multiLevelType w:val="hybridMultilevel"/>
    <w:tmpl w:val="5FA0132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3" w15:restartNumberingAfterBreak="0">
    <w:nsid w:val="21573CC0"/>
    <w:multiLevelType w:val="hybridMultilevel"/>
    <w:tmpl w:val="8B0A67E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4" w15:restartNumberingAfterBreak="0">
    <w:nsid w:val="219F05A4"/>
    <w:multiLevelType w:val="hybridMultilevel"/>
    <w:tmpl w:val="0C36F98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5" w15:restartNumberingAfterBreak="0">
    <w:nsid w:val="222771FA"/>
    <w:multiLevelType w:val="hybridMultilevel"/>
    <w:tmpl w:val="A81A5B7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6" w15:restartNumberingAfterBreak="0">
    <w:nsid w:val="22391336"/>
    <w:multiLevelType w:val="hybridMultilevel"/>
    <w:tmpl w:val="5C2EAC3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7" w15:restartNumberingAfterBreak="0">
    <w:nsid w:val="22815CC3"/>
    <w:multiLevelType w:val="hybridMultilevel"/>
    <w:tmpl w:val="EF507D2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8" w15:restartNumberingAfterBreak="0">
    <w:nsid w:val="22B112A2"/>
    <w:multiLevelType w:val="hybridMultilevel"/>
    <w:tmpl w:val="25B628E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9" w15:restartNumberingAfterBreak="0">
    <w:nsid w:val="22B352F7"/>
    <w:multiLevelType w:val="hybridMultilevel"/>
    <w:tmpl w:val="76E0FD0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0" w15:restartNumberingAfterBreak="0">
    <w:nsid w:val="22C75B2F"/>
    <w:multiLevelType w:val="hybridMultilevel"/>
    <w:tmpl w:val="11C9ADA1"/>
    <w:lvl w:ilvl="0" w:tplc="FFFFFFFF">
      <w:start w:val="1"/>
      <w:numFmt w:val="ideographDigit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81" w15:restartNumberingAfterBreak="0">
    <w:nsid w:val="23482FD3"/>
    <w:multiLevelType w:val="hybridMultilevel"/>
    <w:tmpl w:val="EECA80D4"/>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2" w15:restartNumberingAfterBreak="0">
    <w:nsid w:val="23884739"/>
    <w:multiLevelType w:val="hybridMultilevel"/>
    <w:tmpl w:val="247AB49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3" w15:restartNumberingAfterBreak="0">
    <w:nsid w:val="246A1CA3"/>
    <w:multiLevelType w:val="hybridMultilevel"/>
    <w:tmpl w:val="913882E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4" w15:restartNumberingAfterBreak="0">
    <w:nsid w:val="24C30912"/>
    <w:multiLevelType w:val="hybridMultilevel"/>
    <w:tmpl w:val="5E788EE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5" w15:restartNumberingAfterBreak="0">
    <w:nsid w:val="2509042C"/>
    <w:multiLevelType w:val="hybridMultilevel"/>
    <w:tmpl w:val="5CD00CB6"/>
    <w:lvl w:ilvl="0" w:tplc="07AA58A6">
      <w:start w:val="1"/>
      <w:numFmt w:val="bullet"/>
      <w:pStyle w:val="LDKTableBullets2"/>
      <w:lvlText w:val="►"/>
      <w:lvlJc w:val="left"/>
      <w:pPr>
        <w:ind w:left="933" w:hanging="360"/>
      </w:pPr>
      <w:rPr>
        <w:rFonts w:ascii="Arial Narrow" w:hAnsi="Arial Narrow" w:cs="Times New Roman" w:hint="default"/>
        <w:b/>
        <w:i w:val="0"/>
        <w:color w:val="7030A0"/>
        <w:sz w:val="14"/>
        <w:u w:color="993366"/>
      </w:rPr>
    </w:lvl>
    <w:lvl w:ilvl="1" w:tplc="04080003">
      <w:start w:val="1"/>
      <w:numFmt w:val="bullet"/>
      <w:lvlText w:val="o"/>
      <w:lvlJc w:val="left"/>
      <w:pPr>
        <w:ind w:left="1653" w:hanging="360"/>
      </w:pPr>
      <w:rPr>
        <w:rFonts w:ascii="Courier New" w:hAnsi="Courier New" w:cs="Courier New" w:hint="default"/>
      </w:rPr>
    </w:lvl>
    <w:lvl w:ilvl="2" w:tplc="04080005">
      <w:start w:val="1"/>
      <w:numFmt w:val="bullet"/>
      <w:lvlText w:val=""/>
      <w:lvlJc w:val="left"/>
      <w:pPr>
        <w:ind w:left="2373" w:hanging="360"/>
      </w:pPr>
      <w:rPr>
        <w:rFonts w:ascii="Wingdings" w:hAnsi="Wingdings" w:hint="default"/>
      </w:rPr>
    </w:lvl>
    <w:lvl w:ilvl="3" w:tplc="04080001">
      <w:start w:val="1"/>
      <w:numFmt w:val="bullet"/>
      <w:lvlText w:val=""/>
      <w:lvlJc w:val="left"/>
      <w:pPr>
        <w:ind w:left="3093" w:hanging="360"/>
      </w:pPr>
      <w:rPr>
        <w:rFonts w:ascii="Symbol" w:hAnsi="Symbol" w:hint="default"/>
      </w:rPr>
    </w:lvl>
    <w:lvl w:ilvl="4" w:tplc="04080003">
      <w:start w:val="1"/>
      <w:numFmt w:val="bullet"/>
      <w:lvlText w:val="o"/>
      <w:lvlJc w:val="left"/>
      <w:pPr>
        <w:ind w:left="3813" w:hanging="360"/>
      </w:pPr>
      <w:rPr>
        <w:rFonts w:ascii="Courier New" w:hAnsi="Courier New" w:cs="Courier New" w:hint="default"/>
      </w:rPr>
    </w:lvl>
    <w:lvl w:ilvl="5" w:tplc="04080005">
      <w:start w:val="1"/>
      <w:numFmt w:val="bullet"/>
      <w:lvlText w:val=""/>
      <w:lvlJc w:val="left"/>
      <w:pPr>
        <w:ind w:left="4533" w:hanging="360"/>
      </w:pPr>
      <w:rPr>
        <w:rFonts w:ascii="Wingdings" w:hAnsi="Wingdings" w:hint="default"/>
      </w:rPr>
    </w:lvl>
    <w:lvl w:ilvl="6" w:tplc="04080001">
      <w:start w:val="1"/>
      <w:numFmt w:val="bullet"/>
      <w:lvlText w:val=""/>
      <w:lvlJc w:val="left"/>
      <w:pPr>
        <w:ind w:left="5253" w:hanging="360"/>
      </w:pPr>
      <w:rPr>
        <w:rFonts w:ascii="Symbol" w:hAnsi="Symbol" w:hint="default"/>
      </w:rPr>
    </w:lvl>
    <w:lvl w:ilvl="7" w:tplc="04080003">
      <w:start w:val="1"/>
      <w:numFmt w:val="bullet"/>
      <w:lvlText w:val="o"/>
      <w:lvlJc w:val="left"/>
      <w:pPr>
        <w:ind w:left="5973" w:hanging="360"/>
      </w:pPr>
      <w:rPr>
        <w:rFonts w:ascii="Courier New" w:hAnsi="Courier New" w:cs="Courier New" w:hint="default"/>
      </w:rPr>
    </w:lvl>
    <w:lvl w:ilvl="8" w:tplc="04080005">
      <w:start w:val="1"/>
      <w:numFmt w:val="bullet"/>
      <w:lvlText w:val=""/>
      <w:lvlJc w:val="left"/>
      <w:pPr>
        <w:ind w:left="6693" w:hanging="360"/>
      </w:pPr>
      <w:rPr>
        <w:rFonts w:ascii="Wingdings" w:hAnsi="Wingdings" w:hint="default"/>
      </w:rPr>
    </w:lvl>
  </w:abstractNum>
  <w:abstractNum w:abstractNumId="86" w15:restartNumberingAfterBreak="0">
    <w:nsid w:val="25253DFB"/>
    <w:multiLevelType w:val="hybridMultilevel"/>
    <w:tmpl w:val="18885F6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7" w15:restartNumberingAfterBreak="0">
    <w:nsid w:val="25D465E8"/>
    <w:multiLevelType w:val="hybridMultilevel"/>
    <w:tmpl w:val="A9CC777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8" w15:restartNumberingAfterBreak="0">
    <w:nsid w:val="26751346"/>
    <w:multiLevelType w:val="hybridMultilevel"/>
    <w:tmpl w:val="6590A64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9" w15:restartNumberingAfterBreak="0">
    <w:nsid w:val="26ED7BB4"/>
    <w:multiLevelType w:val="hybridMultilevel"/>
    <w:tmpl w:val="48321C74"/>
    <w:lvl w:ilvl="0" w:tplc="FB429D48">
      <w:start w:val="1"/>
      <w:numFmt w:val="bullet"/>
      <w:lvlText w:val=""/>
      <w:lvlJc w:val="left"/>
      <w:pPr>
        <w:ind w:left="720" w:hanging="360"/>
      </w:pPr>
      <w:rPr>
        <w:rFonts w:ascii="Wingdings" w:hAnsi="Wingdings" w:hint="default"/>
        <w:color w:val="01406B"/>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0" w15:restartNumberingAfterBreak="0">
    <w:nsid w:val="27CA2801"/>
    <w:multiLevelType w:val="hybridMultilevel"/>
    <w:tmpl w:val="BF081D9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1" w15:restartNumberingAfterBreak="0">
    <w:nsid w:val="28516AED"/>
    <w:multiLevelType w:val="hybridMultilevel"/>
    <w:tmpl w:val="8FC889E4"/>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2" w15:restartNumberingAfterBreak="0">
    <w:nsid w:val="29FD0052"/>
    <w:multiLevelType w:val="hybridMultilevel"/>
    <w:tmpl w:val="D6FE6B4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3" w15:restartNumberingAfterBreak="0">
    <w:nsid w:val="2AC622A9"/>
    <w:multiLevelType w:val="hybridMultilevel"/>
    <w:tmpl w:val="1C66D3E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4" w15:restartNumberingAfterBreak="0">
    <w:nsid w:val="2B89607F"/>
    <w:multiLevelType w:val="hybridMultilevel"/>
    <w:tmpl w:val="536CC6E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5" w15:restartNumberingAfterBreak="0">
    <w:nsid w:val="2BFB7A7F"/>
    <w:multiLevelType w:val="hybridMultilevel"/>
    <w:tmpl w:val="5826031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6" w15:restartNumberingAfterBreak="0">
    <w:nsid w:val="2C737AF6"/>
    <w:multiLevelType w:val="hybridMultilevel"/>
    <w:tmpl w:val="11C9ADA1"/>
    <w:lvl w:ilvl="0" w:tplc="FFFFFFFF">
      <w:start w:val="1"/>
      <w:numFmt w:val="ideographDigit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97" w15:restartNumberingAfterBreak="0">
    <w:nsid w:val="2C7952CC"/>
    <w:multiLevelType w:val="hybridMultilevel"/>
    <w:tmpl w:val="1F64CA7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2D1C4908"/>
    <w:multiLevelType w:val="hybridMultilevel"/>
    <w:tmpl w:val="D93EA17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9" w15:restartNumberingAfterBreak="0">
    <w:nsid w:val="2D665040"/>
    <w:multiLevelType w:val="hybridMultilevel"/>
    <w:tmpl w:val="C8B68BF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0" w15:restartNumberingAfterBreak="0">
    <w:nsid w:val="2D74080E"/>
    <w:multiLevelType w:val="hybridMultilevel"/>
    <w:tmpl w:val="4C36467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1" w15:restartNumberingAfterBreak="0">
    <w:nsid w:val="2DA605ED"/>
    <w:multiLevelType w:val="hybridMultilevel"/>
    <w:tmpl w:val="09F45254"/>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2" w15:restartNumberingAfterBreak="0">
    <w:nsid w:val="2EB6490C"/>
    <w:multiLevelType w:val="hybridMultilevel"/>
    <w:tmpl w:val="42B8F29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3" w15:restartNumberingAfterBreak="0">
    <w:nsid w:val="2FB57385"/>
    <w:multiLevelType w:val="hybridMultilevel"/>
    <w:tmpl w:val="1BCEEC5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4" w15:restartNumberingAfterBreak="0">
    <w:nsid w:val="308D41DB"/>
    <w:multiLevelType w:val="hybridMultilevel"/>
    <w:tmpl w:val="792E7514"/>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5" w15:restartNumberingAfterBreak="0">
    <w:nsid w:val="31221111"/>
    <w:multiLevelType w:val="hybridMultilevel"/>
    <w:tmpl w:val="98B6F496"/>
    <w:lvl w:ilvl="0" w:tplc="0408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06" w15:restartNumberingAfterBreak="0">
    <w:nsid w:val="312A466C"/>
    <w:multiLevelType w:val="hybridMultilevel"/>
    <w:tmpl w:val="8C3431BE"/>
    <w:lvl w:ilvl="0" w:tplc="5CE4ED2C">
      <w:start w:val="1"/>
      <w:numFmt w:val="bullet"/>
      <w:lvlText w:val=""/>
      <w:lvlJc w:val="left"/>
      <w:pPr>
        <w:ind w:left="720" w:hanging="360"/>
      </w:pPr>
      <w:rPr>
        <w:rFonts w:ascii="Wingdings" w:hAnsi="Wingdings" w:hint="default"/>
        <w:color w:val="01406B"/>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7" w15:restartNumberingAfterBreak="0">
    <w:nsid w:val="31820F94"/>
    <w:multiLevelType w:val="hybridMultilevel"/>
    <w:tmpl w:val="9E801F0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8" w15:restartNumberingAfterBreak="0">
    <w:nsid w:val="32EA73C1"/>
    <w:multiLevelType w:val="hybridMultilevel"/>
    <w:tmpl w:val="1D7ECC4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9" w15:restartNumberingAfterBreak="0">
    <w:nsid w:val="342B0E30"/>
    <w:multiLevelType w:val="hybridMultilevel"/>
    <w:tmpl w:val="19BCA45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0" w15:restartNumberingAfterBreak="0">
    <w:nsid w:val="34931638"/>
    <w:multiLevelType w:val="hybridMultilevel"/>
    <w:tmpl w:val="31BA26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1" w15:restartNumberingAfterBreak="0">
    <w:nsid w:val="34D62B47"/>
    <w:multiLevelType w:val="hybridMultilevel"/>
    <w:tmpl w:val="4D30A542"/>
    <w:lvl w:ilvl="0" w:tplc="8370F98C">
      <w:start w:val="1"/>
      <w:numFmt w:val="decimal"/>
      <w:lvlText w:val="%1)"/>
      <w:lvlJc w:val="left"/>
      <w:pPr>
        <w:ind w:left="720" w:hanging="360"/>
      </w:pPr>
      <w:rPr>
        <w:rFonts w:ascii="Times New Roman" w:eastAsiaTheme="minorHAnsi" w:hAnsi="Times New Roman" w:cs="Times New Roman"/>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2" w15:restartNumberingAfterBreak="0">
    <w:nsid w:val="35007B0D"/>
    <w:multiLevelType w:val="hybridMultilevel"/>
    <w:tmpl w:val="443E8B7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3" w15:restartNumberingAfterBreak="0">
    <w:nsid w:val="35523CB4"/>
    <w:multiLevelType w:val="hybridMultilevel"/>
    <w:tmpl w:val="4F64023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4" w15:restartNumberingAfterBreak="0">
    <w:nsid w:val="36F16DE2"/>
    <w:multiLevelType w:val="hybridMultilevel"/>
    <w:tmpl w:val="A4D4FBA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5" w15:restartNumberingAfterBreak="0">
    <w:nsid w:val="372B1979"/>
    <w:multiLevelType w:val="hybridMultilevel"/>
    <w:tmpl w:val="0FD4BC4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6" w15:restartNumberingAfterBreak="0">
    <w:nsid w:val="37457E6F"/>
    <w:multiLevelType w:val="hybridMultilevel"/>
    <w:tmpl w:val="748A6C6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7" w15:restartNumberingAfterBreak="0">
    <w:nsid w:val="37D47F7E"/>
    <w:multiLevelType w:val="hybridMultilevel"/>
    <w:tmpl w:val="CBBC858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8" w15:restartNumberingAfterBreak="0">
    <w:nsid w:val="37D94E6D"/>
    <w:multiLevelType w:val="hybridMultilevel"/>
    <w:tmpl w:val="CB2863D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9" w15:restartNumberingAfterBreak="0">
    <w:nsid w:val="381E23F5"/>
    <w:multiLevelType w:val="hybridMultilevel"/>
    <w:tmpl w:val="D53C1BC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0" w15:restartNumberingAfterBreak="0">
    <w:nsid w:val="393A31E1"/>
    <w:multiLevelType w:val="hybridMultilevel"/>
    <w:tmpl w:val="6CC2C5A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1" w15:restartNumberingAfterBreak="0">
    <w:nsid w:val="39651CC3"/>
    <w:multiLevelType w:val="hybridMultilevel"/>
    <w:tmpl w:val="5C56C86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2" w15:restartNumberingAfterBreak="0">
    <w:nsid w:val="39801E1D"/>
    <w:multiLevelType w:val="hybridMultilevel"/>
    <w:tmpl w:val="D9FC474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3" w15:restartNumberingAfterBreak="0">
    <w:nsid w:val="398D1999"/>
    <w:multiLevelType w:val="hybridMultilevel"/>
    <w:tmpl w:val="8F16BFE4"/>
    <w:lvl w:ilvl="0" w:tplc="08090011">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24" w15:restartNumberingAfterBreak="0">
    <w:nsid w:val="39E37345"/>
    <w:multiLevelType w:val="hybridMultilevel"/>
    <w:tmpl w:val="FEF80BA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5" w15:restartNumberingAfterBreak="0">
    <w:nsid w:val="3A852D61"/>
    <w:multiLevelType w:val="hybridMultilevel"/>
    <w:tmpl w:val="E05CE80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6" w15:restartNumberingAfterBreak="0">
    <w:nsid w:val="3B5E3569"/>
    <w:multiLevelType w:val="hybridMultilevel"/>
    <w:tmpl w:val="5E984F24"/>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7" w15:restartNumberingAfterBreak="0">
    <w:nsid w:val="3B9C1856"/>
    <w:multiLevelType w:val="hybridMultilevel"/>
    <w:tmpl w:val="A86A5F7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8" w15:restartNumberingAfterBreak="0">
    <w:nsid w:val="3BDC1EBB"/>
    <w:multiLevelType w:val="hybridMultilevel"/>
    <w:tmpl w:val="527A855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9" w15:restartNumberingAfterBreak="0">
    <w:nsid w:val="3C997176"/>
    <w:multiLevelType w:val="hybridMultilevel"/>
    <w:tmpl w:val="1B9479B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0" w15:restartNumberingAfterBreak="0">
    <w:nsid w:val="3CB0747C"/>
    <w:multiLevelType w:val="hybridMultilevel"/>
    <w:tmpl w:val="29889C0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1" w15:restartNumberingAfterBreak="0">
    <w:nsid w:val="3D645DEC"/>
    <w:multiLevelType w:val="hybridMultilevel"/>
    <w:tmpl w:val="F5FC5794"/>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2" w15:restartNumberingAfterBreak="0">
    <w:nsid w:val="3D6D3178"/>
    <w:multiLevelType w:val="multilevel"/>
    <w:tmpl w:val="29D89F40"/>
    <w:lvl w:ilvl="0">
      <w:start w:val="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3" w15:restartNumberingAfterBreak="0">
    <w:nsid w:val="3D91135F"/>
    <w:multiLevelType w:val="hybridMultilevel"/>
    <w:tmpl w:val="8C229A1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4" w15:restartNumberingAfterBreak="0">
    <w:nsid w:val="3DA9393D"/>
    <w:multiLevelType w:val="multilevel"/>
    <w:tmpl w:val="449A4736"/>
    <w:lvl w:ilvl="0">
      <w:start w:val="3"/>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5" w15:restartNumberingAfterBreak="0">
    <w:nsid w:val="3DE94CE5"/>
    <w:multiLevelType w:val="hybridMultilevel"/>
    <w:tmpl w:val="42A2B57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6" w15:restartNumberingAfterBreak="0">
    <w:nsid w:val="3E144406"/>
    <w:multiLevelType w:val="hybridMultilevel"/>
    <w:tmpl w:val="C236231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7" w15:restartNumberingAfterBreak="0">
    <w:nsid w:val="3E7E166F"/>
    <w:multiLevelType w:val="hybridMultilevel"/>
    <w:tmpl w:val="8D3828A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8" w15:restartNumberingAfterBreak="0">
    <w:nsid w:val="3E8816F1"/>
    <w:multiLevelType w:val="hybridMultilevel"/>
    <w:tmpl w:val="92DEBFE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9" w15:restartNumberingAfterBreak="0">
    <w:nsid w:val="3EAE4BE2"/>
    <w:multiLevelType w:val="hybridMultilevel"/>
    <w:tmpl w:val="A5EE364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0" w15:restartNumberingAfterBreak="0">
    <w:nsid w:val="3F766526"/>
    <w:multiLevelType w:val="hybridMultilevel"/>
    <w:tmpl w:val="6A58227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1" w15:restartNumberingAfterBreak="0">
    <w:nsid w:val="3FE205A9"/>
    <w:multiLevelType w:val="hybridMultilevel"/>
    <w:tmpl w:val="A14C5322"/>
    <w:lvl w:ilvl="0" w:tplc="FB429D48">
      <w:start w:val="1"/>
      <w:numFmt w:val="bullet"/>
      <w:lvlText w:val=""/>
      <w:lvlJc w:val="left"/>
      <w:pPr>
        <w:ind w:left="720" w:hanging="360"/>
      </w:pPr>
      <w:rPr>
        <w:rFonts w:ascii="Wingdings" w:hAnsi="Wingdings" w:hint="default"/>
        <w:color w:val="01406B"/>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2" w15:restartNumberingAfterBreak="0">
    <w:nsid w:val="40DE4180"/>
    <w:multiLevelType w:val="hybridMultilevel"/>
    <w:tmpl w:val="2D64D01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3" w15:restartNumberingAfterBreak="0">
    <w:nsid w:val="41202026"/>
    <w:multiLevelType w:val="hybridMultilevel"/>
    <w:tmpl w:val="20EED564"/>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4" w15:restartNumberingAfterBreak="0">
    <w:nsid w:val="41341F93"/>
    <w:multiLevelType w:val="hybridMultilevel"/>
    <w:tmpl w:val="0A48AD1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5" w15:restartNumberingAfterBreak="0">
    <w:nsid w:val="42410C4D"/>
    <w:multiLevelType w:val="hybridMultilevel"/>
    <w:tmpl w:val="EA30CC1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6" w15:restartNumberingAfterBreak="0">
    <w:nsid w:val="43443D18"/>
    <w:multiLevelType w:val="hybridMultilevel"/>
    <w:tmpl w:val="14069ED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7" w15:restartNumberingAfterBreak="0">
    <w:nsid w:val="444F546F"/>
    <w:multiLevelType w:val="hybridMultilevel"/>
    <w:tmpl w:val="F230B01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8" w15:restartNumberingAfterBreak="0">
    <w:nsid w:val="44C169EE"/>
    <w:multiLevelType w:val="hybridMultilevel"/>
    <w:tmpl w:val="F50C850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9" w15:restartNumberingAfterBreak="0">
    <w:nsid w:val="44EE1D90"/>
    <w:multiLevelType w:val="singleLevel"/>
    <w:tmpl w:val="CAB4F21C"/>
    <w:lvl w:ilvl="0">
      <w:start w:val="1"/>
      <w:numFmt w:val="bullet"/>
      <w:pStyle w:val="LDKBullets-main"/>
      <w:lvlText w:val=""/>
      <w:lvlJc w:val="left"/>
      <w:pPr>
        <w:tabs>
          <w:tab w:val="num" w:pos="360"/>
        </w:tabs>
        <w:ind w:left="360" w:hanging="360"/>
      </w:pPr>
      <w:rPr>
        <w:rFonts w:ascii="Wingdings" w:hAnsi="Wingdings" w:cs="Wingdings" w:hint="default"/>
        <w:color w:val="002060"/>
        <w:sz w:val="28"/>
      </w:rPr>
    </w:lvl>
  </w:abstractNum>
  <w:abstractNum w:abstractNumId="150" w15:restartNumberingAfterBreak="0">
    <w:nsid w:val="44F4073F"/>
    <w:multiLevelType w:val="hybridMultilevel"/>
    <w:tmpl w:val="EAD2230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1" w15:restartNumberingAfterBreak="0">
    <w:nsid w:val="45047D2E"/>
    <w:multiLevelType w:val="hybridMultilevel"/>
    <w:tmpl w:val="2280CC6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2" w15:restartNumberingAfterBreak="0">
    <w:nsid w:val="45550D24"/>
    <w:multiLevelType w:val="hybridMultilevel"/>
    <w:tmpl w:val="C0F888F4"/>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3" w15:restartNumberingAfterBreak="0">
    <w:nsid w:val="4596433B"/>
    <w:multiLevelType w:val="hybridMultilevel"/>
    <w:tmpl w:val="DDFA5C68"/>
    <w:lvl w:ilvl="0" w:tplc="7E760458">
      <w:start w:val="1"/>
      <w:numFmt w:val="lowerRoman"/>
      <w:lvlText w:val="%1."/>
      <w:lvlJc w:val="righ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54" w15:restartNumberingAfterBreak="0">
    <w:nsid w:val="45CB2EDF"/>
    <w:multiLevelType w:val="hybridMultilevel"/>
    <w:tmpl w:val="DECCD5A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5" w15:restartNumberingAfterBreak="0">
    <w:nsid w:val="471B1254"/>
    <w:multiLevelType w:val="hybridMultilevel"/>
    <w:tmpl w:val="891A3F54"/>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6" w15:restartNumberingAfterBreak="0">
    <w:nsid w:val="47B9418D"/>
    <w:multiLevelType w:val="hybridMultilevel"/>
    <w:tmpl w:val="294CA3C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7" w15:restartNumberingAfterBreak="0">
    <w:nsid w:val="484B25B7"/>
    <w:multiLevelType w:val="hybridMultilevel"/>
    <w:tmpl w:val="D5B2CB1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8" w15:restartNumberingAfterBreak="0">
    <w:nsid w:val="4913277A"/>
    <w:multiLevelType w:val="hybridMultilevel"/>
    <w:tmpl w:val="17660BE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9" w15:restartNumberingAfterBreak="0">
    <w:nsid w:val="498706A8"/>
    <w:multiLevelType w:val="hybridMultilevel"/>
    <w:tmpl w:val="362CACBA"/>
    <w:lvl w:ilvl="0" w:tplc="0FCC4F9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0" w15:restartNumberingAfterBreak="0">
    <w:nsid w:val="49C54748"/>
    <w:multiLevelType w:val="hybridMultilevel"/>
    <w:tmpl w:val="86980870"/>
    <w:lvl w:ilvl="0" w:tplc="08090001">
      <w:start w:val="1"/>
      <w:numFmt w:val="bullet"/>
      <w:lvlText w:val=""/>
      <w:lvlJc w:val="left"/>
      <w:pPr>
        <w:tabs>
          <w:tab w:val="num" w:pos="720"/>
        </w:tabs>
        <w:ind w:left="720" w:hanging="360"/>
      </w:pPr>
      <w:rPr>
        <w:rFonts w:ascii="Symbol" w:hAnsi="Symbol" w:hint="default"/>
      </w:rPr>
    </w:lvl>
    <w:lvl w:ilvl="1" w:tplc="FFFFFFFF">
      <w:start w:val="1"/>
      <w:numFmt w:val="bullet"/>
      <w:lvlText w:val=""/>
      <w:lvlJc w:val="left"/>
      <w:pPr>
        <w:tabs>
          <w:tab w:val="num" w:pos="1440"/>
        </w:tabs>
        <w:ind w:left="1440" w:hanging="360"/>
      </w:pPr>
      <w:rPr>
        <w:rFonts w:ascii="Wingdings" w:hAnsi="Wingdings"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Wingdings" w:hAnsi="Wingdings" w:hint="default"/>
      </w:rPr>
    </w:lvl>
    <w:lvl w:ilvl="4" w:tplc="FFFFFFFF">
      <w:start w:val="1"/>
      <w:numFmt w:val="bullet"/>
      <w:lvlText w:val=""/>
      <w:lvlJc w:val="left"/>
      <w:pPr>
        <w:tabs>
          <w:tab w:val="num" w:pos="3600"/>
        </w:tabs>
        <w:ind w:left="3600" w:hanging="360"/>
      </w:pPr>
      <w:rPr>
        <w:rFonts w:ascii="Wingdings" w:hAnsi="Wingdings"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Wingdings" w:hAnsi="Wingdings" w:hint="default"/>
      </w:rPr>
    </w:lvl>
    <w:lvl w:ilvl="7" w:tplc="FFFFFFFF">
      <w:start w:val="1"/>
      <w:numFmt w:val="bullet"/>
      <w:lvlText w:val=""/>
      <w:lvlJc w:val="left"/>
      <w:pPr>
        <w:tabs>
          <w:tab w:val="num" w:pos="5760"/>
        </w:tabs>
        <w:ind w:left="5760" w:hanging="360"/>
      </w:pPr>
      <w:rPr>
        <w:rFonts w:ascii="Wingdings" w:hAnsi="Wingdings"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61" w15:restartNumberingAfterBreak="0">
    <w:nsid w:val="4A7A6239"/>
    <w:multiLevelType w:val="hybridMultilevel"/>
    <w:tmpl w:val="FB4668F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2" w15:restartNumberingAfterBreak="0">
    <w:nsid w:val="4A805A67"/>
    <w:multiLevelType w:val="hybridMultilevel"/>
    <w:tmpl w:val="2940F50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3" w15:restartNumberingAfterBreak="0">
    <w:nsid w:val="4A98780A"/>
    <w:multiLevelType w:val="hybridMultilevel"/>
    <w:tmpl w:val="C1D8F7E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4" w15:restartNumberingAfterBreak="0">
    <w:nsid w:val="4ABE1A5A"/>
    <w:multiLevelType w:val="hybridMultilevel"/>
    <w:tmpl w:val="5A12F734"/>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5" w15:restartNumberingAfterBreak="0">
    <w:nsid w:val="4AC1105A"/>
    <w:multiLevelType w:val="hybridMultilevel"/>
    <w:tmpl w:val="DC64A5A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6" w15:restartNumberingAfterBreak="0">
    <w:nsid w:val="4B997AE2"/>
    <w:multiLevelType w:val="hybridMultilevel"/>
    <w:tmpl w:val="E78ED7A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7" w15:restartNumberingAfterBreak="0">
    <w:nsid w:val="4C3E21EC"/>
    <w:multiLevelType w:val="hybridMultilevel"/>
    <w:tmpl w:val="159C63E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8" w15:restartNumberingAfterBreak="0">
    <w:nsid w:val="4CC61745"/>
    <w:multiLevelType w:val="hybridMultilevel"/>
    <w:tmpl w:val="11C9ADA1"/>
    <w:lvl w:ilvl="0" w:tplc="FFFFFFFF">
      <w:start w:val="1"/>
      <w:numFmt w:val="ideographDigit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69" w15:restartNumberingAfterBreak="0">
    <w:nsid w:val="4D7B1B98"/>
    <w:multiLevelType w:val="hybridMultilevel"/>
    <w:tmpl w:val="8A9E5A0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0" w15:restartNumberingAfterBreak="0">
    <w:nsid w:val="4DA6134C"/>
    <w:multiLevelType w:val="hybridMultilevel"/>
    <w:tmpl w:val="E5FA234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1" w15:restartNumberingAfterBreak="0">
    <w:nsid w:val="4F151CB9"/>
    <w:multiLevelType w:val="hybridMultilevel"/>
    <w:tmpl w:val="4E742DA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2" w15:restartNumberingAfterBreak="0">
    <w:nsid w:val="5078621E"/>
    <w:multiLevelType w:val="hybridMultilevel"/>
    <w:tmpl w:val="4A5C1664"/>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3" w15:restartNumberingAfterBreak="0">
    <w:nsid w:val="51527686"/>
    <w:multiLevelType w:val="hybridMultilevel"/>
    <w:tmpl w:val="67AC999E"/>
    <w:lvl w:ilvl="0" w:tplc="DFA2FE0C">
      <w:start w:val="1"/>
      <w:numFmt w:val="bullet"/>
      <w:lvlText w:val=""/>
      <w:lvlJc w:val="left"/>
      <w:pPr>
        <w:ind w:left="720" w:hanging="360"/>
      </w:pPr>
      <w:rPr>
        <w:rFonts w:ascii="Wingdings" w:hAnsi="Wingdings" w:hint="default"/>
        <w:color w:val="01406B"/>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74" w15:restartNumberingAfterBreak="0">
    <w:nsid w:val="519D3DD8"/>
    <w:multiLevelType w:val="hybridMultilevel"/>
    <w:tmpl w:val="7520BBA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5" w15:restartNumberingAfterBreak="0">
    <w:nsid w:val="51C95396"/>
    <w:multiLevelType w:val="hybridMultilevel"/>
    <w:tmpl w:val="C5D06174"/>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6" w15:restartNumberingAfterBreak="0">
    <w:nsid w:val="51F02388"/>
    <w:multiLevelType w:val="hybridMultilevel"/>
    <w:tmpl w:val="8A7AD74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7" w15:restartNumberingAfterBreak="0">
    <w:nsid w:val="52345504"/>
    <w:multiLevelType w:val="hybridMultilevel"/>
    <w:tmpl w:val="5566909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8" w15:restartNumberingAfterBreak="0">
    <w:nsid w:val="527176BC"/>
    <w:multiLevelType w:val="hybridMultilevel"/>
    <w:tmpl w:val="A66636A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9" w15:restartNumberingAfterBreak="0">
    <w:nsid w:val="527B0E1F"/>
    <w:multiLevelType w:val="hybridMultilevel"/>
    <w:tmpl w:val="C980D76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0" w15:restartNumberingAfterBreak="0">
    <w:nsid w:val="529E2D08"/>
    <w:multiLevelType w:val="hybridMultilevel"/>
    <w:tmpl w:val="EB663274"/>
    <w:lvl w:ilvl="0" w:tplc="CE70217C">
      <w:start w:val="1"/>
      <w:numFmt w:val="lowerRoman"/>
      <w:lvlText w:val="%1."/>
      <w:lvlJc w:val="lef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1" w15:restartNumberingAfterBreak="0">
    <w:nsid w:val="533C6193"/>
    <w:multiLevelType w:val="hybridMultilevel"/>
    <w:tmpl w:val="26528AB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2" w15:restartNumberingAfterBreak="0">
    <w:nsid w:val="53C90D6C"/>
    <w:multiLevelType w:val="hybridMultilevel"/>
    <w:tmpl w:val="46323D8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3" w15:restartNumberingAfterBreak="0">
    <w:nsid w:val="548A6A4D"/>
    <w:multiLevelType w:val="hybridMultilevel"/>
    <w:tmpl w:val="A682768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4" w15:restartNumberingAfterBreak="0">
    <w:nsid w:val="54CB4779"/>
    <w:multiLevelType w:val="hybridMultilevel"/>
    <w:tmpl w:val="61B2640E"/>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185" w15:restartNumberingAfterBreak="0">
    <w:nsid w:val="54F20591"/>
    <w:multiLevelType w:val="hybridMultilevel"/>
    <w:tmpl w:val="700CFCB8"/>
    <w:lvl w:ilvl="0" w:tplc="5CE4ED2C">
      <w:start w:val="1"/>
      <w:numFmt w:val="bullet"/>
      <w:lvlText w:val=""/>
      <w:lvlJc w:val="left"/>
      <w:pPr>
        <w:ind w:left="720" w:hanging="360"/>
      </w:pPr>
      <w:rPr>
        <w:rFonts w:ascii="Wingdings" w:hAnsi="Wingdings" w:hint="default"/>
        <w:color w:val="01406B"/>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6" w15:restartNumberingAfterBreak="0">
    <w:nsid w:val="55086A20"/>
    <w:multiLevelType w:val="hybridMultilevel"/>
    <w:tmpl w:val="20C225F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7" w15:restartNumberingAfterBreak="0">
    <w:nsid w:val="551379C9"/>
    <w:multiLevelType w:val="hybridMultilevel"/>
    <w:tmpl w:val="9E1AF04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8" w15:restartNumberingAfterBreak="0">
    <w:nsid w:val="551975BA"/>
    <w:multiLevelType w:val="hybridMultilevel"/>
    <w:tmpl w:val="F712F2C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9" w15:restartNumberingAfterBreak="0">
    <w:nsid w:val="552F413B"/>
    <w:multiLevelType w:val="hybridMultilevel"/>
    <w:tmpl w:val="8AD0BDB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0" w15:restartNumberingAfterBreak="0">
    <w:nsid w:val="565004E4"/>
    <w:multiLevelType w:val="hybridMultilevel"/>
    <w:tmpl w:val="E63C07D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1" w15:restartNumberingAfterBreak="0">
    <w:nsid w:val="57385487"/>
    <w:multiLevelType w:val="hybridMultilevel"/>
    <w:tmpl w:val="1DC80B34"/>
    <w:lvl w:ilvl="0" w:tplc="81B81286">
      <w:start w:val="1"/>
      <w:numFmt w:val="upperRoman"/>
      <w:lvlText w:val="%1."/>
      <w:lvlJc w:val="lef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2" w15:restartNumberingAfterBreak="0">
    <w:nsid w:val="577F6F56"/>
    <w:multiLevelType w:val="hybridMultilevel"/>
    <w:tmpl w:val="1916E1D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3" w15:restartNumberingAfterBreak="0">
    <w:nsid w:val="581E4DFA"/>
    <w:multiLevelType w:val="hybridMultilevel"/>
    <w:tmpl w:val="4D88E11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4" w15:restartNumberingAfterBreak="0">
    <w:nsid w:val="58353626"/>
    <w:multiLevelType w:val="hybridMultilevel"/>
    <w:tmpl w:val="F518396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5" w15:restartNumberingAfterBreak="0">
    <w:nsid w:val="58AC7523"/>
    <w:multiLevelType w:val="hybridMultilevel"/>
    <w:tmpl w:val="4030E99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6" w15:restartNumberingAfterBreak="0">
    <w:nsid w:val="58B02F00"/>
    <w:multiLevelType w:val="hybridMultilevel"/>
    <w:tmpl w:val="C4209060"/>
    <w:lvl w:ilvl="0" w:tplc="FB429D48">
      <w:start w:val="1"/>
      <w:numFmt w:val="bullet"/>
      <w:lvlText w:val=""/>
      <w:lvlJc w:val="left"/>
      <w:pPr>
        <w:ind w:left="720" w:hanging="360"/>
      </w:pPr>
      <w:rPr>
        <w:rFonts w:ascii="Wingdings" w:hAnsi="Wingdings" w:hint="default"/>
        <w:color w:val="01406B"/>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7" w15:restartNumberingAfterBreak="0">
    <w:nsid w:val="5964209D"/>
    <w:multiLevelType w:val="multilevel"/>
    <w:tmpl w:val="A41E8CE0"/>
    <w:lvl w:ilvl="0">
      <w:start w:val="4"/>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8" w15:restartNumberingAfterBreak="0">
    <w:nsid w:val="596A0A9D"/>
    <w:multiLevelType w:val="hybridMultilevel"/>
    <w:tmpl w:val="B1521FC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9" w15:restartNumberingAfterBreak="0">
    <w:nsid w:val="59747132"/>
    <w:multiLevelType w:val="hybridMultilevel"/>
    <w:tmpl w:val="CE32CB0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0" w15:restartNumberingAfterBreak="0">
    <w:nsid w:val="59AD7AAB"/>
    <w:multiLevelType w:val="hybridMultilevel"/>
    <w:tmpl w:val="98DE05B4"/>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1" w15:restartNumberingAfterBreak="0">
    <w:nsid w:val="59E14AAD"/>
    <w:multiLevelType w:val="hybridMultilevel"/>
    <w:tmpl w:val="0796892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2" w15:restartNumberingAfterBreak="0">
    <w:nsid w:val="59EB55B4"/>
    <w:multiLevelType w:val="hybridMultilevel"/>
    <w:tmpl w:val="2FF4EA5A"/>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203" w15:restartNumberingAfterBreak="0">
    <w:nsid w:val="5A635F05"/>
    <w:multiLevelType w:val="hybridMultilevel"/>
    <w:tmpl w:val="17CE9848"/>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04" w15:restartNumberingAfterBreak="0">
    <w:nsid w:val="5A87332A"/>
    <w:multiLevelType w:val="hybridMultilevel"/>
    <w:tmpl w:val="1A7EAE8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5" w15:restartNumberingAfterBreak="0">
    <w:nsid w:val="5AF10D4D"/>
    <w:multiLevelType w:val="hybridMultilevel"/>
    <w:tmpl w:val="E690D63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6" w15:restartNumberingAfterBreak="0">
    <w:nsid w:val="5B04644B"/>
    <w:multiLevelType w:val="hybridMultilevel"/>
    <w:tmpl w:val="522A86D2"/>
    <w:lvl w:ilvl="0" w:tplc="1FEC2970">
      <w:start w:val="1"/>
      <w:numFmt w:val="bullet"/>
      <w:lvlText w:val=""/>
      <w:lvlJc w:val="left"/>
      <w:pPr>
        <w:ind w:left="720" w:hanging="360"/>
      </w:pPr>
      <w:rPr>
        <w:rFonts w:ascii="Wingdings" w:hAnsi="Wingdings" w:hint="default"/>
        <w:color w:val="A6A6A6" w:themeColor="background1" w:themeShade="A6"/>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7" w15:restartNumberingAfterBreak="0">
    <w:nsid w:val="5B0F2AD3"/>
    <w:multiLevelType w:val="hybridMultilevel"/>
    <w:tmpl w:val="28DAA71C"/>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08" w15:restartNumberingAfterBreak="0">
    <w:nsid w:val="5BFE5AAD"/>
    <w:multiLevelType w:val="hybridMultilevel"/>
    <w:tmpl w:val="E5F80C0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9" w15:restartNumberingAfterBreak="0">
    <w:nsid w:val="5CAB4616"/>
    <w:multiLevelType w:val="hybridMultilevel"/>
    <w:tmpl w:val="1F4CFF2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0" w15:restartNumberingAfterBreak="0">
    <w:nsid w:val="5E5B1A29"/>
    <w:multiLevelType w:val="hybridMultilevel"/>
    <w:tmpl w:val="A204E28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1" w15:restartNumberingAfterBreak="0">
    <w:nsid w:val="5E6A410F"/>
    <w:multiLevelType w:val="hybridMultilevel"/>
    <w:tmpl w:val="4380D55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2" w15:restartNumberingAfterBreak="0">
    <w:nsid w:val="5EBB6556"/>
    <w:multiLevelType w:val="hybridMultilevel"/>
    <w:tmpl w:val="B424353C"/>
    <w:lvl w:ilvl="0" w:tplc="04080005">
      <w:start w:val="1"/>
      <w:numFmt w:val="bullet"/>
      <w:lvlText w:val=""/>
      <w:lvlJc w:val="left"/>
      <w:pPr>
        <w:ind w:left="720" w:hanging="360"/>
      </w:pPr>
      <w:rPr>
        <w:rFonts w:ascii="Wingdings" w:hAnsi="Wingdings"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213" w15:restartNumberingAfterBreak="0">
    <w:nsid w:val="60B83F73"/>
    <w:multiLevelType w:val="hybridMultilevel"/>
    <w:tmpl w:val="E0D86D1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4" w15:restartNumberingAfterBreak="0">
    <w:nsid w:val="60E75424"/>
    <w:multiLevelType w:val="hybridMultilevel"/>
    <w:tmpl w:val="D0D2BC5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5" w15:restartNumberingAfterBreak="0">
    <w:nsid w:val="612104FF"/>
    <w:multiLevelType w:val="hybridMultilevel"/>
    <w:tmpl w:val="98849F2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6" w15:restartNumberingAfterBreak="0">
    <w:nsid w:val="618F7DCB"/>
    <w:multiLevelType w:val="hybridMultilevel"/>
    <w:tmpl w:val="470618C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7" w15:restartNumberingAfterBreak="0">
    <w:nsid w:val="61BC36A4"/>
    <w:multiLevelType w:val="hybridMultilevel"/>
    <w:tmpl w:val="D94CF0E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8" w15:restartNumberingAfterBreak="0">
    <w:nsid w:val="626759F1"/>
    <w:multiLevelType w:val="hybridMultilevel"/>
    <w:tmpl w:val="8438BC84"/>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9" w15:restartNumberingAfterBreak="0">
    <w:nsid w:val="62C615F5"/>
    <w:multiLevelType w:val="hybridMultilevel"/>
    <w:tmpl w:val="574A491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0" w15:restartNumberingAfterBreak="0">
    <w:nsid w:val="63046280"/>
    <w:multiLevelType w:val="hybridMultilevel"/>
    <w:tmpl w:val="27507DA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1" w15:restartNumberingAfterBreak="0">
    <w:nsid w:val="644C7632"/>
    <w:multiLevelType w:val="hybridMultilevel"/>
    <w:tmpl w:val="4842825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2" w15:restartNumberingAfterBreak="0">
    <w:nsid w:val="64AB47FE"/>
    <w:multiLevelType w:val="hybridMultilevel"/>
    <w:tmpl w:val="59048BE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3" w15:restartNumberingAfterBreak="0">
    <w:nsid w:val="658E41C5"/>
    <w:multiLevelType w:val="hybridMultilevel"/>
    <w:tmpl w:val="0582966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15:restartNumberingAfterBreak="0">
    <w:nsid w:val="664050DF"/>
    <w:multiLevelType w:val="hybridMultilevel"/>
    <w:tmpl w:val="11C9ADA1"/>
    <w:lvl w:ilvl="0" w:tplc="FFFFFFFF">
      <w:start w:val="1"/>
      <w:numFmt w:val="ideographDigit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25" w15:restartNumberingAfterBreak="0">
    <w:nsid w:val="66DC4DB7"/>
    <w:multiLevelType w:val="hybridMultilevel"/>
    <w:tmpl w:val="7342108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6" w15:restartNumberingAfterBreak="0">
    <w:nsid w:val="674F7CCA"/>
    <w:multiLevelType w:val="hybridMultilevel"/>
    <w:tmpl w:val="2DCEC17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7" w15:restartNumberingAfterBreak="0">
    <w:nsid w:val="67614EA7"/>
    <w:multiLevelType w:val="hybridMultilevel"/>
    <w:tmpl w:val="3662BEE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8" w15:restartNumberingAfterBreak="0">
    <w:nsid w:val="67F977A7"/>
    <w:multiLevelType w:val="hybridMultilevel"/>
    <w:tmpl w:val="0248BC7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9" w15:restartNumberingAfterBreak="0">
    <w:nsid w:val="68BB25CA"/>
    <w:multiLevelType w:val="hybridMultilevel"/>
    <w:tmpl w:val="F8FED7C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0" w15:restartNumberingAfterBreak="0">
    <w:nsid w:val="68FA0E8C"/>
    <w:multiLevelType w:val="hybridMultilevel"/>
    <w:tmpl w:val="922E5E9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1" w15:restartNumberingAfterBreak="0">
    <w:nsid w:val="69633922"/>
    <w:multiLevelType w:val="hybridMultilevel"/>
    <w:tmpl w:val="5E5C6F1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2" w15:restartNumberingAfterBreak="0">
    <w:nsid w:val="6A5870C3"/>
    <w:multiLevelType w:val="hybridMultilevel"/>
    <w:tmpl w:val="67D003EE"/>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233" w15:restartNumberingAfterBreak="0">
    <w:nsid w:val="6B7542FD"/>
    <w:multiLevelType w:val="hybridMultilevel"/>
    <w:tmpl w:val="0D525D1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4" w15:restartNumberingAfterBreak="0">
    <w:nsid w:val="6BB30782"/>
    <w:multiLevelType w:val="hybridMultilevel"/>
    <w:tmpl w:val="004E2C0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5" w15:restartNumberingAfterBreak="0">
    <w:nsid w:val="6BF13AE1"/>
    <w:multiLevelType w:val="hybridMultilevel"/>
    <w:tmpl w:val="EF900A5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6" w15:restartNumberingAfterBreak="0">
    <w:nsid w:val="6CE61061"/>
    <w:multiLevelType w:val="hybridMultilevel"/>
    <w:tmpl w:val="103C238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7" w15:restartNumberingAfterBreak="0">
    <w:nsid w:val="6D1623B8"/>
    <w:multiLevelType w:val="hybridMultilevel"/>
    <w:tmpl w:val="361421A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8" w15:restartNumberingAfterBreak="0">
    <w:nsid w:val="6D5648A8"/>
    <w:multiLevelType w:val="hybridMultilevel"/>
    <w:tmpl w:val="B650ACC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9" w15:restartNumberingAfterBreak="0">
    <w:nsid w:val="6DEA7FF3"/>
    <w:multiLevelType w:val="hybridMultilevel"/>
    <w:tmpl w:val="C13245F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0" w15:restartNumberingAfterBreak="0">
    <w:nsid w:val="6E1E478F"/>
    <w:multiLevelType w:val="hybridMultilevel"/>
    <w:tmpl w:val="07F6A30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1" w15:restartNumberingAfterBreak="0">
    <w:nsid w:val="6E4C1659"/>
    <w:multiLevelType w:val="hybridMultilevel"/>
    <w:tmpl w:val="0B02A8D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2" w15:restartNumberingAfterBreak="0">
    <w:nsid w:val="6F613C15"/>
    <w:multiLevelType w:val="hybridMultilevel"/>
    <w:tmpl w:val="E07A36E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15:restartNumberingAfterBreak="0">
    <w:nsid w:val="6F902533"/>
    <w:multiLevelType w:val="hybridMultilevel"/>
    <w:tmpl w:val="BFE8DE5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4" w15:restartNumberingAfterBreak="0">
    <w:nsid w:val="7035737E"/>
    <w:multiLevelType w:val="hybridMultilevel"/>
    <w:tmpl w:val="096CD6F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5" w15:restartNumberingAfterBreak="0">
    <w:nsid w:val="72267E23"/>
    <w:multiLevelType w:val="hybridMultilevel"/>
    <w:tmpl w:val="9C422AE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6" w15:restartNumberingAfterBreak="0">
    <w:nsid w:val="723367C8"/>
    <w:multiLevelType w:val="hybridMultilevel"/>
    <w:tmpl w:val="76F0585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7" w15:restartNumberingAfterBreak="0">
    <w:nsid w:val="72487A1D"/>
    <w:multiLevelType w:val="hybridMultilevel"/>
    <w:tmpl w:val="DDBAA58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8" w15:restartNumberingAfterBreak="0">
    <w:nsid w:val="72545697"/>
    <w:multiLevelType w:val="hybridMultilevel"/>
    <w:tmpl w:val="44609CD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9" w15:restartNumberingAfterBreak="0">
    <w:nsid w:val="728F1755"/>
    <w:multiLevelType w:val="hybridMultilevel"/>
    <w:tmpl w:val="C0145374"/>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0" w15:restartNumberingAfterBreak="0">
    <w:nsid w:val="73990CF5"/>
    <w:multiLevelType w:val="hybridMultilevel"/>
    <w:tmpl w:val="7C8C91F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1" w15:restartNumberingAfterBreak="0">
    <w:nsid w:val="74547A45"/>
    <w:multiLevelType w:val="hybridMultilevel"/>
    <w:tmpl w:val="DCF8A8CA"/>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2" w15:restartNumberingAfterBreak="0">
    <w:nsid w:val="74A64F4E"/>
    <w:multiLevelType w:val="hybridMultilevel"/>
    <w:tmpl w:val="4C90C47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3" w15:restartNumberingAfterBreak="0">
    <w:nsid w:val="771C3C3E"/>
    <w:multiLevelType w:val="hybridMultilevel"/>
    <w:tmpl w:val="9E7EBD1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4" w15:restartNumberingAfterBreak="0">
    <w:nsid w:val="779B3E40"/>
    <w:multiLevelType w:val="hybridMultilevel"/>
    <w:tmpl w:val="CAE2F9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5" w15:restartNumberingAfterBreak="0">
    <w:nsid w:val="78216487"/>
    <w:multiLevelType w:val="hybridMultilevel"/>
    <w:tmpl w:val="C36A3D06"/>
    <w:lvl w:ilvl="0" w:tplc="5CE4ED2C">
      <w:start w:val="1"/>
      <w:numFmt w:val="bullet"/>
      <w:lvlText w:val=""/>
      <w:lvlJc w:val="left"/>
      <w:pPr>
        <w:ind w:left="720" w:hanging="360"/>
      </w:pPr>
      <w:rPr>
        <w:rFonts w:ascii="Wingdings" w:hAnsi="Wingdings" w:hint="default"/>
        <w:color w:val="01406B"/>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6" w15:restartNumberingAfterBreak="0">
    <w:nsid w:val="782460F1"/>
    <w:multiLevelType w:val="multilevel"/>
    <w:tmpl w:val="887EB744"/>
    <w:lvl w:ilvl="0">
      <w:start w:val="1"/>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7" w15:restartNumberingAfterBreak="0">
    <w:nsid w:val="7891365D"/>
    <w:multiLevelType w:val="hybridMultilevel"/>
    <w:tmpl w:val="1546A042"/>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8" w15:restartNumberingAfterBreak="0">
    <w:nsid w:val="79904D95"/>
    <w:multiLevelType w:val="hybridMultilevel"/>
    <w:tmpl w:val="FF2AA94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9" w15:restartNumberingAfterBreak="0">
    <w:nsid w:val="79A577E7"/>
    <w:multiLevelType w:val="hybridMultilevel"/>
    <w:tmpl w:val="4C8E649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0" w15:restartNumberingAfterBreak="0">
    <w:nsid w:val="7A1C6450"/>
    <w:multiLevelType w:val="hybridMultilevel"/>
    <w:tmpl w:val="3BDE3B9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1" w15:restartNumberingAfterBreak="0">
    <w:nsid w:val="7B2D3CE3"/>
    <w:multiLevelType w:val="hybridMultilevel"/>
    <w:tmpl w:val="1D106ED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2" w15:restartNumberingAfterBreak="0">
    <w:nsid w:val="7BCF7C1C"/>
    <w:multiLevelType w:val="hybridMultilevel"/>
    <w:tmpl w:val="40FA4920"/>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3" w15:restartNumberingAfterBreak="0">
    <w:nsid w:val="7C3B37B8"/>
    <w:multiLevelType w:val="hybridMultilevel"/>
    <w:tmpl w:val="BA3074C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4" w15:restartNumberingAfterBreak="0">
    <w:nsid w:val="7C517BDD"/>
    <w:multiLevelType w:val="hybridMultilevel"/>
    <w:tmpl w:val="4FD4E72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5" w15:restartNumberingAfterBreak="0">
    <w:nsid w:val="7C540446"/>
    <w:multiLevelType w:val="hybridMultilevel"/>
    <w:tmpl w:val="43CC64E4"/>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6" w15:restartNumberingAfterBreak="0">
    <w:nsid w:val="7C867820"/>
    <w:multiLevelType w:val="hybridMultilevel"/>
    <w:tmpl w:val="46DCF9A8"/>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7" w15:restartNumberingAfterBreak="0">
    <w:nsid w:val="7D6B3B27"/>
    <w:multiLevelType w:val="hybridMultilevel"/>
    <w:tmpl w:val="052A95A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8" w15:restartNumberingAfterBreak="0">
    <w:nsid w:val="7DB97157"/>
    <w:multiLevelType w:val="hybridMultilevel"/>
    <w:tmpl w:val="D386664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9" w15:restartNumberingAfterBreak="0">
    <w:nsid w:val="7DD23E80"/>
    <w:multiLevelType w:val="hybridMultilevel"/>
    <w:tmpl w:val="F8CC4C96"/>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0" w15:restartNumberingAfterBreak="0">
    <w:nsid w:val="7E5608EF"/>
    <w:multiLevelType w:val="hybridMultilevel"/>
    <w:tmpl w:val="ECAAFB8C"/>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16cid:durableId="1557426662">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39782972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658461704">
    <w:abstractNumId w:val="149"/>
  </w:num>
  <w:num w:numId="4" w16cid:durableId="922681981">
    <w:abstractNumId w:val="25"/>
  </w:num>
  <w:num w:numId="5" w16cid:durableId="2101246257">
    <w:abstractNumId w:val="85"/>
  </w:num>
  <w:num w:numId="6" w16cid:durableId="1903519813">
    <w:abstractNumId w:val="68"/>
  </w:num>
  <w:num w:numId="7" w16cid:durableId="1082721861">
    <w:abstractNumId w:val="2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393234615">
    <w:abstractNumId w:val="2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284174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42248729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121069420">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011839088">
    <w:abstractNumId w:val="221"/>
  </w:num>
  <w:num w:numId="13" w16cid:durableId="919604067">
    <w:abstractNumId w:val="32"/>
  </w:num>
  <w:num w:numId="14" w16cid:durableId="526795122">
    <w:abstractNumId w:val="253"/>
  </w:num>
  <w:num w:numId="15" w16cid:durableId="745028872">
    <w:abstractNumId w:val="214"/>
  </w:num>
  <w:num w:numId="16" w16cid:durableId="143592358">
    <w:abstractNumId w:val="54"/>
  </w:num>
  <w:num w:numId="17" w16cid:durableId="816216802">
    <w:abstractNumId w:val="173"/>
  </w:num>
  <w:num w:numId="18" w16cid:durableId="546910876">
    <w:abstractNumId w:val="41"/>
  </w:num>
  <w:num w:numId="19" w16cid:durableId="10843146">
    <w:abstractNumId w:val="219"/>
  </w:num>
  <w:num w:numId="20" w16cid:durableId="1789395599">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355271215">
    <w:abstractNumId w:val="37"/>
  </w:num>
  <w:num w:numId="22" w16cid:durableId="961889342">
    <w:abstractNumId w:val="154"/>
  </w:num>
  <w:num w:numId="23" w16cid:durableId="547957741">
    <w:abstractNumId w:val="158"/>
  </w:num>
  <w:num w:numId="24" w16cid:durableId="638533650">
    <w:abstractNumId w:val="167"/>
  </w:num>
  <w:num w:numId="25" w16cid:durableId="1925646199">
    <w:abstractNumId w:val="5"/>
  </w:num>
  <w:num w:numId="26" w16cid:durableId="1264680223">
    <w:abstractNumId w:val="236"/>
  </w:num>
  <w:num w:numId="27" w16cid:durableId="639577810">
    <w:abstractNumId w:val="72"/>
  </w:num>
  <w:num w:numId="28" w16cid:durableId="358160846">
    <w:abstractNumId w:val="90"/>
  </w:num>
  <w:num w:numId="29" w16cid:durableId="1194422902">
    <w:abstractNumId w:val="244"/>
  </w:num>
  <w:num w:numId="30" w16cid:durableId="1404064517">
    <w:abstractNumId w:val="252"/>
  </w:num>
  <w:num w:numId="31" w16cid:durableId="781537102">
    <w:abstractNumId w:val="137"/>
  </w:num>
  <w:num w:numId="32" w16cid:durableId="546836240">
    <w:abstractNumId w:val="0"/>
  </w:num>
  <w:num w:numId="33" w16cid:durableId="2094936339">
    <w:abstractNumId w:val="2"/>
  </w:num>
  <w:num w:numId="34" w16cid:durableId="663705461">
    <w:abstractNumId w:val="213"/>
  </w:num>
  <w:num w:numId="35" w16cid:durableId="220871058">
    <w:abstractNumId w:val="230"/>
  </w:num>
  <w:num w:numId="36" w16cid:durableId="1852181014">
    <w:abstractNumId w:val="146"/>
  </w:num>
  <w:num w:numId="37" w16cid:durableId="591621120">
    <w:abstractNumId w:val="129"/>
  </w:num>
  <w:num w:numId="38" w16cid:durableId="118376082">
    <w:abstractNumId w:val="94"/>
  </w:num>
  <w:num w:numId="39" w16cid:durableId="1759205710">
    <w:abstractNumId w:val="108"/>
  </w:num>
  <w:num w:numId="40" w16cid:durableId="1273319701">
    <w:abstractNumId w:val="227"/>
  </w:num>
  <w:num w:numId="41" w16cid:durableId="1398236555">
    <w:abstractNumId w:val="264"/>
  </w:num>
  <w:num w:numId="42" w16cid:durableId="1228371921">
    <w:abstractNumId w:val="192"/>
  </w:num>
  <w:num w:numId="43" w16cid:durableId="1009411733">
    <w:abstractNumId w:val="157"/>
  </w:num>
  <w:num w:numId="44" w16cid:durableId="1342245431">
    <w:abstractNumId w:val="260"/>
  </w:num>
  <w:num w:numId="45" w16cid:durableId="968901575">
    <w:abstractNumId w:val="38"/>
  </w:num>
  <w:num w:numId="46" w16cid:durableId="1470240643">
    <w:abstractNumId w:val="89"/>
  </w:num>
  <w:num w:numId="47" w16cid:durableId="1897013140">
    <w:abstractNumId w:val="254"/>
  </w:num>
  <w:num w:numId="48" w16cid:durableId="1803845248">
    <w:abstractNumId w:val="106"/>
  </w:num>
  <w:num w:numId="49" w16cid:durableId="663163752">
    <w:abstractNumId w:val="174"/>
  </w:num>
  <w:num w:numId="50" w16cid:durableId="1937907932">
    <w:abstractNumId w:val="73"/>
  </w:num>
  <w:num w:numId="51" w16cid:durableId="1810438004">
    <w:abstractNumId w:val="209"/>
  </w:num>
  <w:num w:numId="52" w16cid:durableId="511456848">
    <w:abstractNumId w:val="196"/>
  </w:num>
  <w:num w:numId="53" w16cid:durableId="1947693238">
    <w:abstractNumId w:val="269"/>
  </w:num>
  <w:num w:numId="54" w16cid:durableId="2012635920">
    <w:abstractNumId w:val="163"/>
  </w:num>
  <w:num w:numId="55" w16cid:durableId="1769613327">
    <w:abstractNumId w:val="1"/>
  </w:num>
  <w:num w:numId="56" w16cid:durableId="1966420654">
    <w:abstractNumId w:val="121"/>
  </w:num>
  <w:num w:numId="57" w16cid:durableId="741146927">
    <w:abstractNumId w:val="27"/>
  </w:num>
  <w:num w:numId="58" w16cid:durableId="1245921078">
    <w:abstractNumId w:val="65"/>
  </w:num>
  <w:num w:numId="59" w16cid:durableId="1462305648">
    <w:abstractNumId w:val="28"/>
  </w:num>
  <w:num w:numId="60" w16cid:durableId="421338016">
    <w:abstractNumId w:val="239"/>
  </w:num>
  <w:num w:numId="61" w16cid:durableId="1983653964">
    <w:abstractNumId w:val="83"/>
  </w:num>
  <w:num w:numId="62" w16cid:durableId="2086225777">
    <w:abstractNumId w:val="84"/>
  </w:num>
  <w:num w:numId="63" w16cid:durableId="353919334">
    <w:abstractNumId w:val="152"/>
  </w:num>
  <w:num w:numId="64" w16cid:durableId="1450586642">
    <w:abstractNumId w:val="182"/>
  </w:num>
  <w:num w:numId="65" w16cid:durableId="764308461">
    <w:abstractNumId w:val="220"/>
  </w:num>
  <w:num w:numId="66" w16cid:durableId="1234586101">
    <w:abstractNumId w:val="155"/>
  </w:num>
  <w:num w:numId="67" w16cid:durableId="570385584">
    <w:abstractNumId w:val="199"/>
  </w:num>
  <w:num w:numId="68" w16cid:durableId="311570846">
    <w:abstractNumId w:val="151"/>
  </w:num>
  <w:num w:numId="69" w16cid:durableId="508450589">
    <w:abstractNumId w:val="263"/>
  </w:num>
  <w:num w:numId="70" w16cid:durableId="252007862">
    <w:abstractNumId w:val="30"/>
  </w:num>
  <w:num w:numId="71" w16cid:durableId="707801182">
    <w:abstractNumId w:val="49"/>
  </w:num>
  <w:num w:numId="72" w16cid:durableId="904801651">
    <w:abstractNumId w:val="126"/>
  </w:num>
  <w:num w:numId="73" w16cid:durableId="986594641">
    <w:abstractNumId w:val="64"/>
  </w:num>
  <w:num w:numId="74" w16cid:durableId="266891080">
    <w:abstractNumId w:val="212"/>
  </w:num>
  <w:num w:numId="75" w16cid:durableId="1888756241">
    <w:abstractNumId w:val="259"/>
  </w:num>
  <w:num w:numId="76" w16cid:durableId="1302154950">
    <w:abstractNumId w:val="11"/>
  </w:num>
  <w:num w:numId="77" w16cid:durableId="1015958851">
    <w:abstractNumId w:val="117"/>
  </w:num>
  <w:num w:numId="78" w16cid:durableId="1098017649">
    <w:abstractNumId w:val="112"/>
  </w:num>
  <w:num w:numId="79" w16cid:durableId="1671906146">
    <w:abstractNumId w:val="3"/>
  </w:num>
  <w:num w:numId="80" w16cid:durableId="1207180180">
    <w:abstractNumId w:val="233"/>
  </w:num>
  <w:num w:numId="81" w16cid:durableId="1891531100">
    <w:abstractNumId w:val="102"/>
  </w:num>
  <w:num w:numId="82" w16cid:durableId="2141653256">
    <w:abstractNumId w:val="217"/>
  </w:num>
  <w:num w:numId="83" w16cid:durableId="437650969">
    <w:abstractNumId w:val="51"/>
  </w:num>
  <w:num w:numId="84" w16cid:durableId="915675611">
    <w:abstractNumId w:val="201"/>
  </w:num>
  <w:num w:numId="85" w16cid:durableId="214239068">
    <w:abstractNumId w:val="262"/>
  </w:num>
  <w:num w:numId="86" w16cid:durableId="963733823">
    <w:abstractNumId w:val="156"/>
  </w:num>
  <w:num w:numId="87" w16cid:durableId="1734497550">
    <w:abstractNumId w:val="270"/>
  </w:num>
  <w:num w:numId="88" w16cid:durableId="1068504668">
    <w:abstractNumId w:val="100"/>
  </w:num>
  <w:num w:numId="89" w16cid:durableId="1709139629">
    <w:abstractNumId w:val="81"/>
  </w:num>
  <w:num w:numId="90" w16cid:durableId="373847205">
    <w:abstractNumId w:val="228"/>
  </w:num>
  <w:num w:numId="91" w16cid:durableId="323894135">
    <w:abstractNumId w:val="70"/>
  </w:num>
  <w:num w:numId="92" w16cid:durableId="2092043462">
    <w:abstractNumId w:val="148"/>
  </w:num>
  <w:num w:numId="93" w16cid:durableId="702436755">
    <w:abstractNumId w:val="104"/>
  </w:num>
  <w:num w:numId="94" w16cid:durableId="535965008">
    <w:abstractNumId w:val="205"/>
  </w:num>
  <w:num w:numId="95" w16cid:durableId="1074474573">
    <w:abstractNumId w:val="162"/>
  </w:num>
  <w:num w:numId="96" w16cid:durableId="1661150229">
    <w:abstractNumId w:val="238"/>
  </w:num>
  <w:num w:numId="97" w16cid:durableId="945891334">
    <w:abstractNumId w:val="188"/>
  </w:num>
  <w:num w:numId="98" w16cid:durableId="1192035765">
    <w:abstractNumId w:val="23"/>
  </w:num>
  <w:num w:numId="99" w16cid:durableId="1978798292">
    <w:abstractNumId w:val="226"/>
  </w:num>
  <w:num w:numId="100" w16cid:durableId="525170729">
    <w:abstractNumId w:val="15"/>
  </w:num>
  <w:num w:numId="101" w16cid:durableId="705562326">
    <w:abstractNumId w:val="144"/>
  </w:num>
  <w:num w:numId="102" w16cid:durableId="917011274">
    <w:abstractNumId w:val="29"/>
  </w:num>
  <w:num w:numId="103" w16cid:durableId="3630338">
    <w:abstractNumId w:val="33"/>
  </w:num>
  <w:num w:numId="104" w16cid:durableId="141191860">
    <w:abstractNumId w:val="247"/>
  </w:num>
  <w:num w:numId="105" w16cid:durableId="21134288">
    <w:abstractNumId w:val="246"/>
  </w:num>
  <w:num w:numId="106" w16cid:durableId="795682791">
    <w:abstractNumId w:val="103"/>
  </w:num>
  <w:num w:numId="107" w16cid:durableId="1451974695">
    <w:abstractNumId w:val="140"/>
  </w:num>
  <w:num w:numId="108" w16cid:durableId="1930195713">
    <w:abstractNumId w:val="183"/>
  </w:num>
  <w:num w:numId="109" w16cid:durableId="917398773">
    <w:abstractNumId w:val="210"/>
  </w:num>
  <w:num w:numId="110" w16cid:durableId="493881922">
    <w:abstractNumId w:val="118"/>
  </w:num>
  <w:num w:numId="111" w16cid:durableId="1399742387">
    <w:abstractNumId w:val="20"/>
  </w:num>
  <w:num w:numId="112" w16cid:durableId="1388844637">
    <w:abstractNumId w:val="17"/>
  </w:num>
  <w:num w:numId="113" w16cid:durableId="873930429">
    <w:abstractNumId w:val="79"/>
  </w:num>
  <w:num w:numId="114" w16cid:durableId="81723590">
    <w:abstractNumId w:val="147"/>
  </w:num>
  <w:num w:numId="115" w16cid:durableId="1839227549">
    <w:abstractNumId w:val="69"/>
  </w:num>
  <w:num w:numId="116" w16cid:durableId="1066535641">
    <w:abstractNumId w:val="62"/>
  </w:num>
  <w:num w:numId="117" w16cid:durableId="1350986411">
    <w:abstractNumId w:val="235"/>
  </w:num>
  <w:num w:numId="118" w16cid:durableId="409810417">
    <w:abstractNumId w:val="248"/>
  </w:num>
  <w:num w:numId="119" w16cid:durableId="1461337304">
    <w:abstractNumId w:val="93"/>
  </w:num>
  <w:num w:numId="120" w16cid:durableId="1926571296">
    <w:abstractNumId w:val="88"/>
  </w:num>
  <w:num w:numId="121" w16cid:durableId="351418608">
    <w:abstractNumId w:val="50"/>
  </w:num>
  <w:num w:numId="122" w16cid:durableId="2043163839">
    <w:abstractNumId w:val="185"/>
  </w:num>
  <w:num w:numId="123" w16cid:durableId="1013385406">
    <w:abstractNumId w:val="255"/>
  </w:num>
  <w:num w:numId="124" w16cid:durableId="742340711">
    <w:abstractNumId w:val="141"/>
  </w:num>
  <w:num w:numId="125" w16cid:durableId="534544210">
    <w:abstractNumId w:val="145"/>
  </w:num>
  <w:num w:numId="126" w16cid:durableId="1309242186">
    <w:abstractNumId w:val="208"/>
  </w:num>
  <w:num w:numId="127" w16cid:durableId="440998821">
    <w:abstractNumId w:val="194"/>
  </w:num>
  <w:num w:numId="128" w16cid:durableId="1642418388">
    <w:abstractNumId w:val="122"/>
  </w:num>
  <w:num w:numId="129" w16cid:durableId="417411856">
    <w:abstractNumId w:val="7"/>
  </w:num>
  <w:num w:numId="130" w16cid:durableId="1349286267">
    <w:abstractNumId w:val="177"/>
  </w:num>
  <w:num w:numId="131" w16cid:durableId="1867979715">
    <w:abstractNumId w:val="136"/>
  </w:num>
  <w:num w:numId="132" w16cid:durableId="1190031098">
    <w:abstractNumId w:val="169"/>
  </w:num>
  <w:num w:numId="133" w16cid:durableId="1088035598">
    <w:abstractNumId w:val="82"/>
  </w:num>
  <w:num w:numId="134" w16cid:durableId="2112623418">
    <w:abstractNumId w:val="46"/>
  </w:num>
  <w:num w:numId="135" w16cid:durableId="983237133">
    <w:abstractNumId w:val="251"/>
  </w:num>
  <w:num w:numId="136" w16cid:durableId="1880821716">
    <w:abstractNumId w:val="8"/>
  </w:num>
  <w:num w:numId="137" w16cid:durableId="1935161196">
    <w:abstractNumId w:val="78"/>
  </w:num>
  <w:num w:numId="138" w16cid:durableId="2034844579">
    <w:abstractNumId w:val="86"/>
  </w:num>
  <w:num w:numId="139" w16cid:durableId="1349789535">
    <w:abstractNumId w:val="237"/>
  </w:num>
  <w:num w:numId="140" w16cid:durableId="453065744">
    <w:abstractNumId w:val="257"/>
  </w:num>
  <w:num w:numId="141" w16cid:durableId="45030563">
    <w:abstractNumId w:val="267"/>
  </w:num>
  <w:num w:numId="142" w16cid:durableId="425275293">
    <w:abstractNumId w:val="181"/>
  </w:num>
  <w:num w:numId="143" w16cid:durableId="1859465450">
    <w:abstractNumId w:val="125"/>
  </w:num>
  <w:num w:numId="144" w16cid:durableId="925578414">
    <w:abstractNumId w:val="195"/>
  </w:num>
  <w:num w:numId="145" w16cid:durableId="206573249">
    <w:abstractNumId w:val="218"/>
  </w:num>
  <w:num w:numId="146" w16cid:durableId="236938695">
    <w:abstractNumId w:val="56"/>
  </w:num>
  <w:num w:numId="147" w16cid:durableId="971903493">
    <w:abstractNumId w:val="124"/>
  </w:num>
  <w:num w:numId="148" w16cid:durableId="1575358201">
    <w:abstractNumId w:val="171"/>
  </w:num>
  <w:num w:numId="149" w16cid:durableId="1574512265">
    <w:abstractNumId w:val="234"/>
  </w:num>
  <w:num w:numId="150" w16cid:durableId="928201733">
    <w:abstractNumId w:val="58"/>
  </w:num>
  <w:num w:numId="151" w16cid:durableId="1484539872">
    <w:abstractNumId w:val="26"/>
  </w:num>
  <w:num w:numId="152" w16cid:durableId="1440181124">
    <w:abstractNumId w:val="166"/>
  </w:num>
  <w:num w:numId="153" w16cid:durableId="1786853393">
    <w:abstractNumId w:val="31"/>
  </w:num>
  <w:num w:numId="154" w16cid:durableId="581529870">
    <w:abstractNumId w:val="179"/>
  </w:num>
  <w:num w:numId="155" w16cid:durableId="1460371062">
    <w:abstractNumId w:val="19"/>
  </w:num>
  <w:num w:numId="156" w16cid:durableId="1098797915">
    <w:abstractNumId w:val="130"/>
  </w:num>
  <w:num w:numId="157" w16cid:durableId="1351906423">
    <w:abstractNumId w:val="44"/>
  </w:num>
  <w:num w:numId="158" w16cid:durableId="1603100211">
    <w:abstractNumId w:val="211"/>
  </w:num>
  <w:num w:numId="159" w16cid:durableId="448863844">
    <w:abstractNumId w:val="55"/>
  </w:num>
  <w:num w:numId="160" w16cid:durableId="1121219631">
    <w:abstractNumId w:val="150"/>
  </w:num>
  <w:num w:numId="161" w16cid:durableId="490680469">
    <w:abstractNumId w:val="250"/>
  </w:num>
  <w:num w:numId="162" w16cid:durableId="1441755508">
    <w:abstractNumId w:val="98"/>
  </w:num>
  <w:num w:numId="163" w16cid:durableId="1813865198">
    <w:abstractNumId w:val="18"/>
  </w:num>
  <w:num w:numId="164" w16cid:durableId="1876768101">
    <w:abstractNumId w:val="76"/>
  </w:num>
  <w:num w:numId="165" w16cid:durableId="99377409">
    <w:abstractNumId w:val="43"/>
  </w:num>
  <w:num w:numId="166" w16cid:durableId="1657565363">
    <w:abstractNumId w:val="127"/>
  </w:num>
  <w:num w:numId="167" w16cid:durableId="939333634">
    <w:abstractNumId w:val="172"/>
  </w:num>
  <w:num w:numId="168" w16cid:durableId="577444183">
    <w:abstractNumId w:val="231"/>
  </w:num>
  <w:num w:numId="169" w16cid:durableId="569735282">
    <w:abstractNumId w:val="10"/>
  </w:num>
  <w:num w:numId="170" w16cid:durableId="854540165">
    <w:abstractNumId w:val="189"/>
  </w:num>
  <w:num w:numId="171" w16cid:durableId="469061370">
    <w:abstractNumId w:val="39"/>
  </w:num>
  <w:num w:numId="172" w16cid:durableId="339965765">
    <w:abstractNumId w:val="138"/>
  </w:num>
  <w:num w:numId="173" w16cid:durableId="1850094592">
    <w:abstractNumId w:val="204"/>
  </w:num>
  <w:num w:numId="174" w16cid:durableId="191651434">
    <w:abstractNumId w:val="190"/>
  </w:num>
  <w:num w:numId="175" w16cid:durableId="494496506">
    <w:abstractNumId w:val="133"/>
  </w:num>
  <w:num w:numId="176" w16cid:durableId="1020742468">
    <w:abstractNumId w:val="215"/>
  </w:num>
  <w:num w:numId="177" w16cid:durableId="1481993719">
    <w:abstractNumId w:val="142"/>
  </w:num>
  <w:num w:numId="178" w16cid:durableId="1273130169">
    <w:abstractNumId w:val="47"/>
  </w:num>
  <w:num w:numId="179" w16cid:durableId="1404916199">
    <w:abstractNumId w:val="187"/>
  </w:num>
  <w:num w:numId="180" w16cid:durableId="258877350">
    <w:abstractNumId w:val="202"/>
  </w:num>
  <w:num w:numId="181" w16cid:durableId="1594775007">
    <w:abstractNumId w:val="61"/>
  </w:num>
  <w:num w:numId="182" w16cid:durableId="523250583">
    <w:abstractNumId w:val="13"/>
  </w:num>
  <w:num w:numId="183" w16cid:durableId="362825649">
    <w:abstractNumId w:val="243"/>
  </w:num>
  <w:num w:numId="184" w16cid:durableId="1505439226">
    <w:abstractNumId w:val="74"/>
  </w:num>
  <w:num w:numId="185" w16cid:durableId="2063166411">
    <w:abstractNumId w:val="164"/>
  </w:num>
  <w:num w:numId="186" w16cid:durableId="2097826616">
    <w:abstractNumId w:val="143"/>
  </w:num>
  <w:num w:numId="187" w16cid:durableId="61342419">
    <w:abstractNumId w:val="175"/>
  </w:num>
  <w:num w:numId="188" w16cid:durableId="322390646">
    <w:abstractNumId w:val="92"/>
  </w:num>
  <w:num w:numId="189" w16cid:durableId="233705186">
    <w:abstractNumId w:val="170"/>
  </w:num>
  <w:num w:numId="190" w16cid:durableId="680274564">
    <w:abstractNumId w:val="21"/>
  </w:num>
  <w:num w:numId="191" w16cid:durableId="1259754066">
    <w:abstractNumId w:val="266"/>
  </w:num>
  <w:num w:numId="192" w16cid:durableId="1560945005">
    <w:abstractNumId w:val="116"/>
  </w:num>
  <w:num w:numId="193" w16cid:durableId="1511682317">
    <w:abstractNumId w:val="99"/>
  </w:num>
  <w:num w:numId="194" w16cid:durableId="1430350461">
    <w:abstractNumId w:val="59"/>
  </w:num>
  <w:num w:numId="195" w16cid:durableId="792866458">
    <w:abstractNumId w:val="131"/>
  </w:num>
  <w:num w:numId="196" w16cid:durableId="207422531">
    <w:abstractNumId w:val="71"/>
  </w:num>
  <w:num w:numId="197" w16cid:durableId="778992956">
    <w:abstractNumId w:val="265"/>
  </w:num>
  <w:num w:numId="198" w16cid:durableId="1724862482">
    <w:abstractNumId w:val="240"/>
  </w:num>
  <w:num w:numId="199" w16cid:durableId="550044997">
    <w:abstractNumId w:val="261"/>
  </w:num>
  <w:num w:numId="200" w16cid:durableId="1275357223">
    <w:abstractNumId w:val="245"/>
  </w:num>
  <w:num w:numId="201" w16cid:durableId="1853184302">
    <w:abstractNumId w:val="200"/>
  </w:num>
  <w:num w:numId="202" w16cid:durableId="1328434284">
    <w:abstractNumId w:val="34"/>
  </w:num>
  <w:num w:numId="203" w16cid:durableId="171797286">
    <w:abstractNumId w:val="232"/>
  </w:num>
  <w:num w:numId="204" w16cid:durableId="1586916297">
    <w:abstractNumId w:val="60"/>
  </w:num>
  <w:num w:numId="205" w16cid:durableId="809319995">
    <w:abstractNumId w:val="176"/>
  </w:num>
  <w:num w:numId="206" w16cid:durableId="1829051251">
    <w:abstractNumId w:val="120"/>
  </w:num>
  <w:num w:numId="207" w16cid:durableId="954403950">
    <w:abstractNumId w:val="113"/>
  </w:num>
  <w:num w:numId="208" w16cid:durableId="1897470904">
    <w:abstractNumId w:val="241"/>
  </w:num>
  <w:num w:numId="209" w16cid:durableId="775292951">
    <w:abstractNumId w:val="119"/>
  </w:num>
  <w:num w:numId="210" w16cid:durableId="1222862528">
    <w:abstractNumId w:val="24"/>
  </w:num>
  <w:num w:numId="211" w16cid:durableId="359623017">
    <w:abstractNumId w:val="91"/>
  </w:num>
  <w:num w:numId="212" w16cid:durableId="2002855189">
    <w:abstractNumId w:val="12"/>
  </w:num>
  <w:num w:numId="213" w16cid:durableId="1917789166">
    <w:abstractNumId w:val="225"/>
  </w:num>
  <w:num w:numId="214" w16cid:durableId="1323436502">
    <w:abstractNumId w:val="165"/>
  </w:num>
  <w:num w:numId="215" w16cid:durableId="179396801">
    <w:abstractNumId w:val="249"/>
  </w:num>
  <w:num w:numId="216" w16cid:durableId="395132037">
    <w:abstractNumId w:val="229"/>
  </w:num>
  <w:num w:numId="217" w16cid:durableId="2013481673">
    <w:abstractNumId w:val="222"/>
  </w:num>
  <w:num w:numId="218" w16cid:durableId="1208835020">
    <w:abstractNumId w:val="16"/>
  </w:num>
  <w:num w:numId="219" w16cid:durableId="1270508510">
    <w:abstractNumId w:val="95"/>
  </w:num>
  <w:num w:numId="220" w16cid:durableId="2112776308">
    <w:abstractNumId w:val="139"/>
  </w:num>
  <w:num w:numId="221" w16cid:durableId="344478650">
    <w:abstractNumId w:val="48"/>
  </w:num>
  <w:num w:numId="222" w16cid:durableId="1606687303">
    <w:abstractNumId w:val="161"/>
  </w:num>
  <w:num w:numId="223" w16cid:durableId="1604461154">
    <w:abstractNumId w:val="77"/>
  </w:num>
  <w:num w:numId="224" w16cid:durableId="1428963326">
    <w:abstractNumId w:val="128"/>
  </w:num>
  <w:num w:numId="225" w16cid:durableId="1561481323">
    <w:abstractNumId w:val="75"/>
  </w:num>
  <w:num w:numId="226" w16cid:durableId="1758092488">
    <w:abstractNumId w:val="198"/>
  </w:num>
  <w:num w:numId="227" w16cid:durableId="271517157">
    <w:abstractNumId w:val="101"/>
  </w:num>
  <w:num w:numId="228" w16cid:durableId="678048240">
    <w:abstractNumId w:val="258"/>
  </w:num>
  <w:num w:numId="229" w16cid:durableId="114065236">
    <w:abstractNumId w:val="115"/>
  </w:num>
  <w:num w:numId="230" w16cid:durableId="188881987">
    <w:abstractNumId w:val="42"/>
  </w:num>
  <w:num w:numId="231" w16cid:durableId="551384412">
    <w:abstractNumId w:val="193"/>
  </w:num>
  <w:num w:numId="232" w16cid:durableId="1496604320">
    <w:abstractNumId w:val="114"/>
  </w:num>
  <w:num w:numId="233" w16cid:durableId="1858691171">
    <w:abstractNumId w:val="107"/>
  </w:num>
  <w:num w:numId="234" w16cid:durableId="703557969">
    <w:abstractNumId w:val="35"/>
  </w:num>
  <w:num w:numId="235" w16cid:durableId="1884246563">
    <w:abstractNumId w:val="109"/>
  </w:num>
  <w:num w:numId="236" w16cid:durableId="1961955348">
    <w:abstractNumId w:val="186"/>
  </w:num>
  <w:num w:numId="237" w16cid:durableId="1013344112">
    <w:abstractNumId w:val="178"/>
  </w:num>
  <w:num w:numId="238" w16cid:durableId="1755668436">
    <w:abstractNumId w:val="2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16cid:durableId="1613586542">
    <w:abstractNumId w:val="224"/>
    <w:lvlOverride w:ilvl="0">
      <w:startOverride w:val="1"/>
    </w:lvlOverride>
    <w:lvlOverride w:ilvl="1"/>
    <w:lvlOverride w:ilvl="2"/>
    <w:lvlOverride w:ilvl="3"/>
    <w:lvlOverride w:ilvl="4"/>
    <w:lvlOverride w:ilvl="5"/>
    <w:lvlOverride w:ilvl="6"/>
    <w:lvlOverride w:ilvl="7"/>
    <w:lvlOverride w:ilvl="8"/>
  </w:num>
  <w:num w:numId="240" w16cid:durableId="1319381430">
    <w:abstractNumId w:val="96"/>
    <w:lvlOverride w:ilvl="0">
      <w:startOverride w:val="1"/>
    </w:lvlOverride>
    <w:lvlOverride w:ilvl="1"/>
    <w:lvlOverride w:ilvl="2"/>
    <w:lvlOverride w:ilvl="3"/>
    <w:lvlOverride w:ilvl="4"/>
    <w:lvlOverride w:ilvl="5"/>
    <w:lvlOverride w:ilvl="6"/>
    <w:lvlOverride w:ilvl="7"/>
    <w:lvlOverride w:ilvl="8"/>
  </w:num>
  <w:num w:numId="241" w16cid:durableId="1585842584">
    <w:abstractNumId w:val="168"/>
    <w:lvlOverride w:ilvl="0">
      <w:startOverride w:val="1"/>
    </w:lvlOverride>
    <w:lvlOverride w:ilvl="1"/>
    <w:lvlOverride w:ilvl="2"/>
    <w:lvlOverride w:ilvl="3"/>
    <w:lvlOverride w:ilvl="4"/>
    <w:lvlOverride w:ilvl="5"/>
    <w:lvlOverride w:ilvl="6"/>
    <w:lvlOverride w:ilvl="7"/>
    <w:lvlOverride w:ilvl="8"/>
  </w:num>
  <w:num w:numId="242" w16cid:durableId="1844081722">
    <w:abstractNumId w:val="63"/>
    <w:lvlOverride w:ilvl="0">
      <w:startOverride w:val="1"/>
    </w:lvlOverride>
    <w:lvlOverride w:ilvl="1"/>
    <w:lvlOverride w:ilvl="2"/>
    <w:lvlOverride w:ilvl="3"/>
    <w:lvlOverride w:ilvl="4"/>
    <w:lvlOverride w:ilvl="5"/>
    <w:lvlOverride w:ilvl="6"/>
    <w:lvlOverride w:ilvl="7"/>
    <w:lvlOverride w:ilvl="8"/>
  </w:num>
  <w:num w:numId="243" w16cid:durableId="1254168976">
    <w:abstractNumId w:val="80"/>
    <w:lvlOverride w:ilvl="0">
      <w:startOverride w:val="1"/>
    </w:lvlOverride>
    <w:lvlOverride w:ilvl="1"/>
    <w:lvlOverride w:ilvl="2"/>
    <w:lvlOverride w:ilvl="3"/>
    <w:lvlOverride w:ilvl="4"/>
    <w:lvlOverride w:ilvl="5"/>
    <w:lvlOverride w:ilvl="6"/>
    <w:lvlOverride w:ilvl="7"/>
    <w:lvlOverride w:ilvl="8"/>
  </w:num>
  <w:num w:numId="244" w16cid:durableId="1825125717">
    <w:abstractNumId w:val="159"/>
  </w:num>
  <w:num w:numId="245" w16cid:durableId="573930017">
    <w:abstractNumId w:val="184"/>
  </w:num>
  <w:num w:numId="246" w16cid:durableId="343627690">
    <w:abstractNumId w:val="105"/>
  </w:num>
  <w:num w:numId="247" w16cid:durableId="252206008">
    <w:abstractNumId w:val="206"/>
  </w:num>
  <w:num w:numId="248" w16cid:durableId="1926062974">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16cid:durableId="1267077313">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16cid:durableId="745616916">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16cid:durableId="199245500">
    <w:abstractNumId w:val="110"/>
  </w:num>
  <w:num w:numId="252" w16cid:durableId="278028294">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16cid:durableId="800197670">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16cid:durableId="125241950">
    <w:abstractNumId w:val="160"/>
  </w:num>
  <w:num w:numId="255" w16cid:durableId="656224587">
    <w:abstractNumId w:val="66"/>
  </w:num>
  <w:num w:numId="256" w16cid:durableId="1214731499">
    <w:abstractNumId w:val="216"/>
  </w:num>
  <w:num w:numId="257" w16cid:durableId="1759016268">
    <w:abstractNumId w:val="87"/>
  </w:num>
  <w:num w:numId="258" w16cid:durableId="320933535">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16cid:durableId="1838500868">
    <w:abstractNumId w:val="57"/>
  </w:num>
  <w:num w:numId="260" w16cid:durableId="670378378">
    <w:abstractNumId w:val="242"/>
  </w:num>
  <w:num w:numId="261" w16cid:durableId="1474181979">
    <w:abstractNumId w:val="6"/>
  </w:num>
  <w:num w:numId="262" w16cid:durableId="1643542056">
    <w:abstractNumId w:val="40"/>
  </w:num>
  <w:num w:numId="263" w16cid:durableId="593369287">
    <w:abstractNumId w:val="256"/>
  </w:num>
  <w:num w:numId="264" w16cid:durableId="76098235">
    <w:abstractNumId w:val="97"/>
  </w:num>
  <w:num w:numId="265" w16cid:durableId="1691835596">
    <w:abstractNumId w:val="223"/>
  </w:num>
  <w:num w:numId="266" w16cid:durableId="1530484535">
    <w:abstractNumId w:val="9"/>
  </w:num>
  <w:num w:numId="267" w16cid:durableId="580917652">
    <w:abstractNumId w:val="134"/>
  </w:num>
  <w:num w:numId="268" w16cid:durableId="782919757">
    <w:abstractNumId w:val="22"/>
  </w:num>
  <w:num w:numId="269" w16cid:durableId="111365935">
    <w:abstractNumId w:val="52"/>
  </w:num>
  <w:num w:numId="270" w16cid:durableId="268657569">
    <w:abstractNumId w:val="197"/>
  </w:num>
  <w:num w:numId="271" w16cid:durableId="690375446">
    <w:abstractNumId w:val="132"/>
  </w:num>
  <w:num w:numId="272" w16cid:durableId="1496456261">
    <w:abstractNumId w:val="67"/>
  </w:num>
  <w:num w:numId="273" w16cid:durableId="1186598944">
    <w:abstractNumId w:val="45"/>
  </w:num>
  <w:numIdMacAtCleanup w:val="2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4438"/>
    <w:rsid w:val="0000364B"/>
    <w:rsid w:val="0001260B"/>
    <w:rsid w:val="00013008"/>
    <w:rsid w:val="00020FAD"/>
    <w:rsid w:val="00021B6B"/>
    <w:rsid w:val="00023361"/>
    <w:rsid w:val="00026E20"/>
    <w:rsid w:val="00035E21"/>
    <w:rsid w:val="0004542F"/>
    <w:rsid w:val="00045FD6"/>
    <w:rsid w:val="00060070"/>
    <w:rsid w:val="000610A8"/>
    <w:rsid w:val="0006432E"/>
    <w:rsid w:val="00067BD7"/>
    <w:rsid w:val="0007759D"/>
    <w:rsid w:val="0008627D"/>
    <w:rsid w:val="00087262"/>
    <w:rsid w:val="00093B3B"/>
    <w:rsid w:val="000C3790"/>
    <w:rsid w:val="000E35FA"/>
    <w:rsid w:val="000F0CC8"/>
    <w:rsid w:val="000F2858"/>
    <w:rsid w:val="000F3E42"/>
    <w:rsid w:val="00115822"/>
    <w:rsid w:val="00134BE7"/>
    <w:rsid w:val="00135C6C"/>
    <w:rsid w:val="0014487F"/>
    <w:rsid w:val="00154960"/>
    <w:rsid w:val="00156CFD"/>
    <w:rsid w:val="00161CFB"/>
    <w:rsid w:val="00166EF8"/>
    <w:rsid w:val="001674BA"/>
    <w:rsid w:val="0017152C"/>
    <w:rsid w:val="00176222"/>
    <w:rsid w:val="00186ABD"/>
    <w:rsid w:val="00191CCB"/>
    <w:rsid w:val="00193070"/>
    <w:rsid w:val="001930CB"/>
    <w:rsid w:val="001A0653"/>
    <w:rsid w:val="001B4F6E"/>
    <w:rsid w:val="001B7407"/>
    <w:rsid w:val="001D7898"/>
    <w:rsid w:val="001F2B5C"/>
    <w:rsid w:val="001F6B09"/>
    <w:rsid w:val="00207EEE"/>
    <w:rsid w:val="00210632"/>
    <w:rsid w:val="00214003"/>
    <w:rsid w:val="00214D6D"/>
    <w:rsid w:val="00215F5A"/>
    <w:rsid w:val="00221974"/>
    <w:rsid w:val="00223578"/>
    <w:rsid w:val="002304BB"/>
    <w:rsid w:val="00245212"/>
    <w:rsid w:val="002750DB"/>
    <w:rsid w:val="002834C9"/>
    <w:rsid w:val="00286F10"/>
    <w:rsid w:val="002A1DC5"/>
    <w:rsid w:val="002D5291"/>
    <w:rsid w:val="002F4484"/>
    <w:rsid w:val="002F4E12"/>
    <w:rsid w:val="002F6B0A"/>
    <w:rsid w:val="002F6E52"/>
    <w:rsid w:val="002F6F82"/>
    <w:rsid w:val="00300275"/>
    <w:rsid w:val="003061AC"/>
    <w:rsid w:val="003229CE"/>
    <w:rsid w:val="0032558F"/>
    <w:rsid w:val="00341A37"/>
    <w:rsid w:val="00350B67"/>
    <w:rsid w:val="00355509"/>
    <w:rsid w:val="00357C83"/>
    <w:rsid w:val="00371397"/>
    <w:rsid w:val="0037139F"/>
    <w:rsid w:val="00390BED"/>
    <w:rsid w:val="003956E3"/>
    <w:rsid w:val="00395FC1"/>
    <w:rsid w:val="00396166"/>
    <w:rsid w:val="003978FA"/>
    <w:rsid w:val="003A4A1D"/>
    <w:rsid w:val="003B1747"/>
    <w:rsid w:val="003B58A7"/>
    <w:rsid w:val="003C5D65"/>
    <w:rsid w:val="003C6909"/>
    <w:rsid w:val="003D0375"/>
    <w:rsid w:val="003D0954"/>
    <w:rsid w:val="003E0710"/>
    <w:rsid w:val="003E55E5"/>
    <w:rsid w:val="003F179A"/>
    <w:rsid w:val="003F42E7"/>
    <w:rsid w:val="00400F6B"/>
    <w:rsid w:val="004119A9"/>
    <w:rsid w:val="004130F4"/>
    <w:rsid w:val="00414D55"/>
    <w:rsid w:val="00421F8A"/>
    <w:rsid w:val="00424BB6"/>
    <w:rsid w:val="00426CC0"/>
    <w:rsid w:val="0043006A"/>
    <w:rsid w:val="004334F2"/>
    <w:rsid w:val="00434269"/>
    <w:rsid w:val="00440624"/>
    <w:rsid w:val="004424FA"/>
    <w:rsid w:val="00444AE2"/>
    <w:rsid w:val="00466281"/>
    <w:rsid w:val="00473634"/>
    <w:rsid w:val="00474538"/>
    <w:rsid w:val="00474F6C"/>
    <w:rsid w:val="00485CA7"/>
    <w:rsid w:val="004904A1"/>
    <w:rsid w:val="004C1A9C"/>
    <w:rsid w:val="004C25B9"/>
    <w:rsid w:val="004D7EBF"/>
    <w:rsid w:val="004F3776"/>
    <w:rsid w:val="004F55D7"/>
    <w:rsid w:val="004F5BC1"/>
    <w:rsid w:val="004F757F"/>
    <w:rsid w:val="0050086C"/>
    <w:rsid w:val="005033A6"/>
    <w:rsid w:val="005064DF"/>
    <w:rsid w:val="005118CB"/>
    <w:rsid w:val="00514AA4"/>
    <w:rsid w:val="0052206C"/>
    <w:rsid w:val="00543E1B"/>
    <w:rsid w:val="00554D76"/>
    <w:rsid w:val="00554EAB"/>
    <w:rsid w:val="0056188E"/>
    <w:rsid w:val="00577485"/>
    <w:rsid w:val="005A4947"/>
    <w:rsid w:val="005A4955"/>
    <w:rsid w:val="005A6482"/>
    <w:rsid w:val="005B0296"/>
    <w:rsid w:val="005C1358"/>
    <w:rsid w:val="005C4076"/>
    <w:rsid w:val="005C44EC"/>
    <w:rsid w:val="005C4934"/>
    <w:rsid w:val="005E0FAD"/>
    <w:rsid w:val="005E24A0"/>
    <w:rsid w:val="005F0721"/>
    <w:rsid w:val="00604DA5"/>
    <w:rsid w:val="00614438"/>
    <w:rsid w:val="006228AB"/>
    <w:rsid w:val="00624889"/>
    <w:rsid w:val="006260C1"/>
    <w:rsid w:val="00631DEF"/>
    <w:rsid w:val="00631FE9"/>
    <w:rsid w:val="00634BC5"/>
    <w:rsid w:val="0064233A"/>
    <w:rsid w:val="006445F4"/>
    <w:rsid w:val="00645D87"/>
    <w:rsid w:val="00645F58"/>
    <w:rsid w:val="0065462D"/>
    <w:rsid w:val="00656BE7"/>
    <w:rsid w:val="00656FE6"/>
    <w:rsid w:val="00665B49"/>
    <w:rsid w:val="006A0884"/>
    <w:rsid w:val="006A7080"/>
    <w:rsid w:val="006B11BA"/>
    <w:rsid w:val="006B77F4"/>
    <w:rsid w:val="006D7E1D"/>
    <w:rsid w:val="006E30DB"/>
    <w:rsid w:val="006E5419"/>
    <w:rsid w:val="006F3954"/>
    <w:rsid w:val="00714A81"/>
    <w:rsid w:val="0072482E"/>
    <w:rsid w:val="00734500"/>
    <w:rsid w:val="0073455F"/>
    <w:rsid w:val="00754CA6"/>
    <w:rsid w:val="0077148D"/>
    <w:rsid w:val="00787C5A"/>
    <w:rsid w:val="00791395"/>
    <w:rsid w:val="007A480D"/>
    <w:rsid w:val="007A515A"/>
    <w:rsid w:val="007A68CC"/>
    <w:rsid w:val="007B3B98"/>
    <w:rsid w:val="007B7D4A"/>
    <w:rsid w:val="007C1A9B"/>
    <w:rsid w:val="007C2771"/>
    <w:rsid w:val="007C44AE"/>
    <w:rsid w:val="007E4746"/>
    <w:rsid w:val="007E5499"/>
    <w:rsid w:val="007F2D63"/>
    <w:rsid w:val="008033E6"/>
    <w:rsid w:val="00811165"/>
    <w:rsid w:val="008119E6"/>
    <w:rsid w:val="00835AFC"/>
    <w:rsid w:val="00844F9F"/>
    <w:rsid w:val="00855D60"/>
    <w:rsid w:val="008603A7"/>
    <w:rsid w:val="00865CF5"/>
    <w:rsid w:val="0086621A"/>
    <w:rsid w:val="00866BE9"/>
    <w:rsid w:val="00874BB8"/>
    <w:rsid w:val="008904BE"/>
    <w:rsid w:val="008905DD"/>
    <w:rsid w:val="008A2752"/>
    <w:rsid w:val="008B3A1B"/>
    <w:rsid w:val="008C3CC2"/>
    <w:rsid w:val="008C60AA"/>
    <w:rsid w:val="008D3330"/>
    <w:rsid w:val="008D5C06"/>
    <w:rsid w:val="008D5FD7"/>
    <w:rsid w:val="008E0FF2"/>
    <w:rsid w:val="008E174C"/>
    <w:rsid w:val="009003E1"/>
    <w:rsid w:val="00901749"/>
    <w:rsid w:val="00916D44"/>
    <w:rsid w:val="00930392"/>
    <w:rsid w:val="00931E46"/>
    <w:rsid w:val="00947F23"/>
    <w:rsid w:val="00950275"/>
    <w:rsid w:val="00962CD2"/>
    <w:rsid w:val="00965B95"/>
    <w:rsid w:val="00971E38"/>
    <w:rsid w:val="00982157"/>
    <w:rsid w:val="00984159"/>
    <w:rsid w:val="00985DA2"/>
    <w:rsid w:val="009869E2"/>
    <w:rsid w:val="00986BCA"/>
    <w:rsid w:val="009A1548"/>
    <w:rsid w:val="009C3962"/>
    <w:rsid w:val="009C7166"/>
    <w:rsid w:val="009D17D0"/>
    <w:rsid w:val="009E1F0F"/>
    <w:rsid w:val="009E2740"/>
    <w:rsid w:val="00A0341F"/>
    <w:rsid w:val="00A130A7"/>
    <w:rsid w:val="00A147C2"/>
    <w:rsid w:val="00A152B3"/>
    <w:rsid w:val="00A210D1"/>
    <w:rsid w:val="00A260CD"/>
    <w:rsid w:val="00A26A69"/>
    <w:rsid w:val="00A40129"/>
    <w:rsid w:val="00A53D37"/>
    <w:rsid w:val="00A57679"/>
    <w:rsid w:val="00A60781"/>
    <w:rsid w:val="00A7290A"/>
    <w:rsid w:val="00A73ABD"/>
    <w:rsid w:val="00A77044"/>
    <w:rsid w:val="00A8126A"/>
    <w:rsid w:val="00A82E81"/>
    <w:rsid w:val="00A94471"/>
    <w:rsid w:val="00AA1006"/>
    <w:rsid w:val="00AA14F8"/>
    <w:rsid w:val="00AA16C4"/>
    <w:rsid w:val="00AA67CC"/>
    <w:rsid w:val="00AA7A53"/>
    <w:rsid w:val="00AB7FA5"/>
    <w:rsid w:val="00AC0A50"/>
    <w:rsid w:val="00AD4843"/>
    <w:rsid w:val="00AD6600"/>
    <w:rsid w:val="00AD7DE4"/>
    <w:rsid w:val="00AE123E"/>
    <w:rsid w:val="00AE1934"/>
    <w:rsid w:val="00AE5F6A"/>
    <w:rsid w:val="00B12918"/>
    <w:rsid w:val="00B21B70"/>
    <w:rsid w:val="00B246BC"/>
    <w:rsid w:val="00B34994"/>
    <w:rsid w:val="00B921F9"/>
    <w:rsid w:val="00B92F3A"/>
    <w:rsid w:val="00B938D4"/>
    <w:rsid w:val="00BA00B6"/>
    <w:rsid w:val="00BA7190"/>
    <w:rsid w:val="00BB17A2"/>
    <w:rsid w:val="00BC5FCA"/>
    <w:rsid w:val="00BC6B13"/>
    <w:rsid w:val="00BD00CE"/>
    <w:rsid w:val="00BE0314"/>
    <w:rsid w:val="00BE3BF4"/>
    <w:rsid w:val="00BF02DC"/>
    <w:rsid w:val="00C17B19"/>
    <w:rsid w:val="00C20CD2"/>
    <w:rsid w:val="00C240EC"/>
    <w:rsid w:val="00C32887"/>
    <w:rsid w:val="00C37390"/>
    <w:rsid w:val="00C478BE"/>
    <w:rsid w:val="00C538E9"/>
    <w:rsid w:val="00C61058"/>
    <w:rsid w:val="00C72A2E"/>
    <w:rsid w:val="00C74396"/>
    <w:rsid w:val="00C75849"/>
    <w:rsid w:val="00C83251"/>
    <w:rsid w:val="00C83C14"/>
    <w:rsid w:val="00C83F09"/>
    <w:rsid w:val="00C846BC"/>
    <w:rsid w:val="00C95E6F"/>
    <w:rsid w:val="00CA2E0E"/>
    <w:rsid w:val="00CB3BDA"/>
    <w:rsid w:val="00CB4992"/>
    <w:rsid w:val="00CB7A8A"/>
    <w:rsid w:val="00CC07CF"/>
    <w:rsid w:val="00CC13D9"/>
    <w:rsid w:val="00CD2AC9"/>
    <w:rsid w:val="00CD4726"/>
    <w:rsid w:val="00CE21AB"/>
    <w:rsid w:val="00D03A23"/>
    <w:rsid w:val="00D168A5"/>
    <w:rsid w:val="00D25175"/>
    <w:rsid w:val="00D25591"/>
    <w:rsid w:val="00D41FC7"/>
    <w:rsid w:val="00D46248"/>
    <w:rsid w:val="00D4746D"/>
    <w:rsid w:val="00D51694"/>
    <w:rsid w:val="00D536A8"/>
    <w:rsid w:val="00D62FC1"/>
    <w:rsid w:val="00D74C60"/>
    <w:rsid w:val="00D857FF"/>
    <w:rsid w:val="00DA68C0"/>
    <w:rsid w:val="00DA7949"/>
    <w:rsid w:val="00DB5CEC"/>
    <w:rsid w:val="00DD0CB6"/>
    <w:rsid w:val="00DD1698"/>
    <w:rsid w:val="00DD30E6"/>
    <w:rsid w:val="00DD425C"/>
    <w:rsid w:val="00DD51B2"/>
    <w:rsid w:val="00DD76B6"/>
    <w:rsid w:val="00DE3EF6"/>
    <w:rsid w:val="00DE4125"/>
    <w:rsid w:val="00DE4541"/>
    <w:rsid w:val="00DE5148"/>
    <w:rsid w:val="00DE7E2C"/>
    <w:rsid w:val="00DF050F"/>
    <w:rsid w:val="00DF0618"/>
    <w:rsid w:val="00DF457E"/>
    <w:rsid w:val="00E10AC2"/>
    <w:rsid w:val="00E1445C"/>
    <w:rsid w:val="00E23338"/>
    <w:rsid w:val="00E33E8A"/>
    <w:rsid w:val="00E3744E"/>
    <w:rsid w:val="00E50432"/>
    <w:rsid w:val="00E56B10"/>
    <w:rsid w:val="00E66ECF"/>
    <w:rsid w:val="00E7392F"/>
    <w:rsid w:val="00E74D0B"/>
    <w:rsid w:val="00E842CD"/>
    <w:rsid w:val="00E910B6"/>
    <w:rsid w:val="00E91706"/>
    <w:rsid w:val="00E9632E"/>
    <w:rsid w:val="00EA3B24"/>
    <w:rsid w:val="00EA6D24"/>
    <w:rsid w:val="00EB3EA9"/>
    <w:rsid w:val="00EB618F"/>
    <w:rsid w:val="00EC02F6"/>
    <w:rsid w:val="00EC3184"/>
    <w:rsid w:val="00EC5DDF"/>
    <w:rsid w:val="00F02B6C"/>
    <w:rsid w:val="00F13FAD"/>
    <w:rsid w:val="00F143FA"/>
    <w:rsid w:val="00F164A1"/>
    <w:rsid w:val="00F2364A"/>
    <w:rsid w:val="00F261A6"/>
    <w:rsid w:val="00F27F68"/>
    <w:rsid w:val="00F310CA"/>
    <w:rsid w:val="00F321B4"/>
    <w:rsid w:val="00F36493"/>
    <w:rsid w:val="00F44FAF"/>
    <w:rsid w:val="00F45704"/>
    <w:rsid w:val="00F4631B"/>
    <w:rsid w:val="00F46BD9"/>
    <w:rsid w:val="00F51689"/>
    <w:rsid w:val="00F7260E"/>
    <w:rsid w:val="00F74306"/>
    <w:rsid w:val="00F84F6C"/>
    <w:rsid w:val="00FA29EF"/>
    <w:rsid w:val="00FB7454"/>
    <w:rsid w:val="00FC0FC3"/>
    <w:rsid w:val="00FC55B7"/>
    <w:rsid w:val="00FC6E13"/>
    <w:rsid w:val="00FD2420"/>
    <w:rsid w:val="00FD45D6"/>
    <w:rsid w:val="00FE61B0"/>
    <w:rsid w:val="00FE66A4"/>
    <w:rsid w:val="00FF02C7"/>
    <w:rsid w:val="00FF27C6"/>
    <w:rsid w:val="00FF4407"/>
    <w:rsid w:val="00FF7D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FFE0B0"/>
  <w15:docId w15:val="{1ABF47C0-F2D7-4D69-BAEC-F11490952C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3251"/>
  </w:style>
  <w:style w:type="paragraph" w:styleId="Heading1">
    <w:name w:val="heading 1"/>
    <w:aliases w:val="Heading 1 - LDK,Headline,ELI PD H1,Hoofdstuk,ΔΞ-Άρθρο,ÄÎ-¢ñèñï,Heading 1 Char1 Char,Heading 1 Char Char Char"/>
    <w:basedOn w:val="Normal"/>
    <w:next w:val="Normal"/>
    <w:link w:val="Heading1Char"/>
    <w:uiPriority w:val="9"/>
    <w:qFormat/>
    <w:rsid w:val="00614438"/>
    <w:pPr>
      <w:keepNext/>
      <w:numPr>
        <w:numId w:val="1"/>
      </w:numPr>
      <w:pBdr>
        <w:bottom w:val="single" w:sz="4" w:space="3" w:color="auto"/>
      </w:pBdr>
      <w:shd w:val="clear" w:color="auto" w:fill="004D73"/>
      <w:spacing w:before="120" w:after="240" w:line="240" w:lineRule="auto"/>
      <w:jc w:val="both"/>
      <w:outlineLvl w:val="0"/>
    </w:pPr>
    <w:rPr>
      <w:rFonts w:ascii="Calibri Light" w:eastAsia="Times New Roman" w:hAnsi="Calibri Light" w:cs="Calibri Light"/>
      <w:b/>
      <w:smallCaps/>
      <w:color w:val="FFFFFF"/>
      <w:kern w:val="28"/>
      <w:sz w:val="48"/>
      <w:szCs w:val="32"/>
      <w:lang w:val="en-GB" w:eastAsia="el-GR"/>
    </w:rPr>
  </w:style>
  <w:style w:type="paragraph" w:styleId="Heading2">
    <w:name w:val="heading 2"/>
    <w:basedOn w:val="Normal"/>
    <w:next w:val="Normal"/>
    <w:link w:val="Heading2Char"/>
    <w:uiPriority w:val="9"/>
    <w:semiHidden/>
    <w:unhideWhenUsed/>
    <w:qFormat/>
    <w:rsid w:val="00614438"/>
    <w:pPr>
      <w:keepNext/>
      <w:numPr>
        <w:ilvl w:val="1"/>
        <w:numId w:val="1"/>
      </w:numPr>
      <w:spacing w:before="240" w:after="120" w:line="240" w:lineRule="auto"/>
      <w:jc w:val="both"/>
      <w:outlineLvl w:val="1"/>
    </w:pPr>
    <w:rPr>
      <w:rFonts w:ascii="Calibri Light" w:eastAsia="Times New Roman" w:hAnsi="Calibri Light" w:cs="Calibri Light"/>
      <w:b/>
      <w:color w:val="01406B"/>
      <w:kern w:val="0"/>
      <w:sz w:val="32"/>
      <w:lang w:val="en-GB" w:eastAsia="el-GR"/>
    </w:rPr>
  </w:style>
  <w:style w:type="paragraph" w:styleId="Heading3">
    <w:name w:val="heading 3"/>
    <w:basedOn w:val="Heading2"/>
    <w:next w:val="Normal"/>
    <w:link w:val="Heading3Char"/>
    <w:semiHidden/>
    <w:unhideWhenUsed/>
    <w:qFormat/>
    <w:rsid w:val="00614438"/>
    <w:pPr>
      <w:numPr>
        <w:ilvl w:val="2"/>
      </w:numPr>
      <w:spacing w:after="60"/>
      <w:outlineLvl w:val="2"/>
    </w:pPr>
    <w:rPr>
      <w:rFonts w:asciiTheme="majorHAnsi" w:hAnsiTheme="majorHAnsi" w:cs="Arial"/>
      <w:bCs/>
      <w:sz w:val="26"/>
      <w:szCs w:val="26"/>
      <w:lang w:eastAsia="tr-TR"/>
    </w:rPr>
  </w:style>
  <w:style w:type="paragraph" w:styleId="Heading4">
    <w:name w:val="heading 4"/>
    <w:basedOn w:val="Normal"/>
    <w:next w:val="Normal"/>
    <w:link w:val="Heading4Char"/>
    <w:uiPriority w:val="9"/>
    <w:semiHidden/>
    <w:unhideWhenUsed/>
    <w:qFormat/>
    <w:rsid w:val="00614438"/>
    <w:pPr>
      <w:keepNext/>
      <w:keepLines/>
      <w:numPr>
        <w:numId w:val="2"/>
      </w:numPr>
      <w:spacing w:before="200" w:after="0" w:line="240" w:lineRule="auto"/>
      <w:outlineLvl w:val="3"/>
    </w:pPr>
    <w:rPr>
      <w:rFonts w:asciiTheme="majorHAnsi" w:eastAsiaTheme="majorEastAsia" w:hAnsiTheme="majorHAnsi" w:cstheme="majorBidi"/>
      <w:b/>
      <w:bCs/>
      <w:iCs/>
      <w:color w:val="01406B"/>
      <w:kern w:val="0"/>
      <w:szCs w:val="24"/>
      <w:lang w:val="en-GB"/>
    </w:rPr>
  </w:style>
  <w:style w:type="paragraph" w:styleId="Heading5">
    <w:name w:val="heading 5"/>
    <w:basedOn w:val="Normal"/>
    <w:next w:val="Normal"/>
    <w:link w:val="Heading5Char"/>
    <w:uiPriority w:val="9"/>
    <w:semiHidden/>
    <w:unhideWhenUsed/>
    <w:qFormat/>
    <w:rsid w:val="00614438"/>
    <w:pPr>
      <w:keepNext/>
      <w:keepLines/>
      <w:numPr>
        <w:ilvl w:val="4"/>
        <w:numId w:val="1"/>
      </w:numPr>
      <w:spacing w:before="200" w:after="0" w:line="240" w:lineRule="auto"/>
      <w:outlineLvl w:val="4"/>
    </w:pPr>
    <w:rPr>
      <w:rFonts w:asciiTheme="majorHAnsi" w:eastAsiaTheme="majorEastAsia" w:hAnsiTheme="majorHAnsi" w:cstheme="majorBidi"/>
      <w:color w:val="1F3763" w:themeColor="accent1" w:themeShade="7F"/>
      <w:kern w:val="0"/>
      <w:sz w:val="24"/>
      <w:szCs w:val="24"/>
      <w:lang w:val="en-GB"/>
    </w:rPr>
  </w:style>
  <w:style w:type="paragraph" w:styleId="Heading6">
    <w:name w:val="heading 6"/>
    <w:basedOn w:val="Normal"/>
    <w:next w:val="Normal"/>
    <w:link w:val="Heading6Char"/>
    <w:uiPriority w:val="9"/>
    <w:semiHidden/>
    <w:unhideWhenUsed/>
    <w:qFormat/>
    <w:rsid w:val="00614438"/>
    <w:pPr>
      <w:keepNext/>
      <w:keepLines/>
      <w:numPr>
        <w:ilvl w:val="5"/>
        <w:numId w:val="1"/>
      </w:numPr>
      <w:tabs>
        <w:tab w:val="num" w:pos="360"/>
      </w:tabs>
      <w:spacing w:before="200" w:after="0" w:line="240" w:lineRule="auto"/>
      <w:ind w:left="4320" w:hanging="180"/>
      <w:outlineLvl w:val="5"/>
    </w:pPr>
    <w:rPr>
      <w:rFonts w:asciiTheme="majorHAnsi" w:eastAsiaTheme="majorEastAsia" w:hAnsiTheme="majorHAnsi" w:cstheme="majorBidi"/>
      <w:i/>
      <w:iCs/>
      <w:color w:val="1F3763" w:themeColor="accent1" w:themeShade="7F"/>
      <w:kern w:val="0"/>
      <w:sz w:val="24"/>
      <w:szCs w:val="24"/>
      <w:lang w:val="en-GB"/>
    </w:rPr>
  </w:style>
  <w:style w:type="paragraph" w:styleId="Heading7">
    <w:name w:val="heading 7"/>
    <w:basedOn w:val="Normal"/>
    <w:next w:val="Normal"/>
    <w:link w:val="Heading7Char"/>
    <w:uiPriority w:val="9"/>
    <w:semiHidden/>
    <w:unhideWhenUsed/>
    <w:qFormat/>
    <w:rsid w:val="00614438"/>
    <w:pPr>
      <w:keepNext/>
      <w:keepLines/>
      <w:numPr>
        <w:ilvl w:val="6"/>
        <w:numId w:val="1"/>
      </w:numPr>
      <w:tabs>
        <w:tab w:val="num" w:pos="360"/>
      </w:tabs>
      <w:spacing w:before="200" w:after="0" w:line="240" w:lineRule="auto"/>
      <w:ind w:left="5040" w:hanging="360"/>
      <w:outlineLvl w:val="6"/>
    </w:pPr>
    <w:rPr>
      <w:rFonts w:asciiTheme="majorHAnsi" w:eastAsiaTheme="majorEastAsia" w:hAnsiTheme="majorHAnsi" w:cstheme="majorBidi"/>
      <w:i/>
      <w:iCs/>
      <w:color w:val="404040" w:themeColor="text1" w:themeTint="BF"/>
      <w:kern w:val="0"/>
      <w:sz w:val="24"/>
      <w:szCs w:val="24"/>
      <w:lang w:val="en-GB"/>
    </w:rPr>
  </w:style>
  <w:style w:type="paragraph" w:styleId="Heading8">
    <w:name w:val="heading 8"/>
    <w:basedOn w:val="Normal"/>
    <w:next w:val="Normal"/>
    <w:link w:val="Heading8Char"/>
    <w:uiPriority w:val="9"/>
    <w:semiHidden/>
    <w:unhideWhenUsed/>
    <w:qFormat/>
    <w:rsid w:val="00614438"/>
    <w:pPr>
      <w:keepNext/>
      <w:keepLines/>
      <w:numPr>
        <w:ilvl w:val="7"/>
        <w:numId w:val="1"/>
      </w:numPr>
      <w:tabs>
        <w:tab w:val="num" w:pos="360"/>
      </w:tabs>
      <w:spacing w:before="200" w:after="0" w:line="240" w:lineRule="auto"/>
      <w:ind w:left="5760" w:hanging="360"/>
      <w:outlineLvl w:val="7"/>
    </w:pPr>
    <w:rPr>
      <w:rFonts w:asciiTheme="majorHAnsi" w:eastAsiaTheme="majorEastAsia" w:hAnsiTheme="majorHAnsi" w:cstheme="majorBidi"/>
      <w:color w:val="404040" w:themeColor="text1" w:themeTint="BF"/>
      <w:kern w:val="0"/>
      <w:sz w:val="20"/>
      <w:szCs w:val="20"/>
      <w:lang w:val="en-GB"/>
    </w:rPr>
  </w:style>
  <w:style w:type="paragraph" w:styleId="Heading9">
    <w:name w:val="heading 9"/>
    <w:basedOn w:val="Normal"/>
    <w:next w:val="Normal"/>
    <w:link w:val="Heading9Char"/>
    <w:uiPriority w:val="9"/>
    <w:semiHidden/>
    <w:unhideWhenUsed/>
    <w:qFormat/>
    <w:rsid w:val="00614438"/>
    <w:pPr>
      <w:keepNext/>
      <w:keepLines/>
      <w:numPr>
        <w:ilvl w:val="8"/>
        <w:numId w:val="1"/>
      </w:numPr>
      <w:tabs>
        <w:tab w:val="num" w:pos="360"/>
      </w:tabs>
      <w:spacing w:before="200" w:after="0" w:line="240" w:lineRule="auto"/>
      <w:ind w:left="6480" w:hanging="180"/>
      <w:outlineLvl w:val="8"/>
    </w:pPr>
    <w:rPr>
      <w:rFonts w:asciiTheme="majorHAnsi" w:eastAsiaTheme="majorEastAsia" w:hAnsiTheme="majorHAnsi" w:cstheme="majorBidi"/>
      <w:i/>
      <w:iCs/>
      <w:color w:val="404040" w:themeColor="text1" w:themeTint="BF"/>
      <w:kern w:val="0"/>
      <w:sz w:val="20"/>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Envelope Address1"/>
    <w:basedOn w:val="TableNormal"/>
    <w:uiPriority w:val="1"/>
    <w:rsid w:val="006144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Heading 1 - LDK Char,Headline Char,ELI PD H1 Char,Hoofdstuk Char,ΔΞ-Άρθρο Char,ÄÎ-¢ñèñï Char,Heading 1 Char1 Char Char,Heading 1 Char Char Char Char"/>
    <w:basedOn w:val="DefaultParagraphFont"/>
    <w:link w:val="Heading1"/>
    <w:uiPriority w:val="9"/>
    <w:rsid w:val="00614438"/>
    <w:rPr>
      <w:rFonts w:ascii="Calibri Light" w:eastAsia="Times New Roman" w:hAnsi="Calibri Light" w:cs="Calibri Light"/>
      <w:b/>
      <w:smallCaps/>
      <w:color w:val="FFFFFF"/>
      <w:kern w:val="28"/>
      <w:sz w:val="48"/>
      <w:szCs w:val="32"/>
      <w:shd w:val="clear" w:color="auto" w:fill="004D73"/>
      <w:lang w:val="en-GB" w:eastAsia="el-GR"/>
    </w:rPr>
  </w:style>
  <w:style w:type="character" w:customStyle="1" w:styleId="Heading2Char">
    <w:name w:val="Heading 2 Char"/>
    <w:basedOn w:val="DefaultParagraphFont"/>
    <w:link w:val="Heading2"/>
    <w:uiPriority w:val="9"/>
    <w:semiHidden/>
    <w:rsid w:val="00614438"/>
    <w:rPr>
      <w:rFonts w:ascii="Calibri Light" w:eastAsia="Times New Roman" w:hAnsi="Calibri Light" w:cs="Calibri Light"/>
      <w:b/>
      <w:color w:val="01406B"/>
      <w:kern w:val="0"/>
      <w:sz w:val="32"/>
      <w:lang w:val="en-GB" w:eastAsia="el-GR"/>
    </w:rPr>
  </w:style>
  <w:style w:type="character" w:customStyle="1" w:styleId="Heading3Char">
    <w:name w:val="Heading 3 Char"/>
    <w:basedOn w:val="DefaultParagraphFont"/>
    <w:link w:val="Heading3"/>
    <w:semiHidden/>
    <w:rsid w:val="00614438"/>
    <w:rPr>
      <w:rFonts w:asciiTheme="majorHAnsi" w:eastAsia="Times New Roman" w:hAnsiTheme="majorHAnsi" w:cs="Arial"/>
      <w:b/>
      <w:bCs/>
      <w:color w:val="01406B"/>
      <w:kern w:val="0"/>
      <w:sz w:val="26"/>
      <w:szCs w:val="26"/>
      <w:lang w:val="en-GB" w:eastAsia="tr-TR"/>
    </w:rPr>
  </w:style>
  <w:style w:type="character" w:customStyle="1" w:styleId="Heading4Char">
    <w:name w:val="Heading 4 Char"/>
    <w:basedOn w:val="DefaultParagraphFont"/>
    <w:link w:val="Heading4"/>
    <w:uiPriority w:val="9"/>
    <w:semiHidden/>
    <w:rsid w:val="00614438"/>
    <w:rPr>
      <w:rFonts w:asciiTheme="majorHAnsi" w:eastAsiaTheme="majorEastAsia" w:hAnsiTheme="majorHAnsi" w:cstheme="majorBidi"/>
      <w:b/>
      <w:bCs/>
      <w:iCs/>
      <w:color w:val="01406B"/>
      <w:kern w:val="0"/>
      <w:szCs w:val="24"/>
      <w:lang w:val="en-GB"/>
    </w:rPr>
  </w:style>
  <w:style w:type="character" w:customStyle="1" w:styleId="Heading5Char">
    <w:name w:val="Heading 5 Char"/>
    <w:basedOn w:val="DefaultParagraphFont"/>
    <w:link w:val="Heading5"/>
    <w:uiPriority w:val="9"/>
    <w:semiHidden/>
    <w:rsid w:val="00614438"/>
    <w:rPr>
      <w:rFonts w:asciiTheme="majorHAnsi" w:eastAsiaTheme="majorEastAsia" w:hAnsiTheme="majorHAnsi" w:cstheme="majorBidi"/>
      <w:color w:val="1F3763" w:themeColor="accent1" w:themeShade="7F"/>
      <w:kern w:val="0"/>
      <w:sz w:val="24"/>
      <w:szCs w:val="24"/>
      <w:lang w:val="en-GB"/>
    </w:rPr>
  </w:style>
  <w:style w:type="character" w:customStyle="1" w:styleId="Heading6Char">
    <w:name w:val="Heading 6 Char"/>
    <w:basedOn w:val="DefaultParagraphFont"/>
    <w:link w:val="Heading6"/>
    <w:uiPriority w:val="9"/>
    <w:semiHidden/>
    <w:rsid w:val="00614438"/>
    <w:rPr>
      <w:rFonts w:asciiTheme="majorHAnsi" w:eastAsiaTheme="majorEastAsia" w:hAnsiTheme="majorHAnsi" w:cstheme="majorBidi"/>
      <w:i/>
      <w:iCs/>
      <w:color w:val="1F3763" w:themeColor="accent1" w:themeShade="7F"/>
      <w:kern w:val="0"/>
      <w:sz w:val="24"/>
      <w:szCs w:val="24"/>
      <w:lang w:val="en-GB"/>
    </w:rPr>
  </w:style>
  <w:style w:type="character" w:customStyle="1" w:styleId="Heading7Char">
    <w:name w:val="Heading 7 Char"/>
    <w:basedOn w:val="DefaultParagraphFont"/>
    <w:link w:val="Heading7"/>
    <w:uiPriority w:val="9"/>
    <w:semiHidden/>
    <w:rsid w:val="00614438"/>
    <w:rPr>
      <w:rFonts w:asciiTheme="majorHAnsi" w:eastAsiaTheme="majorEastAsia" w:hAnsiTheme="majorHAnsi" w:cstheme="majorBidi"/>
      <w:i/>
      <w:iCs/>
      <w:color w:val="404040" w:themeColor="text1" w:themeTint="BF"/>
      <w:kern w:val="0"/>
      <w:sz w:val="24"/>
      <w:szCs w:val="24"/>
      <w:lang w:val="en-GB"/>
    </w:rPr>
  </w:style>
  <w:style w:type="character" w:customStyle="1" w:styleId="Heading8Char">
    <w:name w:val="Heading 8 Char"/>
    <w:basedOn w:val="DefaultParagraphFont"/>
    <w:link w:val="Heading8"/>
    <w:uiPriority w:val="9"/>
    <w:semiHidden/>
    <w:rsid w:val="00614438"/>
    <w:rPr>
      <w:rFonts w:asciiTheme="majorHAnsi" w:eastAsiaTheme="majorEastAsia" w:hAnsiTheme="majorHAnsi" w:cstheme="majorBidi"/>
      <w:color w:val="404040" w:themeColor="text1" w:themeTint="BF"/>
      <w:kern w:val="0"/>
      <w:sz w:val="20"/>
      <w:szCs w:val="20"/>
      <w:lang w:val="en-GB"/>
    </w:rPr>
  </w:style>
  <w:style w:type="character" w:customStyle="1" w:styleId="Heading9Char">
    <w:name w:val="Heading 9 Char"/>
    <w:basedOn w:val="DefaultParagraphFont"/>
    <w:link w:val="Heading9"/>
    <w:uiPriority w:val="9"/>
    <w:semiHidden/>
    <w:rsid w:val="00614438"/>
    <w:rPr>
      <w:rFonts w:asciiTheme="majorHAnsi" w:eastAsiaTheme="majorEastAsia" w:hAnsiTheme="majorHAnsi" w:cstheme="majorBidi"/>
      <w:i/>
      <w:iCs/>
      <w:color w:val="404040" w:themeColor="text1" w:themeTint="BF"/>
      <w:kern w:val="0"/>
      <w:sz w:val="20"/>
      <w:szCs w:val="20"/>
      <w:lang w:val="en-GB"/>
    </w:rPr>
  </w:style>
  <w:style w:type="character" w:styleId="Hyperlink">
    <w:name w:val="Hyperlink"/>
    <w:basedOn w:val="DefaultParagraphFont"/>
    <w:uiPriority w:val="99"/>
    <w:unhideWhenUsed/>
    <w:rsid w:val="00614438"/>
    <w:rPr>
      <w:color w:val="0563C1" w:themeColor="hyperlink"/>
      <w:u w:val="single"/>
    </w:rPr>
  </w:style>
  <w:style w:type="character" w:styleId="FollowedHyperlink">
    <w:name w:val="FollowedHyperlink"/>
    <w:basedOn w:val="DefaultParagraphFont"/>
    <w:uiPriority w:val="99"/>
    <w:semiHidden/>
    <w:unhideWhenUsed/>
    <w:rsid w:val="00614438"/>
    <w:rPr>
      <w:color w:val="954F72" w:themeColor="followedHyperlink"/>
      <w:u w:val="single"/>
    </w:rPr>
  </w:style>
  <w:style w:type="character" w:customStyle="1" w:styleId="Heading1Char1">
    <w:name w:val="Heading 1 Char1"/>
    <w:aliases w:val="Heading 1 - LDK Char1,Headline Char1,ELI PD H1 Char1,Hoofdstuk Char1,ΔΞ-Άρθρο Char1,ÄÎ-¢ñèñï Char1,Heading 1 Char1 Char Char1,Heading 1 Char Char Char Char1"/>
    <w:basedOn w:val="DefaultParagraphFont"/>
    <w:uiPriority w:val="9"/>
    <w:rsid w:val="00614438"/>
    <w:rPr>
      <w:rFonts w:asciiTheme="majorHAnsi" w:eastAsiaTheme="majorEastAsia" w:hAnsiTheme="majorHAnsi" w:cstheme="majorBidi"/>
      <w:color w:val="2F5496" w:themeColor="accent1" w:themeShade="BF"/>
      <w:sz w:val="32"/>
      <w:szCs w:val="32"/>
    </w:rPr>
  </w:style>
  <w:style w:type="paragraph" w:styleId="HTMLPreformatted">
    <w:name w:val="HTML Preformatted"/>
    <w:basedOn w:val="Normal"/>
    <w:link w:val="HTMLPreformattedChar"/>
    <w:uiPriority w:val="99"/>
    <w:semiHidden/>
    <w:unhideWhenUsed/>
    <w:rsid w:val="0061443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nsolas" w:hAnsi="Consolas"/>
      <w:kern w:val="0"/>
      <w:sz w:val="20"/>
      <w:szCs w:val="20"/>
      <w:lang w:val="en-GB"/>
    </w:rPr>
  </w:style>
  <w:style w:type="character" w:customStyle="1" w:styleId="HTMLPreformattedChar">
    <w:name w:val="HTML Preformatted Char"/>
    <w:basedOn w:val="DefaultParagraphFont"/>
    <w:link w:val="HTMLPreformatted"/>
    <w:uiPriority w:val="99"/>
    <w:semiHidden/>
    <w:rsid w:val="00614438"/>
    <w:rPr>
      <w:rFonts w:ascii="Consolas" w:hAnsi="Consolas"/>
      <w:kern w:val="0"/>
      <w:sz w:val="20"/>
      <w:szCs w:val="20"/>
      <w:lang w:val="en-GB"/>
    </w:rPr>
  </w:style>
  <w:style w:type="character" w:styleId="Strong">
    <w:name w:val="Strong"/>
    <w:basedOn w:val="DefaultParagraphFont"/>
    <w:uiPriority w:val="22"/>
    <w:qFormat/>
    <w:rsid w:val="00614438"/>
    <w:rPr>
      <w:rFonts w:asciiTheme="minorHAnsi" w:hAnsiTheme="minorHAnsi" w:cs="Calibri" w:hint="default"/>
      <w:b/>
      <w:bCs/>
    </w:rPr>
  </w:style>
  <w:style w:type="paragraph" w:customStyle="1" w:styleId="msonormal0">
    <w:name w:val="msonormal"/>
    <w:basedOn w:val="Normal"/>
    <w:uiPriority w:val="99"/>
    <w:rsid w:val="00614438"/>
    <w:pPr>
      <w:spacing w:before="100" w:beforeAutospacing="1" w:after="100" w:afterAutospacing="1" w:line="240" w:lineRule="auto"/>
    </w:pPr>
    <w:rPr>
      <w:rFonts w:ascii="Times New Roman" w:eastAsia="Times New Roman" w:hAnsi="Times New Roman" w:cs="Times New Roman"/>
      <w:kern w:val="0"/>
      <w:sz w:val="24"/>
      <w:szCs w:val="24"/>
      <w:lang w:val="en-GB" w:eastAsia="en-GB"/>
    </w:rPr>
  </w:style>
  <w:style w:type="paragraph" w:styleId="NormalWeb">
    <w:name w:val="Normal (Web)"/>
    <w:basedOn w:val="Normal"/>
    <w:uiPriority w:val="99"/>
    <w:semiHidden/>
    <w:unhideWhenUsed/>
    <w:rsid w:val="00614438"/>
    <w:pPr>
      <w:spacing w:before="100" w:beforeAutospacing="1" w:after="100" w:afterAutospacing="1" w:line="240" w:lineRule="auto"/>
    </w:pPr>
    <w:rPr>
      <w:rFonts w:ascii="Times New Roman" w:eastAsia="Times New Roman" w:hAnsi="Times New Roman" w:cs="Times New Roman"/>
      <w:kern w:val="0"/>
      <w:sz w:val="24"/>
      <w:szCs w:val="24"/>
    </w:rPr>
  </w:style>
  <w:style w:type="paragraph" w:styleId="TOC1">
    <w:name w:val="toc 1"/>
    <w:basedOn w:val="Normal"/>
    <w:next w:val="Normal"/>
    <w:autoRedefine/>
    <w:uiPriority w:val="39"/>
    <w:semiHidden/>
    <w:unhideWhenUsed/>
    <w:rsid w:val="00614438"/>
    <w:pPr>
      <w:tabs>
        <w:tab w:val="left" w:pos="440"/>
        <w:tab w:val="right" w:leader="dot" w:pos="9628"/>
      </w:tabs>
      <w:spacing w:after="100" w:line="252" w:lineRule="auto"/>
    </w:pPr>
    <w:rPr>
      <w:kern w:val="0"/>
      <w:lang w:val="en-GB"/>
    </w:rPr>
  </w:style>
  <w:style w:type="paragraph" w:styleId="TOC2">
    <w:name w:val="toc 2"/>
    <w:basedOn w:val="Normal"/>
    <w:next w:val="Normal"/>
    <w:autoRedefine/>
    <w:uiPriority w:val="39"/>
    <w:semiHidden/>
    <w:unhideWhenUsed/>
    <w:rsid w:val="00614438"/>
    <w:pPr>
      <w:tabs>
        <w:tab w:val="left" w:pos="880"/>
        <w:tab w:val="right" w:leader="dot" w:pos="9628"/>
      </w:tabs>
      <w:spacing w:after="100" w:line="252" w:lineRule="auto"/>
      <w:ind w:left="220"/>
    </w:pPr>
    <w:rPr>
      <w:kern w:val="0"/>
      <w:lang w:val="en-GB"/>
    </w:rPr>
  </w:style>
  <w:style w:type="paragraph" w:styleId="TOC3">
    <w:name w:val="toc 3"/>
    <w:basedOn w:val="Normal"/>
    <w:next w:val="Normal"/>
    <w:autoRedefine/>
    <w:uiPriority w:val="39"/>
    <w:semiHidden/>
    <w:unhideWhenUsed/>
    <w:rsid w:val="00614438"/>
    <w:pPr>
      <w:spacing w:after="100" w:line="252" w:lineRule="auto"/>
      <w:ind w:left="440"/>
    </w:pPr>
    <w:rPr>
      <w:kern w:val="0"/>
      <w:lang w:val="en-GB"/>
    </w:rPr>
  </w:style>
  <w:style w:type="character" w:customStyle="1" w:styleId="FootnoteTextChar">
    <w:name w:val="Footnote Text Char"/>
    <w:aliases w:val="Footnote Char,12pt Char,single space Char,Footnote Text Char Char Char,Footnote Text1 Char,Fußnotentextf Char,FOOTNOTES Char,fn Car Car Char,fn Car Car Car Char,fn Car Char,Footnote Text Char2 Char,Footnote Text Char1 Char Char,f Char"/>
    <w:basedOn w:val="DefaultParagraphFont"/>
    <w:link w:val="FootnoteText"/>
    <w:uiPriority w:val="99"/>
    <w:qFormat/>
    <w:locked/>
    <w:rsid w:val="00614438"/>
    <w:rPr>
      <w:rFonts w:ascii="Times New Roman" w:eastAsia="Times New Roman" w:hAnsi="Times New Roman" w:cs="Times New Roman"/>
      <w:sz w:val="20"/>
      <w:szCs w:val="20"/>
    </w:rPr>
  </w:style>
  <w:style w:type="paragraph" w:styleId="FootnoteText">
    <w:name w:val="footnote text"/>
    <w:aliases w:val="Footnote,12pt,single space,Footnote Text Char Char,Footnote Text1,Fußnotentextf,FOOTNOTES,fn Car Car,fn Car Car Car,fn Car,Footnote Text Char2,Footnote Text Char1 Char,Geneva 9,Font: Geneva 9,Boston 1,Fußnote,WB-Fußnotentext,fn,f"/>
    <w:basedOn w:val="Normal"/>
    <w:link w:val="FootnoteTextChar"/>
    <w:uiPriority w:val="99"/>
    <w:unhideWhenUsed/>
    <w:qFormat/>
    <w:rsid w:val="00614438"/>
    <w:pPr>
      <w:spacing w:after="0" w:line="240" w:lineRule="auto"/>
    </w:pPr>
    <w:rPr>
      <w:rFonts w:ascii="Times New Roman" w:eastAsia="Times New Roman" w:hAnsi="Times New Roman" w:cs="Times New Roman"/>
      <w:sz w:val="20"/>
      <w:szCs w:val="20"/>
    </w:rPr>
  </w:style>
  <w:style w:type="character" w:customStyle="1" w:styleId="FootnoteTextChar1">
    <w:name w:val="Footnote Text Char1"/>
    <w:aliases w:val="Footnote Char1,12pt Char1,single space Char1,Footnote Text Char Char Char1,Footnote Text1 Char1,Fußnotentextf Char1,FOOTNOTES Char1,fn Car Car Char1,fn Car Car Car Char1,fn Car Char1,Footnote Text Char2 Char1,Geneva 9 Char,fn Char"/>
    <w:basedOn w:val="DefaultParagraphFont"/>
    <w:uiPriority w:val="99"/>
    <w:semiHidden/>
    <w:rsid w:val="00614438"/>
    <w:rPr>
      <w:sz w:val="20"/>
      <w:szCs w:val="20"/>
    </w:rPr>
  </w:style>
  <w:style w:type="paragraph" w:styleId="CommentText">
    <w:name w:val="annotation text"/>
    <w:basedOn w:val="Normal"/>
    <w:link w:val="CommentTextChar"/>
    <w:uiPriority w:val="99"/>
    <w:semiHidden/>
    <w:unhideWhenUsed/>
    <w:rsid w:val="00614438"/>
    <w:pPr>
      <w:spacing w:after="0" w:line="240" w:lineRule="auto"/>
    </w:pPr>
    <w:rPr>
      <w:rFonts w:ascii="Times New Roman" w:eastAsia="Times New Roman" w:hAnsi="Times New Roman" w:cs="Times New Roman"/>
      <w:kern w:val="0"/>
      <w:sz w:val="20"/>
      <w:szCs w:val="20"/>
      <w:lang w:val="en-GB"/>
    </w:rPr>
  </w:style>
  <w:style w:type="character" w:customStyle="1" w:styleId="CommentTextChar">
    <w:name w:val="Comment Text Char"/>
    <w:basedOn w:val="DefaultParagraphFont"/>
    <w:link w:val="CommentText"/>
    <w:uiPriority w:val="99"/>
    <w:semiHidden/>
    <w:rsid w:val="00614438"/>
    <w:rPr>
      <w:rFonts w:ascii="Times New Roman" w:eastAsia="Times New Roman" w:hAnsi="Times New Roman" w:cs="Times New Roman"/>
      <w:kern w:val="0"/>
      <w:sz w:val="20"/>
      <w:szCs w:val="20"/>
      <w:lang w:val="en-GB"/>
    </w:rPr>
  </w:style>
  <w:style w:type="paragraph" w:styleId="Header">
    <w:name w:val="header"/>
    <w:basedOn w:val="Normal"/>
    <w:link w:val="HeaderChar"/>
    <w:uiPriority w:val="99"/>
    <w:semiHidden/>
    <w:unhideWhenUsed/>
    <w:rsid w:val="00614438"/>
    <w:pPr>
      <w:tabs>
        <w:tab w:val="center" w:pos="4513"/>
        <w:tab w:val="right" w:pos="9026"/>
      </w:tabs>
      <w:spacing w:after="0" w:line="240" w:lineRule="auto"/>
    </w:pPr>
    <w:rPr>
      <w:kern w:val="0"/>
      <w:lang w:val="en-GB"/>
    </w:rPr>
  </w:style>
  <w:style w:type="character" w:customStyle="1" w:styleId="HeaderChar">
    <w:name w:val="Header Char"/>
    <w:basedOn w:val="DefaultParagraphFont"/>
    <w:link w:val="Header"/>
    <w:uiPriority w:val="99"/>
    <w:semiHidden/>
    <w:rsid w:val="00614438"/>
    <w:rPr>
      <w:kern w:val="0"/>
      <w:lang w:val="en-GB"/>
    </w:rPr>
  </w:style>
  <w:style w:type="paragraph" w:styleId="Footer">
    <w:name w:val="footer"/>
    <w:basedOn w:val="Normal"/>
    <w:link w:val="FooterChar"/>
    <w:uiPriority w:val="99"/>
    <w:unhideWhenUsed/>
    <w:rsid w:val="00614438"/>
    <w:pPr>
      <w:tabs>
        <w:tab w:val="center" w:pos="4513"/>
        <w:tab w:val="right" w:pos="9026"/>
      </w:tabs>
      <w:spacing w:after="0" w:line="240" w:lineRule="auto"/>
    </w:pPr>
    <w:rPr>
      <w:kern w:val="0"/>
      <w:lang w:val="en-GB"/>
    </w:rPr>
  </w:style>
  <w:style w:type="character" w:customStyle="1" w:styleId="FooterChar">
    <w:name w:val="Footer Char"/>
    <w:basedOn w:val="DefaultParagraphFont"/>
    <w:link w:val="Footer"/>
    <w:uiPriority w:val="99"/>
    <w:rsid w:val="00614438"/>
    <w:rPr>
      <w:kern w:val="0"/>
      <w:lang w:val="en-GB"/>
    </w:rPr>
  </w:style>
  <w:style w:type="character" w:customStyle="1" w:styleId="CaptionChar">
    <w:name w:val="Caption Char"/>
    <w:link w:val="Caption"/>
    <w:uiPriority w:val="35"/>
    <w:semiHidden/>
    <w:qFormat/>
    <w:locked/>
    <w:rsid w:val="00614438"/>
    <w:rPr>
      <w:rFonts w:ascii="Calibri Light" w:hAnsi="Calibri Light" w:cs="Times New Roman"/>
      <w:b/>
      <w:bCs/>
      <w:color w:val="01406B"/>
    </w:rPr>
  </w:style>
  <w:style w:type="paragraph" w:styleId="Caption">
    <w:name w:val="caption"/>
    <w:basedOn w:val="Normal"/>
    <w:next w:val="Normal"/>
    <w:link w:val="CaptionChar"/>
    <w:uiPriority w:val="35"/>
    <w:semiHidden/>
    <w:unhideWhenUsed/>
    <w:qFormat/>
    <w:rsid w:val="00614438"/>
    <w:pPr>
      <w:spacing w:after="200" w:line="240" w:lineRule="auto"/>
    </w:pPr>
    <w:rPr>
      <w:rFonts w:ascii="Calibri Light" w:hAnsi="Calibri Light" w:cs="Times New Roman"/>
      <w:b/>
      <w:bCs/>
      <w:color w:val="01406B"/>
    </w:rPr>
  </w:style>
  <w:style w:type="paragraph" w:styleId="TableofFigures">
    <w:name w:val="table of figures"/>
    <w:basedOn w:val="Normal"/>
    <w:next w:val="Normal"/>
    <w:uiPriority w:val="99"/>
    <w:semiHidden/>
    <w:unhideWhenUsed/>
    <w:rsid w:val="00614438"/>
    <w:pPr>
      <w:spacing w:after="0" w:line="252" w:lineRule="auto"/>
    </w:pPr>
    <w:rPr>
      <w:kern w:val="0"/>
      <w:lang w:val="en-GB"/>
    </w:rPr>
  </w:style>
  <w:style w:type="paragraph" w:styleId="EndnoteText">
    <w:name w:val="endnote text"/>
    <w:basedOn w:val="Normal"/>
    <w:link w:val="EndnoteTextChar"/>
    <w:uiPriority w:val="99"/>
    <w:semiHidden/>
    <w:unhideWhenUsed/>
    <w:rsid w:val="00614438"/>
    <w:pPr>
      <w:spacing w:after="0" w:line="240" w:lineRule="auto"/>
    </w:pPr>
    <w:rPr>
      <w:kern w:val="0"/>
      <w:sz w:val="20"/>
      <w:szCs w:val="20"/>
      <w:lang w:val="en-GB"/>
    </w:rPr>
  </w:style>
  <w:style w:type="character" w:customStyle="1" w:styleId="EndnoteTextChar">
    <w:name w:val="Endnote Text Char"/>
    <w:basedOn w:val="DefaultParagraphFont"/>
    <w:link w:val="EndnoteText"/>
    <w:uiPriority w:val="99"/>
    <w:semiHidden/>
    <w:rsid w:val="00614438"/>
    <w:rPr>
      <w:kern w:val="0"/>
      <w:sz w:val="20"/>
      <w:szCs w:val="20"/>
      <w:lang w:val="en-GB"/>
    </w:rPr>
  </w:style>
  <w:style w:type="paragraph" w:styleId="BodyText">
    <w:name w:val="Body Text"/>
    <w:basedOn w:val="Normal"/>
    <w:link w:val="BodyTextChar"/>
    <w:uiPriority w:val="1"/>
    <w:semiHidden/>
    <w:unhideWhenUsed/>
    <w:qFormat/>
    <w:rsid w:val="00614438"/>
    <w:pPr>
      <w:spacing w:after="120" w:line="240" w:lineRule="atLeast"/>
      <w:jc w:val="both"/>
    </w:pPr>
    <w:rPr>
      <w:rFonts w:eastAsia="Times New Roman" w:cs="Arial"/>
      <w:kern w:val="0"/>
      <w:szCs w:val="20"/>
      <w:lang w:val="en-GB"/>
    </w:rPr>
  </w:style>
  <w:style w:type="character" w:customStyle="1" w:styleId="BodyTextChar">
    <w:name w:val="Body Text Char"/>
    <w:basedOn w:val="DefaultParagraphFont"/>
    <w:link w:val="BodyText"/>
    <w:uiPriority w:val="1"/>
    <w:semiHidden/>
    <w:rsid w:val="00614438"/>
    <w:rPr>
      <w:rFonts w:eastAsia="Times New Roman" w:cs="Arial"/>
      <w:kern w:val="0"/>
      <w:szCs w:val="20"/>
      <w:lang w:val="en-GB"/>
    </w:rPr>
  </w:style>
  <w:style w:type="paragraph" w:styleId="ListContinue">
    <w:name w:val="List Continue"/>
    <w:basedOn w:val="Normal"/>
    <w:uiPriority w:val="99"/>
    <w:semiHidden/>
    <w:unhideWhenUsed/>
    <w:rsid w:val="00614438"/>
    <w:pPr>
      <w:spacing w:after="120" w:line="240" w:lineRule="auto"/>
      <w:ind w:left="283"/>
      <w:contextualSpacing/>
    </w:pPr>
    <w:rPr>
      <w:rFonts w:ascii="Calibri" w:eastAsia="Times New Roman" w:hAnsi="Calibri" w:cs="Times New Roman"/>
      <w:kern w:val="0"/>
      <w:szCs w:val="24"/>
      <w:lang w:val="en-GB"/>
    </w:rPr>
  </w:style>
  <w:style w:type="paragraph" w:styleId="PlainText">
    <w:name w:val="Plain Text"/>
    <w:basedOn w:val="Normal"/>
    <w:link w:val="PlainTextChar"/>
    <w:uiPriority w:val="99"/>
    <w:semiHidden/>
    <w:unhideWhenUsed/>
    <w:rsid w:val="00614438"/>
    <w:pPr>
      <w:spacing w:after="0" w:line="240" w:lineRule="auto"/>
    </w:pPr>
    <w:rPr>
      <w:rFonts w:ascii="Calibri" w:hAnsi="Calibri"/>
      <w:kern w:val="0"/>
      <w:szCs w:val="21"/>
      <w:lang w:val="el-GR" w:bidi="he-IL"/>
    </w:rPr>
  </w:style>
  <w:style w:type="character" w:customStyle="1" w:styleId="PlainTextChar">
    <w:name w:val="Plain Text Char"/>
    <w:basedOn w:val="DefaultParagraphFont"/>
    <w:link w:val="PlainText"/>
    <w:uiPriority w:val="99"/>
    <w:semiHidden/>
    <w:rsid w:val="00614438"/>
    <w:rPr>
      <w:rFonts w:ascii="Calibri" w:hAnsi="Calibri"/>
      <w:kern w:val="0"/>
      <w:szCs w:val="21"/>
      <w:lang w:val="el-GR" w:bidi="he-IL"/>
    </w:rPr>
  </w:style>
  <w:style w:type="paragraph" w:styleId="CommentSubject">
    <w:name w:val="annotation subject"/>
    <w:basedOn w:val="CommentText"/>
    <w:next w:val="CommentText"/>
    <w:link w:val="CommentSubjectChar"/>
    <w:uiPriority w:val="99"/>
    <w:semiHidden/>
    <w:unhideWhenUsed/>
    <w:rsid w:val="00614438"/>
    <w:rPr>
      <w:b/>
      <w:bCs/>
    </w:rPr>
  </w:style>
  <w:style w:type="character" w:customStyle="1" w:styleId="CommentSubjectChar">
    <w:name w:val="Comment Subject Char"/>
    <w:basedOn w:val="CommentTextChar"/>
    <w:link w:val="CommentSubject"/>
    <w:uiPriority w:val="99"/>
    <w:semiHidden/>
    <w:rsid w:val="00614438"/>
    <w:rPr>
      <w:rFonts w:ascii="Times New Roman" w:eastAsia="Times New Roman" w:hAnsi="Times New Roman" w:cs="Times New Roman"/>
      <w:b/>
      <w:bCs/>
      <w:kern w:val="0"/>
      <w:sz w:val="20"/>
      <w:szCs w:val="20"/>
      <w:lang w:val="en-GB"/>
    </w:rPr>
  </w:style>
  <w:style w:type="paragraph" w:styleId="BalloonText">
    <w:name w:val="Balloon Text"/>
    <w:basedOn w:val="Normal"/>
    <w:link w:val="BalloonTextChar"/>
    <w:uiPriority w:val="99"/>
    <w:semiHidden/>
    <w:unhideWhenUsed/>
    <w:rsid w:val="00614438"/>
    <w:pPr>
      <w:spacing w:after="0" w:line="240" w:lineRule="auto"/>
    </w:pPr>
    <w:rPr>
      <w:rFonts w:ascii="Segoe UI" w:eastAsia="Times New Roman" w:hAnsi="Segoe UI" w:cs="Segoe UI"/>
      <w:kern w:val="0"/>
      <w:sz w:val="18"/>
      <w:szCs w:val="18"/>
      <w:lang w:val="en-GB"/>
    </w:rPr>
  </w:style>
  <w:style w:type="character" w:customStyle="1" w:styleId="BalloonTextChar">
    <w:name w:val="Balloon Text Char"/>
    <w:basedOn w:val="DefaultParagraphFont"/>
    <w:link w:val="BalloonText"/>
    <w:uiPriority w:val="99"/>
    <w:semiHidden/>
    <w:rsid w:val="00614438"/>
    <w:rPr>
      <w:rFonts w:ascii="Segoe UI" w:eastAsia="Times New Roman" w:hAnsi="Segoe UI" w:cs="Segoe UI"/>
      <w:kern w:val="0"/>
      <w:sz w:val="18"/>
      <w:szCs w:val="18"/>
      <w:lang w:val="en-GB"/>
    </w:rPr>
  </w:style>
  <w:style w:type="character" w:customStyle="1" w:styleId="NoSpacingChar">
    <w:name w:val="No Spacing Char"/>
    <w:link w:val="NoSpacing"/>
    <w:uiPriority w:val="1"/>
    <w:locked/>
    <w:rsid w:val="00614438"/>
    <w:rPr>
      <w:rFonts w:ascii="Calibri" w:eastAsia="Calibri" w:hAnsi="Calibri" w:cs="Times New Roman"/>
      <w:lang w:val="el-GR"/>
    </w:rPr>
  </w:style>
  <w:style w:type="paragraph" w:styleId="NoSpacing">
    <w:name w:val="No Spacing"/>
    <w:link w:val="NoSpacingChar"/>
    <w:uiPriority w:val="1"/>
    <w:qFormat/>
    <w:rsid w:val="00614438"/>
    <w:pPr>
      <w:spacing w:after="0" w:line="240" w:lineRule="auto"/>
    </w:pPr>
    <w:rPr>
      <w:rFonts w:ascii="Calibri" w:eastAsia="Calibri" w:hAnsi="Calibri" w:cs="Times New Roman"/>
      <w:lang w:val="el-GR"/>
    </w:rPr>
  </w:style>
  <w:style w:type="paragraph" w:styleId="Revision">
    <w:name w:val="Revision"/>
    <w:uiPriority w:val="99"/>
    <w:semiHidden/>
    <w:rsid w:val="00614438"/>
    <w:pPr>
      <w:spacing w:after="0" w:line="240" w:lineRule="auto"/>
    </w:pPr>
    <w:rPr>
      <w:kern w:val="0"/>
      <w:lang w:val="en-GB"/>
    </w:rPr>
  </w:style>
  <w:style w:type="character" w:customStyle="1" w:styleId="ListParagraphChar">
    <w:name w:val="List Paragraph Char"/>
    <w:aliases w:val="Bullet OFM Char,List Paragraph1 Char,члан Char,List (Mannvit) Char,Left Bullet L1 Char,Table/Figure Heading Char,Paragraph Char,Bullet EY Char,Normal bullet 2 Char,Bullet list Char,List Paragraph Red Char,Resume Title Char"/>
    <w:link w:val="ListParagraph"/>
    <w:uiPriority w:val="34"/>
    <w:qFormat/>
    <w:locked/>
    <w:rsid w:val="00614438"/>
  </w:style>
  <w:style w:type="paragraph" w:styleId="ListParagraph">
    <w:name w:val="List Paragraph"/>
    <w:aliases w:val="Bullet OFM,List Paragraph1,члан,List (Mannvit),Left Bullet L1,Table/Figure Heading,Paragraph,Bullet EY,Normal bullet 2,Bullet list,List Paragraph Red,Resume Title,Citation List,List L1,Bullet Points,Table of contents numbered,Dot pt"/>
    <w:basedOn w:val="Normal"/>
    <w:link w:val="ListParagraphChar"/>
    <w:uiPriority w:val="34"/>
    <w:qFormat/>
    <w:rsid w:val="00614438"/>
    <w:pPr>
      <w:spacing w:line="252" w:lineRule="auto"/>
      <w:ind w:left="720"/>
      <w:contextualSpacing/>
    </w:pPr>
  </w:style>
  <w:style w:type="paragraph" w:styleId="TOCHeading">
    <w:name w:val="TOC Heading"/>
    <w:basedOn w:val="Heading1"/>
    <w:next w:val="Normal"/>
    <w:uiPriority w:val="39"/>
    <w:semiHidden/>
    <w:unhideWhenUsed/>
    <w:qFormat/>
    <w:rsid w:val="00614438"/>
    <w:pPr>
      <w:keepLines/>
      <w:numPr>
        <w:numId w:val="0"/>
      </w:numPr>
      <w:pBdr>
        <w:bottom w:val="none" w:sz="0" w:space="0" w:color="auto"/>
      </w:pBdr>
      <w:shd w:val="clear" w:color="auto" w:fill="auto"/>
      <w:spacing w:before="240" w:after="0" w:line="256" w:lineRule="auto"/>
      <w:jc w:val="left"/>
      <w:outlineLvl w:val="9"/>
    </w:pPr>
    <w:rPr>
      <w:rFonts w:asciiTheme="majorHAnsi" w:eastAsiaTheme="majorEastAsia" w:hAnsiTheme="majorHAnsi" w:cstheme="majorBidi"/>
      <w:b w:val="0"/>
      <w:smallCaps w:val="0"/>
      <w:color w:val="2F5496" w:themeColor="accent1" w:themeShade="BF"/>
      <w:kern w:val="0"/>
      <w:sz w:val="32"/>
      <w:lang w:val="en-US" w:eastAsia="en-US"/>
    </w:rPr>
  </w:style>
  <w:style w:type="character" w:customStyle="1" w:styleId="LDKbodyChar">
    <w:name w:val="LDK body Char"/>
    <w:link w:val="LDKbody"/>
    <w:locked/>
    <w:rsid w:val="00614438"/>
    <w:rPr>
      <w:rFonts w:ascii="Calibri" w:eastAsia="Times New Roman" w:hAnsi="Calibri" w:cs="Arial"/>
      <w:lang w:val="da-DK" w:eastAsia="el-GR"/>
    </w:rPr>
  </w:style>
  <w:style w:type="paragraph" w:customStyle="1" w:styleId="LDKbody">
    <w:name w:val="LDK body"/>
    <w:basedOn w:val="Normal"/>
    <w:link w:val="LDKbodyChar"/>
    <w:qFormat/>
    <w:rsid w:val="00614438"/>
    <w:pPr>
      <w:spacing w:before="120" w:after="120" w:line="240" w:lineRule="auto"/>
      <w:jc w:val="both"/>
    </w:pPr>
    <w:rPr>
      <w:rFonts w:ascii="Calibri" w:eastAsia="Times New Roman" w:hAnsi="Calibri" w:cs="Arial"/>
      <w:lang w:val="da-DK" w:eastAsia="el-GR"/>
    </w:rPr>
  </w:style>
  <w:style w:type="paragraph" w:customStyle="1" w:styleId="Default">
    <w:name w:val="Default"/>
    <w:uiPriority w:val="99"/>
    <w:rsid w:val="00614438"/>
    <w:pPr>
      <w:autoSpaceDE w:val="0"/>
      <w:autoSpaceDN w:val="0"/>
      <w:adjustRightInd w:val="0"/>
      <w:spacing w:after="0" w:line="240" w:lineRule="auto"/>
    </w:pPr>
    <w:rPr>
      <w:rFonts w:ascii="Times New Roman" w:hAnsi="Times New Roman" w:cs="Times New Roman"/>
      <w:color w:val="000000"/>
      <w:kern w:val="0"/>
      <w:sz w:val="24"/>
      <w:szCs w:val="24"/>
    </w:rPr>
  </w:style>
  <w:style w:type="paragraph" w:customStyle="1" w:styleId="ldkbody0">
    <w:name w:val="ldkbody"/>
    <w:basedOn w:val="Normal"/>
    <w:uiPriority w:val="99"/>
    <w:rsid w:val="00614438"/>
    <w:pPr>
      <w:spacing w:before="100" w:beforeAutospacing="1" w:after="100" w:afterAutospacing="1" w:line="240" w:lineRule="auto"/>
    </w:pPr>
    <w:rPr>
      <w:rFonts w:ascii="Times New Roman" w:eastAsia="Times New Roman" w:hAnsi="Times New Roman" w:cs="Times New Roman"/>
      <w:kern w:val="0"/>
      <w:sz w:val="24"/>
      <w:szCs w:val="24"/>
      <w:lang w:val="en-GB"/>
    </w:rPr>
  </w:style>
  <w:style w:type="character" w:customStyle="1" w:styleId="LDKBullets-mainChar">
    <w:name w:val="LDK Bullets - main Char"/>
    <w:link w:val="LDKBullets-main"/>
    <w:uiPriority w:val="99"/>
    <w:locked/>
    <w:rsid w:val="00614438"/>
    <w:rPr>
      <w:rFonts w:ascii="Calibri Light" w:eastAsia="Times New Roman" w:hAnsi="Calibri Light" w:cs="Calibri Light"/>
      <w:lang w:eastAsia="en-GB"/>
    </w:rPr>
  </w:style>
  <w:style w:type="paragraph" w:customStyle="1" w:styleId="LDKBullets-main">
    <w:name w:val="LDK Bullets - main"/>
    <w:basedOn w:val="Normal"/>
    <w:link w:val="LDKBullets-mainChar"/>
    <w:uiPriority w:val="99"/>
    <w:qFormat/>
    <w:rsid w:val="00614438"/>
    <w:pPr>
      <w:widowControl w:val="0"/>
      <w:numPr>
        <w:numId w:val="3"/>
      </w:numPr>
      <w:spacing w:after="0" w:line="276" w:lineRule="auto"/>
      <w:jc w:val="both"/>
    </w:pPr>
    <w:rPr>
      <w:rFonts w:ascii="Calibri Light" w:eastAsia="Times New Roman" w:hAnsi="Calibri Light" w:cs="Calibri Light"/>
      <w:lang w:eastAsia="en-GB"/>
    </w:rPr>
  </w:style>
  <w:style w:type="paragraph" w:customStyle="1" w:styleId="basic-paragraph">
    <w:name w:val="basic-paragraph"/>
    <w:basedOn w:val="Normal"/>
    <w:uiPriority w:val="99"/>
    <w:rsid w:val="00614438"/>
    <w:pPr>
      <w:spacing w:before="100" w:beforeAutospacing="1" w:after="100" w:afterAutospacing="1" w:line="240" w:lineRule="auto"/>
    </w:pPr>
    <w:rPr>
      <w:rFonts w:ascii="Times New Roman" w:eastAsia="Times New Roman" w:hAnsi="Times New Roman" w:cs="Times New Roman"/>
      <w:kern w:val="0"/>
      <w:sz w:val="24"/>
      <w:szCs w:val="24"/>
      <w:lang w:val="en-GB" w:eastAsia="en-GB"/>
    </w:rPr>
  </w:style>
  <w:style w:type="character" w:customStyle="1" w:styleId="LDKBodyChar0">
    <w:name w:val="LDK Body Char"/>
    <w:basedOn w:val="DefaultParagraphFont"/>
    <w:link w:val="LDKBody1"/>
    <w:locked/>
    <w:rsid w:val="00614438"/>
    <w:rPr>
      <w:rFonts w:ascii="Calibri Light" w:eastAsia="Times New Roman" w:hAnsi="Calibri Light" w:cs="Calibri Light"/>
      <w:szCs w:val="20"/>
      <w:lang w:eastAsia="el-GR"/>
    </w:rPr>
  </w:style>
  <w:style w:type="paragraph" w:customStyle="1" w:styleId="LDKBody1">
    <w:name w:val="LDK Body"/>
    <w:basedOn w:val="Normal"/>
    <w:link w:val="LDKBodyChar0"/>
    <w:qFormat/>
    <w:rsid w:val="00614438"/>
    <w:pPr>
      <w:widowControl w:val="0"/>
      <w:spacing w:after="120" w:line="240" w:lineRule="auto"/>
      <w:jc w:val="both"/>
    </w:pPr>
    <w:rPr>
      <w:rFonts w:ascii="Calibri Light" w:eastAsia="Times New Roman" w:hAnsi="Calibri Light" w:cs="Calibri Light"/>
      <w:szCs w:val="20"/>
      <w:lang w:eastAsia="el-GR"/>
    </w:rPr>
  </w:style>
  <w:style w:type="paragraph" w:customStyle="1" w:styleId="xmsonormal">
    <w:name w:val="x_msonormal"/>
    <w:basedOn w:val="Normal"/>
    <w:uiPriority w:val="99"/>
    <w:rsid w:val="00614438"/>
    <w:pPr>
      <w:spacing w:after="0" w:line="240" w:lineRule="auto"/>
    </w:pPr>
    <w:rPr>
      <w:rFonts w:ascii="Calibri" w:hAnsi="Calibri" w:cs="Calibri"/>
      <w:kern w:val="0"/>
      <w:lang w:val="el-GR" w:eastAsia="el-GR"/>
    </w:rPr>
  </w:style>
  <w:style w:type="paragraph" w:customStyle="1" w:styleId="xmsotoc1">
    <w:name w:val="x_msotoc1"/>
    <w:basedOn w:val="Normal"/>
    <w:uiPriority w:val="99"/>
    <w:rsid w:val="00614438"/>
    <w:pPr>
      <w:spacing w:after="100" w:line="252" w:lineRule="auto"/>
    </w:pPr>
    <w:rPr>
      <w:rFonts w:ascii="Calibri" w:hAnsi="Calibri" w:cs="Calibri"/>
      <w:kern w:val="0"/>
      <w:lang w:val="el-GR" w:eastAsia="el-GR"/>
    </w:rPr>
  </w:style>
  <w:style w:type="paragraph" w:customStyle="1" w:styleId="Style2">
    <w:name w:val="Style2"/>
    <w:basedOn w:val="Normal"/>
    <w:autoRedefine/>
    <w:uiPriority w:val="9"/>
    <w:qFormat/>
    <w:rsid w:val="00614438"/>
    <w:pPr>
      <w:keepNext/>
      <w:spacing w:before="240" w:after="120" w:line="320" w:lineRule="exact"/>
      <w:ind w:left="720" w:hanging="720"/>
      <w:outlineLvl w:val="1"/>
    </w:pPr>
    <w:rPr>
      <w:rFonts w:asciiTheme="majorHAnsi" w:eastAsia="Arial" w:hAnsiTheme="majorHAnsi" w:cstheme="majorHAnsi"/>
      <w:color w:val="4472C4" w:themeColor="accent1"/>
      <w:kern w:val="32"/>
      <w:sz w:val="28"/>
      <w:szCs w:val="28"/>
      <w:lang w:val="en-GB"/>
    </w:rPr>
  </w:style>
  <w:style w:type="character" w:customStyle="1" w:styleId="Style3Char">
    <w:name w:val="Style3 Char"/>
    <w:basedOn w:val="DefaultParagraphFont"/>
    <w:link w:val="Style3"/>
    <w:uiPriority w:val="9"/>
    <w:locked/>
    <w:rsid w:val="00614438"/>
    <w:rPr>
      <w:rFonts w:asciiTheme="majorHAnsi" w:eastAsia="Arial" w:hAnsiTheme="majorHAnsi" w:cstheme="majorHAnsi"/>
      <w:color w:val="4472C4" w:themeColor="accent1"/>
      <w:kern w:val="32"/>
      <w:sz w:val="28"/>
      <w:szCs w:val="28"/>
    </w:rPr>
  </w:style>
  <w:style w:type="paragraph" w:customStyle="1" w:styleId="Style3">
    <w:name w:val="Style3"/>
    <w:basedOn w:val="Style2"/>
    <w:next w:val="Heading3"/>
    <w:link w:val="Style3Char"/>
    <w:uiPriority w:val="9"/>
    <w:qFormat/>
    <w:rsid w:val="00614438"/>
    <w:rPr>
      <w:lang w:val="en-US"/>
    </w:rPr>
  </w:style>
  <w:style w:type="character" w:styleId="FootnoteReference">
    <w:name w:val="footnote reference"/>
    <w:aliases w:val="ftref,Ref,de nota al pie,Знак сноски-FN,16 Point,Superscript 6 Point,Footnote symbol,Footnote reference number,Footnote Reference Number,note de bas de page,Pocacito_Footnote Reference,Cecilia_Footnote Reference,BVI fnr"/>
    <w:link w:val="BVIfnrCarCar"/>
    <w:uiPriority w:val="99"/>
    <w:unhideWhenUsed/>
    <w:qFormat/>
    <w:rsid w:val="00614438"/>
    <w:rPr>
      <w:vertAlign w:val="superscript"/>
    </w:rPr>
  </w:style>
  <w:style w:type="paragraph" w:customStyle="1" w:styleId="BVIfnrCarCar">
    <w:name w:val="BVI fnr Car Car"/>
    <w:aliases w:val="BVI fnr Car,BVI fnr Car Car Car Car,BVI fnr Car Car Char,BVI fnr Car Car Car Car Char"/>
    <w:basedOn w:val="Normal"/>
    <w:link w:val="FootnoteReference"/>
    <w:uiPriority w:val="99"/>
    <w:rsid w:val="00614438"/>
    <w:pPr>
      <w:spacing w:before="240" w:after="0" w:line="240" w:lineRule="exact"/>
      <w:jc w:val="both"/>
    </w:pPr>
    <w:rPr>
      <w:vertAlign w:val="superscript"/>
    </w:rPr>
  </w:style>
  <w:style w:type="character" w:customStyle="1" w:styleId="LDKTableChar">
    <w:name w:val="LDK Table Char"/>
    <w:basedOn w:val="DefaultParagraphFont"/>
    <w:link w:val="LDKTable"/>
    <w:locked/>
    <w:rsid w:val="00614438"/>
    <w:rPr>
      <w:rFonts w:ascii="Calibri Light" w:eastAsia="Times New Roman" w:hAnsi="Calibri Light" w:cs="Times New Roman"/>
      <w:b/>
      <w:bCs/>
      <w:color w:val="01406B"/>
      <w:lang w:val="da-DK" w:eastAsia="el-GR"/>
    </w:rPr>
  </w:style>
  <w:style w:type="paragraph" w:customStyle="1" w:styleId="LDKTable">
    <w:name w:val="LDK Table"/>
    <w:basedOn w:val="Normal"/>
    <w:link w:val="LDKTableChar"/>
    <w:qFormat/>
    <w:rsid w:val="00614438"/>
    <w:pPr>
      <w:keepNext/>
      <w:spacing w:before="120" w:after="120" w:line="240" w:lineRule="auto"/>
      <w:jc w:val="both"/>
    </w:pPr>
    <w:rPr>
      <w:rFonts w:ascii="Calibri Light" w:eastAsia="Times New Roman" w:hAnsi="Calibri Light" w:cs="Times New Roman"/>
      <w:b/>
      <w:bCs/>
      <w:color w:val="01406B"/>
      <w:lang w:val="da-DK" w:eastAsia="el-GR"/>
    </w:rPr>
  </w:style>
  <w:style w:type="paragraph" w:customStyle="1" w:styleId="Headline2">
    <w:name w:val="Headline 2"/>
    <w:basedOn w:val="Normal"/>
    <w:uiPriority w:val="99"/>
    <w:rsid w:val="00614438"/>
    <w:pPr>
      <w:suppressAutoHyphens/>
      <w:spacing w:after="200" w:line="240" w:lineRule="auto"/>
      <w:ind w:left="1843" w:hanging="1843"/>
    </w:pPr>
    <w:rPr>
      <w:rFonts w:ascii="Trebuchet MS Bold" w:eastAsia="Cambria" w:hAnsi="Trebuchet MS Bold" w:cs="Times New Roman"/>
      <w:color w:val="262727"/>
      <w:kern w:val="0"/>
      <w:sz w:val="32"/>
      <w:szCs w:val="24"/>
      <w:lang w:val="de-DE" w:eastAsia="ar-SA"/>
    </w:rPr>
  </w:style>
  <w:style w:type="paragraph" w:customStyle="1" w:styleId="Bullet">
    <w:name w:val="Bullet"/>
    <w:aliases w:val="bl,Bullet L1,bl1"/>
    <w:basedOn w:val="Normal"/>
    <w:uiPriority w:val="99"/>
    <w:rsid w:val="00614438"/>
    <w:pPr>
      <w:numPr>
        <w:numId w:val="4"/>
      </w:numPr>
      <w:spacing w:after="0" w:line="240" w:lineRule="auto"/>
    </w:pPr>
    <w:rPr>
      <w:rFonts w:ascii="Calibri" w:eastAsia="Times New Roman" w:hAnsi="Calibri" w:cs="Times New Roman"/>
      <w:kern w:val="0"/>
      <w:sz w:val="18"/>
      <w:szCs w:val="20"/>
      <w:lang w:val="en-GB" w:eastAsia="el-GR"/>
    </w:rPr>
  </w:style>
  <w:style w:type="character" w:customStyle="1" w:styleId="LDKTableBullets2Char">
    <w:name w:val="LDK Table Bullets 2 Char"/>
    <w:basedOn w:val="DefaultParagraphFont"/>
    <w:link w:val="LDKTableBullets2"/>
    <w:uiPriority w:val="99"/>
    <w:locked/>
    <w:rsid w:val="00614438"/>
    <w:rPr>
      <w:rFonts w:ascii="Calibri Light" w:eastAsia="Times New Roman" w:hAnsi="Calibri Light" w:cs="Calibri Light"/>
      <w:lang w:eastAsia="en-GB"/>
    </w:rPr>
  </w:style>
  <w:style w:type="paragraph" w:customStyle="1" w:styleId="LDKTableBullets2">
    <w:name w:val="LDK Table Bullets 2"/>
    <w:basedOn w:val="Normal"/>
    <w:link w:val="LDKTableBullets2Char"/>
    <w:uiPriority w:val="99"/>
    <w:qFormat/>
    <w:rsid w:val="00614438"/>
    <w:pPr>
      <w:widowControl w:val="0"/>
      <w:numPr>
        <w:numId w:val="5"/>
      </w:numPr>
      <w:spacing w:after="0" w:line="276" w:lineRule="auto"/>
      <w:jc w:val="both"/>
    </w:pPr>
    <w:rPr>
      <w:rFonts w:ascii="Calibri Light" w:eastAsia="Times New Roman" w:hAnsi="Calibri Light" w:cs="Calibri Light"/>
      <w:lang w:eastAsia="en-GB"/>
    </w:rPr>
  </w:style>
  <w:style w:type="character" w:customStyle="1" w:styleId="LDKBullets-main2Char">
    <w:name w:val="LDK Bullets - main 2 Char"/>
    <w:link w:val="LDKBullets-main2"/>
    <w:uiPriority w:val="99"/>
    <w:locked/>
    <w:rsid w:val="00614438"/>
    <w:rPr>
      <w:rFonts w:ascii="Calibri" w:eastAsia="Calibri" w:hAnsi="Calibri" w:cs="Times New Roman"/>
    </w:rPr>
  </w:style>
  <w:style w:type="paragraph" w:customStyle="1" w:styleId="LDKBullets-main2">
    <w:name w:val="LDK Bullets - main 2"/>
    <w:basedOn w:val="Normal"/>
    <w:link w:val="LDKBullets-main2Char"/>
    <w:uiPriority w:val="99"/>
    <w:qFormat/>
    <w:rsid w:val="00614438"/>
    <w:pPr>
      <w:keepLines/>
      <w:numPr>
        <w:numId w:val="6"/>
      </w:numPr>
      <w:spacing w:after="60" w:line="240" w:lineRule="auto"/>
      <w:jc w:val="both"/>
    </w:pPr>
    <w:rPr>
      <w:rFonts w:ascii="Calibri" w:eastAsia="Calibri" w:hAnsi="Calibri" w:cs="Times New Roman"/>
    </w:rPr>
  </w:style>
  <w:style w:type="character" w:customStyle="1" w:styleId="LDKFigureChar">
    <w:name w:val="LDK Figure Char"/>
    <w:basedOn w:val="CaptionChar"/>
    <w:link w:val="LDKFigure"/>
    <w:locked/>
    <w:rsid w:val="00614438"/>
    <w:rPr>
      <w:rFonts w:ascii="Calibri Light" w:eastAsia="Times New Roman" w:hAnsi="Calibri Light" w:cs="Times New Roman"/>
      <w:b/>
      <w:bCs/>
      <w:iCs/>
      <w:color w:val="44546A" w:themeColor="text2"/>
      <w:sz w:val="18"/>
      <w:szCs w:val="18"/>
      <w:lang w:val="da-DK" w:eastAsia="el-GR"/>
    </w:rPr>
  </w:style>
  <w:style w:type="paragraph" w:customStyle="1" w:styleId="LDKFigure">
    <w:name w:val="LDK Figure"/>
    <w:basedOn w:val="Caption"/>
    <w:link w:val="LDKFigureChar"/>
    <w:qFormat/>
    <w:rsid w:val="00614438"/>
    <w:pPr>
      <w:keepNext/>
      <w:spacing w:before="120"/>
      <w:jc w:val="both"/>
    </w:pPr>
    <w:rPr>
      <w:rFonts w:eastAsia="Times New Roman"/>
      <w:iCs/>
      <w:color w:val="44546A" w:themeColor="text2"/>
      <w:sz w:val="18"/>
      <w:szCs w:val="18"/>
      <w:lang w:val="da-DK" w:eastAsia="el-GR"/>
    </w:rPr>
  </w:style>
  <w:style w:type="paragraph" w:customStyle="1" w:styleId="xl79">
    <w:name w:val="xl79"/>
    <w:basedOn w:val="Normal"/>
    <w:uiPriority w:val="99"/>
    <w:rsid w:val="00614438"/>
    <w:pPr>
      <w:spacing w:before="100" w:beforeAutospacing="1" w:after="100" w:afterAutospacing="1" w:line="240" w:lineRule="auto"/>
    </w:pPr>
    <w:rPr>
      <w:rFonts w:ascii="Calibri Light" w:eastAsia="Times New Roman" w:hAnsi="Calibri Light" w:cs="Calibri Light"/>
      <w:kern w:val="0"/>
      <w:sz w:val="12"/>
      <w:szCs w:val="12"/>
      <w:lang w:val="en-GB" w:eastAsia="en-GB"/>
    </w:rPr>
  </w:style>
  <w:style w:type="paragraph" w:customStyle="1" w:styleId="xl80">
    <w:name w:val="xl80"/>
    <w:basedOn w:val="Normal"/>
    <w:uiPriority w:val="99"/>
    <w:rsid w:val="00614438"/>
    <w:pPr>
      <w:pBdr>
        <w:top w:val="single" w:sz="4" w:space="0" w:color="696969"/>
        <w:left w:val="single" w:sz="4" w:space="0" w:color="696969"/>
        <w:bottom w:val="single" w:sz="4" w:space="0" w:color="696969"/>
        <w:right w:val="single" w:sz="4" w:space="0" w:color="696969"/>
      </w:pBdr>
      <w:shd w:val="clear" w:color="auto" w:fill="EFF6FF"/>
      <w:spacing w:before="100" w:beforeAutospacing="1" w:after="100" w:afterAutospacing="1" w:line="240" w:lineRule="auto"/>
    </w:pPr>
    <w:rPr>
      <w:rFonts w:ascii="Calibri Light" w:eastAsia="Times New Roman" w:hAnsi="Calibri Light" w:cs="Calibri Light"/>
      <w:color w:val="2B2C3C"/>
      <w:kern w:val="0"/>
      <w:sz w:val="12"/>
      <w:szCs w:val="12"/>
      <w:lang w:val="en-GB" w:eastAsia="en-GB"/>
    </w:rPr>
  </w:style>
  <w:style w:type="paragraph" w:customStyle="1" w:styleId="xl81">
    <w:name w:val="xl81"/>
    <w:basedOn w:val="Normal"/>
    <w:uiPriority w:val="99"/>
    <w:rsid w:val="00614438"/>
    <w:pPr>
      <w:pBdr>
        <w:top w:val="single" w:sz="4" w:space="0" w:color="696969"/>
        <w:left w:val="single" w:sz="4" w:space="0" w:color="696969"/>
        <w:bottom w:val="single" w:sz="4" w:space="0" w:color="696969"/>
        <w:right w:val="single" w:sz="4" w:space="0" w:color="696969"/>
      </w:pBdr>
      <w:shd w:val="clear" w:color="auto" w:fill="EAF1FB"/>
      <w:spacing w:before="100" w:beforeAutospacing="1" w:after="100" w:afterAutospacing="1" w:line="240" w:lineRule="auto"/>
      <w:jc w:val="right"/>
    </w:pPr>
    <w:rPr>
      <w:rFonts w:ascii="Calibri Light" w:eastAsia="Times New Roman" w:hAnsi="Calibri Light" w:cs="Calibri Light"/>
      <w:color w:val="000000"/>
      <w:kern w:val="0"/>
      <w:sz w:val="12"/>
      <w:szCs w:val="12"/>
      <w:lang w:val="en-GB" w:eastAsia="en-GB"/>
    </w:rPr>
  </w:style>
  <w:style w:type="paragraph" w:customStyle="1" w:styleId="xl82">
    <w:name w:val="xl82"/>
    <w:basedOn w:val="Normal"/>
    <w:uiPriority w:val="99"/>
    <w:rsid w:val="00614438"/>
    <w:pPr>
      <w:pBdr>
        <w:top w:val="single" w:sz="4" w:space="0" w:color="696969"/>
        <w:left w:val="single" w:sz="4" w:space="0" w:color="696969"/>
        <w:bottom w:val="single" w:sz="4" w:space="0" w:color="696969"/>
        <w:right w:val="single" w:sz="4" w:space="0" w:color="696969"/>
      </w:pBdr>
      <w:shd w:val="clear" w:color="auto" w:fill="EAF1FB"/>
      <w:spacing w:before="100" w:beforeAutospacing="1" w:after="100" w:afterAutospacing="1" w:line="240" w:lineRule="auto"/>
    </w:pPr>
    <w:rPr>
      <w:rFonts w:ascii="Calibri Light" w:eastAsia="Times New Roman" w:hAnsi="Calibri Light" w:cs="Calibri Light"/>
      <w:color w:val="000000"/>
      <w:kern w:val="0"/>
      <w:sz w:val="12"/>
      <w:szCs w:val="12"/>
      <w:lang w:val="en-GB" w:eastAsia="en-GB"/>
    </w:rPr>
  </w:style>
  <w:style w:type="paragraph" w:customStyle="1" w:styleId="xl83">
    <w:name w:val="xl83"/>
    <w:basedOn w:val="Normal"/>
    <w:uiPriority w:val="99"/>
    <w:rsid w:val="00614438"/>
    <w:pPr>
      <w:pBdr>
        <w:top w:val="single" w:sz="4" w:space="0" w:color="696969"/>
        <w:left w:val="single" w:sz="4" w:space="0" w:color="696969"/>
        <w:bottom w:val="single" w:sz="4" w:space="0" w:color="696969"/>
        <w:right w:val="single" w:sz="4" w:space="0" w:color="696969"/>
      </w:pBdr>
      <w:shd w:val="clear" w:color="auto" w:fill="FFFFFF"/>
      <w:spacing w:before="100" w:beforeAutospacing="1" w:after="100" w:afterAutospacing="1" w:line="240" w:lineRule="auto"/>
      <w:jc w:val="right"/>
    </w:pPr>
    <w:rPr>
      <w:rFonts w:ascii="Calibri Light" w:eastAsia="Times New Roman" w:hAnsi="Calibri Light" w:cs="Calibri Light"/>
      <w:color w:val="000000"/>
      <w:kern w:val="0"/>
      <w:sz w:val="12"/>
      <w:szCs w:val="12"/>
      <w:lang w:val="en-GB" w:eastAsia="en-GB"/>
    </w:rPr>
  </w:style>
  <w:style w:type="paragraph" w:customStyle="1" w:styleId="xl84">
    <w:name w:val="xl84"/>
    <w:basedOn w:val="Normal"/>
    <w:uiPriority w:val="99"/>
    <w:rsid w:val="0061443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Calibri Light" w:eastAsia="Times New Roman" w:hAnsi="Calibri Light" w:cs="Calibri Light"/>
      <w:color w:val="000000"/>
      <w:kern w:val="0"/>
      <w:sz w:val="12"/>
      <w:szCs w:val="12"/>
      <w:lang w:val="en-GB" w:eastAsia="en-GB"/>
    </w:rPr>
  </w:style>
  <w:style w:type="paragraph" w:customStyle="1" w:styleId="xl85">
    <w:name w:val="xl85"/>
    <w:basedOn w:val="Normal"/>
    <w:uiPriority w:val="99"/>
    <w:rsid w:val="00614438"/>
    <w:pPr>
      <w:pBdr>
        <w:top w:val="single" w:sz="4" w:space="0" w:color="696969"/>
        <w:left w:val="single" w:sz="4" w:space="0" w:color="696969"/>
        <w:bottom w:val="single" w:sz="4" w:space="0" w:color="696969"/>
        <w:right w:val="single" w:sz="4" w:space="0" w:color="696969"/>
      </w:pBdr>
      <w:shd w:val="clear" w:color="auto" w:fill="FFFFFF"/>
      <w:spacing w:before="100" w:beforeAutospacing="1" w:after="100" w:afterAutospacing="1" w:line="240" w:lineRule="auto"/>
      <w:jc w:val="right"/>
    </w:pPr>
    <w:rPr>
      <w:rFonts w:ascii="Calibri Light" w:eastAsia="Times New Roman" w:hAnsi="Calibri Light" w:cs="Calibri Light"/>
      <w:color w:val="000000"/>
      <w:kern w:val="0"/>
      <w:sz w:val="12"/>
      <w:szCs w:val="12"/>
      <w:lang w:val="en-GB" w:eastAsia="en-GB"/>
    </w:rPr>
  </w:style>
  <w:style w:type="paragraph" w:customStyle="1" w:styleId="xl86">
    <w:name w:val="xl86"/>
    <w:basedOn w:val="Normal"/>
    <w:uiPriority w:val="99"/>
    <w:rsid w:val="00614438"/>
    <w:pPr>
      <w:shd w:val="clear" w:color="auto" w:fill="FFFFFF"/>
      <w:spacing w:before="100" w:beforeAutospacing="1" w:after="100" w:afterAutospacing="1" w:line="240" w:lineRule="auto"/>
      <w:jc w:val="right"/>
    </w:pPr>
    <w:rPr>
      <w:rFonts w:ascii="Calibri Light" w:eastAsia="Times New Roman" w:hAnsi="Calibri Light" w:cs="Calibri Light"/>
      <w:color w:val="000000"/>
      <w:kern w:val="0"/>
      <w:sz w:val="12"/>
      <w:szCs w:val="12"/>
      <w:lang w:val="en-GB" w:eastAsia="en-GB"/>
    </w:rPr>
  </w:style>
  <w:style w:type="paragraph" w:customStyle="1" w:styleId="xl87">
    <w:name w:val="xl87"/>
    <w:basedOn w:val="Normal"/>
    <w:uiPriority w:val="99"/>
    <w:rsid w:val="00614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Light" w:eastAsia="Times New Roman" w:hAnsi="Calibri Light" w:cs="Calibri Light"/>
      <w:kern w:val="0"/>
      <w:sz w:val="12"/>
      <w:szCs w:val="12"/>
      <w:lang w:val="en-GB" w:eastAsia="en-GB"/>
    </w:rPr>
  </w:style>
  <w:style w:type="paragraph" w:customStyle="1" w:styleId="xl88">
    <w:name w:val="xl88"/>
    <w:basedOn w:val="Normal"/>
    <w:uiPriority w:val="99"/>
    <w:rsid w:val="00614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Light" w:eastAsia="Times New Roman" w:hAnsi="Calibri Light" w:cs="Calibri Light"/>
      <w:kern w:val="0"/>
      <w:sz w:val="12"/>
      <w:szCs w:val="12"/>
      <w:lang w:val="en-GB" w:eastAsia="en-GB"/>
    </w:rPr>
  </w:style>
  <w:style w:type="paragraph" w:customStyle="1" w:styleId="xl89">
    <w:name w:val="xl89"/>
    <w:basedOn w:val="Normal"/>
    <w:uiPriority w:val="99"/>
    <w:rsid w:val="00614438"/>
    <w:pPr>
      <w:pBdr>
        <w:top w:val="single" w:sz="4" w:space="0" w:color="696969"/>
        <w:left w:val="single" w:sz="4" w:space="0" w:color="696969"/>
        <w:bottom w:val="single" w:sz="4" w:space="0" w:color="696969"/>
        <w:right w:val="single" w:sz="4" w:space="0" w:color="696969"/>
      </w:pBdr>
      <w:shd w:val="clear" w:color="auto" w:fill="EFF6FF"/>
      <w:spacing w:before="100" w:beforeAutospacing="1" w:after="100" w:afterAutospacing="1" w:line="240" w:lineRule="auto"/>
    </w:pPr>
    <w:rPr>
      <w:rFonts w:ascii="Calibri Light" w:eastAsia="Times New Roman" w:hAnsi="Calibri Light" w:cs="Calibri Light"/>
      <w:color w:val="2B2C3C"/>
      <w:kern w:val="0"/>
      <w:sz w:val="12"/>
      <w:szCs w:val="12"/>
      <w:lang w:val="en-GB" w:eastAsia="en-GB"/>
    </w:rPr>
  </w:style>
  <w:style w:type="paragraph" w:customStyle="1" w:styleId="xl90">
    <w:name w:val="xl90"/>
    <w:basedOn w:val="Normal"/>
    <w:uiPriority w:val="99"/>
    <w:rsid w:val="00614438"/>
    <w:pPr>
      <w:pBdr>
        <w:top w:val="single" w:sz="4" w:space="0" w:color="696969"/>
        <w:left w:val="single" w:sz="4" w:space="0" w:color="696969"/>
        <w:bottom w:val="single" w:sz="4" w:space="0" w:color="696969"/>
        <w:right w:val="single" w:sz="4" w:space="0" w:color="696969"/>
      </w:pBdr>
      <w:shd w:val="clear" w:color="auto" w:fill="EAF1FB"/>
      <w:spacing w:before="100" w:beforeAutospacing="1" w:after="100" w:afterAutospacing="1" w:line="240" w:lineRule="auto"/>
    </w:pPr>
    <w:rPr>
      <w:rFonts w:ascii="Calibri Light" w:eastAsia="Times New Roman" w:hAnsi="Calibri Light" w:cs="Calibri Light"/>
      <w:color w:val="000000"/>
      <w:kern w:val="0"/>
      <w:sz w:val="12"/>
      <w:szCs w:val="12"/>
      <w:lang w:val="en-GB" w:eastAsia="en-GB"/>
    </w:rPr>
  </w:style>
  <w:style w:type="paragraph" w:customStyle="1" w:styleId="xl91">
    <w:name w:val="xl91"/>
    <w:basedOn w:val="Normal"/>
    <w:uiPriority w:val="99"/>
    <w:rsid w:val="00614438"/>
    <w:pPr>
      <w:pBdr>
        <w:top w:val="single" w:sz="4" w:space="0" w:color="696969"/>
        <w:left w:val="single" w:sz="4" w:space="0" w:color="696969"/>
        <w:bottom w:val="single" w:sz="4" w:space="0" w:color="696969"/>
        <w:right w:val="single" w:sz="4" w:space="0" w:color="696969"/>
      </w:pBdr>
      <w:shd w:val="clear" w:color="auto" w:fill="FFFFFF"/>
      <w:spacing w:before="100" w:beforeAutospacing="1" w:after="100" w:afterAutospacing="1" w:line="240" w:lineRule="auto"/>
      <w:jc w:val="right"/>
    </w:pPr>
    <w:rPr>
      <w:rFonts w:ascii="Calibri Light" w:eastAsia="Times New Roman" w:hAnsi="Calibri Light" w:cs="Calibri Light"/>
      <w:color w:val="000000"/>
      <w:kern w:val="0"/>
      <w:sz w:val="12"/>
      <w:szCs w:val="12"/>
      <w:lang w:val="en-GB" w:eastAsia="en-GB"/>
    </w:rPr>
  </w:style>
  <w:style w:type="paragraph" w:customStyle="1" w:styleId="xl92">
    <w:name w:val="xl92"/>
    <w:basedOn w:val="Normal"/>
    <w:uiPriority w:val="99"/>
    <w:rsid w:val="00614438"/>
    <w:pPr>
      <w:pBdr>
        <w:top w:val="single" w:sz="4" w:space="0" w:color="696969"/>
        <w:left w:val="single" w:sz="4" w:space="0" w:color="696969"/>
        <w:bottom w:val="single" w:sz="4" w:space="0" w:color="696969"/>
      </w:pBdr>
      <w:shd w:val="clear" w:color="auto" w:fill="FFFFFF"/>
      <w:spacing w:before="100" w:beforeAutospacing="1" w:after="100" w:afterAutospacing="1" w:line="240" w:lineRule="auto"/>
      <w:jc w:val="right"/>
    </w:pPr>
    <w:rPr>
      <w:rFonts w:ascii="Calibri Light" w:eastAsia="Times New Roman" w:hAnsi="Calibri Light" w:cs="Calibri Light"/>
      <w:color w:val="000000"/>
      <w:kern w:val="0"/>
      <w:sz w:val="12"/>
      <w:szCs w:val="12"/>
      <w:lang w:val="en-GB" w:eastAsia="en-GB"/>
    </w:rPr>
  </w:style>
  <w:style w:type="paragraph" w:customStyle="1" w:styleId="xl93">
    <w:name w:val="xl93"/>
    <w:basedOn w:val="Normal"/>
    <w:uiPriority w:val="99"/>
    <w:rsid w:val="00614438"/>
    <w:pPr>
      <w:pBdr>
        <w:top w:val="single" w:sz="4" w:space="0" w:color="696969"/>
        <w:left w:val="single" w:sz="4" w:space="0" w:color="696969"/>
        <w:bottom w:val="single" w:sz="4" w:space="0" w:color="696969"/>
      </w:pBdr>
      <w:shd w:val="clear" w:color="auto" w:fill="EAF1FB"/>
      <w:spacing w:before="100" w:beforeAutospacing="1" w:after="100" w:afterAutospacing="1" w:line="240" w:lineRule="auto"/>
      <w:jc w:val="right"/>
    </w:pPr>
    <w:rPr>
      <w:rFonts w:ascii="Calibri Light" w:eastAsia="Times New Roman" w:hAnsi="Calibri Light" w:cs="Calibri Light"/>
      <w:color w:val="000000"/>
      <w:kern w:val="0"/>
      <w:sz w:val="12"/>
      <w:szCs w:val="12"/>
      <w:lang w:val="en-GB" w:eastAsia="en-GB"/>
    </w:rPr>
  </w:style>
  <w:style w:type="paragraph" w:customStyle="1" w:styleId="xl94">
    <w:name w:val="xl94"/>
    <w:basedOn w:val="Normal"/>
    <w:uiPriority w:val="99"/>
    <w:rsid w:val="00614438"/>
    <w:pPr>
      <w:pBdr>
        <w:top w:val="single" w:sz="4" w:space="0" w:color="auto"/>
        <w:left w:val="single" w:sz="4" w:space="0" w:color="auto"/>
        <w:bottom w:val="single" w:sz="4" w:space="0" w:color="auto"/>
        <w:right w:val="single" w:sz="4" w:space="0" w:color="auto"/>
      </w:pBdr>
      <w:shd w:val="clear" w:color="auto" w:fill="EAF1FB"/>
      <w:spacing w:before="100" w:beforeAutospacing="1" w:after="100" w:afterAutospacing="1" w:line="240" w:lineRule="auto"/>
      <w:jc w:val="right"/>
    </w:pPr>
    <w:rPr>
      <w:rFonts w:ascii="Calibri Light" w:eastAsia="Times New Roman" w:hAnsi="Calibri Light" w:cs="Calibri Light"/>
      <w:color w:val="000000"/>
      <w:kern w:val="0"/>
      <w:sz w:val="12"/>
      <w:szCs w:val="12"/>
      <w:lang w:val="en-GB" w:eastAsia="en-GB"/>
    </w:rPr>
  </w:style>
  <w:style w:type="paragraph" w:customStyle="1" w:styleId="xl95">
    <w:name w:val="xl95"/>
    <w:basedOn w:val="Normal"/>
    <w:uiPriority w:val="99"/>
    <w:rsid w:val="00614438"/>
    <w:pPr>
      <w:pBdr>
        <w:top w:val="single" w:sz="4" w:space="0" w:color="696969"/>
        <w:left w:val="single" w:sz="4" w:space="0" w:color="696969"/>
        <w:bottom w:val="single" w:sz="4" w:space="0" w:color="696969"/>
      </w:pBdr>
      <w:shd w:val="clear" w:color="auto" w:fill="EAF1FB"/>
      <w:spacing w:before="100" w:beforeAutospacing="1" w:after="100" w:afterAutospacing="1" w:line="240" w:lineRule="auto"/>
      <w:jc w:val="right"/>
    </w:pPr>
    <w:rPr>
      <w:rFonts w:ascii="Calibri Light" w:eastAsia="Times New Roman" w:hAnsi="Calibri Light" w:cs="Calibri Light"/>
      <w:color w:val="000000"/>
      <w:kern w:val="0"/>
      <w:sz w:val="12"/>
      <w:szCs w:val="12"/>
      <w:lang w:val="en-GB" w:eastAsia="en-GB"/>
    </w:rPr>
  </w:style>
  <w:style w:type="paragraph" w:customStyle="1" w:styleId="xl96">
    <w:name w:val="xl96"/>
    <w:basedOn w:val="Normal"/>
    <w:uiPriority w:val="99"/>
    <w:rsid w:val="00614438"/>
    <w:pPr>
      <w:pBdr>
        <w:top w:val="single" w:sz="4" w:space="0" w:color="auto"/>
        <w:left w:val="single" w:sz="4" w:space="0" w:color="auto"/>
        <w:bottom w:val="single" w:sz="4" w:space="0" w:color="auto"/>
        <w:right w:val="single" w:sz="4" w:space="0" w:color="auto"/>
      </w:pBdr>
      <w:shd w:val="clear" w:color="auto" w:fill="EAF1FB"/>
      <w:spacing w:before="100" w:beforeAutospacing="1" w:after="100" w:afterAutospacing="1" w:line="240" w:lineRule="auto"/>
      <w:jc w:val="right"/>
    </w:pPr>
    <w:rPr>
      <w:rFonts w:ascii="Calibri Light" w:eastAsia="Times New Roman" w:hAnsi="Calibri Light" w:cs="Calibri Light"/>
      <w:color w:val="000000"/>
      <w:kern w:val="0"/>
      <w:sz w:val="12"/>
      <w:szCs w:val="12"/>
      <w:lang w:val="en-GB" w:eastAsia="en-GB"/>
    </w:rPr>
  </w:style>
  <w:style w:type="paragraph" w:customStyle="1" w:styleId="font5">
    <w:name w:val="font5"/>
    <w:basedOn w:val="Normal"/>
    <w:uiPriority w:val="99"/>
    <w:rsid w:val="00614438"/>
    <w:pPr>
      <w:spacing w:before="100" w:beforeAutospacing="1" w:after="100" w:afterAutospacing="1" w:line="240" w:lineRule="auto"/>
    </w:pPr>
    <w:rPr>
      <w:rFonts w:ascii="Tahoma" w:eastAsia="Times New Roman" w:hAnsi="Tahoma" w:cs="Tahoma"/>
      <w:color w:val="000000"/>
      <w:kern w:val="0"/>
      <w:sz w:val="18"/>
      <w:szCs w:val="18"/>
      <w:lang w:val="en-GB" w:eastAsia="en-GB"/>
    </w:rPr>
  </w:style>
  <w:style w:type="paragraph" w:customStyle="1" w:styleId="font6">
    <w:name w:val="font6"/>
    <w:basedOn w:val="Normal"/>
    <w:uiPriority w:val="99"/>
    <w:rsid w:val="00614438"/>
    <w:pPr>
      <w:spacing w:before="100" w:beforeAutospacing="1" w:after="100" w:afterAutospacing="1" w:line="240" w:lineRule="auto"/>
    </w:pPr>
    <w:rPr>
      <w:rFonts w:ascii="Tahoma" w:eastAsia="Times New Roman" w:hAnsi="Tahoma" w:cs="Tahoma"/>
      <w:b/>
      <w:bCs/>
      <w:color w:val="000000"/>
      <w:kern w:val="0"/>
      <w:sz w:val="18"/>
      <w:szCs w:val="18"/>
      <w:lang w:val="en-GB" w:eastAsia="en-GB"/>
    </w:rPr>
  </w:style>
  <w:style w:type="paragraph" w:customStyle="1" w:styleId="xl97">
    <w:name w:val="xl97"/>
    <w:basedOn w:val="Normal"/>
    <w:uiPriority w:val="99"/>
    <w:rsid w:val="00614438"/>
    <w:pPr>
      <w:pBdr>
        <w:top w:val="single" w:sz="4" w:space="0" w:color="auto"/>
        <w:left w:val="single" w:sz="4" w:space="0" w:color="auto"/>
        <w:bottom w:val="single" w:sz="4" w:space="0" w:color="auto"/>
        <w:right w:val="single" w:sz="4" w:space="0" w:color="auto"/>
      </w:pBdr>
      <w:shd w:val="clear" w:color="auto" w:fill="EAF1FB"/>
      <w:spacing w:before="100" w:beforeAutospacing="1" w:after="100" w:afterAutospacing="1" w:line="240" w:lineRule="auto"/>
      <w:jc w:val="right"/>
    </w:pPr>
    <w:rPr>
      <w:rFonts w:ascii="Microsoft Sans Serif" w:eastAsia="Times New Roman" w:hAnsi="Microsoft Sans Serif" w:cs="Microsoft Sans Serif"/>
      <w:color w:val="000000"/>
      <w:kern w:val="0"/>
      <w:sz w:val="17"/>
      <w:szCs w:val="17"/>
      <w:lang w:val="en-GB" w:eastAsia="en-GB"/>
    </w:rPr>
  </w:style>
  <w:style w:type="paragraph" w:customStyle="1" w:styleId="xl98">
    <w:name w:val="xl98"/>
    <w:basedOn w:val="Normal"/>
    <w:uiPriority w:val="99"/>
    <w:rsid w:val="00614438"/>
    <w:pPr>
      <w:pBdr>
        <w:top w:val="single" w:sz="4" w:space="0" w:color="auto"/>
        <w:left w:val="single" w:sz="4" w:space="0" w:color="auto"/>
        <w:bottom w:val="single" w:sz="4" w:space="0" w:color="auto"/>
        <w:right w:val="single" w:sz="4" w:space="0" w:color="auto"/>
      </w:pBdr>
      <w:shd w:val="clear" w:color="auto" w:fill="EAF1FB"/>
      <w:spacing w:before="100" w:beforeAutospacing="1" w:after="100" w:afterAutospacing="1" w:line="240" w:lineRule="auto"/>
      <w:jc w:val="center"/>
    </w:pPr>
    <w:rPr>
      <w:rFonts w:ascii="Calibri Light" w:eastAsia="Times New Roman" w:hAnsi="Calibri Light" w:cs="Calibri Light"/>
      <w:b/>
      <w:bCs/>
      <w:color w:val="000000"/>
      <w:kern w:val="0"/>
      <w:sz w:val="16"/>
      <w:szCs w:val="16"/>
      <w:lang w:val="en-GB" w:eastAsia="en-GB"/>
    </w:rPr>
  </w:style>
  <w:style w:type="paragraph" w:customStyle="1" w:styleId="pf0">
    <w:name w:val="pf0"/>
    <w:basedOn w:val="Normal"/>
    <w:uiPriority w:val="99"/>
    <w:rsid w:val="00614438"/>
    <w:pPr>
      <w:spacing w:before="100" w:beforeAutospacing="1" w:after="100" w:afterAutospacing="1" w:line="240" w:lineRule="auto"/>
    </w:pPr>
    <w:rPr>
      <w:rFonts w:ascii="Times New Roman" w:eastAsia="Times New Roman" w:hAnsi="Times New Roman" w:cs="Times New Roman"/>
      <w:kern w:val="0"/>
      <w:sz w:val="24"/>
      <w:szCs w:val="24"/>
      <w:lang w:val="el-GR" w:eastAsia="el-GR" w:bidi="he-IL"/>
    </w:rPr>
  </w:style>
  <w:style w:type="character" w:styleId="CommentReference">
    <w:name w:val="annotation reference"/>
    <w:basedOn w:val="DefaultParagraphFont"/>
    <w:uiPriority w:val="99"/>
    <w:semiHidden/>
    <w:unhideWhenUsed/>
    <w:rsid w:val="00614438"/>
    <w:rPr>
      <w:sz w:val="16"/>
      <w:szCs w:val="16"/>
    </w:rPr>
  </w:style>
  <w:style w:type="character" w:styleId="EndnoteReference">
    <w:name w:val="endnote reference"/>
    <w:basedOn w:val="DefaultParagraphFont"/>
    <w:uiPriority w:val="99"/>
    <w:semiHidden/>
    <w:unhideWhenUsed/>
    <w:rsid w:val="00614438"/>
    <w:rPr>
      <w:vertAlign w:val="superscript"/>
    </w:rPr>
  </w:style>
  <w:style w:type="character" w:styleId="PlaceholderText">
    <w:name w:val="Placeholder Text"/>
    <w:basedOn w:val="DefaultParagraphFont"/>
    <w:uiPriority w:val="99"/>
    <w:semiHidden/>
    <w:rsid w:val="00614438"/>
    <w:rPr>
      <w:color w:val="808080"/>
    </w:rPr>
  </w:style>
  <w:style w:type="character" w:styleId="IntenseReference">
    <w:name w:val="Intense Reference"/>
    <w:uiPriority w:val="32"/>
    <w:qFormat/>
    <w:rsid w:val="00614438"/>
    <w:rPr>
      <w:rFonts w:ascii="Calibri Light" w:hAnsi="Calibri Light" w:cs="Calibri Light" w:hint="default"/>
      <w:b/>
      <w:bCs w:val="0"/>
      <w:color w:val="01406B"/>
      <w:sz w:val="22"/>
      <w:szCs w:val="20"/>
      <w:lang w:val="da-DK" w:eastAsia="el-GR"/>
    </w:rPr>
  </w:style>
  <w:style w:type="character" w:customStyle="1" w:styleId="CommentSubjectChar1">
    <w:name w:val="Comment Subject Char1"/>
    <w:basedOn w:val="CommentTextChar"/>
    <w:uiPriority w:val="99"/>
    <w:semiHidden/>
    <w:rsid w:val="00614438"/>
    <w:rPr>
      <w:rFonts w:ascii="Times New Roman" w:eastAsia="Times New Roman" w:hAnsi="Times New Roman" w:cs="Times New Roman" w:hint="default"/>
      <w:b/>
      <w:bCs/>
      <w:kern w:val="0"/>
      <w:sz w:val="20"/>
      <w:szCs w:val="20"/>
      <w:lang w:val="en-GB"/>
    </w:rPr>
  </w:style>
  <w:style w:type="character" w:customStyle="1" w:styleId="UnresolvedMention1">
    <w:name w:val="Unresolved Mention1"/>
    <w:basedOn w:val="DefaultParagraphFont"/>
    <w:uiPriority w:val="99"/>
    <w:semiHidden/>
    <w:rsid w:val="00614438"/>
    <w:rPr>
      <w:color w:val="605E5C"/>
      <w:shd w:val="clear" w:color="auto" w:fill="E1DFDD"/>
    </w:rPr>
  </w:style>
  <w:style w:type="character" w:customStyle="1" w:styleId="fontstyle01">
    <w:name w:val="fontstyle01"/>
    <w:basedOn w:val="DefaultParagraphFont"/>
    <w:rsid w:val="00614438"/>
    <w:rPr>
      <w:rFonts w:ascii="Arial" w:hAnsi="Arial" w:cs="Arial" w:hint="default"/>
      <w:b w:val="0"/>
      <w:bCs w:val="0"/>
      <w:i w:val="0"/>
      <w:iCs w:val="0"/>
      <w:color w:val="000000"/>
      <w:sz w:val="20"/>
      <w:szCs w:val="20"/>
    </w:rPr>
  </w:style>
  <w:style w:type="character" w:customStyle="1" w:styleId="highlight">
    <w:name w:val="highlight"/>
    <w:basedOn w:val="DefaultParagraphFont"/>
    <w:rsid w:val="00614438"/>
  </w:style>
  <w:style w:type="character" w:customStyle="1" w:styleId="UnresolvedMention2">
    <w:name w:val="Unresolved Mention2"/>
    <w:basedOn w:val="DefaultParagraphFont"/>
    <w:uiPriority w:val="99"/>
    <w:semiHidden/>
    <w:rsid w:val="00614438"/>
    <w:rPr>
      <w:color w:val="605E5C"/>
      <w:shd w:val="clear" w:color="auto" w:fill="E1DFDD"/>
    </w:rPr>
  </w:style>
  <w:style w:type="character" w:customStyle="1" w:styleId="1">
    <w:name w:val="Ανεπίλυτη αναφορά1"/>
    <w:basedOn w:val="DefaultParagraphFont"/>
    <w:uiPriority w:val="99"/>
    <w:semiHidden/>
    <w:rsid w:val="00614438"/>
    <w:rPr>
      <w:color w:val="605E5C"/>
      <w:shd w:val="clear" w:color="auto" w:fill="E1DFDD"/>
    </w:rPr>
  </w:style>
  <w:style w:type="character" w:customStyle="1" w:styleId="cf01">
    <w:name w:val="cf01"/>
    <w:basedOn w:val="DefaultParagraphFont"/>
    <w:rsid w:val="00614438"/>
    <w:rPr>
      <w:rFonts w:ascii="Segoe UI" w:hAnsi="Segoe UI" w:cs="Segoe UI" w:hint="default"/>
      <w:sz w:val="18"/>
      <w:szCs w:val="18"/>
    </w:rPr>
  </w:style>
  <w:style w:type="character" w:customStyle="1" w:styleId="UnresolvedMention3">
    <w:name w:val="Unresolved Mention3"/>
    <w:basedOn w:val="DefaultParagraphFont"/>
    <w:uiPriority w:val="99"/>
    <w:semiHidden/>
    <w:rsid w:val="00614438"/>
    <w:rPr>
      <w:color w:val="605E5C"/>
      <w:shd w:val="clear" w:color="auto" w:fill="E1DFDD"/>
    </w:rPr>
  </w:style>
  <w:style w:type="character" w:customStyle="1" w:styleId="cf11">
    <w:name w:val="cf11"/>
    <w:basedOn w:val="DefaultParagraphFont"/>
    <w:rsid w:val="00614438"/>
    <w:rPr>
      <w:rFonts w:ascii="Segoe UI" w:hAnsi="Segoe UI" w:cs="Segoe UI" w:hint="default"/>
      <w:sz w:val="18"/>
      <w:szCs w:val="18"/>
    </w:rPr>
  </w:style>
  <w:style w:type="character" w:customStyle="1" w:styleId="cf21">
    <w:name w:val="cf21"/>
    <w:basedOn w:val="DefaultParagraphFont"/>
    <w:rsid w:val="00614438"/>
    <w:rPr>
      <w:rFonts w:ascii="Segoe UI" w:hAnsi="Segoe UI" w:cs="Segoe UI" w:hint="default"/>
      <w:sz w:val="18"/>
      <w:szCs w:val="18"/>
    </w:rPr>
  </w:style>
  <w:style w:type="character" w:customStyle="1" w:styleId="cf31">
    <w:name w:val="cf31"/>
    <w:basedOn w:val="DefaultParagraphFont"/>
    <w:rsid w:val="00614438"/>
    <w:rPr>
      <w:rFonts w:ascii="Segoe UI" w:hAnsi="Segoe UI" w:cs="Segoe UI" w:hint="default"/>
      <w:sz w:val="18"/>
      <w:szCs w:val="18"/>
      <w:u w:val="single"/>
    </w:rPr>
  </w:style>
  <w:style w:type="character" w:customStyle="1" w:styleId="cf41">
    <w:name w:val="cf41"/>
    <w:basedOn w:val="DefaultParagraphFont"/>
    <w:rsid w:val="00614438"/>
    <w:rPr>
      <w:rFonts w:ascii="Segoe UI" w:hAnsi="Segoe UI" w:cs="Segoe UI" w:hint="default"/>
      <w:sz w:val="18"/>
      <w:szCs w:val="18"/>
    </w:rPr>
  </w:style>
  <w:style w:type="character" w:customStyle="1" w:styleId="cf51">
    <w:name w:val="cf51"/>
    <w:basedOn w:val="DefaultParagraphFont"/>
    <w:rsid w:val="00614438"/>
    <w:rPr>
      <w:rFonts w:ascii="Segoe UI" w:hAnsi="Segoe UI" w:cs="Segoe UI" w:hint="default"/>
      <w:b/>
      <w:bCs/>
      <w:sz w:val="18"/>
      <w:szCs w:val="18"/>
    </w:rPr>
  </w:style>
  <w:style w:type="character" w:customStyle="1" w:styleId="cf61">
    <w:name w:val="cf61"/>
    <w:basedOn w:val="DefaultParagraphFont"/>
    <w:rsid w:val="00614438"/>
    <w:rPr>
      <w:rFonts w:ascii="Segoe UI" w:hAnsi="Segoe UI" w:cs="Segoe UI" w:hint="default"/>
      <w:b/>
      <w:bCs/>
      <w:sz w:val="18"/>
      <w:szCs w:val="18"/>
    </w:rPr>
  </w:style>
  <w:style w:type="character" w:customStyle="1" w:styleId="cf71">
    <w:name w:val="cf71"/>
    <w:basedOn w:val="DefaultParagraphFont"/>
    <w:rsid w:val="00614438"/>
    <w:rPr>
      <w:rFonts w:ascii="Segoe UI" w:hAnsi="Segoe UI" w:cs="Segoe UI" w:hint="default"/>
      <w:color w:val="212121"/>
      <w:sz w:val="18"/>
      <w:szCs w:val="18"/>
      <w:shd w:val="clear" w:color="auto" w:fill="FFFFFF"/>
    </w:rPr>
  </w:style>
  <w:style w:type="character" w:customStyle="1" w:styleId="UnresolvedMention4">
    <w:name w:val="Unresolved Mention4"/>
    <w:basedOn w:val="DefaultParagraphFont"/>
    <w:uiPriority w:val="99"/>
    <w:semiHidden/>
    <w:rsid w:val="00614438"/>
    <w:rPr>
      <w:color w:val="605E5C"/>
      <w:shd w:val="clear" w:color="auto" w:fill="E1DFDD"/>
    </w:rPr>
  </w:style>
  <w:style w:type="character" w:customStyle="1" w:styleId="UnresolvedMention5">
    <w:name w:val="Unresolved Mention5"/>
    <w:basedOn w:val="DefaultParagraphFont"/>
    <w:uiPriority w:val="99"/>
    <w:semiHidden/>
    <w:rsid w:val="00614438"/>
    <w:rPr>
      <w:color w:val="605E5C"/>
      <w:shd w:val="clear" w:color="auto" w:fill="E1DFDD"/>
    </w:rPr>
  </w:style>
  <w:style w:type="table" w:customStyle="1" w:styleId="GridTable4-Accent11">
    <w:name w:val="Grid Table 4 - Accent 11"/>
    <w:basedOn w:val="TableNormal"/>
    <w:uiPriority w:val="49"/>
    <w:rsid w:val="00614438"/>
    <w:pPr>
      <w:spacing w:after="0" w:line="240" w:lineRule="auto"/>
    </w:pPr>
    <w:rPr>
      <w:kern w:val="0"/>
      <w:lang w:val="el-GR"/>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4-Accent511">
    <w:name w:val="Grid Table 4 - Accent 511"/>
    <w:basedOn w:val="TableNormal"/>
    <w:uiPriority w:val="49"/>
    <w:rsid w:val="00614438"/>
    <w:pPr>
      <w:spacing w:after="0" w:line="240" w:lineRule="auto"/>
    </w:pPr>
    <w:rPr>
      <w:rFonts w:ascii="Calibri" w:eastAsia="Calibri" w:hAnsi="Calibri" w:cs="Arial"/>
      <w:kern w:val="0"/>
      <w:lang w:val="en-GB"/>
    </w:rPr>
    <w:tblPr>
      <w:tblStyleRowBandSize w:val="1"/>
      <w:tblStyleColBandSize w:val="1"/>
      <w:tblBorders>
        <w:top w:val="single" w:sz="4" w:space="0" w:color="FFB078"/>
        <w:left w:val="single" w:sz="4" w:space="0" w:color="FFB078"/>
        <w:bottom w:val="single" w:sz="4" w:space="0" w:color="FFB078"/>
        <w:right w:val="single" w:sz="4" w:space="0" w:color="FFB078"/>
        <w:insideH w:val="single" w:sz="4" w:space="0" w:color="FFB078"/>
        <w:insideV w:val="single" w:sz="4" w:space="0" w:color="FFB078"/>
      </w:tblBorders>
    </w:tblPr>
    <w:tblStylePr w:type="firstRow">
      <w:rPr>
        <w:b/>
        <w:bCs/>
        <w:color w:val="FFFFFF"/>
      </w:rPr>
      <w:tblPr/>
      <w:tcPr>
        <w:tcBorders>
          <w:top w:val="single" w:sz="4" w:space="0" w:color="FF7D1E"/>
          <w:left w:val="single" w:sz="4" w:space="0" w:color="FF7D1E"/>
          <w:bottom w:val="single" w:sz="4" w:space="0" w:color="FF7D1E"/>
          <w:right w:val="single" w:sz="4" w:space="0" w:color="FF7D1E"/>
          <w:insideH w:val="nil"/>
          <w:insideV w:val="nil"/>
        </w:tcBorders>
        <w:shd w:val="clear" w:color="auto" w:fill="FF7D1E"/>
      </w:tcPr>
    </w:tblStylePr>
    <w:tblStylePr w:type="lastRow">
      <w:rPr>
        <w:b/>
        <w:bCs/>
      </w:rPr>
      <w:tblPr/>
      <w:tcPr>
        <w:tcBorders>
          <w:top w:val="double" w:sz="4" w:space="0" w:color="FF7D1E"/>
        </w:tcBorders>
      </w:tcPr>
    </w:tblStylePr>
    <w:tblStylePr w:type="firstCol">
      <w:rPr>
        <w:b/>
        <w:bCs/>
      </w:rPr>
    </w:tblStylePr>
    <w:tblStylePr w:type="lastCol">
      <w:rPr>
        <w:b/>
        <w:bCs/>
      </w:rPr>
    </w:tblStylePr>
    <w:tblStylePr w:type="band1Vert">
      <w:tblPr/>
      <w:tcPr>
        <w:shd w:val="clear" w:color="auto" w:fill="FFE4D2"/>
      </w:tcPr>
    </w:tblStylePr>
    <w:tblStylePr w:type="band1Horz">
      <w:tblPr/>
      <w:tcPr>
        <w:shd w:val="clear" w:color="auto" w:fill="FFE4D2"/>
      </w:tcPr>
    </w:tblStylePr>
  </w:style>
  <w:style w:type="table" w:customStyle="1" w:styleId="PlainTable51">
    <w:name w:val="Plain Table 51"/>
    <w:basedOn w:val="TableNormal"/>
    <w:uiPriority w:val="45"/>
    <w:rsid w:val="00614438"/>
    <w:pPr>
      <w:spacing w:after="0" w:line="240" w:lineRule="auto"/>
    </w:pPr>
    <w:rPr>
      <w:kern w:val="0"/>
      <w:lang w:val="en-GB"/>
    </w:rPr>
    <w:tblPr>
      <w:tblStyleRowBandSize w:val="1"/>
      <w:tblStyleColBandSize w:val="1"/>
    </w:tblPr>
    <w:tblStylePr w:type="firstRow">
      <w:rPr>
        <w:rFonts w:asciiTheme="majorHAnsi" w:eastAsiaTheme="majorEastAsia" w:hAnsiTheme="majorHAnsi" w:cstheme="majorBidi"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
    <w:name w:val="Table Grid1"/>
    <w:basedOn w:val="TableNormal"/>
    <w:uiPriority w:val="39"/>
    <w:rsid w:val="00614438"/>
    <w:pPr>
      <w:spacing w:after="0" w:line="240" w:lineRule="auto"/>
    </w:pPr>
    <w:rPr>
      <w:rFonts w:eastAsiaTheme="minorEastAsia"/>
      <w:kern w:val="0"/>
      <w:sz w:val="24"/>
      <w:szCs w:val="24"/>
      <w:lang w:val="en-GB"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6">
    <w:name w:val="Unresolved Mention6"/>
    <w:basedOn w:val="DefaultParagraphFont"/>
    <w:uiPriority w:val="99"/>
    <w:semiHidden/>
    <w:unhideWhenUsed/>
    <w:rsid w:val="00614438"/>
    <w:rPr>
      <w:color w:val="605E5C"/>
      <w:shd w:val="clear" w:color="auto" w:fill="E1DFDD"/>
    </w:rPr>
  </w:style>
  <w:style w:type="character" w:customStyle="1" w:styleId="UnresolvedMention7">
    <w:name w:val="Unresolved Mention7"/>
    <w:basedOn w:val="DefaultParagraphFont"/>
    <w:uiPriority w:val="99"/>
    <w:semiHidden/>
    <w:unhideWhenUsed/>
    <w:rsid w:val="00AA14F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1578266">
      <w:bodyDiv w:val="1"/>
      <w:marLeft w:val="0"/>
      <w:marRight w:val="0"/>
      <w:marTop w:val="0"/>
      <w:marBottom w:val="0"/>
      <w:divBdr>
        <w:top w:val="none" w:sz="0" w:space="0" w:color="auto"/>
        <w:left w:val="none" w:sz="0" w:space="0" w:color="auto"/>
        <w:bottom w:val="none" w:sz="0" w:space="0" w:color="auto"/>
        <w:right w:val="none" w:sz="0" w:space="0" w:color="auto"/>
      </w:divBdr>
    </w:div>
    <w:div w:id="9321276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5.gif"/><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6.png"/><Relationship Id="rId138" Type="http://schemas.openxmlformats.org/officeDocument/2006/relationships/chart" Target="charts/chart9.xml"/><Relationship Id="rId107" Type="http://schemas.openxmlformats.org/officeDocument/2006/relationships/image" Target="media/image93.png"/><Relationship Id="rId11" Type="http://schemas.openxmlformats.org/officeDocument/2006/relationships/image" Target="media/image5.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13.png"/><Relationship Id="rId149" Type="http://schemas.openxmlformats.org/officeDocument/2006/relationships/image" Target="media/image124.png"/><Relationship Id="rId5" Type="http://schemas.openxmlformats.org/officeDocument/2006/relationships/footnotes" Target="footnotes.xml"/><Relationship Id="rId95" Type="http://schemas.openxmlformats.org/officeDocument/2006/relationships/image" Target="media/image81.png"/><Relationship Id="rId22" Type="http://schemas.openxmlformats.org/officeDocument/2006/relationships/image" Target="media/image16.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98.png"/><Relationship Id="rId118" Type="http://schemas.openxmlformats.org/officeDocument/2006/relationships/image" Target="media/image103.png"/><Relationship Id="rId134" Type="http://schemas.openxmlformats.org/officeDocument/2006/relationships/image" Target="media/image119.png"/><Relationship Id="rId139" Type="http://schemas.openxmlformats.org/officeDocument/2006/relationships/chart" Target="charts/chart10.xml"/><Relationship Id="rId80" Type="http://schemas.openxmlformats.org/officeDocument/2006/relationships/image" Target="media/image73.png"/><Relationship Id="rId85" Type="http://schemas.openxmlformats.org/officeDocument/2006/relationships/chart" Target="charts/chart1.xml"/><Relationship Id="rId150" Type="http://schemas.openxmlformats.org/officeDocument/2006/relationships/image" Target="media/image125.png"/><Relationship Id="rId155" Type="http://schemas.openxmlformats.org/officeDocument/2006/relationships/theme" Target="theme/theme1.xm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chart" Target="charts/chart3.xml"/><Relationship Id="rId96" Type="http://schemas.openxmlformats.org/officeDocument/2006/relationships/image" Target="media/image82.png"/><Relationship Id="rId140" Type="http://schemas.openxmlformats.org/officeDocument/2006/relationships/chart" Target="charts/chart11.xml"/><Relationship Id="rId145" Type="http://schemas.openxmlformats.org/officeDocument/2006/relationships/image" Target="media/image122.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upravazasume.gov.rs/" TargetMode="External"/><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7.png"/><Relationship Id="rId130" Type="http://schemas.openxmlformats.org/officeDocument/2006/relationships/image" Target="media/image115.png"/><Relationship Id="rId135" Type="http://schemas.openxmlformats.org/officeDocument/2006/relationships/image" Target="media/image120.png"/><Relationship Id="rId151" Type="http://schemas.openxmlformats.org/officeDocument/2006/relationships/image" Target="media/image126.sv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png"/><Relationship Id="rId109" Type="http://schemas.openxmlformats.org/officeDocument/2006/relationships/chart" Target="charts/chart7.xml"/><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chart" Target="charts/chart12.xml"/><Relationship Id="rId146" Type="http://schemas.openxmlformats.org/officeDocument/2006/relationships/chart" Target="charts/chart16.xml"/><Relationship Id="rId7" Type="http://schemas.openxmlformats.org/officeDocument/2006/relationships/image" Target="media/image1.png"/><Relationship Id="rId71" Type="http://schemas.openxmlformats.org/officeDocument/2006/relationships/image" Target="media/image64.png"/><Relationship Id="rId92" Type="http://schemas.openxmlformats.org/officeDocument/2006/relationships/chart" Target="charts/chart4.xml"/><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78.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1.png"/><Relationship Id="rId61" Type="http://schemas.openxmlformats.org/officeDocument/2006/relationships/image" Target="media/image54.png"/><Relationship Id="rId82" Type="http://schemas.openxmlformats.org/officeDocument/2006/relationships/image" Target="media/image75.jpeg"/><Relationship Id="rId152" Type="http://schemas.openxmlformats.org/officeDocument/2006/relationships/image" Target="media/image127.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1.png"/><Relationship Id="rId147"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chart" Target="charts/chart5.xml"/><Relationship Id="rId98" Type="http://schemas.openxmlformats.org/officeDocument/2006/relationships/image" Target="media/image84.png"/><Relationship Id="rId121" Type="http://schemas.openxmlformats.org/officeDocument/2006/relationships/image" Target="media/image106.png"/><Relationship Id="rId142" Type="http://schemas.openxmlformats.org/officeDocument/2006/relationships/chart" Target="charts/chart13.xml"/><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1.png"/><Relationship Id="rId137" Type="http://schemas.openxmlformats.org/officeDocument/2006/relationships/chart" Target="charts/chart8.xml"/><Relationship Id="rId20" Type="http://schemas.openxmlformats.org/officeDocument/2006/relationships/image" Target="media/image14.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hyperlink" Target="https://www.aers.rs/Index.asp?l=2&amp;a=53)" TargetMode="External"/><Relationship Id="rId88" Type="http://schemas.openxmlformats.org/officeDocument/2006/relationships/image" Target="media/image79.png"/><Relationship Id="rId111" Type="http://schemas.openxmlformats.org/officeDocument/2006/relationships/image" Target="media/image96.png"/><Relationship Id="rId132" Type="http://schemas.openxmlformats.org/officeDocument/2006/relationships/image" Target="media/image117.png"/><Relationship Id="rId153" Type="http://schemas.openxmlformats.org/officeDocument/2006/relationships/image" Target="media/image128.png"/><Relationship Id="rId15" Type="http://schemas.openxmlformats.org/officeDocument/2006/relationships/image" Target="media/image9.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2.png"/><Relationship Id="rId127" Type="http://schemas.openxmlformats.org/officeDocument/2006/relationships/image" Target="media/image112.png"/><Relationship Id="rId10" Type="http://schemas.openxmlformats.org/officeDocument/2006/relationships/image" Target="media/image4.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chart" Target="charts/chart6.xml"/><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7.png"/><Relationship Id="rId143" Type="http://schemas.openxmlformats.org/officeDocument/2006/relationships/chart" Target="charts/chart14.xml"/><Relationship Id="rId148" Type="http://schemas.openxmlformats.org/officeDocument/2006/relationships/image" Target="media/image123.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0.png"/><Relationship Id="rId112" Type="http://schemas.openxmlformats.org/officeDocument/2006/relationships/image" Target="media/image97.png"/><Relationship Id="rId133" Type="http://schemas.openxmlformats.org/officeDocument/2006/relationships/image" Target="media/image118.png"/><Relationship Id="rId154" Type="http://schemas.openxmlformats.org/officeDocument/2006/relationships/fontTable" Target="fontTable.xml"/><Relationship Id="rId16" Type="http://schemas.openxmlformats.org/officeDocument/2006/relationships/image" Target="media/image10.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88.png"/><Relationship Id="rId123" Type="http://schemas.openxmlformats.org/officeDocument/2006/relationships/image" Target="media/image108.png"/><Relationship Id="rId144" Type="http://schemas.openxmlformats.org/officeDocument/2006/relationships/chart" Target="charts/chart15.xml"/><Relationship Id="rId90" Type="http://schemas.openxmlformats.org/officeDocument/2006/relationships/chart" Target="charts/chart2.xm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dmin\Desktop\may_2023_LDK\Macro_Figures_NECP.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https://grgtcom.sharepoint.com/sites/GTEnergy/Shared%20Documents/_Projects/NECP%20Serbia/Workspace/09%20Despina/NECP%20Serbia%20dtzo.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https://grgtcom.sharepoint.com/sites/GTEnergy/Shared%20Documents/_Projects/NECP%20Serbia/Workspace/09%20Despina/NECP%20Serbia%20dtzo.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https://grgtcom.sharepoint.com/sites/GTEnergy/Shared%20Documents/_Projects/NECP%20Serbia/Workspace/09%20Despina/NECP%20Serbia%20dtzo.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https://grgtcom.sharepoint.com/sites/GTEnergy/Shared%20Documents/_Projects/NECP%20Serbia/Workspace/09%20Despina/NECP%20Serbia%20dtzo.xlsx" TargetMode="Externa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Admin\Desktop\may_2023_LDK\Macro_Figures_NECP.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Admin\Desktop\may_2023_LDK\Macro_Figures_NECP.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'electricity prices'!$B$14</c:f>
              <c:strCache>
                <c:ptCount val="1"/>
                <c:pt idx="0">
                  <c:v>Households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'electricity prices'!$C$4:$G$4</c:f>
              <c:numCache>
                <c:formatCode>General</c:formatCode>
                <c:ptCount val="5"/>
                <c:pt idx="0">
                  <c:v>2016</c:v>
                </c:pt>
                <c:pt idx="1">
                  <c:v>2017</c:v>
                </c:pt>
                <c:pt idx="2">
                  <c:v>2018</c:v>
                </c:pt>
                <c:pt idx="3">
                  <c:v>2019</c:v>
                </c:pt>
                <c:pt idx="4">
                  <c:v>2020</c:v>
                </c:pt>
              </c:numCache>
            </c:numRef>
          </c:cat>
          <c:val>
            <c:numRef>
              <c:f>'electricity prices'!$C$14:$G$14</c:f>
              <c:numCache>
                <c:formatCode>General</c:formatCode>
                <c:ptCount val="5"/>
                <c:pt idx="0">
                  <c:v>6.49</c:v>
                </c:pt>
                <c:pt idx="1">
                  <c:v>6.73</c:v>
                </c:pt>
                <c:pt idx="2">
                  <c:v>6.84</c:v>
                </c:pt>
                <c:pt idx="3">
                  <c:v>6.88</c:v>
                </c:pt>
                <c:pt idx="4">
                  <c:v>7.14</c:v>
                </c:pt>
              </c:numCache>
            </c:numRef>
          </c:val>
          <c:extLst>
            <c:ext xmlns:c16="http://schemas.microsoft.com/office/drawing/2014/chart" uri="{C3380CC4-5D6E-409C-BE32-E72D297353CC}">
              <c16:uniqueId val="{00000000-F5C2-45A3-BF43-1B5E5403F5D7}"/>
            </c:ext>
          </c:extLst>
        </c:ser>
        <c:dLbls>
          <c:showLegendKey val="0"/>
          <c:showVal val="0"/>
          <c:showCatName val="0"/>
          <c:showSerName val="0"/>
          <c:showPercent val="0"/>
          <c:showBubbleSize val="0"/>
        </c:dLbls>
        <c:gapWidth val="150"/>
        <c:axId val="444172976"/>
        <c:axId val="444174064"/>
      </c:barChart>
      <c:catAx>
        <c:axId val="444172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mn-lt"/>
                <a:ea typeface="+mn-ea"/>
                <a:cs typeface="+mn-cs"/>
              </a:defRPr>
            </a:pPr>
            <a:endParaRPr lang="en-US"/>
          </a:p>
        </c:txPr>
        <c:crossAx val="444174064"/>
        <c:crosses val="autoZero"/>
        <c:auto val="1"/>
        <c:lblAlgn val="ctr"/>
        <c:lblOffset val="100"/>
        <c:noMultiLvlLbl val="0"/>
      </c:catAx>
      <c:valAx>
        <c:axId val="444174064"/>
        <c:scaling>
          <c:orientation val="minMax"/>
          <c:min val="0"/>
        </c:scaling>
        <c:delete val="1"/>
        <c:axPos val="l"/>
        <c:title>
          <c:tx>
            <c:rich>
              <a:bodyPr rot="-5400000" spcFirstLastPara="1" vertOverflow="ellipsis" vert="horz" wrap="square" anchor="ctr" anchorCtr="1"/>
              <a:lstStyle/>
              <a:p>
                <a:pPr>
                  <a:defRPr lang="en-GB" sz="1000" b="0" i="0" u="none" strike="noStrike" kern="1200" baseline="0">
                    <a:solidFill>
                      <a:schemeClr val="tx1">
                        <a:lumMod val="65000"/>
                        <a:lumOff val="35000"/>
                      </a:schemeClr>
                    </a:solidFill>
                    <a:latin typeface="+mn-lt"/>
                    <a:ea typeface="+mn-ea"/>
                    <a:cs typeface="+mn-cs"/>
                  </a:defRPr>
                </a:pPr>
                <a:r>
                  <a:rPr lang="en-US"/>
                  <a:t>RSD/kWh</a:t>
                </a:r>
              </a:p>
            </c:rich>
          </c:tx>
          <c:overlay val="0"/>
          <c:spPr>
            <a:noFill/>
            <a:ln>
              <a:noFill/>
            </a:ln>
            <a:effectLst/>
          </c:spPr>
        </c:title>
        <c:numFmt formatCode="General" sourceLinked="1"/>
        <c:majorTickMark val="none"/>
        <c:minorTickMark val="none"/>
        <c:tickLblPos val="none"/>
        <c:crossAx val="4441729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Change</a:t>
            </a:r>
            <a:r>
              <a:rPr lang="fr-FR" baseline="0"/>
              <a:t> in employment w.r.t. WEM under S (1000 people)</a:t>
            </a:r>
            <a:endParaRPr lang="fr-FR"/>
          </a:p>
        </c:rich>
      </c:tx>
      <c:overlay val="0"/>
      <c:spPr>
        <a:noFill/>
        <a:ln>
          <a:noFill/>
        </a:ln>
        <a:effectLst/>
      </c:spPr>
    </c:title>
    <c:autoTitleDeleted val="0"/>
    <c:plotArea>
      <c:layout/>
      <c:barChart>
        <c:barDir val="col"/>
        <c:grouping val="clustered"/>
        <c:varyColors val="0"/>
        <c:ser>
          <c:idx val="0"/>
          <c:order val="0"/>
          <c:tx>
            <c:strRef>
              <c:f>empl_by_sec_SG2!$A$2</c:f>
              <c:strCache>
                <c:ptCount val="1"/>
                <c:pt idx="0">
                  <c:v>2030</c:v>
                </c:pt>
              </c:strCache>
            </c:strRef>
          </c:tx>
          <c:spPr>
            <a:solidFill>
              <a:schemeClr val="accent1"/>
            </a:solidFill>
            <a:ln>
              <a:noFill/>
            </a:ln>
            <a:effectLst/>
          </c:spPr>
          <c:invertIfNegative val="0"/>
          <c:cat>
            <c:strRef>
              <c:f>empl_by_sec_SG2!$B$1:$P$1</c:f>
              <c:strCache>
                <c:ptCount val="15"/>
                <c:pt idx="0">
                  <c:v>Heavy manufacturing</c:v>
                </c:pt>
                <c:pt idx="1">
                  <c:v>Transport</c:v>
                </c:pt>
                <c:pt idx="2">
                  <c:v>Other extractions</c:v>
                </c:pt>
                <c:pt idx="3">
                  <c:v>Electricity</c:v>
                </c:pt>
                <c:pt idx="4">
                  <c:v>Coal mining</c:v>
                </c:pt>
                <c:pt idx="5">
                  <c:v>Construction</c:v>
                </c:pt>
                <c:pt idx="6">
                  <c:v>Petroleum products</c:v>
                </c:pt>
                <c:pt idx="7">
                  <c:v>Gas mining</c:v>
                </c:pt>
                <c:pt idx="8">
                  <c:v>Oil</c:v>
                </c:pt>
                <c:pt idx="9">
                  <c:v>Other services</c:v>
                </c:pt>
                <c:pt idx="10">
                  <c:v>Processed food</c:v>
                </c:pt>
                <c:pt idx="11">
                  <c:v>Livestock</c:v>
                </c:pt>
                <c:pt idx="12">
                  <c:v>Light manufacturing</c:v>
                </c:pt>
                <c:pt idx="13">
                  <c:v>Crops</c:v>
                </c:pt>
                <c:pt idx="14">
                  <c:v>Textiles</c:v>
                </c:pt>
              </c:strCache>
            </c:strRef>
          </c:cat>
          <c:val>
            <c:numRef>
              <c:f>empl_by_sec_SG2!$B$2:$P$2</c:f>
              <c:numCache>
                <c:formatCode>General</c:formatCode>
                <c:ptCount val="15"/>
                <c:pt idx="0">
                  <c:v>18.899999999999999</c:v>
                </c:pt>
                <c:pt idx="1">
                  <c:v>3.9</c:v>
                </c:pt>
                <c:pt idx="2">
                  <c:v>3</c:v>
                </c:pt>
                <c:pt idx="3">
                  <c:v>-4.2</c:v>
                </c:pt>
                <c:pt idx="4">
                  <c:v>-4.8</c:v>
                </c:pt>
                <c:pt idx="5">
                  <c:v>0.70000000000000018</c:v>
                </c:pt>
                <c:pt idx="6">
                  <c:v>0</c:v>
                </c:pt>
                <c:pt idx="7">
                  <c:v>0</c:v>
                </c:pt>
                <c:pt idx="8">
                  <c:v>0</c:v>
                </c:pt>
                <c:pt idx="9">
                  <c:v>0.2</c:v>
                </c:pt>
                <c:pt idx="10">
                  <c:v>-0.9</c:v>
                </c:pt>
                <c:pt idx="11">
                  <c:v>-0.70000000000000018</c:v>
                </c:pt>
                <c:pt idx="12">
                  <c:v>-5.5</c:v>
                </c:pt>
                <c:pt idx="13">
                  <c:v>-5.0999999999999996</c:v>
                </c:pt>
                <c:pt idx="14">
                  <c:v>-3.9</c:v>
                </c:pt>
              </c:numCache>
            </c:numRef>
          </c:val>
          <c:extLst>
            <c:ext xmlns:c16="http://schemas.microsoft.com/office/drawing/2014/chart" uri="{C3380CC4-5D6E-409C-BE32-E72D297353CC}">
              <c16:uniqueId val="{00000000-3AC1-48E9-9DA1-CE0547F1A946}"/>
            </c:ext>
          </c:extLst>
        </c:ser>
        <c:ser>
          <c:idx val="1"/>
          <c:order val="1"/>
          <c:tx>
            <c:strRef>
              <c:f>empl_by_sec_SG2!$A$3</c:f>
              <c:strCache>
                <c:ptCount val="1"/>
                <c:pt idx="0">
                  <c:v>2040</c:v>
                </c:pt>
              </c:strCache>
            </c:strRef>
          </c:tx>
          <c:spPr>
            <a:solidFill>
              <a:schemeClr val="accent2"/>
            </a:solidFill>
            <a:ln>
              <a:noFill/>
            </a:ln>
            <a:effectLst/>
          </c:spPr>
          <c:invertIfNegative val="0"/>
          <c:cat>
            <c:strRef>
              <c:f>empl_by_sec_SG2!$B$1:$P$1</c:f>
              <c:strCache>
                <c:ptCount val="15"/>
                <c:pt idx="0">
                  <c:v>Heavy manufacturing</c:v>
                </c:pt>
                <c:pt idx="1">
                  <c:v>Transport</c:v>
                </c:pt>
                <c:pt idx="2">
                  <c:v>Other extractions</c:v>
                </c:pt>
                <c:pt idx="3">
                  <c:v>Electricity</c:v>
                </c:pt>
                <c:pt idx="4">
                  <c:v>Coal mining</c:v>
                </c:pt>
                <c:pt idx="5">
                  <c:v>Construction</c:v>
                </c:pt>
                <c:pt idx="6">
                  <c:v>Petroleum products</c:v>
                </c:pt>
                <c:pt idx="7">
                  <c:v>Gas mining</c:v>
                </c:pt>
                <c:pt idx="8">
                  <c:v>Oil</c:v>
                </c:pt>
                <c:pt idx="9">
                  <c:v>Other services</c:v>
                </c:pt>
                <c:pt idx="10">
                  <c:v>Processed food</c:v>
                </c:pt>
                <c:pt idx="11">
                  <c:v>Livestock</c:v>
                </c:pt>
                <c:pt idx="12">
                  <c:v>Light manufacturing</c:v>
                </c:pt>
                <c:pt idx="13">
                  <c:v>Crops</c:v>
                </c:pt>
                <c:pt idx="14">
                  <c:v>Textiles</c:v>
                </c:pt>
              </c:strCache>
            </c:strRef>
          </c:cat>
          <c:val>
            <c:numRef>
              <c:f>empl_by_sec_SG2!$B$3:$P$3</c:f>
              <c:numCache>
                <c:formatCode>General</c:formatCode>
                <c:ptCount val="15"/>
                <c:pt idx="0">
                  <c:v>6.9</c:v>
                </c:pt>
                <c:pt idx="1">
                  <c:v>6.8</c:v>
                </c:pt>
                <c:pt idx="2">
                  <c:v>1.4</c:v>
                </c:pt>
                <c:pt idx="3">
                  <c:v>-5.6</c:v>
                </c:pt>
                <c:pt idx="4">
                  <c:v>-6.8</c:v>
                </c:pt>
                <c:pt idx="5">
                  <c:v>1.4</c:v>
                </c:pt>
                <c:pt idx="6">
                  <c:v>-0.4</c:v>
                </c:pt>
                <c:pt idx="7">
                  <c:v>-0.1</c:v>
                </c:pt>
                <c:pt idx="8">
                  <c:v>-0.1</c:v>
                </c:pt>
                <c:pt idx="9">
                  <c:v>8.6</c:v>
                </c:pt>
                <c:pt idx="10">
                  <c:v>0.1</c:v>
                </c:pt>
                <c:pt idx="11">
                  <c:v>2.4</c:v>
                </c:pt>
                <c:pt idx="12">
                  <c:v>-3</c:v>
                </c:pt>
                <c:pt idx="13">
                  <c:v>-2</c:v>
                </c:pt>
                <c:pt idx="14">
                  <c:v>-2.1</c:v>
                </c:pt>
              </c:numCache>
            </c:numRef>
          </c:val>
          <c:extLst>
            <c:ext xmlns:c16="http://schemas.microsoft.com/office/drawing/2014/chart" uri="{C3380CC4-5D6E-409C-BE32-E72D297353CC}">
              <c16:uniqueId val="{00000001-3AC1-48E9-9DA1-CE0547F1A946}"/>
            </c:ext>
          </c:extLst>
        </c:ser>
        <c:ser>
          <c:idx val="2"/>
          <c:order val="2"/>
          <c:tx>
            <c:strRef>
              <c:f>empl_by_sec_SG2!$A$4</c:f>
              <c:strCache>
                <c:ptCount val="1"/>
                <c:pt idx="0">
                  <c:v>2050</c:v>
                </c:pt>
              </c:strCache>
            </c:strRef>
          </c:tx>
          <c:spPr>
            <a:solidFill>
              <a:schemeClr val="accent3"/>
            </a:solidFill>
            <a:ln>
              <a:noFill/>
            </a:ln>
            <a:effectLst/>
          </c:spPr>
          <c:invertIfNegative val="0"/>
          <c:cat>
            <c:strRef>
              <c:f>empl_by_sec_SG2!$B$1:$P$1</c:f>
              <c:strCache>
                <c:ptCount val="15"/>
                <c:pt idx="0">
                  <c:v>Heavy manufacturing</c:v>
                </c:pt>
                <c:pt idx="1">
                  <c:v>Transport</c:v>
                </c:pt>
                <c:pt idx="2">
                  <c:v>Other extractions</c:v>
                </c:pt>
                <c:pt idx="3">
                  <c:v>Electricity</c:v>
                </c:pt>
                <c:pt idx="4">
                  <c:v>Coal mining</c:v>
                </c:pt>
                <c:pt idx="5">
                  <c:v>Construction</c:v>
                </c:pt>
                <c:pt idx="6">
                  <c:v>Petroleum products</c:v>
                </c:pt>
                <c:pt idx="7">
                  <c:v>Gas mining</c:v>
                </c:pt>
                <c:pt idx="8">
                  <c:v>Oil</c:v>
                </c:pt>
                <c:pt idx="9">
                  <c:v>Other services</c:v>
                </c:pt>
                <c:pt idx="10">
                  <c:v>Processed food</c:v>
                </c:pt>
                <c:pt idx="11">
                  <c:v>Livestock</c:v>
                </c:pt>
                <c:pt idx="12">
                  <c:v>Light manufacturing</c:v>
                </c:pt>
                <c:pt idx="13">
                  <c:v>Crops</c:v>
                </c:pt>
                <c:pt idx="14">
                  <c:v>Textiles</c:v>
                </c:pt>
              </c:strCache>
            </c:strRef>
          </c:cat>
          <c:val>
            <c:numRef>
              <c:f>empl_by_sec_SG2!$B$4:$P$4</c:f>
              <c:numCache>
                <c:formatCode>General</c:formatCode>
                <c:ptCount val="15"/>
                <c:pt idx="0">
                  <c:v>-11.6</c:v>
                </c:pt>
                <c:pt idx="1">
                  <c:v>6.4</c:v>
                </c:pt>
                <c:pt idx="2">
                  <c:v>-0.6000000000000002</c:v>
                </c:pt>
                <c:pt idx="3">
                  <c:v>-3.9</c:v>
                </c:pt>
                <c:pt idx="4">
                  <c:v>-7.1</c:v>
                </c:pt>
                <c:pt idx="5">
                  <c:v>2</c:v>
                </c:pt>
                <c:pt idx="6">
                  <c:v>-0.8</c:v>
                </c:pt>
                <c:pt idx="7">
                  <c:v>-0.2</c:v>
                </c:pt>
                <c:pt idx="8">
                  <c:v>-0.2</c:v>
                </c:pt>
                <c:pt idx="9">
                  <c:v>15.4</c:v>
                </c:pt>
                <c:pt idx="10">
                  <c:v>0.8</c:v>
                </c:pt>
                <c:pt idx="11">
                  <c:v>4.7</c:v>
                </c:pt>
                <c:pt idx="12">
                  <c:v>-1.1000000000000001</c:v>
                </c:pt>
                <c:pt idx="13">
                  <c:v>0.3000000000000001</c:v>
                </c:pt>
                <c:pt idx="14">
                  <c:v>0.5</c:v>
                </c:pt>
              </c:numCache>
            </c:numRef>
          </c:val>
          <c:extLst>
            <c:ext xmlns:c16="http://schemas.microsoft.com/office/drawing/2014/chart" uri="{C3380CC4-5D6E-409C-BE32-E72D297353CC}">
              <c16:uniqueId val="{00000002-3AC1-48E9-9DA1-CE0547F1A946}"/>
            </c:ext>
          </c:extLst>
        </c:ser>
        <c:dLbls>
          <c:showLegendKey val="0"/>
          <c:showVal val="0"/>
          <c:showCatName val="0"/>
          <c:showSerName val="0"/>
          <c:showPercent val="0"/>
          <c:showBubbleSize val="0"/>
        </c:dLbls>
        <c:gapWidth val="219"/>
        <c:overlap val="-27"/>
        <c:axId val="1959248688"/>
        <c:axId val="1959246512"/>
      </c:barChart>
      <c:catAx>
        <c:axId val="195924868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9246512"/>
        <c:crosses val="autoZero"/>
        <c:auto val="1"/>
        <c:lblAlgn val="ctr"/>
        <c:lblOffset val="100"/>
        <c:noMultiLvlLbl val="0"/>
      </c:catAx>
      <c:valAx>
        <c:axId val="1959246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9248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spPr>
            <a:noFill/>
            <a:ln>
              <a:noFill/>
            </a:ln>
            <a:effectLst/>
          </c:spPr>
          <c:invertIfNegative val="0"/>
          <c:cat>
            <c:strRef>
              <c:f>Φύλλο1!$D$5:$E$5</c:f>
              <c:strCache>
                <c:ptCount val="2"/>
                <c:pt idx="0">
                  <c:v>Installation</c:v>
                </c:pt>
                <c:pt idx="1">
                  <c:v>Maintenance</c:v>
                </c:pt>
              </c:strCache>
            </c:strRef>
          </c:cat>
          <c:val>
            <c:numRef>
              <c:f>Φύλλο1!$D$6:$E$6</c:f>
              <c:numCache>
                <c:formatCode>General</c:formatCode>
                <c:ptCount val="2"/>
                <c:pt idx="0">
                  <c:v>1875</c:v>
                </c:pt>
                <c:pt idx="1">
                  <c:v>600</c:v>
                </c:pt>
              </c:numCache>
            </c:numRef>
          </c:val>
          <c:extLst>
            <c:ext xmlns:c16="http://schemas.microsoft.com/office/drawing/2014/chart" uri="{C3380CC4-5D6E-409C-BE32-E72D297353CC}">
              <c16:uniqueId val="{00000000-BA4D-46C0-8200-E37178A3CCCC}"/>
            </c:ext>
          </c:extLst>
        </c:ser>
        <c:ser>
          <c:idx val="2"/>
          <c:order val="1"/>
          <c:spPr>
            <a:solidFill>
              <a:schemeClr val="accent1"/>
            </a:solidFill>
            <a:ln>
              <a:noFill/>
            </a:ln>
            <a:effectLst/>
          </c:spPr>
          <c:invertIfNegative val="0"/>
          <c:cat>
            <c:strRef>
              <c:f>Φύλλο1!$D$5:$E$5</c:f>
              <c:strCache>
                <c:ptCount val="2"/>
                <c:pt idx="0">
                  <c:v>Installation</c:v>
                </c:pt>
                <c:pt idx="1">
                  <c:v>Maintenance</c:v>
                </c:pt>
              </c:strCache>
            </c:strRef>
          </c:cat>
          <c:val>
            <c:numRef>
              <c:f>Φύλλο1!$D$8:$E$8</c:f>
              <c:numCache>
                <c:formatCode>General</c:formatCode>
                <c:ptCount val="2"/>
                <c:pt idx="0">
                  <c:v>938</c:v>
                </c:pt>
                <c:pt idx="1">
                  <c:v>600</c:v>
                </c:pt>
              </c:numCache>
            </c:numRef>
          </c:val>
          <c:extLst>
            <c:ext xmlns:c16="http://schemas.microsoft.com/office/drawing/2014/chart" uri="{C3380CC4-5D6E-409C-BE32-E72D297353CC}">
              <c16:uniqueId val="{00000001-BA4D-46C0-8200-E37178A3CCCC}"/>
            </c:ext>
          </c:extLst>
        </c:ser>
        <c:dLbls>
          <c:showLegendKey val="0"/>
          <c:showVal val="0"/>
          <c:showCatName val="0"/>
          <c:showSerName val="0"/>
          <c:showPercent val="0"/>
          <c:showBubbleSize val="0"/>
        </c:dLbls>
        <c:gapWidth val="150"/>
        <c:overlap val="100"/>
        <c:axId val="1959229104"/>
        <c:axId val="1959241616"/>
      </c:barChart>
      <c:catAx>
        <c:axId val="1959229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GB" sz="1000" b="0" i="0" u="none" strike="noStrike" kern="1200" baseline="0">
                <a:solidFill>
                  <a:schemeClr val="tx1">
                    <a:lumMod val="65000"/>
                    <a:lumOff val="35000"/>
                  </a:schemeClr>
                </a:solidFill>
                <a:latin typeface="+mn-lt"/>
                <a:ea typeface="+mn-ea"/>
                <a:cs typeface="+mn-cs"/>
              </a:defRPr>
            </a:pPr>
            <a:endParaRPr lang="en-US"/>
          </a:p>
        </c:txPr>
        <c:crossAx val="1959241616"/>
        <c:crosses val="autoZero"/>
        <c:auto val="1"/>
        <c:lblAlgn val="ctr"/>
        <c:lblOffset val="100"/>
        <c:noMultiLvlLbl val="0"/>
      </c:catAx>
      <c:valAx>
        <c:axId val="1959241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GB" sz="1000" b="0" i="0" u="none" strike="noStrike" kern="1200" baseline="0">
                    <a:solidFill>
                      <a:schemeClr val="tx1">
                        <a:lumMod val="65000"/>
                        <a:lumOff val="35000"/>
                      </a:schemeClr>
                    </a:solidFill>
                    <a:latin typeface="+mn-lt"/>
                    <a:ea typeface="+mn-ea"/>
                    <a:cs typeface="+mn-cs"/>
                  </a:defRPr>
                </a:pPr>
                <a:r>
                  <a:rPr lang="en-US"/>
                  <a:t>Full jobs created in the wind sector until 2030</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mn-lt"/>
                <a:ea typeface="+mn-ea"/>
                <a:cs typeface="+mn-cs"/>
              </a:defRPr>
            </a:pPr>
            <a:endParaRPr lang="en-US"/>
          </a:p>
        </c:txPr>
        <c:crossAx val="1959229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spPr>
            <a:noFill/>
            <a:ln>
              <a:noFill/>
            </a:ln>
            <a:effectLst/>
          </c:spPr>
          <c:invertIfNegative val="0"/>
          <c:cat>
            <c:strRef>
              <c:f>Φύλλο1!$D$11:$E$11</c:f>
              <c:strCache>
                <c:ptCount val="2"/>
                <c:pt idx="0">
                  <c:v>Installation</c:v>
                </c:pt>
                <c:pt idx="1">
                  <c:v>Maintenance</c:v>
                </c:pt>
              </c:strCache>
            </c:strRef>
          </c:cat>
          <c:val>
            <c:numRef>
              <c:f>Φύλλο1!$D$12:$E$12</c:f>
              <c:numCache>
                <c:formatCode>General</c:formatCode>
                <c:ptCount val="2"/>
                <c:pt idx="0">
                  <c:v>1875</c:v>
                </c:pt>
                <c:pt idx="1">
                  <c:v>300</c:v>
                </c:pt>
              </c:numCache>
            </c:numRef>
          </c:val>
          <c:extLst>
            <c:ext xmlns:c16="http://schemas.microsoft.com/office/drawing/2014/chart" uri="{C3380CC4-5D6E-409C-BE32-E72D297353CC}">
              <c16:uniqueId val="{00000000-426B-4027-9E8D-9EE2A68BD8E5}"/>
            </c:ext>
          </c:extLst>
        </c:ser>
        <c:ser>
          <c:idx val="2"/>
          <c:order val="1"/>
          <c:spPr>
            <a:solidFill>
              <a:schemeClr val="accent4"/>
            </a:solidFill>
            <a:ln>
              <a:solidFill>
                <a:schemeClr val="accent4"/>
              </a:solidFill>
            </a:ln>
            <a:effectLst/>
          </c:spPr>
          <c:invertIfNegative val="0"/>
          <c:cat>
            <c:strRef>
              <c:f>Φύλλο1!$D$11:$E$11</c:f>
              <c:strCache>
                <c:ptCount val="2"/>
                <c:pt idx="0">
                  <c:v>Installation</c:v>
                </c:pt>
                <c:pt idx="1">
                  <c:v>Maintenance</c:v>
                </c:pt>
              </c:strCache>
            </c:strRef>
          </c:cat>
          <c:val>
            <c:numRef>
              <c:f>Φύλλο1!$D$14:$E$14</c:f>
              <c:numCache>
                <c:formatCode>General</c:formatCode>
                <c:ptCount val="2"/>
                <c:pt idx="0">
                  <c:v>938</c:v>
                </c:pt>
                <c:pt idx="1">
                  <c:v>300</c:v>
                </c:pt>
              </c:numCache>
            </c:numRef>
          </c:val>
          <c:extLst>
            <c:ext xmlns:c16="http://schemas.microsoft.com/office/drawing/2014/chart" uri="{C3380CC4-5D6E-409C-BE32-E72D297353CC}">
              <c16:uniqueId val="{00000001-426B-4027-9E8D-9EE2A68BD8E5}"/>
            </c:ext>
          </c:extLst>
        </c:ser>
        <c:dLbls>
          <c:showLegendKey val="0"/>
          <c:showVal val="0"/>
          <c:showCatName val="0"/>
          <c:showSerName val="0"/>
          <c:showPercent val="0"/>
          <c:showBubbleSize val="0"/>
        </c:dLbls>
        <c:gapWidth val="150"/>
        <c:overlap val="100"/>
        <c:axId val="1959248144"/>
        <c:axId val="1959249776"/>
      </c:barChart>
      <c:catAx>
        <c:axId val="195924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GB" sz="1000" b="0" i="0" u="none" strike="noStrike" kern="1200" baseline="0">
                <a:solidFill>
                  <a:schemeClr val="tx1">
                    <a:lumMod val="65000"/>
                    <a:lumOff val="35000"/>
                  </a:schemeClr>
                </a:solidFill>
                <a:latin typeface="+mn-lt"/>
                <a:ea typeface="+mn-ea"/>
                <a:cs typeface="+mn-cs"/>
              </a:defRPr>
            </a:pPr>
            <a:endParaRPr lang="en-US"/>
          </a:p>
        </c:txPr>
        <c:crossAx val="1959249776"/>
        <c:crosses val="autoZero"/>
        <c:auto val="1"/>
        <c:lblAlgn val="ctr"/>
        <c:lblOffset val="100"/>
        <c:noMultiLvlLbl val="0"/>
      </c:catAx>
      <c:valAx>
        <c:axId val="19592497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GB" sz="1000" b="0" i="0" u="none" strike="noStrike" kern="1200" baseline="0">
                    <a:solidFill>
                      <a:schemeClr val="tx1">
                        <a:lumMod val="65000"/>
                        <a:lumOff val="35000"/>
                      </a:schemeClr>
                    </a:solidFill>
                    <a:latin typeface="+mn-lt"/>
                    <a:ea typeface="+mn-ea"/>
                    <a:cs typeface="+mn-cs"/>
                  </a:defRPr>
                </a:pPr>
                <a:r>
                  <a:rPr lang="en-US"/>
                  <a:t>Full jobs created in the solar sector until 2030</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mn-lt"/>
                <a:ea typeface="+mn-ea"/>
                <a:cs typeface="+mn-cs"/>
              </a:defRPr>
            </a:pPr>
            <a:endParaRPr lang="en-US"/>
          </a:p>
        </c:txPr>
        <c:crossAx val="1959248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spPr>
            <a:noFill/>
            <a:ln>
              <a:noFill/>
            </a:ln>
            <a:effectLst/>
          </c:spPr>
          <c:invertIfNegative val="0"/>
          <c:cat>
            <c:strRef>
              <c:f>Φύλλο1!$D$17:$E$17</c:f>
              <c:strCache>
                <c:ptCount val="2"/>
                <c:pt idx="0">
                  <c:v>Installation</c:v>
                </c:pt>
                <c:pt idx="1">
                  <c:v>Maintenance</c:v>
                </c:pt>
              </c:strCache>
            </c:strRef>
          </c:cat>
          <c:val>
            <c:numRef>
              <c:f>Φύλλο1!$D$18:$E$18</c:f>
              <c:numCache>
                <c:formatCode>General</c:formatCode>
                <c:ptCount val="2"/>
                <c:pt idx="0">
                  <c:v>1050</c:v>
                </c:pt>
                <c:pt idx="1">
                  <c:v>40</c:v>
                </c:pt>
              </c:numCache>
            </c:numRef>
          </c:val>
          <c:extLst>
            <c:ext xmlns:c16="http://schemas.microsoft.com/office/drawing/2014/chart" uri="{C3380CC4-5D6E-409C-BE32-E72D297353CC}">
              <c16:uniqueId val="{00000000-0275-441F-B982-CDE4CD0DB43E}"/>
            </c:ext>
          </c:extLst>
        </c:ser>
        <c:ser>
          <c:idx val="2"/>
          <c:order val="1"/>
          <c:spPr>
            <a:solidFill>
              <a:schemeClr val="accent2"/>
            </a:solidFill>
            <a:ln>
              <a:solidFill>
                <a:schemeClr val="accent2"/>
              </a:solidFill>
            </a:ln>
            <a:effectLst/>
          </c:spPr>
          <c:invertIfNegative val="0"/>
          <c:cat>
            <c:strRef>
              <c:f>Φύλλο1!$D$17:$E$17</c:f>
              <c:strCache>
                <c:ptCount val="2"/>
                <c:pt idx="0">
                  <c:v>Installation</c:v>
                </c:pt>
                <c:pt idx="1">
                  <c:v>Maintenance</c:v>
                </c:pt>
              </c:strCache>
            </c:strRef>
          </c:cat>
          <c:val>
            <c:numRef>
              <c:f>Φύλλο1!$D$20:$E$20</c:f>
              <c:numCache>
                <c:formatCode>General</c:formatCode>
                <c:ptCount val="2"/>
                <c:pt idx="0">
                  <c:v>350</c:v>
                </c:pt>
                <c:pt idx="1">
                  <c:v>40</c:v>
                </c:pt>
              </c:numCache>
            </c:numRef>
          </c:val>
          <c:extLst>
            <c:ext xmlns:c16="http://schemas.microsoft.com/office/drawing/2014/chart" uri="{C3380CC4-5D6E-409C-BE32-E72D297353CC}">
              <c16:uniqueId val="{00000001-0275-441F-B982-CDE4CD0DB43E}"/>
            </c:ext>
          </c:extLst>
        </c:ser>
        <c:dLbls>
          <c:showLegendKey val="0"/>
          <c:showVal val="0"/>
          <c:showCatName val="0"/>
          <c:showSerName val="0"/>
          <c:showPercent val="0"/>
          <c:showBubbleSize val="0"/>
        </c:dLbls>
        <c:gapWidth val="150"/>
        <c:overlap val="100"/>
        <c:axId val="1959221488"/>
        <c:axId val="1959224752"/>
      </c:barChart>
      <c:catAx>
        <c:axId val="1959221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GB" sz="1000" b="0" i="0" u="none" strike="noStrike" kern="1200" baseline="0">
                <a:solidFill>
                  <a:schemeClr val="tx1">
                    <a:lumMod val="65000"/>
                    <a:lumOff val="35000"/>
                  </a:schemeClr>
                </a:solidFill>
                <a:latin typeface="+mn-lt"/>
                <a:ea typeface="+mn-ea"/>
                <a:cs typeface="+mn-cs"/>
              </a:defRPr>
            </a:pPr>
            <a:endParaRPr lang="en-US"/>
          </a:p>
        </c:txPr>
        <c:crossAx val="1959224752"/>
        <c:crosses val="autoZero"/>
        <c:auto val="1"/>
        <c:lblAlgn val="ctr"/>
        <c:lblOffset val="100"/>
        <c:noMultiLvlLbl val="0"/>
      </c:catAx>
      <c:valAx>
        <c:axId val="19592247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GB" sz="1000" b="0" i="0" u="none" strike="noStrike" kern="1200" baseline="0">
                    <a:solidFill>
                      <a:schemeClr val="tx1">
                        <a:lumMod val="65000"/>
                        <a:lumOff val="35000"/>
                      </a:schemeClr>
                    </a:solidFill>
                    <a:latin typeface="+mn-lt"/>
                    <a:ea typeface="+mn-ea"/>
                    <a:cs typeface="+mn-cs"/>
                  </a:defRPr>
                </a:pPr>
                <a:r>
                  <a:rPr lang="en-US"/>
                  <a:t>Full jobs created in</a:t>
                </a:r>
                <a:r>
                  <a:rPr lang="en-US" baseline="0"/>
                  <a:t> the biomass sector </a:t>
                </a:r>
                <a:r>
                  <a:rPr lang="en-US"/>
                  <a:t>until 2030</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mn-lt"/>
                <a:ea typeface="+mn-ea"/>
                <a:cs typeface="+mn-cs"/>
              </a:defRPr>
            </a:pPr>
            <a:endParaRPr lang="en-US"/>
          </a:p>
        </c:txPr>
        <c:crossAx val="1959221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Sheet1!$B$11</c:f>
              <c:strCache>
                <c:ptCount val="1"/>
                <c:pt idx="0">
                  <c:v>Scenario S</c:v>
                </c:pt>
              </c:strCache>
            </c:strRef>
          </c:tx>
          <c:spPr>
            <a:solidFill>
              <a:schemeClr val="accent1"/>
            </a:solidFill>
            <a:ln>
              <a:noFill/>
            </a:ln>
            <a:effectLst/>
          </c:spPr>
          <c:invertIfNegative val="0"/>
          <c:cat>
            <c:numRef>
              <c:f>Sheet1!$C$3:$G$3</c:f>
              <c:numCache>
                <c:formatCode>General</c:formatCode>
                <c:ptCount val="5"/>
                <c:pt idx="0">
                  <c:v>2030</c:v>
                </c:pt>
                <c:pt idx="1">
                  <c:v>2035</c:v>
                </c:pt>
                <c:pt idx="2">
                  <c:v>2040</c:v>
                </c:pt>
                <c:pt idx="3">
                  <c:v>2045</c:v>
                </c:pt>
                <c:pt idx="4">
                  <c:v>2050</c:v>
                </c:pt>
              </c:numCache>
            </c:numRef>
          </c:cat>
          <c:val>
            <c:numRef>
              <c:f>Sheet1!$C$11:$G$11</c:f>
              <c:numCache>
                <c:formatCode>General</c:formatCode>
                <c:ptCount val="5"/>
                <c:pt idx="0">
                  <c:v>47.9</c:v>
                </c:pt>
                <c:pt idx="1">
                  <c:v>54.5</c:v>
                </c:pt>
                <c:pt idx="2">
                  <c:v>62</c:v>
                </c:pt>
                <c:pt idx="3">
                  <c:v>80.599999999999994</c:v>
                </c:pt>
                <c:pt idx="4">
                  <c:v>63.5</c:v>
                </c:pt>
              </c:numCache>
            </c:numRef>
          </c:val>
          <c:extLst>
            <c:ext xmlns:c16="http://schemas.microsoft.com/office/drawing/2014/chart" uri="{C3380CC4-5D6E-409C-BE32-E72D297353CC}">
              <c16:uniqueId val="{00000000-CF53-4AEA-AE39-EF25C28310CE}"/>
            </c:ext>
          </c:extLst>
        </c:ser>
        <c:dLbls>
          <c:showLegendKey val="0"/>
          <c:showVal val="0"/>
          <c:showCatName val="0"/>
          <c:showSerName val="0"/>
          <c:showPercent val="0"/>
          <c:showBubbleSize val="0"/>
        </c:dLbls>
        <c:gapWidth val="219"/>
        <c:overlap val="-27"/>
        <c:axId val="1959247056"/>
        <c:axId val="1959222576"/>
      </c:barChart>
      <c:catAx>
        <c:axId val="1959247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mn-lt"/>
                <a:ea typeface="+mn-ea"/>
                <a:cs typeface="+mn-cs"/>
              </a:defRPr>
            </a:pPr>
            <a:endParaRPr lang="en-US"/>
          </a:p>
        </c:txPr>
        <c:crossAx val="1959222576"/>
        <c:crosses val="autoZero"/>
        <c:auto val="1"/>
        <c:lblAlgn val="ctr"/>
        <c:lblOffset val="100"/>
        <c:noMultiLvlLbl val="0"/>
      </c:catAx>
      <c:valAx>
        <c:axId val="1959222576"/>
        <c:scaling>
          <c:orientation val="minMax"/>
        </c:scaling>
        <c:delete val="0"/>
        <c:axPos val="l"/>
        <c:title>
          <c:tx>
            <c:rich>
              <a:bodyPr rot="-5400000" spcFirstLastPara="1" vertOverflow="ellipsis" vert="horz" wrap="square" anchor="ctr" anchorCtr="1"/>
              <a:lstStyle/>
              <a:p>
                <a:pPr>
                  <a:defRPr lang="en-GB" sz="1000" b="0" i="0" u="none" strike="noStrike" kern="1200" baseline="0">
                    <a:solidFill>
                      <a:schemeClr val="tx1">
                        <a:lumMod val="65000"/>
                        <a:lumOff val="35000"/>
                      </a:schemeClr>
                    </a:solidFill>
                    <a:latin typeface="+mn-lt"/>
                    <a:ea typeface="+mn-ea"/>
                    <a:cs typeface="+mn-cs"/>
                  </a:defRPr>
                </a:pPr>
                <a:r>
                  <a:rPr lang="en-US"/>
                  <a:t>Average Electricity Supply costs (Euro/MWh)</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mn-lt"/>
                <a:ea typeface="+mn-ea"/>
                <a:cs typeface="+mn-cs"/>
              </a:defRPr>
            </a:pPr>
            <a:endParaRPr lang="en-US"/>
          </a:p>
        </c:txPr>
        <c:crossAx val="1959247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658092738407693"/>
          <c:y val="5.0925925925925923E-2"/>
          <c:w val="0.77841907261592325"/>
          <c:h val="0.47979039078448532"/>
        </c:manualLayout>
      </c:layout>
      <c:barChart>
        <c:barDir val="col"/>
        <c:grouping val="clustered"/>
        <c:varyColors val="0"/>
        <c:ser>
          <c:idx val="0"/>
          <c:order val="0"/>
          <c:tx>
            <c:strRef>
              <c:f>'NECP-Indicators'!$W$271:$W$275</c:f>
              <c:strCache>
                <c:ptCount val="5"/>
                <c:pt idx="0">
                  <c:v>Decarbonisation</c:v>
                </c:pt>
                <c:pt idx="1">
                  <c:v>Energy Efficiency</c:v>
                </c:pt>
                <c:pt idx="2">
                  <c:v>Energy Security</c:v>
                </c:pt>
                <c:pt idx="3">
                  <c:v>Internal Energy Market</c:v>
                </c:pt>
                <c:pt idx="4">
                  <c:v>Research Innovation and Competitiveness</c:v>
                </c:pt>
              </c:strCache>
            </c:strRef>
          </c:tx>
          <c:spPr>
            <a:solidFill>
              <a:schemeClr val="accent1"/>
            </a:solidFill>
            <a:ln>
              <a:noFill/>
            </a:ln>
            <a:effectLst/>
          </c:spPr>
          <c:invertIfNegative val="0"/>
          <c:dLbls>
            <c:dLbl>
              <c:idx val="0"/>
              <c:tx>
                <c:rich>
                  <a:bodyPr/>
                  <a:lstStyle/>
                  <a:p>
                    <a:fld id="{23B7E4C0-B9B9-49B7-A641-C98906D1B56B}"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0-109F-4FC0-8DEF-A6F0045E98B0}"/>
                </c:ext>
              </c:extLst>
            </c:dLbl>
            <c:dLbl>
              <c:idx val="1"/>
              <c:tx>
                <c:rich>
                  <a:bodyPr/>
                  <a:lstStyle/>
                  <a:p>
                    <a:fld id="{1F20B3AC-411C-481A-BC8C-907B5BE480E0}"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109F-4FC0-8DEF-A6F0045E98B0}"/>
                </c:ext>
              </c:extLst>
            </c:dLbl>
            <c:dLbl>
              <c:idx val="2"/>
              <c:tx>
                <c:rich>
                  <a:bodyPr/>
                  <a:lstStyle/>
                  <a:p>
                    <a:fld id="{2E309A3C-2584-4159-90A1-783B562A61DE}"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109F-4FC0-8DEF-A6F0045E98B0}"/>
                </c:ext>
              </c:extLst>
            </c:dLbl>
            <c:dLbl>
              <c:idx val="3"/>
              <c:tx>
                <c:rich>
                  <a:bodyPr/>
                  <a:lstStyle/>
                  <a:p>
                    <a:fld id="{B6BA5309-7E94-4ECA-BCB7-510CD73B363E}"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109F-4FC0-8DEF-A6F0045E98B0}"/>
                </c:ext>
              </c:extLst>
            </c:dLbl>
            <c:dLbl>
              <c:idx val="4"/>
              <c:tx>
                <c:rich>
                  <a:bodyPr/>
                  <a:lstStyle/>
                  <a:p>
                    <a:fld id="{16636EED-615C-45AF-BAE6-573606775558}"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109F-4FC0-8DEF-A6F0045E98B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'NECP-Indicators'!$W$271:$W$275</c:f>
              <c:strCache>
                <c:ptCount val="5"/>
                <c:pt idx="0">
                  <c:v>Decarbonisation</c:v>
                </c:pt>
                <c:pt idx="1">
                  <c:v>Energy Efficiency</c:v>
                </c:pt>
                <c:pt idx="2">
                  <c:v>Energy Security</c:v>
                </c:pt>
                <c:pt idx="3">
                  <c:v>Internal Energy Market</c:v>
                </c:pt>
                <c:pt idx="4">
                  <c:v>Research Innovation and Competitiveness</c:v>
                </c:pt>
              </c:strCache>
            </c:strRef>
          </c:cat>
          <c:val>
            <c:numRef>
              <c:f>'NECP-Indicators'!$V$271:$V$275</c:f>
              <c:numCache>
                <c:formatCode>General</c:formatCode>
                <c:ptCount val="5"/>
                <c:pt idx="0">
                  <c:v>5.1899999999999995</c:v>
                </c:pt>
                <c:pt idx="1">
                  <c:v>20.010000000000005</c:v>
                </c:pt>
                <c:pt idx="2">
                  <c:v>3.3899999999999997</c:v>
                </c:pt>
                <c:pt idx="3">
                  <c:v>1.1900000000000004</c:v>
                </c:pt>
                <c:pt idx="4">
                  <c:v>0.11</c:v>
                </c:pt>
              </c:numCache>
            </c:numRef>
          </c:val>
          <c:extLst>
            <c:ext xmlns:c15="http://schemas.microsoft.com/office/drawing/2012/chart" uri="{02D57815-91ED-43cb-92C2-25804820EDAC}">
              <c15:datalabelsRange>
                <c15:f>'NECP-Indicators'!$X$271:$X$275</c15:f>
                <c15:dlblRangeCache>
                  <c:ptCount val="5"/>
                  <c:pt idx="0">
                    <c:v>17.36%</c:v>
                  </c:pt>
                  <c:pt idx="1">
                    <c:v>66.95%</c:v>
                  </c:pt>
                  <c:pt idx="2">
                    <c:v>11.34%</c:v>
                  </c:pt>
                  <c:pt idx="3">
                    <c:v>3.98%</c:v>
                  </c:pt>
                  <c:pt idx="4">
                    <c:v>0.37%</c:v>
                  </c:pt>
                </c15:dlblRangeCache>
              </c15:datalabelsRange>
            </c:ext>
            <c:ext xmlns:c16="http://schemas.microsoft.com/office/drawing/2014/chart" uri="{C3380CC4-5D6E-409C-BE32-E72D297353CC}">
              <c16:uniqueId val="{00000005-0FE9-4EEF-9E83-BE47F1043FA1}"/>
            </c:ext>
          </c:extLst>
        </c:ser>
        <c:dLbls>
          <c:showLegendKey val="0"/>
          <c:showVal val="1"/>
          <c:showCatName val="0"/>
          <c:showSerName val="0"/>
          <c:showPercent val="0"/>
          <c:showBubbleSize val="0"/>
        </c:dLbls>
        <c:gapWidth val="219"/>
        <c:overlap val="-27"/>
        <c:axId val="1959249232"/>
        <c:axId val="1959229648"/>
        <c:extLst>
          <c:ext xmlns:c15="http://schemas.microsoft.com/office/drawing/2012/chart" uri="{02D57815-91ED-43cb-92C2-25804820EDAC}">
            <c15:filteredBarSeries>
              <c15:ser>
                <c:idx val="1"/>
                <c:order val="1"/>
                <c:tx>
                  <c:strRef>
                    <c:extLst>
                      <c:ext uri="{02D57815-91ED-43cb-92C2-25804820EDAC}">
                        <c15:formulaRef>
                          <c15:sqref>'NECP-Indicators'!$W$271:$W$275</c15:sqref>
                        </c15:formulaRef>
                      </c:ext>
                    </c:extLst>
                    <c:strCache>
                      <c:ptCount val="5"/>
                      <c:pt idx="0">
                        <c:v>Decarbonisation</c:v>
                      </c:pt>
                      <c:pt idx="1">
                        <c:v>Energy Efficiency</c:v>
                      </c:pt>
                      <c:pt idx="2">
                        <c:v>Energy Security</c:v>
                      </c:pt>
                      <c:pt idx="3">
                        <c:v>Internal Energy Market</c:v>
                      </c:pt>
                      <c:pt idx="4">
                        <c:v>Research Innovation and Competitiveness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val>
                  <c:numRef>
                    <c:extLst>
                      <c:ext uri="{02D57815-91ED-43cb-92C2-25804820EDAC}">
                        <c15:formulaRef>
                          <c15:sqref>'NECP-Indicators'!$X$271:$X$275</c15:sqref>
                        </c15:formulaRef>
                      </c:ext>
                    </c:extLst>
                    <c:numCache>
                      <c:formatCode>0.00%</c:formatCode>
                      <c:ptCount val="5"/>
                      <c:pt idx="0">
                        <c:v>0.1736424771655124</c:v>
                      </c:pt>
                      <c:pt idx="1">
                        <c:v>0.6694770651410219</c:v>
                      </c:pt>
                      <c:pt idx="2">
                        <c:v>0.11341965271504567</c:v>
                      </c:pt>
                      <c:pt idx="3">
                        <c:v>3.9813978386697445E-2</c:v>
                      </c:pt>
                      <c:pt idx="4">
                        <c:v>3.680283716417411E-3</c:v>
                      </c:pt>
                    </c:numCache>
                  </c:numRef>
                </c:val>
                <c:extLst>
                  <c:ext xmlns:c16="http://schemas.microsoft.com/office/drawing/2014/chart" uri="{C3380CC4-5D6E-409C-BE32-E72D297353CC}">
                    <c16:uniqueId val="{00000006-0FE9-4EEF-9E83-BE47F1043FA1}"/>
                  </c:ext>
                </c:extLst>
              </c15:ser>
            </c15:filteredBarSeries>
          </c:ext>
        </c:extLst>
      </c:barChart>
      <c:catAx>
        <c:axId val="19592492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9229648"/>
        <c:crosses val="autoZero"/>
        <c:auto val="1"/>
        <c:lblAlgn val="ctr"/>
        <c:lblOffset val="100"/>
        <c:noMultiLvlLbl val="0"/>
      </c:catAx>
      <c:valAx>
        <c:axId val="1959229648"/>
        <c:scaling>
          <c:orientation val="minMax"/>
          <c:max val="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aseline="0"/>
                  <a:t>billion euro</a:t>
                </a:r>
                <a:endParaRPr lang="sr-Cyrl-CS" baseline="0"/>
              </a:p>
              <a:p>
                <a:pPr>
                  <a:defRPr sz="1000" b="0" i="0" u="none" strike="noStrike" kern="1200" baseline="0">
                    <a:solidFill>
                      <a:schemeClr val="tx1">
                        <a:lumMod val="65000"/>
                        <a:lumOff val="35000"/>
                      </a:schemeClr>
                    </a:solidFill>
                    <a:latin typeface="+mn-lt"/>
                    <a:ea typeface="+mn-ea"/>
                    <a:cs typeface="+mn-cs"/>
                  </a:defRPr>
                </a:pPr>
                <a:endParaRPr lang="en-US"/>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9249232"/>
        <c:crosses val="autoZero"/>
        <c:crossBetween val="between"/>
      </c:valAx>
      <c:spPr>
        <a:noFill/>
        <a:ln>
          <a:solidFill>
            <a:sysClr val="windowText" lastClr="000000">
              <a:lumMod val="25000"/>
              <a:lumOff val="75000"/>
            </a:sysClr>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62087261216242"/>
          <c:y val="0.12093023255813959"/>
          <c:w val="0.66830411685265023"/>
          <c:h val="0.77403064151864764"/>
        </c:manualLayout>
      </c:layout>
      <c:barChart>
        <c:barDir val="col"/>
        <c:grouping val="stacked"/>
        <c:varyColors val="0"/>
        <c:ser>
          <c:idx val="0"/>
          <c:order val="0"/>
          <c:tx>
            <c:strRef>
              <c:f>'NECP-Indicators'!$W$376:$W$377</c:f>
              <c:strCache>
                <c:ptCount val="2"/>
                <c:pt idx="0">
                  <c:v>Public funds</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1"/>
              <c:pt idx="0">
                <c:v>Укупни трошкови имплементације у милијардама евра</c:v>
              </c:pt>
            </c:strLit>
          </c:cat>
          <c:val>
            <c:numRef>
              <c:f>'NECP-Indicators'!$W$378</c:f>
              <c:numCache>
                <c:formatCode>General</c:formatCode>
                <c:ptCount val="1"/>
                <c:pt idx="0">
                  <c:v>10.909000000000002</c:v>
                </c:pt>
              </c:numCache>
            </c:numRef>
          </c:val>
          <c:extLst>
            <c:ext xmlns:c16="http://schemas.microsoft.com/office/drawing/2014/chart" uri="{C3380CC4-5D6E-409C-BE32-E72D297353CC}">
              <c16:uniqueId val="{00000000-5363-47B8-9EFF-7790D4D6A55E}"/>
            </c:ext>
          </c:extLst>
        </c:ser>
        <c:ser>
          <c:idx val="1"/>
          <c:order val="1"/>
          <c:tx>
            <c:strRef>
              <c:f>'NECP-Indicators'!$X$376:$X$377</c:f>
              <c:strCache>
                <c:ptCount val="2"/>
                <c:pt idx="0">
                  <c:v>Own funds</c:v>
                </c:pt>
              </c:strCache>
            </c:strRef>
          </c:tx>
          <c:spPr>
            <a:solidFill>
              <a:schemeClr val="accent5"/>
            </a:solidFill>
            <a:ln>
              <a:noFill/>
            </a:ln>
            <a:effectLst/>
          </c:spPr>
          <c:invertIfNegative val="0"/>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1"/>
              <c:pt idx="0">
                <c:v>Укупни трошкови имплементације у милијардама евра</c:v>
              </c:pt>
            </c:strLit>
          </c:cat>
          <c:val>
            <c:numRef>
              <c:f>'NECP-Indicators'!$X$378</c:f>
              <c:numCache>
                <c:formatCode>General</c:formatCode>
                <c:ptCount val="1"/>
                <c:pt idx="0">
                  <c:v>18.979999999999993</c:v>
                </c:pt>
              </c:numCache>
            </c:numRef>
          </c:val>
          <c:extLst>
            <c:ext xmlns:c16="http://schemas.microsoft.com/office/drawing/2014/chart" uri="{C3380CC4-5D6E-409C-BE32-E72D297353CC}">
              <c16:uniqueId val="{00000001-5363-47B8-9EFF-7790D4D6A55E}"/>
            </c:ext>
          </c:extLst>
        </c:ser>
        <c:dLbls>
          <c:showLegendKey val="0"/>
          <c:showVal val="0"/>
          <c:showCatName val="0"/>
          <c:showSerName val="0"/>
          <c:showPercent val="0"/>
          <c:showBubbleSize val="0"/>
        </c:dLbls>
        <c:gapWidth val="150"/>
        <c:overlap val="100"/>
        <c:axId val="1959238352"/>
        <c:axId val="1959250320"/>
      </c:barChart>
      <c:catAx>
        <c:axId val="1959238352"/>
        <c:scaling>
          <c:orientation val="minMax"/>
        </c:scaling>
        <c:delete val="1"/>
        <c:axPos val="t"/>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Total implementation</a:t>
                </a:r>
                <a:r>
                  <a:rPr lang="en-US" baseline="0"/>
                  <a:t> costs</a:t>
                </a:r>
              </a:p>
              <a:p>
                <a:pPr>
                  <a:defRPr sz="1000" b="0" i="0" u="none" strike="noStrike" kern="1200" baseline="0">
                    <a:solidFill>
                      <a:schemeClr val="tx1">
                        <a:lumMod val="65000"/>
                        <a:lumOff val="35000"/>
                      </a:schemeClr>
                    </a:solidFill>
                    <a:latin typeface="+mn-lt"/>
                    <a:ea typeface="+mn-ea"/>
                    <a:cs typeface="+mn-cs"/>
                  </a:defRPr>
                </a:pPr>
                <a:endParaRPr lang="sr-Cyrl-CS"/>
              </a:p>
            </c:rich>
          </c:tx>
          <c:layout>
            <c:manualLayout>
              <c:xMode val="edge"/>
              <c:yMode val="edge"/>
              <c:x val="0.32526633285883522"/>
              <c:y val="0.92029445156564715"/>
            </c:manualLayout>
          </c:layout>
          <c:overlay val="0"/>
          <c:spPr>
            <a:noFill/>
            <a:ln>
              <a:noFill/>
            </a:ln>
            <a:effectLst/>
          </c:spPr>
        </c:title>
        <c:numFmt formatCode="General" sourceLinked="1"/>
        <c:majorTickMark val="none"/>
        <c:minorTickMark val="none"/>
        <c:tickLblPos val="none"/>
        <c:crossAx val="1959250320"/>
        <c:crosses val="max"/>
        <c:auto val="1"/>
        <c:lblAlgn val="ctr"/>
        <c:lblOffset val="100"/>
        <c:noMultiLvlLbl val="0"/>
      </c:catAx>
      <c:valAx>
        <c:axId val="1959250320"/>
        <c:scaling>
          <c:orientation val="minMax"/>
          <c:max val="3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aseline="0"/>
                  <a:t>billion euro</a:t>
                </a:r>
                <a:endParaRPr lang="sr-Cyrl-CS" baseline="0"/>
              </a:p>
              <a:p>
                <a:pPr>
                  <a:defRPr sz="1000" b="0" i="0" u="none" strike="noStrike" kern="1200" baseline="0">
                    <a:solidFill>
                      <a:schemeClr val="tx1">
                        <a:lumMod val="65000"/>
                        <a:lumOff val="35000"/>
                      </a:schemeClr>
                    </a:solidFill>
                    <a:latin typeface="+mn-lt"/>
                    <a:ea typeface="+mn-ea"/>
                    <a:cs typeface="+mn-cs"/>
                  </a:defRPr>
                </a:pPr>
                <a:endParaRPr lang="en-US"/>
              </a:p>
            </c:rich>
          </c:tx>
          <c:layout>
            <c:manualLayout>
              <c:xMode val="edge"/>
              <c:yMode val="edge"/>
              <c:x val="1.1799410029498521E-2"/>
              <c:y val="0.37500750778245767"/>
            </c:manualLayout>
          </c:layout>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923835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Sheet3!$C$21</c:f>
              <c:strCache>
                <c:ptCount val="1"/>
                <c:pt idx="0">
                  <c:v>Total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940-44E9-AEC5-2C6A48F0042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940-44E9-AEC5-2C6A48F0042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940-44E9-AEC5-2C6A48F0042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940-44E9-AEC5-2C6A48F00427}"/>
              </c:ext>
            </c:extLst>
          </c:dPt>
          <c:dLbls>
            <c:dLbl>
              <c:idx val="0"/>
              <c:tx>
                <c:rich>
                  <a:bodyPr/>
                  <a:lstStyle/>
                  <a:p>
                    <a:fld id="{2E39BCFF-2881-446E-B474-C40B1C6F69C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A940-44E9-AEC5-2C6A48F00427}"/>
                </c:ext>
              </c:extLst>
            </c:dLbl>
            <c:dLbl>
              <c:idx val="1"/>
              <c:tx>
                <c:rich>
                  <a:bodyPr/>
                  <a:lstStyle/>
                  <a:p>
                    <a:fld id="{7F2242CF-938D-4CB8-AF5C-2B25CFDAAE5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A940-44E9-AEC5-2C6A48F00427}"/>
                </c:ext>
              </c:extLst>
            </c:dLbl>
            <c:dLbl>
              <c:idx val="2"/>
              <c:tx>
                <c:rich>
                  <a:bodyPr/>
                  <a:lstStyle/>
                  <a:p>
                    <a:fld id="{9A07009E-8812-49CE-A816-B668F7B6645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A940-44E9-AEC5-2C6A48F00427}"/>
                </c:ext>
              </c:extLst>
            </c:dLbl>
            <c:dLbl>
              <c:idx val="3"/>
              <c:tx>
                <c:rich>
                  <a:bodyPr/>
                  <a:lstStyle/>
                  <a:p>
                    <a:fld id="{18F8CC9B-0921-429B-A623-491C4C012EF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A940-44E9-AEC5-2C6A48F00427}"/>
                </c:ext>
              </c:extLst>
            </c:dLbl>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howDataLabelsRange val="1"/>
              </c:ext>
            </c:extLst>
          </c:dLbls>
          <c:cat>
            <c:strRef>
              <c:f>Sheet3!$D$20:$G$20</c:f>
              <c:strCache>
                <c:ptCount val="4"/>
                <c:pt idx="0">
                  <c:v>Government sector</c:v>
                </c:pt>
                <c:pt idx="1">
                  <c:v>Tertiary education</c:v>
                </c:pt>
                <c:pt idx="2">
                  <c:v>Business sector</c:v>
                </c:pt>
                <c:pt idx="3">
                  <c:v>Non-Profit Sector</c:v>
                </c:pt>
              </c:strCache>
            </c:strRef>
          </c:cat>
          <c:val>
            <c:numRef>
              <c:f>Sheet3!$D$21:$G$21</c:f>
              <c:numCache>
                <c:formatCode>General</c:formatCode>
                <c:ptCount val="4"/>
                <c:pt idx="0">
                  <c:v>59</c:v>
                </c:pt>
                <c:pt idx="1">
                  <c:v>113</c:v>
                </c:pt>
                <c:pt idx="2">
                  <c:v>159</c:v>
                </c:pt>
                <c:pt idx="3">
                  <c:v>4</c:v>
                </c:pt>
              </c:numCache>
            </c:numRef>
          </c:val>
          <c:extLst>
            <c:ext xmlns:c15="http://schemas.microsoft.com/office/drawing/2012/chart" uri="{02D57815-91ED-43cb-92C2-25804820EDAC}">
              <c15:datalabelsRange>
                <c15:f>Sheet3!$D$22:$G$22</c15:f>
                <c15:dlblRangeCache>
                  <c:ptCount val="4"/>
                  <c:pt idx="0">
                    <c:v>17.6%</c:v>
                  </c:pt>
                  <c:pt idx="1">
                    <c:v>33.7%</c:v>
                  </c:pt>
                  <c:pt idx="2">
                    <c:v>47.5%</c:v>
                  </c:pt>
                  <c:pt idx="3">
                    <c:v>1.2%</c:v>
                  </c:pt>
                </c15:dlblRangeCache>
              </c15:datalabelsRange>
            </c:ext>
            <c:ext xmlns:c16="http://schemas.microsoft.com/office/drawing/2014/chart" uri="{C3380CC4-5D6E-409C-BE32-E72D297353CC}">
              <c16:uniqueId val="{00000008-A940-44E9-AEC5-2C6A48F00427}"/>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lang="en-GB"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210-4185-9F6A-C770FDF5F1A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210-4185-9F6A-C770FDF5F1A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210-4185-9F6A-C770FDF5F1A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210-4185-9F6A-C770FDF5F1A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210-4185-9F6A-C770FDF5F1A4}"/>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B210-4185-9F6A-C770FDF5F1A4}"/>
              </c:ext>
            </c:extLst>
          </c:dPt>
          <c:dLbls>
            <c:dLbl>
              <c:idx val="0"/>
              <c:tx>
                <c:rich>
                  <a:bodyPr/>
                  <a:lstStyle/>
                  <a:p>
                    <a:fld id="{BECBE2C5-938F-48E0-AFA0-10F31291106A}" type="CELLRANGE">
                      <a:rPr lang="en-US"/>
                      <a:pPr/>
                      <a:t>[CELLRANGE]</a:t>
                    </a:fld>
                    <a:endParaRPr lang="en-US"/>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B210-4185-9F6A-C770FDF5F1A4}"/>
                </c:ext>
              </c:extLst>
            </c:dLbl>
            <c:dLbl>
              <c:idx val="1"/>
              <c:tx>
                <c:rich>
                  <a:bodyPr/>
                  <a:lstStyle/>
                  <a:p>
                    <a:fld id="{2DA0AE7A-DC7E-4850-AE35-2E4EECA544F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B210-4185-9F6A-C770FDF5F1A4}"/>
                </c:ext>
              </c:extLst>
            </c:dLbl>
            <c:dLbl>
              <c:idx val="2"/>
              <c:tx>
                <c:rich>
                  <a:bodyPr/>
                  <a:lstStyle/>
                  <a:p>
                    <a:fld id="{418496AC-6A29-46CB-919F-BE069D4781E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B210-4185-9F6A-C770FDF5F1A4}"/>
                </c:ext>
              </c:extLst>
            </c:dLbl>
            <c:dLbl>
              <c:idx val="3"/>
              <c:tx>
                <c:rich>
                  <a:bodyPr/>
                  <a:lstStyle/>
                  <a:p>
                    <a:fld id="{22690972-2F50-4AF4-B99F-391FE008606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B210-4185-9F6A-C770FDF5F1A4}"/>
                </c:ext>
              </c:extLst>
            </c:dLbl>
            <c:dLbl>
              <c:idx val="4"/>
              <c:tx>
                <c:rich>
                  <a:bodyPr/>
                  <a:lstStyle/>
                  <a:p>
                    <a:fld id="{2CC42D69-2461-4225-A04D-867FD6070AE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B210-4185-9F6A-C770FDF5F1A4}"/>
                </c:ext>
              </c:extLst>
            </c:dLbl>
            <c:dLbl>
              <c:idx val="5"/>
              <c:tx>
                <c:rich>
                  <a:bodyPr/>
                  <a:lstStyle/>
                  <a:p>
                    <a:fld id="{9E29A200-3576-4693-AA83-B5BE46C6EC5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B-B210-4185-9F6A-C770FDF5F1A4}"/>
                </c:ext>
              </c:extLst>
            </c:dLbl>
            <c:spPr>
              <a:noFill/>
              <a:ln>
                <a:noFill/>
              </a:ln>
              <a:effectLst/>
            </c:spPr>
            <c:showLegendKey val="0"/>
            <c:showVal val="0"/>
            <c:showCatName val="0"/>
            <c:showSerName val="0"/>
            <c:showPercent val="0"/>
            <c:showBubbleSize val="0"/>
            <c:showLeaderLines val="0"/>
            <c:extLst>
              <c:ext xmlns:c15="http://schemas.microsoft.com/office/drawing/2012/chart" uri="{CE6537A1-D6FC-4f65-9D91-7224C49458BB}">
                <c15:showDataLabelsRange val="1"/>
              </c:ext>
            </c:extLst>
          </c:dLbls>
          <c:cat>
            <c:strRef>
              <c:f>Sheet3!$D$37:$D$42</c:f>
              <c:strCache>
                <c:ptCount val="6"/>
                <c:pt idx="0">
                  <c:v>Natural Sciences</c:v>
                </c:pt>
                <c:pt idx="1">
                  <c:v>Engineering and Technology</c:v>
                </c:pt>
                <c:pt idx="2">
                  <c:v>Мedical and health sciences</c:v>
                </c:pt>
                <c:pt idx="3">
                  <c:v>Agricultural sciences</c:v>
                </c:pt>
                <c:pt idx="4">
                  <c:v>Social sciences</c:v>
                </c:pt>
                <c:pt idx="5">
                  <c:v>Humanities</c:v>
                </c:pt>
              </c:strCache>
            </c:strRef>
          </c:cat>
          <c:val>
            <c:numRef>
              <c:f>Sheet3!$E$37:$E$42</c:f>
              <c:numCache>
                <c:formatCode>General</c:formatCode>
                <c:ptCount val="6"/>
                <c:pt idx="0">
                  <c:v>63</c:v>
                </c:pt>
                <c:pt idx="1">
                  <c:v>128</c:v>
                </c:pt>
                <c:pt idx="2">
                  <c:v>18</c:v>
                </c:pt>
                <c:pt idx="3">
                  <c:v>32</c:v>
                </c:pt>
                <c:pt idx="4">
                  <c:v>72</c:v>
                </c:pt>
                <c:pt idx="5">
                  <c:v>22</c:v>
                </c:pt>
              </c:numCache>
            </c:numRef>
          </c:val>
          <c:extLst>
            <c:ext xmlns:c15="http://schemas.microsoft.com/office/drawing/2012/chart" uri="{02D57815-91ED-43cb-92C2-25804820EDAC}">
              <c15:datalabelsRange>
                <c15:f>Sheet3!$F$37:$F$42</c15:f>
                <c15:dlblRangeCache>
                  <c:ptCount val="6"/>
                  <c:pt idx="0">
                    <c:v>18.8%</c:v>
                  </c:pt>
                  <c:pt idx="1">
                    <c:v>38.2%</c:v>
                  </c:pt>
                  <c:pt idx="2">
                    <c:v>5.4%</c:v>
                  </c:pt>
                  <c:pt idx="3">
                    <c:v>9.6%</c:v>
                  </c:pt>
                  <c:pt idx="4">
                    <c:v>21.5%</c:v>
                  </c:pt>
                  <c:pt idx="5">
                    <c:v>6.6%</c:v>
                  </c:pt>
                </c15:dlblRangeCache>
              </c15:datalabelsRange>
            </c:ext>
            <c:ext xmlns:c16="http://schemas.microsoft.com/office/drawing/2014/chart" uri="{C3380CC4-5D6E-409C-BE32-E72D297353CC}">
              <c16:uniqueId val="{0000000C-B210-4185-9F6A-C770FDF5F1A4}"/>
            </c:ext>
          </c:extLst>
        </c:ser>
        <c:dLbls>
          <c:showLegendKey val="0"/>
          <c:showVal val="1"/>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lang="en-GB"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Sheet3!$D$3</c:f>
              <c:strCache>
                <c:ptCount val="1"/>
                <c:pt idx="0">
                  <c:v>Government sector</c:v>
                </c:pt>
              </c:strCache>
            </c:strRef>
          </c:tx>
          <c:spPr>
            <a:solidFill>
              <a:schemeClr val="accent1"/>
            </a:solidFill>
            <a:ln>
              <a:noFill/>
            </a:ln>
            <a:effectLst/>
          </c:spPr>
          <c:invertIfNegative val="0"/>
          <c:cat>
            <c:strRef>
              <c:f>Sheet3!$C$4:$C$9</c:f>
              <c:strCache>
                <c:ptCount val="6"/>
                <c:pt idx="0">
                  <c:v>Natural Sciences</c:v>
                </c:pt>
                <c:pt idx="1">
                  <c:v>Engineering and Technology</c:v>
                </c:pt>
                <c:pt idx="2">
                  <c:v>Мedical and health sciences</c:v>
                </c:pt>
                <c:pt idx="3">
                  <c:v>Agricultural sciences</c:v>
                </c:pt>
                <c:pt idx="4">
                  <c:v>Social sciences</c:v>
                </c:pt>
                <c:pt idx="5">
                  <c:v>Humanities</c:v>
                </c:pt>
              </c:strCache>
            </c:strRef>
          </c:cat>
          <c:val>
            <c:numRef>
              <c:f>Sheet3!$D$4:$D$9</c:f>
              <c:numCache>
                <c:formatCode>#,##0</c:formatCode>
                <c:ptCount val="6"/>
                <c:pt idx="0">
                  <c:v>2125</c:v>
                </c:pt>
                <c:pt idx="1">
                  <c:v>1126</c:v>
                </c:pt>
                <c:pt idx="2">
                  <c:v>180</c:v>
                </c:pt>
                <c:pt idx="3">
                  <c:v>1255</c:v>
                </c:pt>
                <c:pt idx="4">
                  <c:v>397</c:v>
                </c:pt>
                <c:pt idx="5">
                  <c:v>435</c:v>
                </c:pt>
              </c:numCache>
            </c:numRef>
          </c:val>
          <c:extLst>
            <c:ext xmlns:c16="http://schemas.microsoft.com/office/drawing/2014/chart" uri="{C3380CC4-5D6E-409C-BE32-E72D297353CC}">
              <c16:uniqueId val="{00000000-715A-42C3-A235-EF680131EFD1}"/>
            </c:ext>
          </c:extLst>
        </c:ser>
        <c:ser>
          <c:idx val="1"/>
          <c:order val="1"/>
          <c:tx>
            <c:strRef>
              <c:f>Sheet3!$E$3</c:f>
              <c:strCache>
                <c:ptCount val="1"/>
                <c:pt idx="0">
                  <c:v>Tertiary education</c:v>
                </c:pt>
              </c:strCache>
            </c:strRef>
          </c:tx>
          <c:spPr>
            <a:solidFill>
              <a:schemeClr val="accent2"/>
            </a:solidFill>
            <a:ln>
              <a:noFill/>
            </a:ln>
            <a:effectLst/>
          </c:spPr>
          <c:invertIfNegative val="0"/>
          <c:cat>
            <c:strRef>
              <c:f>Sheet3!$C$4:$C$9</c:f>
              <c:strCache>
                <c:ptCount val="6"/>
                <c:pt idx="0">
                  <c:v>Natural Sciences</c:v>
                </c:pt>
                <c:pt idx="1">
                  <c:v>Engineering and Technology</c:v>
                </c:pt>
                <c:pt idx="2">
                  <c:v>Мedical and health sciences</c:v>
                </c:pt>
                <c:pt idx="3">
                  <c:v>Agricultural sciences</c:v>
                </c:pt>
                <c:pt idx="4">
                  <c:v>Social sciences</c:v>
                </c:pt>
                <c:pt idx="5">
                  <c:v>Humanities</c:v>
                </c:pt>
              </c:strCache>
            </c:strRef>
          </c:cat>
          <c:val>
            <c:numRef>
              <c:f>Sheet3!$E$4:$E$9</c:f>
              <c:numCache>
                <c:formatCode>#,##0</c:formatCode>
                <c:ptCount val="6"/>
                <c:pt idx="0">
                  <c:v>2322</c:v>
                </c:pt>
                <c:pt idx="1">
                  <c:v>3529</c:v>
                </c:pt>
                <c:pt idx="2">
                  <c:v>2988</c:v>
                </c:pt>
                <c:pt idx="3">
                  <c:v>1128</c:v>
                </c:pt>
                <c:pt idx="4">
                  <c:v>3031</c:v>
                </c:pt>
                <c:pt idx="5">
                  <c:v>1687</c:v>
                </c:pt>
              </c:numCache>
            </c:numRef>
          </c:val>
          <c:extLst>
            <c:ext xmlns:c16="http://schemas.microsoft.com/office/drawing/2014/chart" uri="{C3380CC4-5D6E-409C-BE32-E72D297353CC}">
              <c16:uniqueId val="{00000001-715A-42C3-A235-EF680131EFD1}"/>
            </c:ext>
          </c:extLst>
        </c:ser>
        <c:ser>
          <c:idx val="2"/>
          <c:order val="2"/>
          <c:tx>
            <c:strRef>
              <c:f>Sheet3!$F$3</c:f>
              <c:strCache>
                <c:ptCount val="1"/>
                <c:pt idx="0">
                  <c:v>Business sector</c:v>
                </c:pt>
              </c:strCache>
            </c:strRef>
          </c:tx>
          <c:spPr>
            <a:solidFill>
              <a:schemeClr val="accent3"/>
            </a:solidFill>
            <a:ln>
              <a:noFill/>
            </a:ln>
            <a:effectLst/>
          </c:spPr>
          <c:invertIfNegative val="0"/>
          <c:cat>
            <c:strRef>
              <c:f>Sheet3!$C$4:$C$9</c:f>
              <c:strCache>
                <c:ptCount val="6"/>
                <c:pt idx="0">
                  <c:v>Natural Sciences</c:v>
                </c:pt>
                <c:pt idx="1">
                  <c:v>Engineering and Technology</c:v>
                </c:pt>
                <c:pt idx="2">
                  <c:v>Мedical and health sciences</c:v>
                </c:pt>
                <c:pt idx="3">
                  <c:v>Agricultural sciences</c:v>
                </c:pt>
                <c:pt idx="4">
                  <c:v>Social sciences</c:v>
                </c:pt>
                <c:pt idx="5">
                  <c:v>Humanities</c:v>
                </c:pt>
              </c:strCache>
            </c:strRef>
          </c:cat>
          <c:val>
            <c:numRef>
              <c:f>Sheet3!$F$4:$F$9</c:f>
              <c:numCache>
                <c:formatCode>#,##0</c:formatCode>
                <c:ptCount val="6"/>
                <c:pt idx="0">
                  <c:v>1269</c:v>
                </c:pt>
                <c:pt idx="1">
                  <c:v>1804</c:v>
                </c:pt>
                <c:pt idx="2">
                  <c:v>21</c:v>
                </c:pt>
                <c:pt idx="3">
                  <c:v>110</c:v>
                </c:pt>
                <c:pt idx="4">
                  <c:v>113</c:v>
                </c:pt>
                <c:pt idx="5">
                  <c:v>0</c:v>
                </c:pt>
              </c:numCache>
            </c:numRef>
          </c:val>
          <c:extLst>
            <c:ext xmlns:c16="http://schemas.microsoft.com/office/drawing/2014/chart" uri="{C3380CC4-5D6E-409C-BE32-E72D297353CC}">
              <c16:uniqueId val="{00000002-715A-42C3-A235-EF680131EFD1}"/>
            </c:ext>
          </c:extLst>
        </c:ser>
        <c:dLbls>
          <c:showLegendKey val="0"/>
          <c:showVal val="0"/>
          <c:showCatName val="0"/>
          <c:showSerName val="0"/>
          <c:showPercent val="0"/>
          <c:showBubbleSize val="0"/>
        </c:dLbls>
        <c:gapWidth val="150"/>
        <c:overlap val="100"/>
        <c:axId val="444174608"/>
        <c:axId val="444175152"/>
      </c:barChart>
      <c:catAx>
        <c:axId val="444174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mn-lt"/>
                <a:ea typeface="+mn-ea"/>
                <a:cs typeface="+mn-cs"/>
              </a:defRPr>
            </a:pPr>
            <a:endParaRPr lang="en-US"/>
          </a:p>
        </c:txPr>
        <c:crossAx val="444175152"/>
        <c:crosses val="autoZero"/>
        <c:auto val="1"/>
        <c:lblAlgn val="ctr"/>
        <c:lblOffset val="100"/>
        <c:noMultiLvlLbl val="0"/>
      </c:catAx>
      <c:valAx>
        <c:axId val="4441751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mn-lt"/>
                <a:ea typeface="+mn-ea"/>
                <a:cs typeface="+mn-cs"/>
              </a:defRPr>
            </a:pPr>
            <a:endParaRPr lang="en-US"/>
          </a:p>
        </c:txPr>
        <c:crossAx val="444174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GB"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Sheet2!$D$3</c:f>
              <c:strCache>
                <c:ptCount val="1"/>
                <c:pt idx="0">
                  <c:v>Basic</c:v>
                </c:pt>
              </c:strCache>
            </c:strRef>
          </c:tx>
          <c:spPr>
            <a:solidFill>
              <a:schemeClr val="accent1"/>
            </a:solidFill>
            <a:ln>
              <a:noFill/>
            </a:ln>
            <a:effectLst/>
          </c:spPr>
          <c:invertIfNegative val="0"/>
          <c:cat>
            <c:strRef>
              <c:f>Sheet2!$C$4:$C$9</c:f>
              <c:strCache>
                <c:ptCount val="6"/>
                <c:pt idx="0">
                  <c:v>Natural Sciences</c:v>
                </c:pt>
                <c:pt idx="1">
                  <c:v>Engineering and Technology</c:v>
                </c:pt>
                <c:pt idx="2">
                  <c:v>Мedical and health sciences</c:v>
                </c:pt>
                <c:pt idx="3">
                  <c:v>Agricultural sciences</c:v>
                </c:pt>
                <c:pt idx="4">
                  <c:v>Social sciences</c:v>
                </c:pt>
                <c:pt idx="5">
                  <c:v>Humanities</c:v>
                </c:pt>
              </c:strCache>
            </c:strRef>
          </c:cat>
          <c:val>
            <c:numRef>
              <c:f>Sheet2!$D$4:$D$9</c:f>
              <c:numCache>
                <c:formatCode>General</c:formatCode>
                <c:ptCount val="6"/>
                <c:pt idx="0">
                  <c:v>1505</c:v>
                </c:pt>
                <c:pt idx="1">
                  <c:v>280</c:v>
                </c:pt>
                <c:pt idx="2">
                  <c:v>280</c:v>
                </c:pt>
                <c:pt idx="3">
                  <c:v>94</c:v>
                </c:pt>
                <c:pt idx="4">
                  <c:v>2950</c:v>
                </c:pt>
                <c:pt idx="5">
                  <c:v>1932</c:v>
                </c:pt>
              </c:numCache>
            </c:numRef>
          </c:val>
          <c:extLst>
            <c:ext xmlns:c16="http://schemas.microsoft.com/office/drawing/2014/chart" uri="{C3380CC4-5D6E-409C-BE32-E72D297353CC}">
              <c16:uniqueId val="{00000000-EF98-4C2B-A868-49CA48A0CC59}"/>
            </c:ext>
          </c:extLst>
        </c:ser>
        <c:ser>
          <c:idx val="1"/>
          <c:order val="1"/>
          <c:tx>
            <c:strRef>
              <c:f>Sheet2!$E$3</c:f>
              <c:strCache>
                <c:ptCount val="1"/>
                <c:pt idx="0">
                  <c:v>Applied</c:v>
                </c:pt>
              </c:strCache>
            </c:strRef>
          </c:tx>
          <c:spPr>
            <a:solidFill>
              <a:schemeClr val="accent2"/>
            </a:solidFill>
            <a:ln>
              <a:noFill/>
            </a:ln>
            <a:effectLst/>
          </c:spPr>
          <c:invertIfNegative val="0"/>
          <c:cat>
            <c:strRef>
              <c:f>Sheet2!$C$4:$C$9</c:f>
              <c:strCache>
                <c:ptCount val="6"/>
                <c:pt idx="0">
                  <c:v>Natural Sciences</c:v>
                </c:pt>
                <c:pt idx="1">
                  <c:v>Engineering and Technology</c:v>
                </c:pt>
                <c:pt idx="2">
                  <c:v>Мedical and health sciences</c:v>
                </c:pt>
                <c:pt idx="3">
                  <c:v>Agricultural sciences</c:v>
                </c:pt>
                <c:pt idx="4">
                  <c:v>Social sciences</c:v>
                </c:pt>
                <c:pt idx="5">
                  <c:v>Humanities</c:v>
                </c:pt>
              </c:strCache>
            </c:strRef>
          </c:cat>
          <c:val>
            <c:numRef>
              <c:f>Sheet2!$E$4:$E$9</c:f>
              <c:numCache>
                <c:formatCode>General</c:formatCode>
                <c:ptCount val="6"/>
                <c:pt idx="0">
                  <c:v>891</c:v>
                </c:pt>
                <c:pt idx="1">
                  <c:v>1662</c:v>
                </c:pt>
                <c:pt idx="2">
                  <c:v>215</c:v>
                </c:pt>
                <c:pt idx="3">
                  <c:v>230</c:v>
                </c:pt>
                <c:pt idx="4">
                  <c:v>630</c:v>
                </c:pt>
                <c:pt idx="5">
                  <c:v>238</c:v>
                </c:pt>
              </c:numCache>
            </c:numRef>
          </c:val>
          <c:extLst>
            <c:ext xmlns:c16="http://schemas.microsoft.com/office/drawing/2014/chart" uri="{C3380CC4-5D6E-409C-BE32-E72D297353CC}">
              <c16:uniqueId val="{00000001-EF98-4C2B-A868-49CA48A0CC59}"/>
            </c:ext>
          </c:extLst>
        </c:ser>
        <c:ser>
          <c:idx val="2"/>
          <c:order val="2"/>
          <c:tx>
            <c:strRef>
              <c:f>Sheet2!$F$3</c:f>
              <c:strCache>
                <c:ptCount val="1"/>
                <c:pt idx="0">
                  <c:v>Development</c:v>
                </c:pt>
              </c:strCache>
            </c:strRef>
          </c:tx>
          <c:spPr>
            <a:solidFill>
              <a:schemeClr val="accent3"/>
            </a:solidFill>
            <a:ln>
              <a:noFill/>
            </a:ln>
            <a:effectLst/>
          </c:spPr>
          <c:invertIfNegative val="0"/>
          <c:cat>
            <c:strRef>
              <c:f>Sheet2!$C$4:$C$9</c:f>
              <c:strCache>
                <c:ptCount val="6"/>
                <c:pt idx="0">
                  <c:v>Natural Sciences</c:v>
                </c:pt>
                <c:pt idx="1">
                  <c:v>Engineering and Technology</c:v>
                </c:pt>
                <c:pt idx="2">
                  <c:v>Мedical and health sciences</c:v>
                </c:pt>
                <c:pt idx="3">
                  <c:v>Agricultural sciences</c:v>
                </c:pt>
                <c:pt idx="4">
                  <c:v>Social sciences</c:v>
                </c:pt>
                <c:pt idx="5">
                  <c:v>Humanities</c:v>
                </c:pt>
              </c:strCache>
            </c:strRef>
          </c:cat>
          <c:val>
            <c:numRef>
              <c:f>Sheet2!$F$4:$F$9</c:f>
              <c:numCache>
                <c:formatCode>General</c:formatCode>
                <c:ptCount val="6"/>
                <c:pt idx="0">
                  <c:v>384</c:v>
                </c:pt>
                <c:pt idx="1">
                  <c:v>854</c:v>
                </c:pt>
                <c:pt idx="2">
                  <c:v>82</c:v>
                </c:pt>
                <c:pt idx="3">
                  <c:v>287</c:v>
                </c:pt>
                <c:pt idx="4">
                  <c:v>339</c:v>
                </c:pt>
                <c:pt idx="5">
                  <c:v>117</c:v>
                </c:pt>
              </c:numCache>
            </c:numRef>
          </c:val>
          <c:extLst>
            <c:ext xmlns:c16="http://schemas.microsoft.com/office/drawing/2014/chart" uri="{C3380CC4-5D6E-409C-BE32-E72D297353CC}">
              <c16:uniqueId val="{00000002-EF98-4C2B-A868-49CA48A0CC59}"/>
            </c:ext>
          </c:extLst>
        </c:ser>
        <c:dLbls>
          <c:showLegendKey val="0"/>
          <c:showVal val="0"/>
          <c:showCatName val="0"/>
          <c:showSerName val="0"/>
          <c:showPercent val="0"/>
          <c:showBubbleSize val="0"/>
        </c:dLbls>
        <c:gapWidth val="95"/>
        <c:overlap val="100"/>
        <c:axId val="444175696"/>
        <c:axId val="444177872"/>
      </c:barChart>
      <c:catAx>
        <c:axId val="4441756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mn-lt"/>
                <a:ea typeface="+mn-ea"/>
                <a:cs typeface="+mn-cs"/>
              </a:defRPr>
            </a:pPr>
            <a:endParaRPr lang="en-US"/>
          </a:p>
        </c:txPr>
        <c:crossAx val="444177872"/>
        <c:crosses val="autoZero"/>
        <c:auto val="1"/>
        <c:lblAlgn val="ctr"/>
        <c:lblOffset val="100"/>
        <c:noMultiLvlLbl val="0"/>
      </c:catAx>
      <c:valAx>
        <c:axId val="44417787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mn-lt"/>
                <a:ea typeface="+mn-ea"/>
                <a:cs typeface="+mn-cs"/>
              </a:defRPr>
            </a:pPr>
            <a:endParaRPr lang="en-US"/>
          </a:p>
        </c:txPr>
        <c:crossAx val="4441756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lang="en-GB"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Sheet5!$C$3:$C$16</c:f>
              <c:strCache>
                <c:ptCount val="14"/>
                <c:pt idx="0">
                  <c:v>Agriculture, forestry and fishing</c:v>
                </c:pt>
                <c:pt idx="1">
                  <c:v>Mining</c:v>
                </c:pt>
                <c:pt idx="2">
                  <c:v>Manufacturing</c:v>
                </c:pt>
                <c:pt idx="3">
                  <c:v>Electricity, gas, steam and air conditioning supply</c:v>
                </c:pt>
                <c:pt idx="4">
                  <c:v>Water supply, waste management and remediation</c:v>
                </c:pt>
                <c:pt idx="5">
                  <c:v>Construction</c:v>
                </c:pt>
                <c:pt idx="6">
                  <c:v>Wholesale and retail trade; repair of motor vehicles and motorcycles</c:v>
                </c:pt>
                <c:pt idx="7">
                  <c:v>Transportation and storage</c:v>
                </c:pt>
                <c:pt idx="8">
                  <c:v>Accommodation and food service activities</c:v>
                </c:pt>
                <c:pt idx="9">
                  <c:v>Information and communications</c:v>
                </c:pt>
                <c:pt idx="10">
                  <c:v>Financial and insurance activities</c:v>
                </c:pt>
                <c:pt idx="11">
                  <c:v>Real estate activities</c:v>
                </c:pt>
                <c:pt idx="12">
                  <c:v>Professional, scientific and technical activities</c:v>
                </c:pt>
                <c:pt idx="13">
                  <c:v>Administrative and support activities</c:v>
                </c:pt>
              </c:strCache>
            </c:strRef>
          </c:cat>
          <c:val>
            <c:numRef>
              <c:f>Sheet5!$D$3:$D$16</c:f>
              <c:numCache>
                <c:formatCode>#,##0</c:formatCode>
                <c:ptCount val="14"/>
                <c:pt idx="0">
                  <c:v>145</c:v>
                </c:pt>
                <c:pt idx="1">
                  <c:v>36</c:v>
                </c:pt>
                <c:pt idx="2">
                  <c:v>2592</c:v>
                </c:pt>
                <c:pt idx="3">
                  <c:v>29</c:v>
                </c:pt>
                <c:pt idx="4">
                  <c:v>145</c:v>
                </c:pt>
                <c:pt idx="5">
                  <c:v>676</c:v>
                </c:pt>
                <c:pt idx="6">
                  <c:v>1945</c:v>
                </c:pt>
                <c:pt idx="7">
                  <c:v>544</c:v>
                </c:pt>
                <c:pt idx="8">
                  <c:v>537</c:v>
                </c:pt>
                <c:pt idx="9">
                  <c:v>2367</c:v>
                </c:pt>
                <c:pt idx="10">
                  <c:v>169</c:v>
                </c:pt>
                <c:pt idx="11">
                  <c:v>35</c:v>
                </c:pt>
                <c:pt idx="12">
                  <c:v>2437</c:v>
                </c:pt>
                <c:pt idx="13">
                  <c:v>329</c:v>
                </c:pt>
              </c:numCache>
            </c:numRef>
          </c:val>
          <c:extLst>
            <c:ext xmlns:c16="http://schemas.microsoft.com/office/drawing/2014/chart" uri="{C3380CC4-5D6E-409C-BE32-E72D297353CC}">
              <c16:uniqueId val="{00000000-777D-4139-B511-941274E3873E}"/>
            </c:ext>
          </c:extLst>
        </c:ser>
        <c:dLbls>
          <c:showLegendKey val="0"/>
          <c:showVal val="1"/>
          <c:showCatName val="0"/>
          <c:showSerName val="0"/>
          <c:showPercent val="0"/>
          <c:showBubbleSize val="0"/>
        </c:dLbls>
        <c:gapWidth val="182"/>
        <c:axId val="444149584"/>
        <c:axId val="444151216"/>
      </c:barChart>
      <c:catAx>
        <c:axId val="444149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mn-lt"/>
                <a:ea typeface="+mn-ea"/>
                <a:cs typeface="+mn-cs"/>
              </a:defRPr>
            </a:pPr>
            <a:endParaRPr lang="en-US"/>
          </a:p>
        </c:txPr>
        <c:crossAx val="444151216"/>
        <c:crosses val="autoZero"/>
        <c:auto val="1"/>
        <c:lblAlgn val="ctr"/>
        <c:lblOffset val="100"/>
        <c:noMultiLvlLbl val="0"/>
      </c:catAx>
      <c:valAx>
        <c:axId val="444151216"/>
        <c:scaling>
          <c:orientation val="minMax"/>
        </c:scaling>
        <c:delete val="1"/>
        <c:axPos val="b"/>
        <c:numFmt formatCode="#,##0" sourceLinked="1"/>
        <c:majorTickMark val="none"/>
        <c:minorTickMark val="none"/>
        <c:tickLblPos val="none"/>
        <c:crossAx val="4441495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0"/>
          <c:tx>
            <c:strRef>
              <c:f>'Power Sector'!$C$46</c:f>
              <c:strCache>
                <c:ptCount val="1"/>
                <c:pt idx="0">
                  <c:v>Solid Fuels</c:v>
                </c:pt>
              </c:strCache>
            </c:strRef>
          </c:tx>
          <c:spPr>
            <a:solidFill>
              <a:schemeClr val="accent2"/>
            </a:solidFill>
            <a:ln>
              <a:noFill/>
            </a:ln>
            <a:effectLst/>
          </c:spPr>
          <c:invertIfNegative val="0"/>
          <c:cat>
            <c:numRef>
              <c:f>'Power Sector'!$B$47:$B$53</c:f>
              <c:numCache>
                <c:formatCode>General</c:formatCode>
                <c:ptCount val="7"/>
                <c:pt idx="0">
                  <c:v>2019</c:v>
                </c:pt>
                <c:pt idx="1">
                  <c:v>2025</c:v>
                </c:pt>
                <c:pt idx="2">
                  <c:v>2030</c:v>
                </c:pt>
                <c:pt idx="3">
                  <c:v>2035</c:v>
                </c:pt>
                <c:pt idx="4">
                  <c:v>2040</c:v>
                </c:pt>
                <c:pt idx="5">
                  <c:v>2045</c:v>
                </c:pt>
                <c:pt idx="6">
                  <c:v>2050</c:v>
                </c:pt>
              </c:numCache>
            </c:numRef>
          </c:cat>
          <c:val>
            <c:numRef>
              <c:f>'Power Sector'!$C$47:$C$53</c:f>
              <c:numCache>
                <c:formatCode>0.00</c:formatCode>
                <c:ptCount val="7"/>
                <c:pt idx="0">
                  <c:v>25.545999999999992</c:v>
                </c:pt>
                <c:pt idx="1">
                  <c:v>24.268699999999992</c:v>
                </c:pt>
                <c:pt idx="2">
                  <c:v>19.159500000277781</c:v>
                </c:pt>
                <c:pt idx="3">
                  <c:v>14.68895</c:v>
                </c:pt>
                <c:pt idx="4">
                  <c:v>10.218400000555551</c:v>
                </c:pt>
                <c:pt idx="5">
                  <c:v>6.1111111111111116</c:v>
                </c:pt>
                <c:pt idx="6">
                  <c:v>0</c:v>
                </c:pt>
              </c:numCache>
            </c:numRef>
          </c:val>
          <c:extLst>
            <c:ext xmlns:c16="http://schemas.microsoft.com/office/drawing/2014/chart" uri="{C3380CC4-5D6E-409C-BE32-E72D297353CC}">
              <c16:uniqueId val="{00000000-D0DB-4F10-8B57-2D9CB1FE93E0}"/>
            </c:ext>
          </c:extLst>
        </c:ser>
        <c:ser>
          <c:idx val="2"/>
          <c:order val="1"/>
          <c:tx>
            <c:strRef>
              <c:f>'Power Sector'!$D$46</c:f>
              <c:strCache>
                <c:ptCount val="1"/>
                <c:pt idx="0">
                  <c:v>Oil Products</c:v>
                </c:pt>
              </c:strCache>
            </c:strRef>
          </c:tx>
          <c:spPr>
            <a:solidFill>
              <a:schemeClr val="accent3"/>
            </a:solidFill>
            <a:ln>
              <a:noFill/>
            </a:ln>
            <a:effectLst/>
          </c:spPr>
          <c:invertIfNegative val="0"/>
          <c:cat>
            <c:numRef>
              <c:f>'Power Sector'!$B$47:$B$53</c:f>
              <c:numCache>
                <c:formatCode>General</c:formatCode>
                <c:ptCount val="7"/>
                <c:pt idx="0">
                  <c:v>2019</c:v>
                </c:pt>
                <c:pt idx="1">
                  <c:v>2025</c:v>
                </c:pt>
                <c:pt idx="2">
                  <c:v>2030</c:v>
                </c:pt>
                <c:pt idx="3">
                  <c:v>2035</c:v>
                </c:pt>
                <c:pt idx="4">
                  <c:v>2040</c:v>
                </c:pt>
                <c:pt idx="5">
                  <c:v>2045</c:v>
                </c:pt>
                <c:pt idx="6">
                  <c:v>2050</c:v>
                </c:pt>
              </c:numCache>
            </c:numRef>
          </c:cat>
          <c:val>
            <c:numRef>
              <c:f>'Power Sector'!$D$47:$D$53</c:f>
              <c:numCache>
                <c:formatCode>0.00</c:formatCode>
                <c:ptCount val="7"/>
                <c:pt idx="0">
                  <c:v>5.3284988131215585E-2</c:v>
                </c:pt>
                <c:pt idx="1">
                  <c:v>1.7100152848130198E-2</c:v>
                </c:pt>
                <c:pt idx="2">
                  <c:v>7.8271780356323414E-3</c:v>
                </c:pt>
                <c:pt idx="3">
                  <c:v>6.5828288123971823E-3</c:v>
                </c:pt>
                <c:pt idx="4">
                  <c:v>7.8413627547944832E-3</c:v>
                </c:pt>
                <c:pt idx="5">
                  <c:v>7.8130386629252785E-3</c:v>
                </c:pt>
                <c:pt idx="6">
                  <c:v>0</c:v>
                </c:pt>
              </c:numCache>
            </c:numRef>
          </c:val>
          <c:extLst>
            <c:ext xmlns:c16="http://schemas.microsoft.com/office/drawing/2014/chart" uri="{C3380CC4-5D6E-409C-BE32-E72D297353CC}">
              <c16:uniqueId val="{00000001-D0DB-4F10-8B57-2D9CB1FE93E0}"/>
            </c:ext>
          </c:extLst>
        </c:ser>
        <c:ser>
          <c:idx val="3"/>
          <c:order val="2"/>
          <c:tx>
            <c:strRef>
              <c:f>'Power Sector'!$E$46</c:f>
              <c:strCache>
                <c:ptCount val="1"/>
                <c:pt idx="0">
                  <c:v>Natural Gas</c:v>
                </c:pt>
              </c:strCache>
            </c:strRef>
          </c:tx>
          <c:spPr>
            <a:solidFill>
              <a:schemeClr val="tx2"/>
            </a:solidFill>
            <a:ln>
              <a:noFill/>
            </a:ln>
            <a:effectLst/>
          </c:spPr>
          <c:invertIfNegative val="0"/>
          <c:cat>
            <c:numRef>
              <c:f>'Power Sector'!$B$47:$B$53</c:f>
              <c:numCache>
                <c:formatCode>General</c:formatCode>
                <c:ptCount val="7"/>
                <c:pt idx="0">
                  <c:v>2019</c:v>
                </c:pt>
                <c:pt idx="1">
                  <c:v>2025</c:v>
                </c:pt>
                <c:pt idx="2">
                  <c:v>2030</c:v>
                </c:pt>
                <c:pt idx="3">
                  <c:v>2035</c:v>
                </c:pt>
                <c:pt idx="4">
                  <c:v>2040</c:v>
                </c:pt>
                <c:pt idx="5">
                  <c:v>2045</c:v>
                </c:pt>
                <c:pt idx="6">
                  <c:v>2050</c:v>
                </c:pt>
              </c:numCache>
            </c:numRef>
          </c:cat>
          <c:val>
            <c:numRef>
              <c:f>'Power Sector'!$E$47:$E$53</c:f>
              <c:numCache>
                <c:formatCode>0.00</c:formatCode>
                <c:ptCount val="7"/>
                <c:pt idx="0">
                  <c:v>0.72628345909159753</c:v>
                </c:pt>
                <c:pt idx="1">
                  <c:v>1.4081665561698717</c:v>
                </c:pt>
                <c:pt idx="2">
                  <c:v>2.9179623824526408</c:v>
                </c:pt>
                <c:pt idx="3">
                  <c:v>2.6771657151882309</c:v>
                </c:pt>
                <c:pt idx="4">
                  <c:v>3.6794557431481301</c:v>
                </c:pt>
                <c:pt idx="5">
                  <c:v>4.07164472489014</c:v>
                </c:pt>
                <c:pt idx="6">
                  <c:v>4.10995384916317</c:v>
                </c:pt>
              </c:numCache>
            </c:numRef>
          </c:val>
          <c:extLst>
            <c:ext xmlns:c16="http://schemas.microsoft.com/office/drawing/2014/chart" uri="{C3380CC4-5D6E-409C-BE32-E72D297353CC}">
              <c16:uniqueId val="{00000002-D0DB-4F10-8B57-2D9CB1FE93E0}"/>
            </c:ext>
          </c:extLst>
        </c:ser>
        <c:ser>
          <c:idx val="4"/>
          <c:order val="3"/>
          <c:tx>
            <c:strRef>
              <c:f>'Power Sector'!$F$46</c:f>
              <c:strCache>
                <c:ptCount val="1"/>
                <c:pt idx="0">
                  <c:v>Bioenergy&amp;Waste</c:v>
                </c:pt>
              </c:strCache>
            </c:strRef>
          </c:tx>
          <c:spPr>
            <a:solidFill>
              <a:schemeClr val="bg2"/>
            </a:solidFill>
            <a:ln>
              <a:noFill/>
            </a:ln>
            <a:effectLst/>
          </c:spPr>
          <c:invertIfNegative val="0"/>
          <c:cat>
            <c:numRef>
              <c:f>'Power Sector'!$B$47:$B$53</c:f>
              <c:numCache>
                <c:formatCode>General</c:formatCode>
                <c:ptCount val="7"/>
                <c:pt idx="0">
                  <c:v>2019</c:v>
                </c:pt>
                <c:pt idx="1">
                  <c:v>2025</c:v>
                </c:pt>
                <c:pt idx="2">
                  <c:v>2030</c:v>
                </c:pt>
                <c:pt idx="3">
                  <c:v>2035</c:v>
                </c:pt>
                <c:pt idx="4">
                  <c:v>2040</c:v>
                </c:pt>
                <c:pt idx="5">
                  <c:v>2045</c:v>
                </c:pt>
                <c:pt idx="6">
                  <c:v>2050</c:v>
                </c:pt>
              </c:numCache>
            </c:numRef>
          </c:cat>
          <c:val>
            <c:numRef>
              <c:f>'Power Sector'!$F$47:$F$53</c:f>
              <c:numCache>
                <c:formatCode>0.00</c:formatCode>
                <c:ptCount val="7"/>
                <c:pt idx="0">
                  <c:v>0.1570475716963218</c:v>
                </c:pt>
                <c:pt idx="1">
                  <c:v>0.20729723753314391</c:v>
                </c:pt>
                <c:pt idx="2">
                  <c:v>0.34844194976033077</c:v>
                </c:pt>
                <c:pt idx="3">
                  <c:v>0.48607755996188284</c:v>
                </c:pt>
                <c:pt idx="4">
                  <c:v>0.976536554236342</c:v>
                </c:pt>
                <c:pt idx="5">
                  <c:v>1.5194823156766546</c:v>
                </c:pt>
                <c:pt idx="6">
                  <c:v>2.1399016373887472</c:v>
                </c:pt>
              </c:numCache>
            </c:numRef>
          </c:val>
          <c:extLst>
            <c:ext xmlns:c16="http://schemas.microsoft.com/office/drawing/2014/chart" uri="{C3380CC4-5D6E-409C-BE32-E72D297353CC}">
              <c16:uniqueId val="{00000003-D0DB-4F10-8B57-2D9CB1FE93E0}"/>
            </c:ext>
          </c:extLst>
        </c:ser>
        <c:ser>
          <c:idx val="5"/>
          <c:order val="4"/>
          <c:tx>
            <c:strRef>
              <c:f>'Power Sector'!$G$46</c:f>
              <c:strCache>
                <c:ptCount val="1"/>
                <c:pt idx="0">
                  <c:v>Hydropower</c:v>
                </c:pt>
              </c:strCache>
            </c:strRef>
          </c:tx>
          <c:spPr>
            <a:solidFill>
              <a:schemeClr val="accent1"/>
            </a:solidFill>
            <a:ln>
              <a:noFill/>
            </a:ln>
            <a:effectLst/>
          </c:spPr>
          <c:invertIfNegative val="0"/>
          <c:cat>
            <c:numRef>
              <c:f>'Power Sector'!$B$47:$B$53</c:f>
              <c:numCache>
                <c:formatCode>General</c:formatCode>
                <c:ptCount val="7"/>
                <c:pt idx="0">
                  <c:v>2019</c:v>
                </c:pt>
                <c:pt idx="1">
                  <c:v>2025</c:v>
                </c:pt>
                <c:pt idx="2">
                  <c:v>2030</c:v>
                </c:pt>
                <c:pt idx="3">
                  <c:v>2035</c:v>
                </c:pt>
                <c:pt idx="4">
                  <c:v>2040</c:v>
                </c:pt>
                <c:pt idx="5">
                  <c:v>2045</c:v>
                </c:pt>
                <c:pt idx="6">
                  <c:v>2050</c:v>
                </c:pt>
              </c:numCache>
            </c:numRef>
          </c:cat>
          <c:val>
            <c:numRef>
              <c:f>'Power Sector'!$G$47:$G$53</c:f>
              <c:numCache>
                <c:formatCode>0.00</c:formatCode>
                <c:ptCount val="7"/>
                <c:pt idx="0">
                  <c:v>9.457178729722223</c:v>
                </c:pt>
                <c:pt idx="1">
                  <c:v>10.41167042083333</c:v>
                </c:pt>
                <c:pt idx="2">
                  <c:v>10.839914142499996</c:v>
                </c:pt>
                <c:pt idx="3">
                  <c:v>12.312231073611114</c:v>
                </c:pt>
                <c:pt idx="4">
                  <c:v>13.633415641944449</c:v>
                </c:pt>
                <c:pt idx="5">
                  <c:v>14.06101736416667</c:v>
                </c:pt>
                <c:pt idx="6">
                  <c:v>14.061017363888887</c:v>
                </c:pt>
              </c:numCache>
            </c:numRef>
          </c:val>
          <c:extLst>
            <c:ext xmlns:c16="http://schemas.microsoft.com/office/drawing/2014/chart" uri="{C3380CC4-5D6E-409C-BE32-E72D297353CC}">
              <c16:uniqueId val="{00000004-D0DB-4F10-8B57-2D9CB1FE93E0}"/>
            </c:ext>
          </c:extLst>
        </c:ser>
        <c:ser>
          <c:idx val="6"/>
          <c:order val="5"/>
          <c:tx>
            <c:strRef>
              <c:f>'Power Sector'!$H$46</c:f>
              <c:strCache>
                <c:ptCount val="1"/>
                <c:pt idx="0">
                  <c:v>Wind</c:v>
                </c:pt>
              </c:strCache>
            </c:strRef>
          </c:tx>
          <c:spPr>
            <a:solidFill>
              <a:schemeClr val="accent6">
                <a:lumMod val="75000"/>
              </a:schemeClr>
            </a:solidFill>
            <a:ln>
              <a:noFill/>
            </a:ln>
            <a:effectLst/>
          </c:spPr>
          <c:invertIfNegative val="0"/>
          <c:cat>
            <c:numRef>
              <c:f>'Power Sector'!$B$47:$B$53</c:f>
              <c:numCache>
                <c:formatCode>General</c:formatCode>
                <c:ptCount val="7"/>
                <c:pt idx="0">
                  <c:v>2019</c:v>
                </c:pt>
                <c:pt idx="1">
                  <c:v>2025</c:v>
                </c:pt>
                <c:pt idx="2">
                  <c:v>2030</c:v>
                </c:pt>
                <c:pt idx="3">
                  <c:v>2035</c:v>
                </c:pt>
                <c:pt idx="4">
                  <c:v>2040</c:v>
                </c:pt>
                <c:pt idx="5">
                  <c:v>2045</c:v>
                </c:pt>
                <c:pt idx="6">
                  <c:v>2050</c:v>
                </c:pt>
              </c:numCache>
            </c:numRef>
          </c:cat>
          <c:val>
            <c:numRef>
              <c:f>'Power Sector'!$H$47:$H$53</c:f>
              <c:numCache>
                <c:formatCode>0.00</c:formatCode>
                <c:ptCount val="7"/>
                <c:pt idx="0">
                  <c:v>0.89820815972222201</c:v>
                </c:pt>
                <c:pt idx="1">
                  <c:v>2.316705772222222</c:v>
                </c:pt>
                <c:pt idx="2">
                  <c:v>4.6111234299999975</c:v>
                </c:pt>
                <c:pt idx="3">
                  <c:v>7.9474802230555541</c:v>
                </c:pt>
                <c:pt idx="4">
                  <c:v>8.0689088611111082</c:v>
                </c:pt>
                <c:pt idx="5">
                  <c:v>14.034422349444444</c:v>
                </c:pt>
                <c:pt idx="6">
                  <c:v>20.710157964166665</c:v>
                </c:pt>
              </c:numCache>
            </c:numRef>
          </c:val>
          <c:extLst>
            <c:ext xmlns:c16="http://schemas.microsoft.com/office/drawing/2014/chart" uri="{C3380CC4-5D6E-409C-BE32-E72D297353CC}">
              <c16:uniqueId val="{00000005-D0DB-4F10-8B57-2D9CB1FE93E0}"/>
            </c:ext>
          </c:extLst>
        </c:ser>
        <c:ser>
          <c:idx val="7"/>
          <c:order val="6"/>
          <c:tx>
            <c:strRef>
              <c:f>'Power Sector'!$I$46</c:f>
              <c:strCache>
                <c:ptCount val="1"/>
                <c:pt idx="0">
                  <c:v>Solar</c:v>
                </c:pt>
              </c:strCache>
            </c:strRef>
          </c:tx>
          <c:spPr>
            <a:solidFill>
              <a:schemeClr val="accent4"/>
            </a:solidFill>
            <a:ln>
              <a:noFill/>
            </a:ln>
            <a:effectLst/>
          </c:spPr>
          <c:invertIfNegative val="0"/>
          <c:cat>
            <c:numRef>
              <c:f>'Power Sector'!$B$47:$B$53</c:f>
              <c:numCache>
                <c:formatCode>General</c:formatCode>
                <c:ptCount val="7"/>
                <c:pt idx="0">
                  <c:v>2019</c:v>
                </c:pt>
                <c:pt idx="1">
                  <c:v>2025</c:v>
                </c:pt>
                <c:pt idx="2">
                  <c:v>2030</c:v>
                </c:pt>
                <c:pt idx="3">
                  <c:v>2035</c:v>
                </c:pt>
                <c:pt idx="4">
                  <c:v>2040</c:v>
                </c:pt>
                <c:pt idx="5">
                  <c:v>2045</c:v>
                </c:pt>
                <c:pt idx="6">
                  <c:v>2050</c:v>
                </c:pt>
              </c:numCache>
            </c:numRef>
          </c:cat>
          <c:val>
            <c:numRef>
              <c:f>'Power Sector'!$I$47:$I$53</c:f>
              <c:numCache>
                <c:formatCode>0.00</c:formatCode>
                <c:ptCount val="7"/>
                <c:pt idx="0">
                  <c:v>1.3548941111111113E-2</c:v>
                </c:pt>
                <c:pt idx="1">
                  <c:v>0.68340036111111091</c:v>
                </c:pt>
                <c:pt idx="2">
                  <c:v>2.3009084724999997</c:v>
                </c:pt>
                <c:pt idx="3">
                  <c:v>5.2257176599999964</c:v>
                </c:pt>
                <c:pt idx="4">
                  <c:v>9.7820856216666687</c:v>
                </c:pt>
                <c:pt idx="5">
                  <c:v>15.920430293611119</c:v>
                </c:pt>
                <c:pt idx="6">
                  <c:v>24.588522782777769</c:v>
                </c:pt>
              </c:numCache>
            </c:numRef>
          </c:val>
          <c:extLst>
            <c:ext xmlns:c16="http://schemas.microsoft.com/office/drawing/2014/chart" uri="{C3380CC4-5D6E-409C-BE32-E72D297353CC}">
              <c16:uniqueId val="{00000006-D0DB-4F10-8B57-2D9CB1FE93E0}"/>
            </c:ext>
          </c:extLst>
        </c:ser>
        <c:dLbls>
          <c:showLegendKey val="0"/>
          <c:showVal val="0"/>
          <c:showCatName val="0"/>
          <c:showSerName val="0"/>
          <c:showPercent val="0"/>
          <c:showBubbleSize val="0"/>
        </c:dLbls>
        <c:gapWidth val="150"/>
        <c:overlap val="100"/>
        <c:axId val="444151760"/>
        <c:axId val="444152304"/>
      </c:barChart>
      <c:catAx>
        <c:axId val="444151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4152304"/>
        <c:crosses val="autoZero"/>
        <c:auto val="1"/>
        <c:lblAlgn val="ctr"/>
        <c:lblOffset val="100"/>
        <c:noMultiLvlLbl val="0"/>
      </c:catAx>
      <c:valAx>
        <c:axId val="4441523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TWh</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4151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Change</a:t>
            </a:r>
            <a:r>
              <a:rPr lang="fr-FR" baseline="0"/>
              <a:t> in GDP w.r.t. WEM (%)</a:t>
            </a:r>
            <a:endParaRPr lang="fr-FR"/>
          </a:p>
        </c:rich>
      </c:tx>
      <c:overlay val="0"/>
      <c:spPr>
        <a:noFill/>
        <a:ln>
          <a:noFill/>
        </a:ln>
        <a:effectLst/>
      </c:spPr>
    </c:title>
    <c:autoTitleDeleted val="0"/>
    <c:plotArea>
      <c:layout/>
      <c:lineChart>
        <c:grouping val="standard"/>
        <c:varyColors val="0"/>
        <c:ser>
          <c:idx val="0"/>
          <c:order val="0"/>
          <c:tx>
            <c:strRef>
              <c:f>GDP!$B$3</c:f>
              <c:strCache>
                <c:ptCount val="1"/>
                <c:pt idx="0">
                  <c:v>S</c:v>
                </c:pt>
              </c:strCache>
            </c:strRef>
          </c:tx>
          <c:spPr>
            <a:ln w="28575" cap="rnd">
              <a:solidFill>
                <a:srgbClr val="00B050"/>
              </a:solidFill>
              <a:round/>
            </a:ln>
            <a:effectLst/>
          </c:spPr>
          <c:marker>
            <c:symbol val="none"/>
          </c:marker>
          <c:cat>
            <c:numRef>
              <c:f>GDP!$A$4:$A$13</c:f>
              <c:numCache>
                <c:formatCode>General</c:formatCode>
                <c:ptCount val="10"/>
                <c:pt idx="0">
                  <c:v>2025</c:v>
                </c:pt>
                <c:pt idx="1">
                  <c:v>2026</c:v>
                </c:pt>
                <c:pt idx="2">
                  <c:v>2027</c:v>
                </c:pt>
                <c:pt idx="3">
                  <c:v>2028</c:v>
                </c:pt>
                <c:pt idx="4">
                  <c:v>2029</c:v>
                </c:pt>
                <c:pt idx="5">
                  <c:v>2030</c:v>
                </c:pt>
                <c:pt idx="6">
                  <c:v>2035</c:v>
                </c:pt>
                <c:pt idx="7">
                  <c:v>2040</c:v>
                </c:pt>
                <c:pt idx="8">
                  <c:v>2045</c:v>
                </c:pt>
                <c:pt idx="9">
                  <c:v>2050</c:v>
                </c:pt>
              </c:numCache>
            </c:numRef>
          </c:cat>
          <c:val>
            <c:numRef>
              <c:f>GDP!$B$4:$B$13</c:f>
              <c:numCache>
                <c:formatCode>0.00%</c:formatCode>
                <c:ptCount val="10"/>
                <c:pt idx="0">
                  <c:v>1.2400000000000001E-2</c:v>
                </c:pt>
                <c:pt idx="1">
                  <c:v>1.3800000000000005E-2</c:v>
                </c:pt>
                <c:pt idx="2">
                  <c:v>1.5900000000000001E-2</c:v>
                </c:pt>
                <c:pt idx="3">
                  <c:v>1.72E-2</c:v>
                </c:pt>
                <c:pt idx="4">
                  <c:v>1.7899999999999999E-2</c:v>
                </c:pt>
                <c:pt idx="5">
                  <c:v>1.7000000000000001E-2</c:v>
                </c:pt>
                <c:pt idx="6">
                  <c:v>1.8599999999999998E-2</c:v>
                </c:pt>
                <c:pt idx="7">
                  <c:v>2.1200000000000007E-2</c:v>
                </c:pt>
                <c:pt idx="8">
                  <c:v>2.1900000000000006E-2</c:v>
                </c:pt>
                <c:pt idx="9">
                  <c:v>1.4700000000000001E-2</c:v>
                </c:pt>
              </c:numCache>
            </c:numRef>
          </c:val>
          <c:smooth val="0"/>
          <c:extLst>
            <c:ext xmlns:c16="http://schemas.microsoft.com/office/drawing/2014/chart" uri="{C3380CC4-5D6E-409C-BE32-E72D297353CC}">
              <c16:uniqueId val="{00000000-05A7-4705-95E7-EB10CF395877}"/>
            </c:ext>
          </c:extLst>
        </c:ser>
        <c:ser>
          <c:idx val="1"/>
          <c:order val="1"/>
          <c:tx>
            <c:strRef>
              <c:f>GDP!$C$3</c:f>
              <c:strCache>
                <c:ptCount val="1"/>
                <c:pt idx="0">
                  <c:v>S-N</c:v>
                </c:pt>
              </c:strCache>
            </c:strRef>
          </c:tx>
          <c:spPr>
            <a:ln w="28575" cap="rnd">
              <a:solidFill>
                <a:srgbClr val="0070C0"/>
              </a:solidFill>
              <a:round/>
            </a:ln>
            <a:effectLst/>
          </c:spPr>
          <c:marker>
            <c:symbol val="none"/>
          </c:marker>
          <c:cat>
            <c:numRef>
              <c:f>GDP!$A$4:$A$13</c:f>
              <c:numCache>
                <c:formatCode>General</c:formatCode>
                <c:ptCount val="10"/>
                <c:pt idx="0">
                  <c:v>2025</c:v>
                </c:pt>
                <c:pt idx="1">
                  <c:v>2026</c:v>
                </c:pt>
                <c:pt idx="2">
                  <c:v>2027</c:v>
                </c:pt>
                <c:pt idx="3">
                  <c:v>2028</c:v>
                </c:pt>
                <c:pt idx="4">
                  <c:v>2029</c:v>
                </c:pt>
                <c:pt idx="5">
                  <c:v>2030</c:v>
                </c:pt>
                <c:pt idx="6">
                  <c:v>2035</c:v>
                </c:pt>
                <c:pt idx="7">
                  <c:v>2040</c:v>
                </c:pt>
                <c:pt idx="8">
                  <c:v>2045</c:v>
                </c:pt>
                <c:pt idx="9">
                  <c:v>2050</c:v>
                </c:pt>
              </c:numCache>
            </c:numRef>
          </c:cat>
          <c:val>
            <c:numRef>
              <c:f>GDP!$C$4:$C$13</c:f>
              <c:numCache>
                <c:formatCode>0.00%</c:formatCode>
                <c:ptCount val="10"/>
                <c:pt idx="0">
                  <c:v>1.2400000000000001E-2</c:v>
                </c:pt>
                <c:pt idx="1">
                  <c:v>1.3800000000000005E-2</c:v>
                </c:pt>
                <c:pt idx="2">
                  <c:v>1.5900000000000001E-2</c:v>
                </c:pt>
                <c:pt idx="3">
                  <c:v>1.72E-2</c:v>
                </c:pt>
                <c:pt idx="4">
                  <c:v>1.7899999999999999E-2</c:v>
                </c:pt>
                <c:pt idx="5">
                  <c:v>1.7000000000000001E-2</c:v>
                </c:pt>
                <c:pt idx="6">
                  <c:v>1.8900000000000007E-2</c:v>
                </c:pt>
                <c:pt idx="7">
                  <c:v>2.240000000000001E-2</c:v>
                </c:pt>
                <c:pt idx="8">
                  <c:v>1.2500000000000001E-2</c:v>
                </c:pt>
                <c:pt idx="9">
                  <c:v>3.4000000000000007E-3</c:v>
                </c:pt>
              </c:numCache>
            </c:numRef>
          </c:val>
          <c:smooth val="0"/>
          <c:extLst>
            <c:ext xmlns:c16="http://schemas.microsoft.com/office/drawing/2014/chart" uri="{C3380CC4-5D6E-409C-BE32-E72D297353CC}">
              <c16:uniqueId val="{00000001-05A7-4705-95E7-EB10CF395877}"/>
            </c:ext>
          </c:extLst>
        </c:ser>
        <c:dLbls>
          <c:showLegendKey val="0"/>
          <c:showVal val="0"/>
          <c:showCatName val="0"/>
          <c:showSerName val="0"/>
          <c:showPercent val="0"/>
          <c:showBubbleSize val="0"/>
        </c:dLbls>
        <c:smooth val="0"/>
        <c:axId val="444152848"/>
        <c:axId val="444154480"/>
      </c:lineChart>
      <c:catAx>
        <c:axId val="444152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4154480"/>
        <c:crosses val="autoZero"/>
        <c:auto val="1"/>
        <c:lblAlgn val="ctr"/>
        <c:lblOffset val="100"/>
        <c:noMultiLvlLbl val="0"/>
      </c:catAx>
      <c:valAx>
        <c:axId val="4441544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4152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a:t>
            </a:r>
            <a:r>
              <a:rPr lang="fr-FR" baseline="0"/>
              <a:t> change in unemployment w.r.t. WEM (national aggregate)</a:t>
            </a:r>
            <a:endParaRPr lang="fr-F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5CAC-4A00-9D77-822FD81FBFF4}"/>
              </c:ext>
            </c:extLst>
          </c:dPt>
          <c:dPt>
            <c:idx val="1"/>
            <c:invertIfNegative val="0"/>
            <c:bubble3D val="0"/>
            <c:spPr>
              <a:solidFill>
                <a:srgbClr val="00B050"/>
              </a:solidFill>
              <a:ln>
                <a:noFill/>
              </a:ln>
              <a:effectLst/>
            </c:spPr>
            <c:extLst>
              <c:ext xmlns:c16="http://schemas.microsoft.com/office/drawing/2014/chart" uri="{C3380CC4-5D6E-409C-BE32-E72D297353CC}">
                <c16:uniqueId val="{00000003-5CAC-4A00-9D77-822FD81FBFF4}"/>
              </c:ext>
            </c:extLst>
          </c:dPt>
          <c:dPt>
            <c:idx val="2"/>
            <c:invertIfNegative val="0"/>
            <c:bubble3D val="0"/>
            <c:spPr>
              <a:solidFill>
                <a:srgbClr val="00B050"/>
              </a:solidFill>
              <a:ln>
                <a:noFill/>
              </a:ln>
              <a:effectLst/>
            </c:spPr>
            <c:extLst>
              <c:ext xmlns:c16="http://schemas.microsoft.com/office/drawing/2014/chart" uri="{C3380CC4-5D6E-409C-BE32-E72D297353CC}">
                <c16:uniqueId val="{00000005-5CAC-4A00-9D77-822FD81FBFF4}"/>
              </c:ext>
            </c:extLst>
          </c:dPt>
          <c:dPt>
            <c:idx val="3"/>
            <c:invertIfNegative val="0"/>
            <c:bubble3D val="0"/>
            <c:spPr>
              <a:solidFill>
                <a:srgbClr val="00B050"/>
              </a:solidFill>
              <a:ln>
                <a:noFill/>
              </a:ln>
              <a:effectLst/>
            </c:spPr>
            <c:extLst>
              <c:ext xmlns:c16="http://schemas.microsoft.com/office/drawing/2014/chart" uri="{C3380CC4-5D6E-409C-BE32-E72D297353CC}">
                <c16:uniqueId val="{00000007-5CAC-4A00-9D77-822FD81FBFF4}"/>
              </c:ext>
            </c:extLst>
          </c:dPt>
          <c:dPt>
            <c:idx val="4"/>
            <c:invertIfNegative val="0"/>
            <c:bubble3D val="0"/>
            <c:spPr>
              <a:solidFill>
                <a:srgbClr val="00B050"/>
              </a:solidFill>
              <a:ln>
                <a:noFill/>
              </a:ln>
              <a:effectLst/>
            </c:spPr>
            <c:extLst>
              <c:ext xmlns:c16="http://schemas.microsoft.com/office/drawing/2014/chart" uri="{C3380CC4-5D6E-409C-BE32-E72D297353CC}">
                <c16:uniqueId val="{00000009-5CAC-4A00-9D77-822FD81FBFF4}"/>
              </c:ext>
            </c:extLst>
          </c:dPt>
          <c:dPt>
            <c:idx val="5"/>
            <c:invertIfNegative val="0"/>
            <c:bubble3D val="0"/>
            <c:spPr>
              <a:solidFill>
                <a:srgbClr val="00B050"/>
              </a:solidFill>
              <a:ln>
                <a:noFill/>
              </a:ln>
              <a:effectLst/>
            </c:spPr>
            <c:extLst>
              <c:ext xmlns:c16="http://schemas.microsoft.com/office/drawing/2014/chart" uri="{C3380CC4-5D6E-409C-BE32-E72D297353CC}">
                <c16:uniqueId val="{0000000B-5CAC-4A00-9D77-822FD81FBFF4}"/>
              </c:ext>
            </c:extLst>
          </c:dPt>
          <c:dPt>
            <c:idx val="6"/>
            <c:invertIfNegative val="0"/>
            <c:bubble3D val="0"/>
            <c:spPr>
              <a:solidFill>
                <a:srgbClr val="00B050"/>
              </a:solidFill>
              <a:ln>
                <a:noFill/>
              </a:ln>
              <a:effectLst/>
            </c:spPr>
            <c:extLst>
              <c:ext xmlns:c16="http://schemas.microsoft.com/office/drawing/2014/chart" uri="{C3380CC4-5D6E-409C-BE32-E72D297353CC}">
                <c16:uniqueId val="{0000000D-5CAC-4A00-9D77-822FD81FBFF4}"/>
              </c:ext>
            </c:extLst>
          </c:dPt>
          <c:dPt>
            <c:idx val="8"/>
            <c:invertIfNegative val="0"/>
            <c:bubble3D val="0"/>
            <c:spPr>
              <a:solidFill>
                <a:srgbClr val="00B050"/>
              </a:solidFill>
              <a:ln>
                <a:noFill/>
              </a:ln>
              <a:effectLst/>
            </c:spPr>
            <c:extLst>
              <c:ext xmlns:c16="http://schemas.microsoft.com/office/drawing/2014/chart" uri="{C3380CC4-5D6E-409C-BE32-E72D297353CC}">
                <c16:uniqueId val="{0000000F-5CAC-4A00-9D77-822FD81FBFF4}"/>
              </c:ext>
            </c:extLst>
          </c:dPt>
          <c:dPt>
            <c:idx val="12"/>
            <c:invertIfNegative val="0"/>
            <c:bubble3D val="0"/>
            <c:spPr>
              <a:solidFill>
                <a:srgbClr val="00B050"/>
              </a:solidFill>
              <a:ln>
                <a:noFill/>
              </a:ln>
              <a:effectLst/>
            </c:spPr>
            <c:extLst>
              <c:ext xmlns:c16="http://schemas.microsoft.com/office/drawing/2014/chart" uri="{C3380CC4-5D6E-409C-BE32-E72D297353CC}">
                <c16:uniqueId val="{00000011-5CAC-4A00-9D77-822FD81FBFF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AGG_UNEMPLOYMENT!$A$2:$B$15</c:f>
              <c:multiLvlStrCache>
                <c:ptCount val="14"/>
                <c:lvl>
                  <c:pt idx="0">
                    <c:v>S</c:v>
                  </c:pt>
                  <c:pt idx="1">
                    <c:v>S</c:v>
                  </c:pt>
                  <c:pt idx="2">
                    <c:v>S</c:v>
                  </c:pt>
                  <c:pt idx="3">
                    <c:v>S</c:v>
                  </c:pt>
                  <c:pt idx="4">
                    <c:v>S</c:v>
                  </c:pt>
                  <c:pt idx="5">
                    <c:v>S</c:v>
                  </c:pt>
                  <c:pt idx="6">
                    <c:v>S</c:v>
                  </c:pt>
                  <c:pt idx="7">
                    <c:v>S-N</c:v>
                  </c:pt>
                  <c:pt idx="8">
                    <c:v>S</c:v>
                  </c:pt>
                  <c:pt idx="9">
                    <c:v>S-N</c:v>
                  </c:pt>
                  <c:pt idx="10">
                    <c:v>S</c:v>
                  </c:pt>
                  <c:pt idx="11">
                    <c:v>S-N</c:v>
                  </c:pt>
                  <c:pt idx="12">
                    <c:v>S</c:v>
                  </c:pt>
                  <c:pt idx="13">
                    <c:v>S-N</c:v>
                  </c:pt>
                </c:lvl>
                <c:lvl>
                  <c:pt idx="0">
                    <c:v>2025</c:v>
                  </c:pt>
                  <c:pt idx="1">
                    <c:v>2026</c:v>
                  </c:pt>
                  <c:pt idx="2">
                    <c:v>2027</c:v>
                  </c:pt>
                  <c:pt idx="3">
                    <c:v>2028</c:v>
                  </c:pt>
                  <c:pt idx="4">
                    <c:v>2029</c:v>
                  </c:pt>
                  <c:pt idx="5">
                    <c:v>2030</c:v>
                  </c:pt>
                  <c:pt idx="6">
                    <c:v>2035</c:v>
                  </c:pt>
                  <c:pt idx="8">
                    <c:v>2040</c:v>
                  </c:pt>
                  <c:pt idx="10">
                    <c:v>2045</c:v>
                  </c:pt>
                  <c:pt idx="12">
                    <c:v>2050</c:v>
                  </c:pt>
                </c:lvl>
              </c:multiLvlStrCache>
            </c:multiLvlStrRef>
          </c:cat>
          <c:val>
            <c:numRef>
              <c:f>AGG_UNEMPLOYMENT!$C$2:$C$15</c:f>
              <c:numCache>
                <c:formatCode>0.00%</c:formatCode>
                <c:ptCount val="14"/>
                <c:pt idx="0">
                  <c:v>1.5000000000000005E-3</c:v>
                </c:pt>
                <c:pt idx="1">
                  <c:v>1.5000000000000005E-3</c:v>
                </c:pt>
                <c:pt idx="2">
                  <c:v>1.0000000000000005E-3</c:v>
                </c:pt>
                <c:pt idx="3">
                  <c:v>1.1999999999999999E-3</c:v>
                </c:pt>
                <c:pt idx="4">
                  <c:v>1.8000000000000008E-3</c:v>
                </c:pt>
                <c:pt idx="5">
                  <c:v>3.1000000000000012E-3</c:v>
                </c:pt>
                <c:pt idx="6">
                  <c:v>5.0000000000000023E-4</c:v>
                </c:pt>
                <c:pt idx="7">
                  <c:v>4.0000000000000018E-4</c:v>
                </c:pt>
                <c:pt idx="8">
                  <c:v>-7.0000000000000021E-4</c:v>
                </c:pt>
                <c:pt idx="9">
                  <c:v>-8.0000000000000036E-4</c:v>
                </c:pt>
                <c:pt idx="10" formatCode="0%">
                  <c:v>0</c:v>
                </c:pt>
                <c:pt idx="11">
                  <c:v>3.9000000000000011E-3</c:v>
                </c:pt>
                <c:pt idx="12">
                  <c:v>4.0000000000000018E-4</c:v>
                </c:pt>
                <c:pt idx="13">
                  <c:v>1.0000000000000005E-3</c:v>
                </c:pt>
              </c:numCache>
            </c:numRef>
          </c:val>
          <c:extLst>
            <c:ext xmlns:c16="http://schemas.microsoft.com/office/drawing/2014/chart" uri="{C3380CC4-5D6E-409C-BE32-E72D297353CC}">
              <c16:uniqueId val="{00000012-5CAC-4A00-9D77-822FD81FBFF4}"/>
            </c:ext>
          </c:extLst>
        </c:ser>
        <c:dLbls>
          <c:showLegendKey val="0"/>
          <c:showVal val="1"/>
          <c:showCatName val="0"/>
          <c:showSerName val="0"/>
          <c:showPercent val="0"/>
          <c:showBubbleSize val="0"/>
        </c:dLbls>
        <c:gapWidth val="219"/>
        <c:overlap val="-27"/>
        <c:axId val="444157200"/>
        <c:axId val="1959239984"/>
      </c:barChart>
      <c:catAx>
        <c:axId val="44415720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9239984"/>
        <c:crosses val="autoZero"/>
        <c:auto val="1"/>
        <c:lblAlgn val="ctr"/>
        <c:lblOffset val="100"/>
        <c:noMultiLvlLbl val="0"/>
      </c:catAx>
      <c:valAx>
        <c:axId val="195923998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41572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0.09484</cdr:x>
      <cdr:y>0.11809</cdr:y>
    </cdr:from>
    <cdr:to>
      <cdr:x>0.5938</cdr:x>
      <cdr:y>0.8506</cdr:y>
    </cdr:to>
    <cdr:sp macro="" textlink="">
      <cdr:nvSpPr>
        <cdr:cNvPr id="2" name="Text Box 1">
          <a:extLst xmlns:a="http://schemas.openxmlformats.org/drawingml/2006/main">
            <a:ext uri="{FF2B5EF4-FFF2-40B4-BE49-F238E27FC236}">
              <a16:creationId xmlns:a16="http://schemas.microsoft.com/office/drawing/2014/main" id="{E8F59490-BEC0-93D2-97AB-03B51FF4697A}"/>
            </a:ext>
          </a:extLst>
        </cdr:cNvPr>
        <cdr:cNvSpPr txBox="1"/>
      </cdr:nvSpPr>
      <cdr:spPr>
        <a:xfrm xmlns:a="http://schemas.openxmlformats.org/drawingml/2006/main">
          <a:off x="580418" y="465221"/>
          <a:ext cx="3053700" cy="2885746"/>
        </a:xfrm>
        <a:prstGeom xmlns:a="http://schemas.openxmlformats.org/drawingml/2006/main" prst="rect">
          <a:avLst/>
        </a:prstGeom>
        <a:solidFill xmlns:a="http://schemas.openxmlformats.org/drawingml/2006/main">
          <a:sysClr val="window" lastClr="FFFFFF">
            <a:lumMod val="65000"/>
            <a:alpha val="50000"/>
          </a:sysClr>
        </a:solidFill>
        <a:ln xmlns:a="http://schemas.openxmlformats.org/drawingml/2006/main">
          <a:noFill/>
        </a:ln>
        <a:effectLst xmlns:a="http://schemas.openxmlformats.org/drawingml/2006/mai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el-GR"/>
        </a:p>
      </cdr:txBody>
    </cdr:sp>
  </cdr:relSizeAnchor>
</c:userShapes>
</file>

<file path=word/drawings/drawing2.xml><?xml version="1.0" encoding="utf-8"?>
<c:userShapes xmlns:c="http://schemas.openxmlformats.org/drawingml/2006/chart">
  <cdr:relSizeAnchor xmlns:cdr="http://schemas.openxmlformats.org/drawingml/2006/chartDrawing">
    <cdr:from>
      <cdr:x>0.08598</cdr:x>
      <cdr:y>0.20339</cdr:y>
    </cdr:from>
    <cdr:to>
      <cdr:x>0.46655</cdr:x>
      <cdr:y>0.98712</cdr:y>
    </cdr:to>
    <cdr:sp macro="" textlink="">
      <cdr:nvSpPr>
        <cdr:cNvPr id="2" name="Text Box 1"/>
        <cdr:cNvSpPr txBox="1"/>
      </cdr:nvSpPr>
      <cdr:spPr>
        <a:xfrm xmlns:a="http://schemas.openxmlformats.org/drawingml/2006/main">
          <a:off x="526213" y="732285"/>
          <a:ext cx="2329131" cy="2821798"/>
        </a:xfrm>
        <a:prstGeom xmlns:a="http://schemas.openxmlformats.org/drawingml/2006/main" prst="rect">
          <a:avLst/>
        </a:prstGeom>
        <a:solidFill xmlns:a="http://schemas.openxmlformats.org/drawingml/2006/main">
          <a:sysClr val="window" lastClr="FFFFFF">
            <a:lumMod val="65000"/>
            <a:alpha val="50000"/>
          </a:sysClr>
        </a:solidFill>
        <a:ln xmlns:a="http://schemas.openxmlformats.org/drawingml/2006/main">
          <a:noFill/>
        </a:ln>
        <a:effectLst xmlns:a="http://schemas.openxmlformats.org/drawingml/2006/mai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el-G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TotalTime>
  <Pages>323</Pages>
  <Words>113112</Words>
  <Characters>650396</Characters>
  <Application>Microsoft Office Word</Application>
  <DocSecurity>0</DocSecurity>
  <Lines>22427</Lines>
  <Paragraphs>13881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749627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Nosferatu</dc:creator>
  <cp:keywords/>
  <dc:description/>
  <cp:lastModifiedBy>Aleksandar Zlatković</cp:lastModifiedBy>
  <cp:revision>3</cp:revision>
  <dcterms:created xsi:type="dcterms:W3CDTF">2024-08-14T21:55:00Z</dcterms:created>
  <dcterms:modified xsi:type="dcterms:W3CDTF">2024-08-29T09:20:00Z</dcterms:modified>
</cp:coreProperties>
</file>